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00D1F">
        <w:trPr>
          <w:cantSplit/>
        </w:trPr>
        <w:tc>
          <w:tcPr>
            <w:tcW w:w="6911" w:type="dxa"/>
          </w:tcPr>
          <w:p w:rsidR="00700D1F" w:rsidRPr="00DF23FC" w:rsidRDefault="00D94637" w:rsidP="00D21F11">
            <w:pPr>
              <w:spacing w:before="360" w:after="48"/>
              <w:rPr>
                <w:rFonts w:ascii="Verdana" w:hAnsi="Verdana"/>
                <w:position w:val="6"/>
                <w:lang w:eastAsia="zh-CN"/>
              </w:rPr>
            </w:pPr>
            <w:r w:rsidRPr="00396098">
              <w:rPr>
                <w:rFonts w:ascii="SimSun" w:hAnsi="SimSun" w:hint="eastAsia"/>
                <w:b/>
                <w:bCs/>
                <w:sz w:val="26"/>
                <w:szCs w:val="26"/>
                <w:lang w:val="en-US" w:eastAsia="zh-CN"/>
              </w:rPr>
              <w:t>理事会</w:t>
            </w:r>
            <w:r w:rsidRPr="004D163F">
              <w:rPr>
                <w:rFonts w:cs="Arial"/>
                <w:b/>
                <w:bCs/>
                <w:sz w:val="26"/>
                <w:szCs w:val="26"/>
                <w:lang w:val="en-US" w:eastAsia="zh-CN"/>
              </w:rPr>
              <w:t>20</w:t>
            </w:r>
            <w:r w:rsidR="00325C25" w:rsidRPr="004D163F">
              <w:rPr>
                <w:rFonts w:cs="Arial"/>
                <w:b/>
                <w:bCs/>
                <w:sz w:val="26"/>
                <w:szCs w:val="26"/>
                <w:lang w:val="en-US" w:eastAsia="zh-CN"/>
              </w:rPr>
              <w:t>1</w:t>
            </w:r>
            <w:r w:rsidR="00D21F11">
              <w:rPr>
                <w:rFonts w:cs="Arial"/>
                <w:b/>
                <w:bCs/>
                <w:sz w:val="26"/>
                <w:szCs w:val="26"/>
                <w:lang w:val="en-US" w:eastAsia="zh-CN"/>
              </w:rPr>
              <w:t>8</w:t>
            </w:r>
            <w:r w:rsidRPr="00396098">
              <w:rPr>
                <w:rFonts w:ascii="SimSun" w:hAnsi="SimSun" w:hint="eastAsia"/>
                <w:b/>
                <w:bCs/>
                <w:sz w:val="26"/>
                <w:szCs w:val="26"/>
                <w:lang w:val="en-US" w:eastAsia="zh-CN"/>
              </w:rPr>
              <w:t>年会议</w:t>
            </w:r>
            <w:r w:rsidRPr="00396098">
              <w:rPr>
                <w:rFonts w:ascii="Arial" w:hAnsi="Arial" w:cs="Arial"/>
                <w:b/>
                <w:bCs/>
                <w:szCs w:val="24"/>
                <w:lang w:val="en-US" w:eastAsia="zh-CN"/>
              </w:rPr>
              <w:br/>
            </w:r>
            <w:r w:rsidR="009625D8" w:rsidRPr="009625D8">
              <w:rPr>
                <w:b/>
                <w:bCs/>
                <w:color w:val="000000"/>
                <w:lang w:eastAsia="zh-CN"/>
              </w:rPr>
              <w:t>201</w:t>
            </w:r>
            <w:r w:rsidR="00D21F11">
              <w:rPr>
                <w:b/>
                <w:bCs/>
                <w:color w:val="000000"/>
                <w:lang w:eastAsia="zh-CN"/>
              </w:rPr>
              <w:t>8</w:t>
            </w:r>
            <w:r w:rsidR="009625D8" w:rsidRPr="009625D8">
              <w:rPr>
                <w:rFonts w:ascii="SimSun" w:hAnsi="SimSun" w:hint="eastAsia"/>
                <w:b/>
                <w:bCs/>
                <w:color w:val="000000"/>
                <w:lang w:eastAsia="zh-CN"/>
              </w:rPr>
              <w:t>年</w:t>
            </w:r>
            <w:r w:rsidR="00D21F11">
              <w:rPr>
                <w:b/>
                <w:bCs/>
                <w:color w:val="000000"/>
                <w:lang w:eastAsia="zh-CN"/>
              </w:rPr>
              <w:t>4</w:t>
            </w:r>
            <w:r w:rsidR="009625D8" w:rsidRPr="009625D8">
              <w:rPr>
                <w:rFonts w:ascii="SimSun" w:hAnsi="SimSun" w:hint="eastAsia"/>
                <w:b/>
                <w:bCs/>
                <w:color w:val="000000"/>
                <w:lang w:eastAsia="zh-CN"/>
              </w:rPr>
              <w:t>月</w:t>
            </w:r>
            <w:r w:rsidR="00A5354B">
              <w:rPr>
                <w:b/>
                <w:bCs/>
                <w:color w:val="000000"/>
                <w:lang w:eastAsia="zh-CN"/>
              </w:rPr>
              <w:t>1</w:t>
            </w:r>
            <w:r w:rsidR="00D21F11">
              <w:rPr>
                <w:b/>
                <w:bCs/>
                <w:color w:val="000000"/>
                <w:lang w:eastAsia="zh-CN"/>
              </w:rPr>
              <w:t>7</w:t>
            </w:r>
            <w:r w:rsidR="00A5354B">
              <w:rPr>
                <w:b/>
                <w:bCs/>
                <w:color w:val="000000"/>
                <w:lang w:eastAsia="zh-CN"/>
              </w:rPr>
              <w:t>-</w:t>
            </w:r>
            <w:r w:rsidR="009625D8" w:rsidRPr="009625D8">
              <w:rPr>
                <w:b/>
                <w:bCs/>
                <w:color w:val="000000"/>
                <w:lang w:eastAsia="zh-CN"/>
              </w:rPr>
              <w:t>2</w:t>
            </w:r>
            <w:r w:rsidR="00D21F11">
              <w:rPr>
                <w:b/>
                <w:bCs/>
                <w:color w:val="000000"/>
                <w:lang w:eastAsia="zh-CN"/>
              </w:rPr>
              <w:t>7</w:t>
            </w:r>
            <w:r w:rsidR="009625D8" w:rsidRPr="009625D8">
              <w:rPr>
                <w:rFonts w:ascii="SimSun" w:hAnsi="SimSun" w:hint="eastAsia"/>
                <w:b/>
                <w:bCs/>
                <w:color w:val="000000"/>
                <w:lang w:eastAsia="zh-CN"/>
              </w:rPr>
              <w:t>日</w:t>
            </w:r>
            <w:r w:rsidR="009625D8" w:rsidRPr="009625D8">
              <w:rPr>
                <w:rFonts w:ascii="SimSun" w:hAnsi="SimSun" w:cs="SimSun" w:hint="eastAsia"/>
                <w:b/>
                <w:bCs/>
                <w:smallCaps/>
                <w:szCs w:val="24"/>
                <w:lang w:val="en-US" w:eastAsia="zh-CN"/>
              </w:rPr>
              <w:t>，</w:t>
            </w:r>
            <w:r w:rsidR="009625D8" w:rsidRPr="009625D8">
              <w:rPr>
                <w:rFonts w:ascii="SimSun" w:hAnsi="SimSun" w:hint="eastAsia"/>
                <w:b/>
                <w:bCs/>
                <w:szCs w:val="24"/>
                <w:lang w:eastAsia="zh-CN"/>
              </w:rPr>
              <w:t>日内瓦</w:t>
            </w:r>
          </w:p>
        </w:tc>
        <w:tc>
          <w:tcPr>
            <w:tcW w:w="3120" w:type="dxa"/>
          </w:tcPr>
          <w:p w:rsidR="00700D1F" w:rsidRDefault="00AB42C1" w:rsidP="00864589">
            <w:pPr>
              <w:spacing w:before="0"/>
              <w:jc w:val="right"/>
            </w:pPr>
            <w:bookmarkStart w:id="0" w:name="ditulogo"/>
            <w:bookmarkEnd w:id="0"/>
            <w:r>
              <w:rPr>
                <w:noProof/>
                <w:lang w:val="en-US" w:eastAsia="zh-CN"/>
              </w:rPr>
              <w:drawing>
                <wp:inline distT="0" distB="0" distL="0" distR="0" wp14:anchorId="252E5C10" wp14:editId="3F25DC54">
                  <wp:extent cx="1666875" cy="695325"/>
                  <wp:effectExtent l="0" t="0" r="9525" b="9525"/>
                  <wp:docPr id="1" name="Picture 1" descr="logo_C_"/>
                  <wp:cNvGraphicFramePr/>
                  <a:graphic xmlns:a="http://schemas.openxmlformats.org/drawingml/2006/main">
                    <a:graphicData uri="http://schemas.openxmlformats.org/drawingml/2006/picture">
                      <pic:pic xmlns:pic="http://schemas.openxmlformats.org/drawingml/2006/picture">
                        <pic:nvPicPr>
                          <pic:cNvPr id="1" name="Picture 1" descr="logo_C_"/>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700D1F" w:rsidRPr="00617BE4">
        <w:trPr>
          <w:cantSplit/>
        </w:trPr>
        <w:tc>
          <w:tcPr>
            <w:tcW w:w="6911" w:type="dxa"/>
            <w:tcBorders>
              <w:bottom w:val="single" w:sz="12" w:space="0" w:color="auto"/>
            </w:tcBorders>
          </w:tcPr>
          <w:p w:rsidR="00700D1F" w:rsidRPr="00617BE4" w:rsidRDefault="00700D1F" w:rsidP="00001B77">
            <w:pPr>
              <w:spacing w:before="0" w:after="48"/>
              <w:rPr>
                <w:b/>
                <w:smallCaps/>
                <w:szCs w:val="24"/>
              </w:rPr>
            </w:pPr>
          </w:p>
        </w:tc>
        <w:tc>
          <w:tcPr>
            <w:tcW w:w="3120" w:type="dxa"/>
            <w:tcBorders>
              <w:bottom w:val="single" w:sz="12" w:space="0" w:color="auto"/>
            </w:tcBorders>
          </w:tcPr>
          <w:p w:rsidR="00700D1F" w:rsidRPr="00617BE4" w:rsidRDefault="00700D1F" w:rsidP="00001B77">
            <w:pPr>
              <w:spacing w:before="0"/>
              <w:rPr>
                <w:rFonts w:ascii="Verdana" w:hAnsi="Verdana"/>
                <w:szCs w:val="24"/>
              </w:rPr>
            </w:pPr>
          </w:p>
        </w:tc>
      </w:tr>
      <w:tr w:rsidR="00700D1F" w:rsidRPr="00617BE4">
        <w:trPr>
          <w:cantSplit/>
        </w:trPr>
        <w:tc>
          <w:tcPr>
            <w:tcW w:w="6911" w:type="dxa"/>
            <w:tcBorders>
              <w:top w:val="single" w:sz="12" w:space="0" w:color="auto"/>
            </w:tcBorders>
          </w:tcPr>
          <w:p w:rsidR="00700D1F" w:rsidRPr="00617BE4" w:rsidRDefault="00700D1F" w:rsidP="00001B77">
            <w:pPr>
              <w:spacing w:before="0" w:after="48"/>
              <w:rPr>
                <w:b/>
                <w:smallCaps/>
                <w:szCs w:val="24"/>
              </w:rPr>
            </w:pPr>
          </w:p>
        </w:tc>
        <w:tc>
          <w:tcPr>
            <w:tcW w:w="3120" w:type="dxa"/>
            <w:tcBorders>
              <w:top w:val="single" w:sz="12" w:space="0" w:color="auto"/>
            </w:tcBorders>
          </w:tcPr>
          <w:p w:rsidR="00700D1F" w:rsidRPr="00617BE4" w:rsidRDefault="00700D1F" w:rsidP="00001B77">
            <w:pPr>
              <w:spacing w:before="0"/>
              <w:rPr>
                <w:rFonts w:ascii="Verdana" w:hAnsi="Verdana"/>
                <w:szCs w:val="24"/>
              </w:rPr>
            </w:pPr>
          </w:p>
        </w:tc>
      </w:tr>
      <w:tr w:rsidR="00700D1F">
        <w:trPr>
          <w:cantSplit/>
          <w:trHeight w:val="23"/>
        </w:trPr>
        <w:tc>
          <w:tcPr>
            <w:tcW w:w="6911" w:type="dxa"/>
            <w:vMerge w:val="restart"/>
          </w:tcPr>
          <w:p w:rsidR="00700D1F" w:rsidRPr="00FC5386" w:rsidRDefault="00700D1F" w:rsidP="00E067C5">
            <w:pPr>
              <w:tabs>
                <w:tab w:val="left" w:pos="851"/>
              </w:tabs>
              <w:rPr>
                <w:b/>
                <w:szCs w:val="24"/>
                <w:lang w:eastAsia="zh-CN"/>
              </w:rPr>
            </w:pPr>
            <w:bookmarkStart w:id="1" w:name="dmeeting" w:colFirst="0" w:colLast="0"/>
            <w:r w:rsidRPr="00FC5386">
              <w:rPr>
                <w:rFonts w:hint="eastAsia"/>
                <w:b/>
                <w:szCs w:val="24"/>
                <w:lang w:eastAsia="zh-CN"/>
              </w:rPr>
              <w:t>议项</w:t>
            </w:r>
            <w:r w:rsidRPr="00FC5386">
              <w:rPr>
                <w:b/>
                <w:szCs w:val="24"/>
                <w:lang w:eastAsia="zh-CN"/>
              </w:rPr>
              <w:t>：</w:t>
            </w:r>
            <w:r w:rsidR="00256D7E">
              <w:rPr>
                <w:b/>
                <w:szCs w:val="22"/>
                <w:lang w:val="en-US"/>
              </w:rPr>
              <w:t xml:space="preserve"> ADM 1</w:t>
            </w:r>
          </w:p>
        </w:tc>
        <w:tc>
          <w:tcPr>
            <w:tcW w:w="3120" w:type="dxa"/>
          </w:tcPr>
          <w:p w:rsidR="00700D1F" w:rsidRPr="00700D1F" w:rsidRDefault="00700D1F" w:rsidP="00256D7E">
            <w:pPr>
              <w:tabs>
                <w:tab w:val="left" w:pos="851"/>
              </w:tabs>
              <w:spacing w:before="0"/>
              <w:rPr>
                <w:b/>
                <w:bCs/>
                <w:lang w:eastAsia="zh-CN"/>
              </w:rPr>
            </w:pPr>
            <w:r w:rsidRPr="00FC5386">
              <w:rPr>
                <w:rFonts w:hint="eastAsia"/>
                <w:b/>
                <w:bCs/>
                <w:szCs w:val="24"/>
                <w:lang w:val="fr-CH" w:eastAsia="zh-CN"/>
              </w:rPr>
              <w:t>文件</w:t>
            </w:r>
            <w:r w:rsidRPr="00700D1F">
              <w:rPr>
                <w:b/>
                <w:bCs/>
                <w:sz w:val="20"/>
                <w:lang w:eastAsia="zh-CN"/>
              </w:rPr>
              <w:t xml:space="preserve"> </w:t>
            </w:r>
            <w:r w:rsidRPr="00FC5386">
              <w:rPr>
                <w:b/>
                <w:bCs/>
                <w:szCs w:val="24"/>
                <w:lang w:eastAsia="zh-CN"/>
              </w:rPr>
              <w:t>C</w:t>
            </w:r>
            <w:r w:rsidR="00325C25" w:rsidRPr="00FC5386">
              <w:rPr>
                <w:b/>
                <w:bCs/>
                <w:szCs w:val="24"/>
                <w:lang w:eastAsia="zh-CN"/>
              </w:rPr>
              <w:t>1</w:t>
            </w:r>
            <w:r w:rsidR="00D21F11">
              <w:rPr>
                <w:b/>
                <w:bCs/>
                <w:szCs w:val="24"/>
                <w:lang w:eastAsia="zh-CN"/>
              </w:rPr>
              <w:t>8</w:t>
            </w:r>
            <w:r w:rsidRPr="00FC5386">
              <w:rPr>
                <w:b/>
                <w:bCs/>
                <w:szCs w:val="24"/>
                <w:lang w:eastAsia="zh-CN"/>
              </w:rPr>
              <w:t>/</w:t>
            </w:r>
            <w:r w:rsidR="00256D7E">
              <w:rPr>
                <w:b/>
                <w:bCs/>
                <w:szCs w:val="24"/>
                <w:lang w:eastAsia="zh-CN"/>
              </w:rPr>
              <w:t>83</w:t>
            </w:r>
            <w:r w:rsidRPr="00FC5386">
              <w:rPr>
                <w:b/>
                <w:bCs/>
                <w:szCs w:val="24"/>
                <w:lang w:eastAsia="zh-CN"/>
              </w:rPr>
              <w:t>-C</w:t>
            </w:r>
          </w:p>
        </w:tc>
      </w:tr>
      <w:bookmarkEnd w:id="1"/>
      <w:tr w:rsidR="00700D1F">
        <w:trPr>
          <w:cantSplit/>
          <w:trHeight w:val="23"/>
        </w:trPr>
        <w:tc>
          <w:tcPr>
            <w:tcW w:w="6911" w:type="dxa"/>
            <w:vMerge/>
          </w:tcPr>
          <w:p w:rsidR="00700D1F" w:rsidRDefault="00700D1F" w:rsidP="00001B77">
            <w:pPr>
              <w:tabs>
                <w:tab w:val="left" w:pos="851"/>
              </w:tabs>
              <w:rPr>
                <w:b/>
                <w:lang w:eastAsia="zh-CN"/>
              </w:rPr>
            </w:pPr>
          </w:p>
        </w:tc>
        <w:tc>
          <w:tcPr>
            <w:tcW w:w="3120" w:type="dxa"/>
          </w:tcPr>
          <w:p w:rsidR="00700D1F" w:rsidRPr="00FC5386" w:rsidRDefault="00700D1F" w:rsidP="00256D7E">
            <w:pPr>
              <w:tabs>
                <w:tab w:val="left" w:pos="993"/>
              </w:tabs>
              <w:spacing w:before="0"/>
              <w:rPr>
                <w:b/>
                <w:bCs/>
                <w:szCs w:val="24"/>
                <w:lang w:eastAsia="zh-CN"/>
              </w:rPr>
            </w:pPr>
            <w:r w:rsidRPr="00FC5386">
              <w:rPr>
                <w:b/>
                <w:bCs/>
                <w:szCs w:val="24"/>
                <w:lang w:eastAsia="zh-CN"/>
              </w:rPr>
              <w:t>20</w:t>
            </w:r>
            <w:r w:rsidR="00325C25" w:rsidRPr="00FC5386">
              <w:rPr>
                <w:b/>
                <w:bCs/>
                <w:szCs w:val="24"/>
                <w:lang w:eastAsia="zh-CN"/>
              </w:rPr>
              <w:t>1</w:t>
            </w:r>
            <w:r w:rsidR="00D21F11">
              <w:rPr>
                <w:b/>
                <w:bCs/>
                <w:szCs w:val="24"/>
                <w:lang w:eastAsia="zh-CN"/>
              </w:rPr>
              <w:t>8</w:t>
            </w:r>
            <w:r w:rsidRPr="00FC5386">
              <w:rPr>
                <w:rFonts w:hint="eastAsia"/>
                <w:b/>
                <w:bCs/>
                <w:szCs w:val="24"/>
                <w:lang w:eastAsia="zh-CN"/>
              </w:rPr>
              <w:t>年</w:t>
            </w:r>
            <w:r w:rsidR="00256D7E">
              <w:rPr>
                <w:rFonts w:asciiTheme="minorHAnsi" w:hAnsiTheme="minorHAnsi" w:cstheme="minorHAnsi"/>
                <w:b/>
                <w:bCs/>
                <w:szCs w:val="24"/>
                <w:lang w:eastAsia="zh-CN"/>
              </w:rPr>
              <w:t>4</w:t>
            </w:r>
            <w:r w:rsidRPr="00FC5386">
              <w:rPr>
                <w:rFonts w:hint="eastAsia"/>
                <w:b/>
                <w:bCs/>
                <w:szCs w:val="24"/>
                <w:lang w:eastAsia="zh-CN"/>
              </w:rPr>
              <w:t>月</w:t>
            </w:r>
            <w:r w:rsidR="00256D7E">
              <w:rPr>
                <w:rFonts w:asciiTheme="minorHAnsi" w:hAnsiTheme="minorHAnsi" w:cstheme="minorHAnsi"/>
                <w:b/>
                <w:bCs/>
                <w:szCs w:val="24"/>
                <w:lang w:eastAsia="zh-CN"/>
              </w:rPr>
              <w:t>3</w:t>
            </w:r>
            <w:r w:rsidRPr="00FC5386">
              <w:rPr>
                <w:rFonts w:hint="eastAsia"/>
                <w:b/>
                <w:bCs/>
                <w:szCs w:val="24"/>
                <w:lang w:eastAsia="zh-CN"/>
              </w:rPr>
              <w:t>日</w:t>
            </w:r>
          </w:p>
        </w:tc>
      </w:tr>
      <w:tr w:rsidR="00700D1F">
        <w:trPr>
          <w:cantSplit/>
          <w:trHeight w:val="23"/>
        </w:trPr>
        <w:tc>
          <w:tcPr>
            <w:tcW w:w="6911" w:type="dxa"/>
            <w:vMerge/>
          </w:tcPr>
          <w:p w:rsidR="00700D1F" w:rsidRDefault="00700D1F" w:rsidP="00001B77">
            <w:pPr>
              <w:tabs>
                <w:tab w:val="left" w:pos="851"/>
              </w:tabs>
              <w:rPr>
                <w:b/>
                <w:lang w:eastAsia="zh-CN"/>
              </w:rPr>
            </w:pPr>
          </w:p>
        </w:tc>
        <w:tc>
          <w:tcPr>
            <w:tcW w:w="3120" w:type="dxa"/>
          </w:tcPr>
          <w:p w:rsidR="00700D1F" w:rsidRPr="00FC5386" w:rsidRDefault="00700D1F" w:rsidP="00001B77">
            <w:pPr>
              <w:tabs>
                <w:tab w:val="left" w:pos="993"/>
              </w:tabs>
              <w:spacing w:before="0"/>
              <w:rPr>
                <w:rFonts w:ascii="SimSun" w:hAnsi="SimSun"/>
                <w:b/>
                <w:bCs/>
                <w:szCs w:val="24"/>
                <w:lang w:eastAsia="zh-CN"/>
              </w:rPr>
            </w:pPr>
            <w:r w:rsidRPr="00FC5386">
              <w:rPr>
                <w:rFonts w:hint="eastAsia"/>
                <w:b/>
                <w:bCs/>
                <w:szCs w:val="24"/>
                <w:lang w:eastAsia="zh-CN"/>
              </w:rPr>
              <w:t>原文：</w:t>
            </w:r>
            <w:r w:rsidR="00F11595" w:rsidRPr="00FC5386">
              <w:rPr>
                <w:rFonts w:hint="eastAsia"/>
                <w:b/>
                <w:bCs/>
                <w:szCs w:val="24"/>
                <w:lang w:eastAsia="zh-CN"/>
              </w:rPr>
              <w:t>英</w:t>
            </w:r>
            <w:r w:rsidRPr="00FC5386">
              <w:rPr>
                <w:rFonts w:hint="eastAsia"/>
                <w:b/>
                <w:bCs/>
                <w:szCs w:val="24"/>
                <w:lang w:eastAsia="zh-CN"/>
              </w:rPr>
              <w:t>文</w:t>
            </w:r>
          </w:p>
        </w:tc>
      </w:tr>
    </w:tbl>
    <w:tbl>
      <w:tblPr>
        <w:tblW w:w="10031" w:type="dxa"/>
        <w:tblLayout w:type="fixed"/>
        <w:tblLook w:val="0000" w:firstRow="0" w:lastRow="0" w:firstColumn="0" w:lastColumn="0" w:noHBand="0" w:noVBand="0"/>
      </w:tblPr>
      <w:tblGrid>
        <w:gridCol w:w="10031"/>
      </w:tblGrid>
      <w:tr w:rsidR="0093362E">
        <w:trPr>
          <w:cantSplit/>
        </w:trPr>
        <w:tc>
          <w:tcPr>
            <w:tcW w:w="10031" w:type="dxa"/>
          </w:tcPr>
          <w:p w:rsidR="0093362E" w:rsidRDefault="00E378D8" w:rsidP="003F096F">
            <w:pPr>
              <w:pStyle w:val="Source"/>
              <w:rPr>
                <w:lang w:eastAsia="zh-CN"/>
              </w:rPr>
            </w:pPr>
            <w:r>
              <w:rPr>
                <w:rFonts w:ascii="Times New Roman Bold" w:hAnsi="Times New Roman Bold" w:hint="eastAsia"/>
                <w:lang w:val="fr-CH" w:eastAsia="zh-CN"/>
              </w:rPr>
              <w:t>秘书长的</w:t>
            </w:r>
            <w:r w:rsidR="003F096F">
              <w:rPr>
                <w:rFonts w:ascii="Times New Roman Bold" w:hAnsi="Times New Roman Bold" w:hint="eastAsia"/>
                <w:lang w:eastAsia="zh-CN"/>
              </w:rPr>
              <w:t>说明</w:t>
            </w:r>
          </w:p>
        </w:tc>
      </w:tr>
      <w:tr w:rsidR="0093362E">
        <w:trPr>
          <w:cantSplit/>
        </w:trPr>
        <w:tc>
          <w:tcPr>
            <w:tcW w:w="10031" w:type="dxa"/>
          </w:tcPr>
          <w:p w:rsidR="002F4614" w:rsidRDefault="002F4614" w:rsidP="00001B77">
            <w:pPr>
              <w:pStyle w:val="Title1"/>
              <w:rPr>
                <w:bCs/>
                <w:lang w:eastAsia="zh-CN"/>
              </w:rPr>
            </w:pPr>
            <w:r>
              <w:rPr>
                <w:rFonts w:hint="eastAsia"/>
                <w:bCs/>
                <w:lang w:eastAsia="zh-CN"/>
              </w:rPr>
              <w:t>俄罗斯联邦</w:t>
            </w:r>
            <w:r>
              <w:rPr>
                <w:bCs/>
                <w:lang w:eastAsia="zh-CN"/>
              </w:rPr>
              <w:t>提交的文稿</w:t>
            </w:r>
          </w:p>
          <w:p w:rsidR="0093362E" w:rsidRDefault="002F4614" w:rsidP="000C6857">
            <w:pPr>
              <w:pStyle w:val="Title1"/>
              <w:rPr>
                <w:bCs/>
                <w:lang w:eastAsia="zh-CN"/>
              </w:rPr>
            </w:pPr>
            <w:r>
              <w:rPr>
                <w:rFonts w:hint="eastAsia"/>
                <w:bCs/>
                <w:lang w:eastAsia="zh-CN"/>
              </w:rPr>
              <w:t>处理复杂非对地静止（</w:t>
            </w:r>
            <w:r w:rsidRPr="00434AC0">
              <w:rPr>
                <w:lang w:eastAsia="zh-CN"/>
              </w:rPr>
              <w:t>non-GSO</w:t>
            </w:r>
            <w:r>
              <w:rPr>
                <w:rFonts w:hint="eastAsia"/>
                <w:bCs/>
                <w:lang w:eastAsia="zh-CN"/>
              </w:rPr>
              <w:t>）</w:t>
            </w:r>
            <w:r w:rsidR="000C6857">
              <w:rPr>
                <w:rFonts w:hint="eastAsia"/>
                <w:bCs/>
                <w:lang w:eastAsia="zh-CN"/>
              </w:rPr>
              <w:t>卫星</w:t>
            </w:r>
            <w:r w:rsidR="000C6857">
              <w:rPr>
                <w:rFonts w:hint="eastAsia"/>
                <w:bCs/>
                <w:lang w:val="en-US" w:eastAsia="zh-CN"/>
              </w:rPr>
              <w:t>系统</w:t>
            </w:r>
            <w:r>
              <w:rPr>
                <w:rFonts w:hint="eastAsia"/>
                <w:bCs/>
                <w:lang w:eastAsia="zh-CN"/>
              </w:rPr>
              <w:t>申报资料的</w:t>
            </w:r>
            <w:r w:rsidR="000C6857">
              <w:rPr>
                <w:rFonts w:hint="eastAsia"/>
                <w:bCs/>
                <w:lang w:eastAsia="zh-CN"/>
              </w:rPr>
              <w:t>成本回收</w:t>
            </w:r>
          </w:p>
        </w:tc>
      </w:tr>
    </w:tbl>
    <w:p w:rsidR="002F4614" w:rsidRPr="00966AD2" w:rsidRDefault="002F4614" w:rsidP="002F4614">
      <w:pPr>
        <w:pStyle w:val="Normalaftertitle"/>
        <w:spacing w:before="720"/>
        <w:ind w:firstLineChars="200" w:firstLine="480"/>
        <w:rPr>
          <w:b/>
          <w:bCs/>
          <w:lang w:eastAsia="zh-CN"/>
        </w:rPr>
      </w:pPr>
      <w:bookmarkStart w:id="2" w:name="lt_pId014"/>
      <w:r w:rsidRPr="00293D5C">
        <w:rPr>
          <w:rFonts w:hint="eastAsia"/>
          <w:lang w:val="en-US" w:eastAsia="zh-CN"/>
        </w:rPr>
        <w:t>我荣幸地向各理事国转呈</w:t>
      </w:r>
      <w:r w:rsidRPr="00293D5C">
        <w:rPr>
          <w:rFonts w:hint="eastAsia"/>
          <w:b/>
          <w:bCs/>
          <w:lang w:val="en-US" w:eastAsia="zh-CN"/>
        </w:rPr>
        <w:t>俄罗斯联邦</w:t>
      </w:r>
      <w:r w:rsidRPr="00293D5C">
        <w:rPr>
          <w:rFonts w:hint="eastAsia"/>
          <w:lang w:val="en-US" w:eastAsia="zh-CN"/>
        </w:rPr>
        <w:t>提交的一份文稿。</w:t>
      </w:r>
    </w:p>
    <w:p w:rsidR="002F4614" w:rsidRDefault="002F4614" w:rsidP="002F4614">
      <w:pPr>
        <w:spacing w:before="1080"/>
        <w:ind w:left="4819"/>
        <w:jc w:val="center"/>
        <w:rPr>
          <w:lang w:val="fr-FR" w:eastAsia="zh-CN"/>
        </w:rPr>
      </w:pPr>
      <w:r>
        <w:rPr>
          <w:rFonts w:hint="eastAsia"/>
          <w:lang w:val="en-US" w:eastAsia="zh-CN"/>
        </w:rPr>
        <w:t>秘书</w:t>
      </w:r>
      <w:r>
        <w:rPr>
          <w:lang w:val="en-US" w:eastAsia="zh-CN"/>
        </w:rPr>
        <w:t>长</w:t>
      </w:r>
      <w:bookmarkEnd w:id="2"/>
      <w:r>
        <w:rPr>
          <w:lang w:val="en-US" w:eastAsia="zh-CN"/>
        </w:rPr>
        <w:br/>
      </w:r>
      <w:r>
        <w:rPr>
          <w:rFonts w:hint="eastAsia"/>
          <w:lang w:val="en-US" w:eastAsia="zh-CN"/>
        </w:rPr>
        <w:t>赵</w:t>
      </w:r>
      <w:r>
        <w:rPr>
          <w:lang w:val="en-US" w:eastAsia="zh-CN"/>
        </w:rPr>
        <w:t>厚麟</w:t>
      </w:r>
    </w:p>
    <w:p w:rsidR="0093362E" w:rsidRDefault="0093362E" w:rsidP="00001B77">
      <w:pPr>
        <w:rPr>
          <w:lang w:eastAsia="zh-CN"/>
        </w:rPr>
      </w:pPr>
    </w:p>
    <w:p w:rsidR="002F4614" w:rsidRDefault="002F4614" w:rsidP="00256D7E">
      <w:pPr>
        <w:tabs>
          <w:tab w:val="clear" w:pos="794"/>
          <w:tab w:val="clear" w:pos="1191"/>
          <w:tab w:val="clear" w:pos="1588"/>
          <w:tab w:val="clear" w:pos="1985"/>
          <w:tab w:val="left" w:pos="567"/>
          <w:tab w:val="left" w:pos="1134"/>
          <w:tab w:val="left" w:pos="1701"/>
          <w:tab w:val="left" w:pos="2268"/>
          <w:tab w:val="left" w:pos="2835"/>
        </w:tabs>
        <w:spacing w:before="840"/>
        <w:jc w:val="center"/>
        <w:rPr>
          <w:rFonts w:eastAsia="Times New Roman"/>
          <w:b/>
          <w:sz w:val="28"/>
          <w:lang w:val="en-US" w:eastAsia="zh-CN"/>
        </w:rPr>
      </w:pPr>
      <w:r>
        <w:rPr>
          <w:rFonts w:eastAsia="Times New Roman"/>
          <w:b/>
          <w:sz w:val="28"/>
          <w:lang w:val="en-US" w:eastAsia="zh-CN"/>
        </w:rPr>
        <w:br w:type="page"/>
      </w:r>
    </w:p>
    <w:p w:rsidR="00256D7E" w:rsidRPr="00256D7E" w:rsidRDefault="002F4614" w:rsidP="00256D7E">
      <w:pPr>
        <w:tabs>
          <w:tab w:val="clear" w:pos="794"/>
          <w:tab w:val="clear" w:pos="1191"/>
          <w:tab w:val="clear" w:pos="1588"/>
          <w:tab w:val="clear" w:pos="1985"/>
          <w:tab w:val="left" w:pos="567"/>
          <w:tab w:val="left" w:pos="1134"/>
          <w:tab w:val="left" w:pos="1701"/>
          <w:tab w:val="left" w:pos="2268"/>
          <w:tab w:val="left" w:pos="2835"/>
        </w:tabs>
        <w:spacing w:before="840"/>
        <w:jc w:val="center"/>
        <w:rPr>
          <w:b/>
          <w:sz w:val="28"/>
          <w:lang w:val="en-US" w:eastAsia="zh-CN"/>
        </w:rPr>
      </w:pPr>
      <w:r w:rsidRPr="002F4614">
        <w:rPr>
          <w:rFonts w:cs="Microsoft YaHei" w:hint="eastAsia"/>
          <w:b/>
          <w:sz w:val="28"/>
          <w:lang w:val="en-US" w:eastAsia="zh-CN"/>
        </w:rPr>
        <w:lastRenderedPageBreak/>
        <w:t>俄罗斯联邦</w:t>
      </w:r>
    </w:p>
    <w:p w:rsidR="00256D7E" w:rsidRPr="00256D7E" w:rsidRDefault="000C6857" w:rsidP="000C6857">
      <w:pPr>
        <w:tabs>
          <w:tab w:val="clear" w:pos="794"/>
          <w:tab w:val="clear" w:pos="1191"/>
          <w:tab w:val="clear" w:pos="1588"/>
          <w:tab w:val="clear" w:pos="1985"/>
          <w:tab w:val="left" w:pos="567"/>
          <w:tab w:val="left" w:pos="1134"/>
          <w:tab w:val="left" w:pos="1701"/>
          <w:tab w:val="left" w:pos="2268"/>
          <w:tab w:val="left" w:pos="2835"/>
        </w:tabs>
        <w:spacing w:before="240"/>
        <w:jc w:val="center"/>
        <w:rPr>
          <w:rFonts w:eastAsia="Times New Roman"/>
          <w:caps/>
          <w:sz w:val="28"/>
          <w:lang w:eastAsia="zh-CN"/>
        </w:rPr>
      </w:pPr>
      <w:r w:rsidRPr="000C6857">
        <w:rPr>
          <w:rFonts w:ascii="SimSun" w:hAnsi="SimSun" w:cs="SimSun" w:hint="eastAsia"/>
          <w:bCs/>
          <w:caps/>
          <w:sz w:val="28"/>
          <w:szCs w:val="26"/>
          <w:lang w:eastAsia="zh-CN"/>
        </w:rPr>
        <w:t>处理复杂非对地静止（</w:t>
      </w:r>
      <w:r w:rsidRPr="000C6857">
        <w:rPr>
          <w:rFonts w:asciiTheme="minorHAnsi" w:eastAsia="Times New Roman" w:hAnsiTheme="minorHAnsi" w:cstheme="minorHAnsi"/>
          <w:caps/>
          <w:sz w:val="28"/>
          <w:szCs w:val="26"/>
          <w:lang w:eastAsia="zh-CN"/>
        </w:rPr>
        <w:t>non-GSO</w:t>
      </w:r>
      <w:r w:rsidRPr="000C6857">
        <w:rPr>
          <w:rFonts w:ascii="SimSun" w:hAnsi="SimSun" w:cs="SimSun" w:hint="eastAsia"/>
          <w:bCs/>
          <w:caps/>
          <w:sz w:val="28"/>
          <w:szCs w:val="26"/>
          <w:lang w:eastAsia="zh-CN"/>
        </w:rPr>
        <w:t>）卫星</w:t>
      </w:r>
      <w:r w:rsidRPr="000C6857">
        <w:rPr>
          <w:rFonts w:ascii="SimSun" w:hAnsi="SimSun" w:cs="SimSun" w:hint="eastAsia"/>
          <w:bCs/>
          <w:caps/>
          <w:sz w:val="28"/>
          <w:szCs w:val="26"/>
          <w:lang w:val="en-US" w:eastAsia="zh-CN"/>
        </w:rPr>
        <w:t>系统</w:t>
      </w:r>
      <w:r w:rsidRPr="000C6857">
        <w:rPr>
          <w:rFonts w:ascii="SimSun" w:hAnsi="SimSun" w:cs="SimSun" w:hint="eastAsia"/>
          <w:bCs/>
          <w:caps/>
          <w:sz w:val="28"/>
          <w:szCs w:val="26"/>
          <w:lang w:eastAsia="zh-CN"/>
        </w:rPr>
        <w:t>申报资料的成本回收</w:t>
      </w:r>
    </w:p>
    <w:p w:rsidR="00256D7E" w:rsidRPr="00256D7E" w:rsidRDefault="00256D7E" w:rsidP="00256D7E">
      <w:pPr>
        <w:tabs>
          <w:tab w:val="clear" w:pos="794"/>
          <w:tab w:val="clear" w:pos="1191"/>
          <w:tab w:val="clear" w:pos="1588"/>
          <w:tab w:val="clear" w:pos="1985"/>
          <w:tab w:val="left" w:pos="567"/>
          <w:tab w:val="left" w:pos="1134"/>
          <w:tab w:val="left" w:pos="1701"/>
          <w:tab w:val="left" w:pos="2268"/>
          <w:tab w:val="left" w:pos="2835"/>
        </w:tabs>
        <w:rPr>
          <w:rFonts w:eastAsia="Times New Roman"/>
          <w:lang w:val="en-US" w:eastAsia="zh-CN"/>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56D7E" w:rsidRPr="00256D7E" w:rsidTr="0031222A">
        <w:trPr>
          <w:trHeight w:val="3372"/>
        </w:trPr>
        <w:tc>
          <w:tcPr>
            <w:tcW w:w="8080" w:type="dxa"/>
            <w:tcBorders>
              <w:top w:val="single" w:sz="12" w:space="0" w:color="auto"/>
              <w:left w:val="single" w:sz="12" w:space="0" w:color="auto"/>
              <w:bottom w:val="single" w:sz="12" w:space="0" w:color="auto"/>
              <w:right w:val="single" w:sz="12" w:space="0" w:color="auto"/>
            </w:tcBorders>
          </w:tcPr>
          <w:p w:rsidR="002F4614" w:rsidRPr="00C441AA" w:rsidRDefault="002F4614" w:rsidP="002F4614">
            <w:pPr>
              <w:pStyle w:val="Headingb"/>
              <w:rPr>
                <w:lang w:eastAsia="zh-CN"/>
              </w:rPr>
            </w:pPr>
            <w:r>
              <w:rPr>
                <w:rFonts w:hint="eastAsia"/>
                <w:lang w:val="fr-FR" w:eastAsia="zh-CN"/>
              </w:rPr>
              <w:t>概</w:t>
            </w:r>
            <w:r>
              <w:rPr>
                <w:rFonts w:hint="eastAsia"/>
                <w:lang w:eastAsia="zh-CN"/>
              </w:rPr>
              <w:t>要</w:t>
            </w:r>
          </w:p>
          <w:p w:rsidR="00256D7E" w:rsidRPr="00256D7E" w:rsidRDefault="000C6857" w:rsidP="000C6857">
            <w:pPr>
              <w:tabs>
                <w:tab w:val="clear" w:pos="794"/>
                <w:tab w:val="clear" w:pos="1191"/>
                <w:tab w:val="clear" w:pos="1588"/>
                <w:tab w:val="clear" w:pos="1985"/>
                <w:tab w:val="left" w:pos="567"/>
                <w:tab w:val="left" w:pos="1134"/>
                <w:tab w:val="left" w:pos="1701"/>
                <w:tab w:val="left" w:pos="2268"/>
                <w:tab w:val="left" w:pos="2835"/>
              </w:tabs>
              <w:ind w:firstLineChars="200" w:firstLine="480"/>
              <w:rPr>
                <w:rFonts w:eastAsia="Times New Roman"/>
                <w:lang w:val="en-US" w:eastAsia="zh-CN"/>
              </w:rPr>
            </w:pPr>
            <w:r>
              <w:rPr>
                <w:rFonts w:eastAsiaTheme="minorEastAsia" w:hint="eastAsia"/>
                <w:lang w:val="en-US" w:eastAsia="zh-CN"/>
              </w:rPr>
              <w:t>本文稿提出了俄罗斯联邦对</w:t>
            </w:r>
            <w:r>
              <w:rPr>
                <w:rFonts w:hint="eastAsia"/>
                <w:bCs/>
                <w:lang w:eastAsia="zh-CN"/>
              </w:rPr>
              <w:t>处理复杂非对地静止（</w:t>
            </w:r>
            <w:r w:rsidRPr="00434AC0">
              <w:rPr>
                <w:lang w:eastAsia="zh-CN"/>
              </w:rPr>
              <w:t>non-GSO</w:t>
            </w:r>
            <w:r>
              <w:rPr>
                <w:rFonts w:hint="eastAsia"/>
                <w:bCs/>
                <w:lang w:eastAsia="zh-CN"/>
              </w:rPr>
              <w:t>）卫星</w:t>
            </w:r>
            <w:r>
              <w:rPr>
                <w:rFonts w:hint="eastAsia"/>
                <w:bCs/>
                <w:lang w:val="en-US" w:eastAsia="zh-CN"/>
              </w:rPr>
              <w:t>系统</w:t>
            </w:r>
            <w:r>
              <w:rPr>
                <w:rFonts w:hint="eastAsia"/>
                <w:bCs/>
                <w:lang w:eastAsia="zh-CN"/>
              </w:rPr>
              <w:t>申报资料的成本回收问题的意见。</w:t>
            </w:r>
          </w:p>
          <w:p w:rsidR="002F4614" w:rsidRPr="00400180" w:rsidRDefault="002F4614" w:rsidP="002F4614">
            <w:pPr>
              <w:pStyle w:val="Headingb"/>
              <w:rPr>
                <w:lang w:val="fr-FR" w:eastAsia="zh-CN"/>
              </w:rPr>
            </w:pPr>
            <w:r>
              <w:rPr>
                <w:rFonts w:hint="eastAsia"/>
                <w:lang w:eastAsia="zh-CN"/>
              </w:rPr>
              <w:t>需采取的行动</w:t>
            </w:r>
          </w:p>
          <w:p w:rsidR="002F4614" w:rsidRPr="00023474" w:rsidRDefault="002F4614" w:rsidP="000C6857">
            <w:pPr>
              <w:pStyle w:val="BodyTextIndent3"/>
              <w:spacing w:before="120"/>
              <w:ind w:firstLineChars="200" w:firstLine="480"/>
              <w:textAlignment w:val="baseline"/>
              <w:rPr>
                <w:sz w:val="24"/>
                <w:szCs w:val="24"/>
                <w:lang w:val="en-US"/>
              </w:rPr>
            </w:pPr>
            <w:bookmarkStart w:id="3" w:name="lt_pId022"/>
            <w:r w:rsidRPr="00023474">
              <w:rPr>
                <w:rFonts w:hint="eastAsia"/>
                <w:sz w:val="24"/>
                <w:szCs w:val="24"/>
              </w:rPr>
              <w:t>请理事会</w:t>
            </w:r>
            <w:r w:rsidRPr="00023474">
              <w:rPr>
                <w:rFonts w:hint="eastAsia"/>
                <w:b/>
                <w:bCs/>
                <w:sz w:val="24"/>
                <w:szCs w:val="24"/>
              </w:rPr>
              <w:t>审议</w:t>
            </w:r>
            <w:r w:rsidR="000C6857">
              <w:rPr>
                <w:rFonts w:hint="eastAsia"/>
                <w:sz w:val="24"/>
                <w:szCs w:val="24"/>
              </w:rPr>
              <w:t>俄罗斯联邦在本文件中提出的意见</w:t>
            </w:r>
            <w:r w:rsidRPr="00023474">
              <w:rPr>
                <w:rFonts w:hint="eastAsia"/>
                <w:sz w:val="24"/>
                <w:szCs w:val="24"/>
              </w:rPr>
              <w:t>并</w:t>
            </w:r>
            <w:r w:rsidR="000C6857">
              <w:rPr>
                <w:rFonts w:hint="eastAsia"/>
                <w:sz w:val="24"/>
                <w:szCs w:val="24"/>
              </w:rPr>
              <w:t>通过一项修订</w:t>
            </w:r>
            <w:r w:rsidRPr="00023474">
              <w:rPr>
                <w:rFonts w:asciiTheme="minorHAnsi" w:hAnsiTheme="minorHAnsi" w:hint="eastAsia"/>
                <w:sz w:val="24"/>
                <w:szCs w:val="24"/>
              </w:rPr>
              <w:t>第</w:t>
            </w:r>
            <w:r w:rsidRPr="00023474">
              <w:rPr>
                <w:rFonts w:asciiTheme="minorHAnsi" w:hAnsiTheme="minorHAnsi" w:hint="eastAsia"/>
                <w:sz w:val="24"/>
                <w:szCs w:val="24"/>
              </w:rPr>
              <w:t>482</w:t>
            </w:r>
            <w:r w:rsidRPr="00023474">
              <w:rPr>
                <w:rFonts w:asciiTheme="minorHAnsi" w:hAnsiTheme="minorHAnsi" w:hint="eastAsia"/>
                <w:sz w:val="24"/>
                <w:szCs w:val="24"/>
              </w:rPr>
              <w:t>号决定（</w:t>
            </w:r>
            <w:r w:rsidRPr="00023474">
              <w:rPr>
                <w:rFonts w:asciiTheme="minorHAnsi" w:hAnsiTheme="minorHAnsi" w:hint="eastAsia"/>
                <w:sz w:val="24"/>
                <w:szCs w:val="24"/>
              </w:rPr>
              <w:t>2017</w:t>
            </w:r>
            <w:r w:rsidRPr="00023474">
              <w:rPr>
                <w:rFonts w:asciiTheme="minorHAnsi" w:hAnsiTheme="minorHAnsi" w:hint="eastAsia"/>
                <w:sz w:val="24"/>
                <w:szCs w:val="24"/>
              </w:rPr>
              <w:t>年修订）</w:t>
            </w:r>
            <w:r w:rsidR="000C6857">
              <w:rPr>
                <w:rFonts w:asciiTheme="minorHAnsi" w:hAnsiTheme="minorHAnsi" w:hint="eastAsia"/>
                <w:sz w:val="24"/>
                <w:szCs w:val="24"/>
              </w:rPr>
              <w:t>的决定</w:t>
            </w:r>
            <w:r w:rsidRPr="00023474">
              <w:rPr>
                <w:rFonts w:asciiTheme="minorHAnsi" w:hAnsiTheme="minorHAnsi" w:hint="eastAsia"/>
                <w:sz w:val="24"/>
                <w:szCs w:val="24"/>
              </w:rPr>
              <w:t>。</w:t>
            </w:r>
            <w:bookmarkEnd w:id="3"/>
          </w:p>
          <w:p w:rsidR="00256D7E" w:rsidRPr="00256D7E" w:rsidRDefault="00256D7E" w:rsidP="00256D7E">
            <w:pPr>
              <w:overflowPunct/>
              <w:autoSpaceDE/>
              <w:autoSpaceDN/>
              <w:adjustRightInd/>
              <w:spacing w:before="0"/>
              <w:jc w:val="center"/>
              <w:textAlignment w:val="auto"/>
              <w:rPr>
                <w:rFonts w:eastAsia="Times New Roman"/>
                <w:sz w:val="22"/>
                <w:lang w:val="en-US" w:eastAsia="zh-CN"/>
              </w:rPr>
            </w:pPr>
            <w:r w:rsidRPr="00256D7E">
              <w:rPr>
                <w:rFonts w:eastAsia="Times New Roman"/>
                <w:sz w:val="22"/>
                <w:lang w:val="en-US" w:eastAsia="zh-CN"/>
              </w:rPr>
              <w:t>____________</w:t>
            </w:r>
          </w:p>
          <w:p w:rsidR="002F4614" w:rsidRPr="00FC5386" w:rsidRDefault="002F4614" w:rsidP="002F4614">
            <w:pPr>
              <w:pStyle w:val="Headingb"/>
              <w:rPr>
                <w:lang w:val="fr-FR" w:eastAsia="zh-CN"/>
              </w:rPr>
            </w:pPr>
            <w:r w:rsidRPr="00FC5386">
              <w:rPr>
                <w:rFonts w:hint="eastAsia"/>
                <w:lang w:eastAsia="zh-CN"/>
              </w:rPr>
              <w:t>参考文件</w:t>
            </w:r>
          </w:p>
          <w:p w:rsidR="00256D7E" w:rsidRPr="00256D7E" w:rsidRDefault="00256D7E" w:rsidP="003F096F">
            <w:pPr>
              <w:tabs>
                <w:tab w:val="clear" w:pos="794"/>
                <w:tab w:val="clear" w:pos="1191"/>
                <w:tab w:val="clear" w:pos="1588"/>
                <w:tab w:val="clear" w:pos="1985"/>
                <w:tab w:val="left" w:pos="567"/>
                <w:tab w:val="left" w:pos="1134"/>
                <w:tab w:val="left" w:pos="1701"/>
                <w:tab w:val="left" w:pos="2268"/>
                <w:tab w:val="left" w:pos="2835"/>
              </w:tabs>
              <w:rPr>
                <w:rFonts w:eastAsia="Times New Roman"/>
                <w:i/>
                <w:iCs/>
                <w:lang w:val="en-US" w:eastAsia="zh-CN"/>
              </w:rPr>
            </w:pPr>
            <w:r w:rsidRPr="003F096F">
              <w:rPr>
                <w:rFonts w:asciiTheme="minorHAnsi" w:eastAsia="STKaiti" w:hAnsiTheme="minorHAnsi"/>
                <w:szCs w:val="24"/>
                <w:lang w:eastAsia="zh-CN"/>
              </w:rPr>
              <w:t>С18/36</w:t>
            </w:r>
            <w:r w:rsidR="000C6857" w:rsidRPr="003F096F">
              <w:rPr>
                <w:rFonts w:asciiTheme="minorHAnsi" w:eastAsia="STKaiti" w:hAnsiTheme="minorHAnsi"/>
                <w:szCs w:val="24"/>
                <w:lang w:eastAsia="zh-CN"/>
              </w:rPr>
              <w:t>号文件</w:t>
            </w:r>
            <w:r w:rsidR="000C6857">
              <w:rPr>
                <w:rFonts w:eastAsiaTheme="minorEastAsia" w:hint="eastAsia"/>
                <w:i/>
                <w:iCs/>
                <w:lang w:val="en-US" w:eastAsia="zh-CN"/>
              </w:rPr>
              <w:t>、</w:t>
            </w:r>
            <w:bookmarkStart w:id="4" w:name="lt_pId025"/>
            <w:r w:rsidR="002F4614" w:rsidRPr="008D3538">
              <w:rPr>
                <w:rFonts w:ascii="STKaiti" w:eastAsia="STKaiti" w:hAnsi="STKaiti" w:hint="eastAsia"/>
                <w:szCs w:val="24"/>
                <w:lang w:eastAsia="zh-CN"/>
              </w:rPr>
              <w:t>理事会</w:t>
            </w:r>
            <w:hyperlink r:id="rId9" w:history="1">
              <w:r w:rsidR="002F4614" w:rsidRPr="008D3538">
                <w:rPr>
                  <w:rStyle w:val="Hyperlink"/>
                  <w:rFonts w:ascii="STKaiti" w:eastAsia="STKaiti" w:hAnsi="STKaiti"/>
                  <w:szCs w:val="24"/>
                  <w:lang w:eastAsia="zh-CN"/>
                </w:rPr>
                <w:t>第482号决定（2017年，修订版）</w:t>
              </w:r>
            </w:hyperlink>
            <w:bookmarkEnd w:id="4"/>
          </w:p>
        </w:tc>
      </w:tr>
    </w:tbl>
    <w:p w:rsidR="00256D7E" w:rsidRPr="00256D7E" w:rsidRDefault="00256D7E" w:rsidP="00256D7E">
      <w:pPr>
        <w:tabs>
          <w:tab w:val="clear" w:pos="794"/>
          <w:tab w:val="clear" w:pos="1191"/>
          <w:tab w:val="clear" w:pos="1588"/>
          <w:tab w:val="clear" w:pos="1985"/>
          <w:tab w:val="left" w:pos="567"/>
          <w:tab w:val="left" w:pos="1134"/>
          <w:tab w:val="left" w:pos="1701"/>
          <w:tab w:val="left" w:pos="2268"/>
          <w:tab w:val="left" w:pos="2835"/>
        </w:tabs>
        <w:rPr>
          <w:rFonts w:eastAsia="Times New Roman"/>
          <w:lang w:val="en-US" w:eastAsia="zh-CN"/>
        </w:rPr>
      </w:pPr>
      <w:bookmarkStart w:id="5" w:name="dstart"/>
      <w:bookmarkStart w:id="6" w:name="dbreak"/>
      <w:bookmarkEnd w:id="5"/>
      <w:bookmarkEnd w:id="6"/>
    </w:p>
    <w:p w:rsidR="00256D7E" w:rsidRPr="00256D7E" w:rsidRDefault="000C6857" w:rsidP="003F096F">
      <w:pPr>
        <w:pStyle w:val="Headingb"/>
        <w:rPr>
          <w:rFonts w:eastAsia="Times New Roman"/>
          <w:lang w:val="en-US" w:eastAsia="zh-CN"/>
        </w:rPr>
      </w:pPr>
      <w:r>
        <w:rPr>
          <w:rFonts w:hint="eastAsia"/>
          <w:lang w:val="en-US" w:eastAsia="zh-CN"/>
        </w:rPr>
        <w:t>引言</w:t>
      </w:r>
    </w:p>
    <w:p w:rsidR="00256D7E" w:rsidRPr="00256D7E" w:rsidRDefault="000C6857" w:rsidP="000C6857">
      <w:pPr>
        <w:tabs>
          <w:tab w:val="clear" w:pos="794"/>
          <w:tab w:val="clear" w:pos="1191"/>
          <w:tab w:val="clear" w:pos="1588"/>
          <w:tab w:val="clear" w:pos="1985"/>
          <w:tab w:val="left" w:pos="567"/>
          <w:tab w:val="left" w:pos="1134"/>
          <w:tab w:val="left" w:pos="1701"/>
          <w:tab w:val="left" w:pos="2268"/>
          <w:tab w:val="left" w:pos="2835"/>
        </w:tabs>
        <w:ind w:firstLineChars="200" w:firstLine="480"/>
        <w:rPr>
          <w:rFonts w:eastAsia="Times New Roman"/>
          <w:lang w:val="en-US" w:eastAsia="zh-CN"/>
        </w:rPr>
      </w:pPr>
      <w:r>
        <w:rPr>
          <w:rFonts w:eastAsiaTheme="minorEastAsia" w:hint="eastAsia"/>
          <w:lang w:val="en-US" w:eastAsia="zh-CN"/>
        </w:rPr>
        <w:t>本文稿提出了俄罗斯联邦对</w:t>
      </w:r>
      <w:r>
        <w:rPr>
          <w:rFonts w:hint="eastAsia"/>
          <w:bCs/>
          <w:lang w:eastAsia="zh-CN"/>
        </w:rPr>
        <w:t>处理复杂非对地静止（</w:t>
      </w:r>
      <w:r w:rsidRPr="00434AC0">
        <w:rPr>
          <w:lang w:eastAsia="zh-CN"/>
        </w:rPr>
        <w:t>non-GSO</w:t>
      </w:r>
      <w:r>
        <w:rPr>
          <w:rFonts w:hint="eastAsia"/>
          <w:bCs/>
          <w:lang w:eastAsia="zh-CN"/>
        </w:rPr>
        <w:t>）卫星</w:t>
      </w:r>
      <w:r>
        <w:rPr>
          <w:rFonts w:hint="eastAsia"/>
          <w:bCs/>
          <w:lang w:val="en-US" w:eastAsia="zh-CN"/>
        </w:rPr>
        <w:t>系统</w:t>
      </w:r>
      <w:r>
        <w:rPr>
          <w:rFonts w:hint="eastAsia"/>
          <w:bCs/>
          <w:lang w:eastAsia="zh-CN"/>
        </w:rPr>
        <w:t>申报资料的成本回收问题的意见。</w:t>
      </w:r>
    </w:p>
    <w:p w:rsidR="00256D7E" w:rsidRPr="00256D7E" w:rsidRDefault="000C6857" w:rsidP="003F096F">
      <w:pPr>
        <w:pStyle w:val="Headingb"/>
        <w:rPr>
          <w:rFonts w:eastAsia="Times New Roman"/>
          <w:lang w:val="en-US"/>
        </w:rPr>
      </w:pPr>
      <w:bookmarkStart w:id="7" w:name="_GoBack"/>
      <w:bookmarkEnd w:id="7"/>
      <w:r>
        <w:rPr>
          <w:rFonts w:hint="eastAsia"/>
          <w:lang w:val="en-US" w:eastAsia="zh-CN"/>
        </w:rPr>
        <w:t>讨论</w:t>
      </w:r>
    </w:p>
    <w:p w:rsidR="00256D7E" w:rsidRPr="00256D7E" w:rsidRDefault="000C6857" w:rsidP="000C6857">
      <w:pPr>
        <w:tabs>
          <w:tab w:val="clear" w:pos="794"/>
          <w:tab w:val="clear" w:pos="1191"/>
          <w:tab w:val="clear" w:pos="1588"/>
          <w:tab w:val="clear" w:pos="1985"/>
          <w:tab w:val="left" w:pos="567"/>
          <w:tab w:val="left" w:pos="1134"/>
          <w:tab w:val="left" w:pos="1701"/>
          <w:tab w:val="left" w:pos="2268"/>
          <w:tab w:val="left" w:pos="2835"/>
        </w:tabs>
        <w:spacing w:after="120"/>
        <w:ind w:firstLineChars="200" w:firstLine="480"/>
        <w:jc w:val="both"/>
        <w:rPr>
          <w:lang w:eastAsia="zh-CN"/>
        </w:rPr>
      </w:pPr>
      <w:r>
        <w:rPr>
          <w:rFonts w:eastAsiaTheme="minorEastAsia" w:hint="eastAsia"/>
          <w:lang w:val="en-US" w:eastAsia="zh-CN"/>
        </w:rPr>
        <w:t>根据理事会</w:t>
      </w:r>
      <w:r>
        <w:rPr>
          <w:rFonts w:eastAsiaTheme="minorEastAsia" w:hint="eastAsia"/>
          <w:lang w:val="en-US" w:eastAsia="zh-CN"/>
        </w:rPr>
        <w:t>2017</w:t>
      </w:r>
      <w:r>
        <w:rPr>
          <w:rFonts w:eastAsiaTheme="minorEastAsia" w:hint="eastAsia"/>
          <w:lang w:val="en-US" w:eastAsia="zh-CN"/>
        </w:rPr>
        <w:t>年会议作出的指示，</w:t>
      </w:r>
      <w:r w:rsidR="002F4614" w:rsidRPr="002F4614">
        <w:rPr>
          <w:rFonts w:cs="Microsoft YaHei" w:hint="eastAsia"/>
          <w:lang w:val="en-US" w:eastAsia="zh-CN"/>
        </w:rPr>
        <w:t>无线电通信局</w:t>
      </w:r>
      <w:r>
        <w:rPr>
          <w:rFonts w:cs="Microsoft YaHei" w:hint="eastAsia"/>
          <w:lang w:val="en-US" w:eastAsia="zh-CN"/>
        </w:rPr>
        <w:t>开展了一项有关</w:t>
      </w:r>
      <w:r w:rsidR="002F4614" w:rsidRPr="002F4614">
        <w:rPr>
          <w:rFonts w:cs="Microsoft YaHei" w:hint="eastAsia"/>
          <w:lang w:val="en-US" w:eastAsia="zh-CN"/>
        </w:rPr>
        <w:t>处理复杂的非对地静止卫星（</w:t>
      </w:r>
      <w:r w:rsidR="002F4614" w:rsidRPr="002F4614">
        <w:rPr>
          <w:rFonts w:hint="eastAsia"/>
          <w:lang w:val="en-US" w:eastAsia="zh-CN"/>
        </w:rPr>
        <w:t>non-GSO</w:t>
      </w:r>
      <w:r w:rsidR="002F4614" w:rsidRPr="002F4614">
        <w:rPr>
          <w:rFonts w:cs="Microsoft YaHei" w:hint="eastAsia"/>
          <w:lang w:val="en-US" w:eastAsia="zh-CN"/>
        </w:rPr>
        <w:t>）系统</w:t>
      </w:r>
      <w:r>
        <w:rPr>
          <w:rFonts w:cs="Microsoft YaHei" w:hint="eastAsia"/>
          <w:lang w:val="en-US" w:eastAsia="zh-CN"/>
        </w:rPr>
        <w:t>所</w:t>
      </w:r>
      <w:r w:rsidR="002F4614" w:rsidRPr="002F4614">
        <w:rPr>
          <w:rFonts w:cs="Microsoft YaHei" w:hint="eastAsia"/>
          <w:lang w:val="en-US" w:eastAsia="zh-CN"/>
        </w:rPr>
        <w:t>引发技术问题</w:t>
      </w:r>
      <w:r>
        <w:rPr>
          <w:rFonts w:cs="Microsoft YaHei" w:hint="eastAsia"/>
          <w:lang w:val="en-US" w:eastAsia="zh-CN"/>
        </w:rPr>
        <w:t>的</w:t>
      </w:r>
      <w:r w:rsidR="002F4614" w:rsidRPr="002F4614">
        <w:rPr>
          <w:rFonts w:cs="Microsoft YaHei" w:hint="eastAsia"/>
          <w:lang w:val="en-US" w:eastAsia="zh-CN"/>
        </w:rPr>
        <w:t>研究；</w:t>
      </w:r>
      <w:r>
        <w:rPr>
          <w:rFonts w:cs="Microsoft YaHei" w:hint="eastAsia"/>
          <w:lang w:val="en-US" w:eastAsia="zh-CN"/>
        </w:rPr>
        <w:t>并就</w:t>
      </w:r>
      <w:r w:rsidR="002F4614" w:rsidRPr="002F4614">
        <w:rPr>
          <w:rFonts w:cs="Microsoft YaHei" w:hint="eastAsia"/>
          <w:lang w:val="en-US" w:eastAsia="zh-CN"/>
        </w:rPr>
        <w:t>有关分割包含非同质卫星轨道的</w:t>
      </w:r>
      <w:r w:rsidR="002F4614" w:rsidRPr="002F4614">
        <w:rPr>
          <w:rFonts w:hint="eastAsia"/>
          <w:lang w:val="en-US" w:eastAsia="zh-CN"/>
        </w:rPr>
        <w:t>non-GSO</w:t>
      </w:r>
      <w:r w:rsidR="002F4614" w:rsidRPr="002F4614">
        <w:rPr>
          <w:rFonts w:cs="Microsoft YaHei" w:hint="eastAsia"/>
          <w:lang w:val="en-US" w:eastAsia="zh-CN"/>
        </w:rPr>
        <w:t>申报资料这一建议的主要技术和规则问题</w:t>
      </w:r>
      <w:r>
        <w:rPr>
          <w:rFonts w:cs="Microsoft YaHei" w:hint="eastAsia"/>
          <w:lang w:val="en-US" w:eastAsia="zh-CN"/>
        </w:rPr>
        <w:t>进行了</w:t>
      </w:r>
      <w:r w:rsidR="002F4614" w:rsidRPr="002F4614">
        <w:rPr>
          <w:rFonts w:cs="Microsoft YaHei" w:hint="eastAsia"/>
          <w:lang w:val="en-US" w:eastAsia="zh-CN"/>
        </w:rPr>
        <w:t>分析</w:t>
      </w:r>
      <w:r>
        <w:rPr>
          <w:rFonts w:cs="Microsoft YaHei" w:hint="eastAsia"/>
          <w:lang w:val="en-US" w:eastAsia="zh-CN"/>
        </w:rPr>
        <w:t>。根据研究的结果，无线电通信局建议根据</w:t>
      </w:r>
      <w:r w:rsidR="002F4614" w:rsidRPr="002F4614">
        <w:rPr>
          <w:rFonts w:cs="Microsoft YaHei" w:hint="eastAsia"/>
          <w:lang w:val="en-US" w:eastAsia="zh-CN"/>
        </w:rPr>
        <w:t>三种可行但并不相互排斥的、改进非静止卫星系统成本回收方案的程序，对第</w:t>
      </w:r>
      <w:r w:rsidR="002F4614" w:rsidRPr="002F4614">
        <w:rPr>
          <w:rFonts w:hint="eastAsia"/>
          <w:lang w:val="en-US" w:eastAsia="zh-CN"/>
        </w:rPr>
        <w:t>482</w:t>
      </w:r>
      <w:r w:rsidR="002F4614" w:rsidRPr="002F4614">
        <w:rPr>
          <w:rFonts w:cs="Microsoft YaHei" w:hint="eastAsia"/>
          <w:lang w:val="en-US" w:eastAsia="zh-CN"/>
        </w:rPr>
        <w:t>号决定（</w:t>
      </w:r>
      <w:r w:rsidR="002F4614" w:rsidRPr="002F4614">
        <w:rPr>
          <w:rFonts w:hint="eastAsia"/>
          <w:lang w:val="en-US" w:eastAsia="zh-CN"/>
        </w:rPr>
        <w:t>2017</w:t>
      </w:r>
      <w:r w:rsidR="002F4614" w:rsidRPr="002F4614">
        <w:rPr>
          <w:rFonts w:cs="Microsoft YaHei" w:hint="eastAsia"/>
          <w:lang w:val="en-US" w:eastAsia="zh-CN"/>
        </w:rPr>
        <w:t>年，修订版）进行修订</w:t>
      </w:r>
      <w:r w:rsidR="002F4614">
        <w:rPr>
          <w:rFonts w:cs="Microsoft YaHei" w:hint="eastAsia"/>
          <w:lang w:val="en-US" w:eastAsia="zh-CN"/>
        </w:rPr>
        <w:t>：</w:t>
      </w:r>
    </w:p>
    <w:p w:rsidR="00256D7E" w:rsidRPr="00256D7E" w:rsidRDefault="002F4614" w:rsidP="00A52DB1">
      <w:pPr>
        <w:pStyle w:val="enumlev1"/>
        <w:rPr>
          <w:lang w:eastAsia="zh-CN"/>
        </w:rPr>
      </w:pPr>
      <w:r>
        <w:rPr>
          <w:lang w:eastAsia="zh-CN"/>
        </w:rPr>
        <w:t>•</w:t>
      </w:r>
      <w:r>
        <w:rPr>
          <w:lang w:eastAsia="zh-CN"/>
        </w:rPr>
        <w:tab/>
      </w:r>
      <w:r w:rsidRPr="002F4614">
        <w:rPr>
          <w:rFonts w:hint="eastAsia"/>
          <w:lang w:eastAsia="zh-CN"/>
        </w:rPr>
        <w:t>程序</w:t>
      </w:r>
      <w:r w:rsidRPr="002F4614">
        <w:rPr>
          <w:rFonts w:hint="eastAsia"/>
          <w:lang w:eastAsia="zh-CN"/>
        </w:rPr>
        <w:t>A</w:t>
      </w:r>
      <w:r>
        <w:rPr>
          <w:rFonts w:hint="eastAsia"/>
          <w:lang w:eastAsia="zh-CN"/>
        </w:rPr>
        <w:t>：为相互排斥的配置分别</w:t>
      </w:r>
      <w:r w:rsidR="00A52DB1">
        <w:rPr>
          <w:rFonts w:hint="eastAsia"/>
          <w:lang w:eastAsia="zh-CN"/>
        </w:rPr>
        <w:t>计费</w:t>
      </w:r>
      <w:r>
        <w:rPr>
          <w:rFonts w:hint="eastAsia"/>
          <w:lang w:eastAsia="zh-CN"/>
        </w:rPr>
        <w:t>和收费。</w:t>
      </w:r>
    </w:p>
    <w:p w:rsidR="00256D7E" w:rsidRPr="00256D7E" w:rsidRDefault="002F4614" w:rsidP="00A52DB1">
      <w:pPr>
        <w:pStyle w:val="enumlev1"/>
        <w:rPr>
          <w:lang w:eastAsia="zh-CN"/>
        </w:rPr>
      </w:pPr>
      <w:r>
        <w:rPr>
          <w:lang w:eastAsia="zh-CN"/>
        </w:rPr>
        <w:t>•</w:t>
      </w:r>
      <w:r>
        <w:rPr>
          <w:lang w:eastAsia="zh-CN"/>
        </w:rPr>
        <w:tab/>
      </w:r>
      <w:r w:rsidRPr="002F4614">
        <w:rPr>
          <w:rFonts w:hint="eastAsia"/>
          <w:lang w:eastAsia="zh-CN"/>
        </w:rPr>
        <w:t>程序</w:t>
      </w:r>
      <w:r w:rsidRPr="002F4614">
        <w:rPr>
          <w:rFonts w:hint="eastAsia"/>
          <w:lang w:eastAsia="zh-CN"/>
        </w:rPr>
        <w:t>B</w:t>
      </w:r>
      <w:r>
        <w:rPr>
          <w:rFonts w:hint="eastAsia"/>
          <w:lang w:eastAsia="zh-CN"/>
        </w:rPr>
        <w:t>：</w:t>
      </w:r>
      <w:r w:rsidRPr="002F4614">
        <w:rPr>
          <w:rFonts w:hint="eastAsia"/>
          <w:lang w:eastAsia="zh-CN"/>
        </w:rPr>
        <w:t>限定统一包干费用</w:t>
      </w:r>
      <w:r w:rsidR="00A52DB1">
        <w:rPr>
          <w:rFonts w:hint="eastAsia"/>
          <w:lang w:eastAsia="zh-CN"/>
        </w:rPr>
        <w:t>为</w:t>
      </w:r>
      <w:r w:rsidRPr="002F4614">
        <w:rPr>
          <w:rFonts w:hint="eastAsia"/>
          <w:lang w:eastAsia="zh-CN"/>
        </w:rPr>
        <w:t>最大单位数目</w:t>
      </w:r>
      <w:r>
        <w:rPr>
          <w:rFonts w:hint="eastAsia"/>
          <w:lang w:eastAsia="zh-CN"/>
        </w:rPr>
        <w:t>。</w:t>
      </w:r>
    </w:p>
    <w:p w:rsidR="00256D7E" w:rsidRPr="003F096F" w:rsidRDefault="002F4614" w:rsidP="003F096F">
      <w:pPr>
        <w:pStyle w:val="enumlev1"/>
        <w:rPr>
          <w:lang w:eastAsia="zh-CN"/>
        </w:rPr>
      </w:pPr>
      <w:r>
        <w:rPr>
          <w:lang w:eastAsia="zh-CN"/>
        </w:rPr>
        <w:t>•</w:t>
      </w:r>
      <w:r>
        <w:rPr>
          <w:lang w:eastAsia="zh-CN"/>
        </w:rPr>
        <w:tab/>
      </w:r>
      <w:r w:rsidRPr="002F4614">
        <w:rPr>
          <w:rFonts w:hint="eastAsia"/>
          <w:lang w:eastAsia="zh-CN"/>
        </w:rPr>
        <w:t>程序</w:t>
      </w:r>
      <w:r w:rsidRPr="002F4614">
        <w:rPr>
          <w:rFonts w:hint="eastAsia"/>
          <w:lang w:eastAsia="zh-CN"/>
        </w:rPr>
        <w:t>C</w:t>
      </w:r>
      <w:r>
        <w:rPr>
          <w:rFonts w:hint="eastAsia"/>
          <w:lang w:eastAsia="zh-CN"/>
        </w:rPr>
        <w:t>：</w:t>
      </w:r>
      <w:r w:rsidRPr="002F4614">
        <w:rPr>
          <w:rFonts w:hint="eastAsia"/>
          <w:lang w:eastAsia="zh-CN"/>
        </w:rPr>
        <w:t>对须适用第</w:t>
      </w:r>
      <w:r w:rsidRPr="002F4614">
        <w:rPr>
          <w:rFonts w:hint="eastAsia"/>
          <w:lang w:eastAsia="zh-CN"/>
        </w:rPr>
        <w:t>22</w:t>
      </w:r>
      <w:r w:rsidRPr="002F4614">
        <w:rPr>
          <w:rFonts w:hint="eastAsia"/>
          <w:lang w:eastAsia="zh-CN"/>
        </w:rPr>
        <w:t>条</w:t>
      </w:r>
      <w:proofErr w:type="spellStart"/>
      <w:r w:rsidRPr="002F4614">
        <w:rPr>
          <w:rFonts w:hint="eastAsia"/>
          <w:lang w:eastAsia="zh-CN"/>
        </w:rPr>
        <w:t>epfd</w:t>
      </w:r>
      <w:proofErr w:type="spellEnd"/>
      <w:r w:rsidRPr="002F4614">
        <w:rPr>
          <w:rFonts w:hint="eastAsia"/>
          <w:lang w:eastAsia="zh-CN"/>
        </w:rPr>
        <w:t>限值的情况增加收费</w:t>
      </w:r>
      <w:r>
        <w:rPr>
          <w:rFonts w:hint="eastAsia"/>
          <w:lang w:eastAsia="zh-CN"/>
        </w:rPr>
        <w:t>。</w:t>
      </w:r>
    </w:p>
    <w:p w:rsidR="00256D7E" w:rsidRPr="00256D7E" w:rsidRDefault="00A52DB1" w:rsidP="00A52DB1">
      <w:pPr>
        <w:tabs>
          <w:tab w:val="clear" w:pos="794"/>
          <w:tab w:val="clear" w:pos="1191"/>
          <w:tab w:val="clear" w:pos="1588"/>
          <w:tab w:val="clear" w:pos="1985"/>
        </w:tabs>
        <w:snapToGrid w:val="0"/>
        <w:spacing w:after="120"/>
        <w:ind w:firstLineChars="200" w:firstLine="480"/>
        <w:jc w:val="both"/>
        <w:rPr>
          <w:rFonts w:asciiTheme="minorHAnsi" w:eastAsia="Times New Roman" w:hAnsiTheme="minorHAnsi" w:cstheme="majorBidi"/>
          <w:lang w:eastAsia="zh-CN"/>
        </w:rPr>
      </w:pPr>
      <w:r>
        <w:rPr>
          <w:rFonts w:asciiTheme="minorHAnsi" w:eastAsiaTheme="minorEastAsia" w:hAnsiTheme="minorHAnsi" w:cstheme="majorBidi" w:hint="eastAsia"/>
          <w:lang w:eastAsia="zh-CN"/>
        </w:rPr>
        <w:t>研究结果提交了无线电规则委员会及</w:t>
      </w:r>
      <w:r w:rsidRPr="00256D7E">
        <w:rPr>
          <w:rFonts w:asciiTheme="minorHAnsi" w:eastAsia="Times New Roman" w:hAnsiTheme="minorHAnsi" w:cstheme="majorBidi"/>
          <w:lang w:eastAsia="zh-CN"/>
        </w:rPr>
        <w:t>4A</w:t>
      </w:r>
      <w:r>
        <w:rPr>
          <w:rFonts w:asciiTheme="minorHAnsi" w:eastAsiaTheme="minorEastAsia" w:hAnsiTheme="minorHAnsi" w:cstheme="majorBidi" w:hint="eastAsia"/>
          <w:lang w:eastAsia="zh-CN"/>
        </w:rPr>
        <w:t>、</w:t>
      </w:r>
      <w:r w:rsidRPr="00256D7E">
        <w:rPr>
          <w:rFonts w:asciiTheme="minorHAnsi" w:eastAsia="Times New Roman" w:hAnsiTheme="minorHAnsi" w:cstheme="majorBidi"/>
          <w:lang w:eastAsia="zh-CN"/>
        </w:rPr>
        <w:t>4B</w:t>
      </w:r>
      <w:r>
        <w:rPr>
          <w:rFonts w:asciiTheme="minorHAnsi" w:eastAsiaTheme="minorEastAsia" w:hAnsiTheme="minorHAnsi" w:cstheme="majorBidi" w:hint="eastAsia"/>
          <w:lang w:eastAsia="zh-CN"/>
        </w:rPr>
        <w:t>、</w:t>
      </w:r>
      <w:r w:rsidRPr="00256D7E">
        <w:rPr>
          <w:rFonts w:asciiTheme="minorHAnsi" w:eastAsia="Times New Roman" w:hAnsiTheme="minorHAnsi" w:cstheme="majorBidi"/>
          <w:lang w:eastAsia="zh-CN"/>
        </w:rPr>
        <w:t>4C</w:t>
      </w:r>
      <w:r>
        <w:rPr>
          <w:rFonts w:asciiTheme="minorHAnsi" w:eastAsiaTheme="minorEastAsia" w:hAnsiTheme="minorHAnsi" w:cstheme="majorBidi" w:hint="eastAsia"/>
          <w:lang w:eastAsia="zh-CN"/>
        </w:rPr>
        <w:t>、</w:t>
      </w:r>
      <w:r w:rsidRPr="00256D7E">
        <w:rPr>
          <w:rFonts w:asciiTheme="minorHAnsi" w:eastAsia="Times New Roman" w:hAnsiTheme="minorHAnsi" w:cstheme="majorBidi"/>
          <w:lang w:eastAsia="zh-CN"/>
        </w:rPr>
        <w:t>7B</w:t>
      </w:r>
      <w:r>
        <w:rPr>
          <w:rFonts w:asciiTheme="minorHAnsi" w:eastAsiaTheme="minorEastAsia" w:hAnsiTheme="minorHAnsi" w:cstheme="majorBidi" w:hint="eastAsia"/>
          <w:lang w:eastAsia="zh-CN"/>
        </w:rPr>
        <w:t>和</w:t>
      </w:r>
      <w:r w:rsidRPr="00256D7E">
        <w:rPr>
          <w:rFonts w:asciiTheme="minorHAnsi" w:eastAsia="Times New Roman" w:hAnsiTheme="minorHAnsi" w:cstheme="majorBidi"/>
          <w:lang w:eastAsia="zh-CN"/>
        </w:rPr>
        <w:t>7C</w:t>
      </w:r>
      <w:r>
        <w:rPr>
          <w:rFonts w:asciiTheme="minorHAnsi" w:eastAsiaTheme="minorEastAsia" w:hAnsiTheme="minorHAnsi" w:cstheme="majorBidi" w:hint="eastAsia"/>
          <w:lang w:eastAsia="zh-CN"/>
        </w:rPr>
        <w:t>工作组审议研究，并作为</w:t>
      </w:r>
      <w:r w:rsidR="00256D7E" w:rsidRPr="00256D7E">
        <w:rPr>
          <w:rFonts w:asciiTheme="minorHAnsi" w:eastAsia="Times New Roman" w:hAnsiTheme="minorHAnsi" w:cstheme="majorBidi"/>
          <w:lang w:eastAsia="zh-CN"/>
        </w:rPr>
        <w:t>C18/36</w:t>
      </w:r>
      <w:r>
        <w:rPr>
          <w:rFonts w:asciiTheme="minorHAnsi" w:eastAsiaTheme="minorEastAsia" w:hAnsiTheme="minorHAnsi" w:cstheme="majorBidi" w:hint="eastAsia"/>
          <w:lang w:eastAsia="zh-CN"/>
        </w:rPr>
        <w:t>号文件提交理事会审议。</w:t>
      </w:r>
    </w:p>
    <w:p w:rsidR="00256D7E" w:rsidRPr="00256D7E" w:rsidRDefault="00A52DB1" w:rsidP="00A52DB1">
      <w:pPr>
        <w:tabs>
          <w:tab w:val="clear" w:pos="794"/>
          <w:tab w:val="clear" w:pos="1191"/>
          <w:tab w:val="clear" w:pos="1588"/>
          <w:tab w:val="clear" w:pos="1985"/>
        </w:tabs>
        <w:snapToGrid w:val="0"/>
        <w:spacing w:after="120"/>
        <w:ind w:firstLineChars="200" w:firstLine="480"/>
        <w:jc w:val="both"/>
        <w:rPr>
          <w:rFonts w:asciiTheme="minorHAnsi" w:eastAsia="Times New Roman" w:hAnsiTheme="minorHAnsi" w:cstheme="majorBidi"/>
          <w:lang w:eastAsia="zh-CN"/>
        </w:rPr>
      </w:pPr>
      <w:r>
        <w:rPr>
          <w:rFonts w:asciiTheme="minorHAnsi" w:eastAsiaTheme="minorEastAsia" w:hAnsiTheme="minorHAnsi" w:cstheme="majorBidi" w:hint="eastAsia"/>
          <w:lang w:eastAsia="zh-CN"/>
        </w:rPr>
        <w:t>国际电联工作机构对这些程序的分析表明，理事会可能会在</w:t>
      </w:r>
      <w:r>
        <w:rPr>
          <w:rFonts w:asciiTheme="minorHAnsi" w:eastAsiaTheme="minorEastAsia" w:hAnsiTheme="minorHAnsi" w:cstheme="majorBidi" w:hint="eastAsia"/>
          <w:lang w:eastAsia="zh-CN"/>
        </w:rPr>
        <w:t>2018</w:t>
      </w:r>
      <w:r>
        <w:rPr>
          <w:rFonts w:asciiTheme="minorHAnsi" w:eastAsiaTheme="minorEastAsia" w:hAnsiTheme="minorHAnsi" w:cstheme="majorBidi" w:hint="eastAsia"/>
          <w:lang w:eastAsia="zh-CN"/>
        </w:rPr>
        <w:t>年会议中做出决定，采用程序</w:t>
      </w:r>
      <w:r>
        <w:rPr>
          <w:rFonts w:asciiTheme="minorHAnsi" w:eastAsiaTheme="minorEastAsia" w:hAnsiTheme="minorHAnsi" w:cstheme="majorBidi" w:hint="eastAsia"/>
          <w:lang w:eastAsia="zh-CN"/>
        </w:rPr>
        <w:t>A</w:t>
      </w:r>
      <w:r>
        <w:rPr>
          <w:rFonts w:asciiTheme="minorHAnsi" w:eastAsiaTheme="minorEastAsia" w:hAnsiTheme="minorHAnsi" w:cstheme="majorBidi" w:hint="eastAsia"/>
          <w:lang w:eastAsia="zh-CN"/>
        </w:rPr>
        <w:t>。</w:t>
      </w:r>
    </w:p>
    <w:p w:rsidR="003F096F" w:rsidRDefault="003F096F" w:rsidP="003F096F">
      <w:pPr>
        <w:tabs>
          <w:tab w:val="clear" w:pos="794"/>
          <w:tab w:val="clear" w:pos="1191"/>
          <w:tab w:val="clear" w:pos="1588"/>
          <w:tab w:val="clear" w:pos="1985"/>
        </w:tabs>
        <w:snapToGrid w:val="0"/>
        <w:spacing w:after="120"/>
        <w:ind w:firstLineChars="200" w:firstLine="480"/>
        <w:jc w:val="both"/>
        <w:rPr>
          <w:rFonts w:asciiTheme="minorHAnsi" w:eastAsiaTheme="minorEastAsia" w:hAnsiTheme="minorHAnsi" w:cstheme="majorBidi"/>
          <w:lang w:eastAsia="zh-CN"/>
        </w:rPr>
      </w:pPr>
      <w:r>
        <w:rPr>
          <w:rFonts w:asciiTheme="minorHAnsi" w:eastAsiaTheme="minorEastAsia" w:hAnsiTheme="minorHAnsi" w:cstheme="majorBidi"/>
          <w:lang w:eastAsia="zh-CN"/>
        </w:rPr>
        <w:br w:type="page"/>
      </w:r>
    </w:p>
    <w:p w:rsidR="00256D7E" w:rsidRPr="00256D7E" w:rsidRDefault="00A52DB1" w:rsidP="003F096F">
      <w:pPr>
        <w:tabs>
          <w:tab w:val="clear" w:pos="794"/>
          <w:tab w:val="clear" w:pos="1191"/>
          <w:tab w:val="clear" w:pos="1588"/>
          <w:tab w:val="clear" w:pos="1985"/>
        </w:tabs>
        <w:snapToGrid w:val="0"/>
        <w:spacing w:after="120"/>
        <w:ind w:firstLineChars="200" w:firstLine="480"/>
        <w:jc w:val="both"/>
        <w:rPr>
          <w:rFonts w:asciiTheme="minorHAnsi" w:eastAsia="Times New Roman" w:hAnsiTheme="minorHAnsi"/>
          <w:lang w:eastAsia="zh-CN"/>
        </w:rPr>
      </w:pPr>
      <w:r>
        <w:rPr>
          <w:rFonts w:asciiTheme="minorHAnsi" w:eastAsiaTheme="minorEastAsia" w:hAnsiTheme="minorHAnsi" w:cstheme="majorBidi" w:hint="eastAsia"/>
          <w:lang w:eastAsia="zh-CN"/>
        </w:rPr>
        <w:lastRenderedPageBreak/>
        <w:t>但是，处于以下原因，俄罗斯联邦认为采用程序</w:t>
      </w:r>
      <w:r>
        <w:rPr>
          <w:rFonts w:asciiTheme="minorHAnsi" w:eastAsiaTheme="minorEastAsia" w:hAnsiTheme="minorHAnsi" w:cstheme="majorBidi" w:hint="eastAsia"/>
          <w:lang w:eastAsia="zh-CN"/>
        </w:rPr>
        <w:t>A</w:t>
      </w:r>
      <w:r>
        <w:rPr>
          <w:rFonts w:asciiTheme="minorHAnsi" w:eastAsiaTheme="minorEastAsia" w:hAnsiTheme="minorHAnsi" w:cstheme="majorBidi" w:hint="eastAsia"/>
          <w:lang w:eastAsia="zh-CN"/>
        </w:rPr>
        <w:t>并不足以解决</w:t>
      </w:r>
      <w:r>
        <w:rPr>
          <w:rFonts w:hint="eastAsia"/>
          <w:bCs/>
          <w:lang w:eastAsia="zh-CN"/>
        </w:rPr>
        <w:t>处理复杂非对地静止（</w:t>
      </w:r>
      <w:r w:rsidRPr="00434AC0">
        <w:rPr>
          <w:lang w:eastAsia="zh-CN"/>
        </w:rPr>
        <w:t>non-GSO</w:t>
      </w:r>
      <w:r>
        <w:rPr>
          <w:rFonts w:hint="eastAsia"/>
          <w:bCs/>
          <w:lang w:eastAsia="zh-CN"/>
        </w:rPr>
        <w:t>）卫星</w:t>
      </w:r>
      <w:r>
        <w:rPr>
          <w:rFonts w:hint="eastAsia"/>
          <w:bCs/>
          <w:lang w:val="en-US" w:eastAsia="zh-CN"/>
        </w:rPr>
        <w:t>系统</w:t>
      </w:r>
      <w:r>
        <w:rPr>
          <w:rFonts w:hint="eastAsia"/>
          <w:bCs/>
          <w:lang w:eastAsia="zh-CN"/>
        </w:rPr>
        <w:t>申报资料所引发的问题：</w:t>
      </w:r>
    </w:p>
    <w:p w:rsidR="00256D7E" w:rsidRPr="00256D7E" w:rsidRDefault="002F4614" w:rsidP="00A52DB1">
      <w:pPr>
        <w:pStyle w:val="enumlev1"/>
        <w:rPr>
          <w:lang w:eastAsia="zh-CN"/>
        </w:rPr>
      </w:pPr>
      <w:r>
        <w:rPr>
          <w:lang w:eastAsia="zh-CN"/>
        </w:rPr>
        <w:t>•</w:t>
      </w:r>
      <w:r>
        <w:rPr>
          <w:lang w:eastAsia="zh-CN"/>
        </w:rPr>
        <w:tab/>
      </w:r>
      <w:r w:rsidR="00A52DB1">
        <w:rPr>
          <w:rFonts w:hint="eastAsia"/>
          <w:lang w:eastAsia="zh-CN"/>
        </w:rPr>
        <w:t>近期，复杂</w:t>
      </w:r>
      <w:r w:rsidR="00256D7E" w:rsidRPr="00256D7E">
        <w:rPr>
          <w:lang w:eastAsia="zh-CN"/>
        </w:rPr>
        <w:t>non-GSO</w:t>
      </w:r>
      <w:r w:rsidR="00A52DB1">
        <w:rPr>
          <w:rFonts w:hint="eastAsia"/>
          <w:lang w:eastAsia="zh-CN"/>
        </w:rPr>
        <w:t>系统申报资料的数量在减少。</w:t>
      </w:r>
    </w:p>
    <w:p w:rsidR="00256D7E" w:rsidRPr="00256D7E" w:rsidRDefault="002F4614" w:rsidP="00C42516">
      <w:pPr>
        <w:pStyle w:val="enumlev1"/>
        <w:rPr>
          <w:lang w:eastAsia="zh-CN"/>
        </w:rPr>
      </w:pPr>
      <w:r>
        <w:rPr>
          <w:lang w:eastAsia="zh-CN"/>
        </w:rPr>
        <w:t>•</w:t>
      </w:r>
      <w:r>
        <w:rPr>
          <w:lang w:eastAsia="zh-CN"/>
        </w:rPr>
        <w:tab/>
      </w:r>
      <w:r w:rsidR="00A52DB1">
        <w:rPr>
          <w:rFonts w:hint="eastAsia"/>
          <w:lang w:eastAsia="zh-CN"/>
        </w:rPr>
        <w:t>即使一种配置的申报资料也可能包括传统</w:t>
      </w:r>
      <w:r w:rsidR="00A52DB1" w:rsidRPr="00256D7E">
        <w:rPr>
          <w:lang w:eastAsia="zh-CN"/>
        </w:rPr>
        <w:t>non-GSO</w:t>
      </w:r>
      <w:r w:rsidR="00A52DB1">
        <w:rPr>
          <w:rFonts w:hint="eastAsia"/>
          <w:lang w:eastAsia="zh-CN"/>
        </w:rPr>
        <w:t>系统鲜见的</w:t>
      </w:r>
      <w:r w:rsidR="00C42516">
        <w:rPr>
          <w:rFonts w:hint="eastAsia"/>
          <w:lang w:eastAsia="zh-CN"/>
        </w:rPr>
        <w:t>组合操作模式。这些组合可包含分割轨道面，与不同波束一起操作。</w:t>
      </w:r>
    </w:p>
    <w:p w:rsidR="00256D7E" w:rsidRPr="00256D7E" w:rsidRDefault="002F4614" w:rsidP="0060555C">
      <w:pPr>
        <w:pStyle w:val="enumlev1"/>
        <w:rPr>
          <w:lang w:eastAsia="zh-CN"/>
        </w:rPr>
      </w:pPr>
      <w:r>
        <w:rPr>
          <w:lang w:eastAsia="zh-CN"/>
        </w:rPr>
        <w:t>•</w:t>
      </w:r>
      <w:r>
        <w:rPr>
          <w:lang w:eastAsia="zh-CN"/>
        </w:rPr>
        <w:tab/>
      </w:r>
      <w:r w:rsidR="0060555C">
        <w:rPr>
          <w:rFonts w:hint="eastAsia"/>
          <w:lang w:eastAsia="zh-CN"/>
        </w:rPr>
        <w:t>处理</w:t>
      </w:r>
      <w:r w:rsidR="0060555C" w:rsidRPr="00256D7E">
        <w:rPr>
          <w:lang w:eastAsia="zh-CN"/>
        </w:rPr>
        <w:t>non-GSO</w:t>
      </w:r>
      <w:r w:rsidR="0060555C">
        <w:rPr>
          <w:rFonts w:hint="eastAsia"/>
          <w:lang w:eastAsia="zh-CN"/>
        </w:rPr>
        <w:t>系统申报资料所需的时间并未减少，显然是因为处理大型网络存在的复杂性。因此，需要针对通知包含大量频率指配组合的“不现实”网络这种做法另行出台一种劝阻性措施。</w:t>
      </w:r>
    </w:p>
    <w:p w:rsidR="00256D7E" w:rsidRPr="00256D7E" w:rsidRDefault="0060555C" w:rsidP="00894AD4">
      <w:pPr>
        <w:tabs>
          <w:tab w:val="clear" w:pos="794"/>
          <w:tab w:val="clear" w:pos="1191"/>
          <w:tab w:val="clear" w:pos="1588"/>
          <w:tab w:val="clear" w:pos="1985"/>
        </w:tabs>
        <w:snapToGrid w:val="0"/>
        <w:spacing w:after="120"/>
        <w:ind w:firstLineChars="200" w:firstLine="480"/>
        <w:jc w:val="both"/>
        <w:rPr>
          <w:rFonts w:asciiTheme="minorHAnsi" w:eastAsia="Times New Roman" w:hAnsiTheme="minorHAnsi" w:cstheme="majorBidi"/>
          <w:lang w:eastAsia="zh-CN"/>
        </w:rPr>
      </w:pPr>
      <w:r>
        <w:rPr>
          <w:rFonts w:asciiTheme="minorHAnsi" w:eastAsiaTheme="minorEastAsia" w:hAnsiTheme="minorHAnsi" w:cstheme="majorBidi" w:hint="eastAsia"/>
          <w:lang w:eastAsia="zh-CN"/>
        </w:rPr>
        <w:t>因此，俄罗斯联邦建议考虑</w:t>
      </w:r>
      <w:r w:rsidR="00894AD4">
        <w:rPr>
          <w:rFonts w:asciiTheme="minorHAnsi" w:eastAsiaTheme="minorEastAsia" w:hAnsiTheme="minorHAnsi" w:cstheme="majorBidi" w:hint="eastAsia"/>
          <w:lang w:eastAsia="zh-CN"/>
        </w:rPr>
        <w:t>同时采用程序</w:t>
      </w:r>
      <w:r w:rsidR="00894AD4">
        <w:rPr>
          <w:rFonts w:asciiTheme="minorHAnsi" w:eastAsiaTheme="minorEastAsia" w:hAnsiTheme="minorHAnsi" w:cstheme="majorBidi" w:hint="eastAsia"/>
          <w:lang w:eastAsia="zh-CN"/>
        </w:rPr>
        <w:t>B</w:t>
      </w:r>
      <w:r w:rsidR="00894AD4">
        <w:rPr>
          <w:rFonts w:asciiTheme="minorHAnsi" w:eastAsiaTheme="minorEastAsia" w:hAnsiTheme="minorHAnsi" w:cstheme="majorBidi" w:hint="eastAsia"/>
          <w:lang w:eastAsia="zh-CN"/>
        </w:rPr>
        <w:t>和程序</w:t>
      </w:r>
      <w:r w:rsidR="00894AD4">
        <w:rPr>
          <w:rFonts w:asciiTheme="minorHAnsi" w:eastAsiaTheme="minorEastAsia" w:hAnsiTheme="minorHAnsi" w:cstheme="majorBidi" w:hint="eastAsia"/>
          <w:lang w:eastAsia="zh-CN"/>
        </w:rPr>
        <w:t>A</w:t>
      </w:r>
      <w:r w:rsidR="00894AD4">
        <w:rPr>
          <w:rFonts w:asciiTheme="minorHAnsi" w:eastAsiaTheme="minorEastAsia" w:hAnsiTheme="minorHAnsi" w:cstheme="majorBidi" w:hint="eastAsia"/>
          <w:lang w:eastAsia="zh-CN"/>
        </w:rPr>
        <w:t>的可能性，这可补偿无线电通信局处理</w:t>
      </w:r>
      <w:r w:rsidR="00894AD4">
        <w:rPr>
          <w:rFonts w:hint="eastAsia"/>
          <w:lang w:eastAsia="zh-CN"/>
        </w:rPr>
        <w:t>复杂</w:t>
      </w:r>
      <w:r w:rsidR="00894AD4" w:rsidRPr="00256D7E">
        <w:rPr>
          <w:lang w:eastAsia="zh-CN"/>
        </w:rPr>
        <w:t>non-GSO</w:t>
      </w:r>
      <w:r w:rsidR="00894AD4">
        <w:rPr>
          <w:rFonts w:hint="eastAsia"/>
          <w:lang w:eastAsia="zh-CN"/>
        </w:rPr>
        <w:t>系统申报资料所发生成本与此类申报资料成本回收金额两者间的差额。此举也可减少处理申报资料所需的时间，因为申报不现实的</w:t>
      </w:r>
      <w:r w:rsidR="00894AD4" w:rsidRPr="00256D7E">
        <w:rPr>
          <w:rFonts w:asciiTheme="minorHAnsi" w:eastAsia="Times New Roman" w:hAnsiTheme="minorHAnsi" w:cstheme="majorBidi"/>
          <w:lang w:eastAsia="zh-CN"/>
        </w:rPr>
        <w:t>non-GSO</w:t>
      </w:r>
      <w:r w:rsidR="00894AD4">
        <w:rPr>
          <w:rFonts w:asciiTheme="minorHAnsi" w:eastAsiaTheme="minorEastAsia" w:hAnsiTheme="minorHAnsi" w:cstheme="majorBidi" w:hint="eastAsia"/>
          <w:lang w:eastAsia="zh-CN"/>
        </w:rPr>
        <w:t>系统在经济上并不划算。</w:t>
      </w:r>
    </w:p>
    <w:p w:rsidR="00256D7E" w:rsidRPr="00256D7E" w:rsidRDefault="00894AD4" w:rsidP="00894AD4">
      <w:pPr>
        <w:tabs>
          <w:tab w:val="clear" w:pos="794"/>
          <w:tab w:val="clear" w:pos="1191"/>
          <w:tab w:val="clear" w:pos="1588"/>
          <w:tab w:val="clear" w:pos="1985"/>
        </w:tabs>
        <w:snapToGrid w:val="0"/>
        <w:spacing w:after="120"/>
        <w:ind w:firstLineChars="200" w:firstLine="480"/>
        <w:jc w:val="both"/>
        <w:rPr>
          <w:rFonts w:asciiTheme="minorHAnsi" w:eastAsia="Times New Roman" w:hAnsiTheme="minorHAnsi" w:cstheme="majorBidi"/>
          <w:lang w:eastAsia="zh-CN"/>
        </w:rPr>
      </w:pPr>
      <w:r>
        <w:rPr>
          <w:rFonts w:asciiTheme="minorHAnsi" w:eastAsiaTheme="minorEastAsia" w:hAnsiTheme="minorHAnsi" w:cstheme="majorBidi" w:hint="eastAsia"/>
          <w:lang w:eastAsia="zh-CN"/>
        </w:rPr>
        <w:t>应指出，采用程序</w:t>
      </w:r>
      <w:r>
        <w:rPr>
          <w:rFonts w:asciiTheme="minorHAnsi" w:eastAsiaTheme="minorEastAsia" w:hAnsiTheme="minorHAnsi" w:cstheme="majorBidi" w:hint="eastAsia"/>
          <w:lang w:eastAsia="zh-CN"/>
        </w:rPr>
        <w:t>A</w:t>
      </w:r>
      <w:r>
        <w:rPr>
          <w:rFonts w:asciiTheme="minorHAnsi" w:eastAsiaTheme="minorEastAsia" w:hAnsiTheme="minorHAnsi" w:cstheme="majorBidi" w:hint="eastAsia"/>
          <w:lang w:eastAsia="zh-CN"/>
        </w:rPr>
        <w:t>涉及到对</w:t>
      </w:r>
      <w:r w:rsidRPr="00256D7E">
        <w:rPr>
          <w:rFonts w:asciiTheme="minorHAnsi" w:eastAsia="Times New Roman" w:hAnsiTheme="minorHAnsi" w:cstheme="majorBidi"/>
          <w:lang w:eastAsia="zh-CN"/>
        </w:rPr>
        <w:t>non-GSO</w:t>
      </w:r>
      <w:r>
        <w:rPr>
          <w:rFonts w:asciiTheme="minorHAnsi" w:eastAsiaTheme="minorEastAsia" w:hAnsiTheme="minorHAnsi" w:cstheme="majorBidi" w:hint="eastAsia"/>
          <w:lang w:eastAsia="zh-CN"/>
        </w:rPr>
        <w:t>网络相互排斥的配置分别进行计费和叠加，由于物理局限性，这将对程序</w:t>
      </w:r>
      <w:r>
        <w:rPr>
          <w:rFonts w:asciiTheme="minorHAnsi" w:eastAsiaTheme="minorEastAsia" w:hAnsiTheme="minorHAnsi" w:cstheme="majorBidi" w:hint="eastAsia"/>
          <w:lang w:eastAsia="zh-CN"/>
        </w:rPr>
        <w:t>B</w:t>
      </w:r>
      <w:r>
        <w:rPr>
          <w:rFonts w:asciiTheme="minorHAnsi" w:eastAsiaTheme="minorEastAsia" w:hAnsiTheme="minorHAnsi" w:cstheme="majorBidi" w:hint="eastAsia"/>
          <w:lang w:eastAsia="zh-CN"/>
        </w:rPr>
        <w:t>中的最大成本进行限制，从而不可能在单个配置中申报无限多的频率指配。</w:t>
      </w:r>
    </w:p>
    <w:p w:rsidR="00256D7E" w:rsidRPr="00256D7E" w:rsidRDefault="00894AD4" w:rsidP="004549A0">
      <w:pPr>
        <w:tabs>
          <w:tab w:val="clear" w:pos="794"/>
          <w:tab w:val="clear" w:pos="1191"/>
          <w:tab w:val="clear" w:pos="1588"/>
          <w:tab w:val="clear" w:pos="1985"/>
        </w:tabs>
        <w:snapToGrid w:val="0"/>
        <w:spacing w:after="120"/>
        <w:ind w:firstLineChars="200" w:firstLine="480"/>
        <w:jc w:val="both"/>
        <w:rPr>
          <w:rFonts w:asciiTheme="minorHAnsi" w:eastAsia="Times New Roman" w:hAnsiTheme="minorHAnsi" w:cstheme="majorBidi"/>
          <w:lang w:eastAsia="zh-CN"/>
        </w:rPr>
      </w:pPr>
      <w:r>
        <w:rPr>
          <w:rFonts w:asciiTheme="minorHAnsi" w:eastAsiaTheme="minorEastAsia" w:hAnsiTheme="minorHAnsi" w:cstheme="majorBidi" w:hint="eastAsia"/>
          <w:lang w:eastAsia="zh-CN"/>
        </w:rPr>
        <w:t>此外，为</w:t>
      </w:r>
      <w:r w:rsidR="00BD04F1">
        <w:rPr>
          <w:rFonts w:asciiTheme="minorHAnsi" w:eastAsiaTheme="minorEastAsia" w:hAnsiTheme="minorHAnsi" w:cstheme="majorBidi" w:hint="eastAsia"/>
          <w:lang w:eastAsia="zh-CN"/>
        </w:rPr>
        <w:t>防止采用程序</w:t>
      </w:r>
      <w:r w:rsidR="00BD04F1">
        <w:rPr>
          <w:rFonts w:asciiTheme="minorHAnsi" w:eastAsiaTheme="minorEastAsia" w:hAnsiTheme="minorHAnsi" w:cstheme="majorBidi" w:hint="eastAsia"/>
          <w:lang w:eastAsia="zh-CN"/>
        </w:rPr>
        <w:t>B</w:t>
      </w:r>
      <w:r w:rsidR="00BD04F1">
        <w:rPr>
          <w:rFonts w:asciiTheme="minorHAnsi" w:eastAsiaTheme="minorEastAsia" w:hAnsiTheme="minorHAnsi" w:cstheme="majorBidi" w:hint="eastAsia"/>
          <w:lang w:eastAsia="zh-CN"/>
        </w:rPr>
        <w:t>时出现不合理的高额缴费通知，如</w:t>
      </w:r>
      <w:r w:rsidR="004549A0" w:rsidRPr="00256D7E">
        <w:rPr>
          <w:rFonts w:asciiTheme="minorHAnsi" w:eastAsia="Times New Roman" w:hAnsiTheme="minorHAnsi" w:cstheme="majorBidi"/>
          <w:lang w:eastAsia="zh-CN"/>
        </w:rPr>
        <w:t xml:space="preserve">ITU-R </w:t>
      </w:r>
      <w:r w:rsidR="00BD04F1" w:rsidRPr="00256D7E">
        <w:rPr>
          <w:rFonts w:asciiTheme="minorHAnsi" w:eastAsia="Times New Roman" w:hAnsiTheme="minorHAnsi" w:cstheme="majorBidi"/>
          <w:lang w:eastAsia="zh-CN"/>
        </w:rPr>
        <w:t>4A</w:t>
      </w:r>
      <w:r w:rsidR="00BD04F1">
        <w:rPr>
          <w:rFonts w:asciiTheme="minorHAnsi" w:eastAsiaTheme="minorEastAsia" w:hAnsiTheme="minorHAnsi" w:cstheme="majorBidi" w:hint="eastAsia"/>
          <w:lang w:eastAsia="zh-CN"/>
        </w:rPr>
        <w:t>工作组建议的那样</w:t>
      </w:r>
      <w:r w:rsidR="004549A0">
        <w:rPr>
          <w:rFonts w:asciiTheme="minorHAnsi" w:eastAsiaTheme="minorEastAsia" w:hAnsiTheme="minorHAnsi" w:cstheme="majorBidi" w:hint="eastAsia"/>
          <w:lang w:eastAsia="zh-CN"/>
        </w:rPr>
        <w:t>（</w:t>
      </w:r>
      <w:r w:rsidR="004549A0" w:rsidRPr="00256D7E">
        <w:rPr>
          <w:rFonts w:asciiTheme="minorHAnsi" w:eastAsia="Times New Roman" w:hAnsiTheme="minorHAnsi" w:cstheme="majorBidi"/>
          <w:lang w:eastAsia="zh-CN"/>
        </w:rPr>
        <w:t>C18/36</w:t>
      </w:r>
      <w:r w:rsidR="004549A0">
        <w:rPr>
          <w:rFonts w:asciiTheme="minorHAnsi" w:eastAsiaTheme="minorEastAsia" w:hAnsiTheme="minorHAnsi" w:cstheme="majorBidi" w:hint="eastAsia"/>
          <w:lang w:eastAsia="zh-CN"/>
        </w:rPr>
        <w:t>号文件补遗</w:t>
      </w:r>
      <w:r w:rsidR="004549A0">
        <w:rPr>
          <w:rFonts w:asciiTheme="minorHAnsi" w:eastAsiaTheme="minorEastAsia" w:hAnsiTheme="minorHAnsi" w:cstheme="majorBidi" w:hint="eastAsia"/>
          <w:lang w:eastAsia="zh-CN"/>
        </w:rPr>
        <w:t>1</w:t>
      </w:r>
      <w:r w:rsidR="004549A0">
        <w:rPr>
          <w:rFonts w:asciiTheme="minorHAnsi" w:eastAsiaTheme="minorEastAsia" w:hAnsiTheme="minorHAnsi" w:cstheme="majorBidi" w:hint="eastAsia"/>
          <w:lang w:eastAsia="zh-CN"/>
        </w:rPr>
        <w:t>）</w:t>
      </w:r>
      <w:r w:rsidR="00BD04F1">
        <w:rPr>
          <w:rFonts w:asciiTheme="minorHAnsi" w:eastAsiaTheme="minorEastAsia" w:hAnsiTheme="minorHAnsi" w:cstheme="majorBidi" w:hint="eastAsia"/>
          <w:lang w:eastAsia="zh-CN"/>
        </w:rPr>
        <w:t>，应可对最大单位数目进行限制</w:t>
      </w:r>
      <w:r w:rsidR="004549A0">
        <w:rPr>
          <w:rFonts w:asciiTheme="minorHAnsi" w:eastAsiaTheme="minorEastAsia" w:hAnsiTheme="minorHAnsi" w:cstheme="majorBidi" w:hint="eastAsia"/>
          <w:lang w:eastAsia="zh-CN"/>
        </w:rPr>
        <w:t>，超出该数目即收取包干费</w:t>
      </w:r>
      <w:r w:rsidR="00BD04F1">
        <w:rPr>
          <w:rFonts w:asciiTheme="minorHAnsi" w:eastAsiaTheme="minorEastAsia" w:hAnsiTheme="minorHAnsi" w:cstheme="majorBidi" w:hint="eastAsia"/>
          <w:lang w:eastAsia="zh-CN"/>
        </w:rPr>
        <w:t>。</w:t>
      </w:r>
    </w:p>
    <w:p w:rsidR="00256D7E" w:rsidRPr="00256D7E" w:rsidRDefault="001869D5" w:rsidP="003F096F">
      <w:pPr>
        <w:tabs>
          <w:tab w:val="clear" w:pos="794"/>
          <w:tab w:val="clear" w:pos="1191"/>
          <w:tab w:val="clear" w:pos="1588"/>
          <w:tab w:val="clear" w:pos="1985"/>
        </w:tabs>
        <w:snapToGrid w:val="0"/>
        <w:spacing w:after="120"/>
        <w:ind w:firstLineChars="200" w:firstLine="480"/>
        <w:jc w:val="both"/>
        <w:rPr>
          <w:rFonts w:asciiTheme="minorHAnsi" w:eastAsia="Times New Roman" w:hAnsiTheme="minorHAnsi" w:cstheme="majorBidi"/>
          <w:lang w:eastAsia="zh-CN"/>
        </w:rPr>
      </w:pPr>
      <w:r>
        <w:rPr>
          <w:rFonts w:asciiTheme="minorHAnsi" w:eastAsiaTheme="minorEastAsia" w:hAnsiTheme="minorHAnsi" w:cstheme="majorBidi" w:hint="eastAsia"/>
          <w:lang w:eastAsia="zh-CN"/>
        </w:rPr>
        <w:t>考虑到有关应用《无线电规则》第</w:t>
      </w:r>
      <w:r>
        <w:rPr>
          <w:rFonts w:asciiTheme="minorHAnsi" w:eastAsiaTheme="minorEastAsia" w:hAnsiTheme="minorHAnsi" w:cstheme="majorBidi" w:hint="eastAsia"/>
          <w:lang w:eastAsia="zh-CN"/>
        </w:rPr>
        <w:t>22</w:t>
      </w:r>
      <w:r>
        <w:rPr>
          <w:rFonts w:asciiTheme="minorHAnsi" w:eastAsiaTheme="minorEastAsia" w:hAnsiTheme="minorHAnsi" w:cstheme="majorBidi" w:hint="eastAsia"/>
          <w:lang w:eastAsia="zh-CN"/>
        </w:rPr>
        <w:t>条所规定</w:t>
      </w:r>
      <w:proofErr w:type="spellStart"/>
      <w:r w:rsidRPr="00256D7E">
        <w:rPr>
          <w:rFonts w:asciiTheme="minorHAnsi" w:eastAsia="Times New Roman" w:hAnsiTheme="minorHAnsi" w:cstheme="majorBidi"/>
          <w:lang w:eastAsia="zh-CN"/>
        </w:rPr>
        <w:t>epfd</w:t>
      </w:r>
      <w:proofErr w:type="spellEnd"/>
      <w:r>
        <w:rPr>
          <w:rFonts w:asciiTheme="minorHAnsi" w:eastAsiaTheme="minorEastAsia" w:hAnsiTheme="minorHAnsi" w:cstheme="majorBidi" w:hint="eastAsia"/>
          <w:lang w:eastAsia="zh-CN"/>
        </w:rPr>
        <w:t>限值的可用统计数据有限，俄联邦认为，在最新统计数据基础上紧急开展有关程序</w:t>
      </w:r>
      <w:r>
        <w:rPr>
          <w:rFonts w:asciiTheme="minorHAnsi" w:eastAsiaTheme="minorEastAsia" w:hAnsiTheme="minorHAnsi" w:cstheme="majorBidi" w:hint="eastAsia"/>
          <w:lang w:eastAsia="zh-CN"/>
        </w:rPr>
        <w:t>C</w:t>
      </w:r>
      <w:r>
        <w:rPr>
          <w:rFonts w:asciiTheme="minorHAnsi" w:eastAsiaTheme="minorEastAsia" w:hAnsiTheme="minorHAnsi" w:cstheme="majorBidi" w:hint="eastAsia"/>
          <w:lang w:eastAsia="zh-CN"/>
        </w:rPr>
        <w:t>的补充研究非常重要。鉴于设立一个专门专家组来开展此类紧急研究将为无线电通信局和国际电联成员国带来额外的财务负担，我们认为这些研究可</w:t>
      </w:r>
      <w:r w:rsidR="003F096F">
        <w:rPr>
          <w:rFonts w:asciiTheme="minorHAnsi" w:eastAsiaTheme="minorEastAsia" w:hAnsiTheme="minorHAnsi" w:cstheme="majorBidi" w:hint="eastAsia"/>
          <w:lang w:eastAsia="zh-CN"/>
        </w:rPr>
        <w:t>由</w:t>
      </w:r>
      <w:r w:rsidR="00BC1318">
        <w:rPr>
          <w:rFonts w:asciiTheme="minorHAnsi" w:eastAsiaTheme="minorEastAsia" w:hAnsiTheme="minorHAnsi" w:cstheme="majorBidi" w:hint="eastAsia"/>
          <w:lang w:eastAsia="zh-CN"/>
        </w:rPr>
        <w:t>相关</w:t>
      </w:r>
      <w:r w:rsidR="00BC1318">
        <w:rPr>
          <w:rFonts w:asciiTheme="minorHAnsi" w:eastAsiaTheme="minorEastAsia" w:hAnsiTheme="minorHAnsi" w:cstheme="majorBidi" w:hint="eastAsia"/>
          <w:lang w:eastAsia="zh-CN"/>
        </w:rPr>
        <w:t>ITU-R</w:t>
      </w:r>
      <w:r w:rsidR="00BC1318">
        <w:rPr>
          <w:rFonts w:asciiTheme="minorHAnsi" w:eastAsiaTheme="minorEastAsia" w:hAnsiTheme="minorHAnsi" w:cstheme="majorBidi" w:hint="eastAsia"/>
          <w:lang w:eastAsia="zh-CN"/>
        </w:rPr>
        <w:t>工作组（</w:t>
      </w:r>
      <w:r w:rsidR="00BC1318" w:rsidRPr="00256D7E">
        <w:rPr>
          <w:rFonts w:asciiTheme="minorHAnsi" w:eastAsia="Times New Roman" w:hAnsiTheme="minorHAnsi" w:cstheme="majorBidi"/>
          <w:lang w:eastAsia="zh-CN"/>
        </w:rPr>
        <w:t>4A</w:t>
      </w:r>
      <w:r w:rsidR="00BC1318">
        <w:rPr>
          <w:rFonts w:asciiTheme="minorHAnsi" w:eastAsiaTheme="minorEastAsia" w:hAnsiTheme="minorHAnsi" w:cstheme="majorBidi" w:hint="eastAsia"/>
          <w:lang w:eastAsia="zh-CN"/>
        </w:rPr>
        <w:t>、</w:t>
      </w:r>
      <w:r w:rsidR="00BC1318" w:rsidRPr="00256D7E">
        <w:rPr>
          <w:rFonts w:asciiTheme="minorHAnsi" w:eastAsia="Times New Roman" w:hAnsiTheme="minorHAnsi" w:cstheme="majorBidi"/>
          <w:lang w:eastAsia="zh-CN"/>
        </w:rPr>
        <w:t>4B</w:t>
      </w:r>
      <w:r w:rsidR="00BC1318">
        <w:rPr>
          <w:rFonts w:asciiTheme="minorHAnsi" w:eastAsiaTheme="minorEastAsia" w:hAnsiTheme="minorHAnsi" w:cstheme="majorBidi" w:hint="eastAsia"/>
          <w:lang w:eastAsia="zh-CN"/>
        </w:rPr>
        <w:t>、</w:t>
      </w:r>
      <w:r w:rsidR="00BC1318" w:rsidRPr="00256D7E">
        <w:rPr>
          <w:rFonts w:asciiTheme="minorHAnsi" w:eastAsia="Times New Roman" w:hAnsiTheme="minorHAnsi" w:cstheme="majorBidi"/>
          <w:lang w:eastAsia="zh-CN"/>
        </w:rPr>
        <w:t>4C</w:t>
      </w:r>
      <w:r w:rsidR="00BC1318">
        <w:rPr>
          <w:rFonts w:asciiTheme="minorHAnsi" w:eastAsiaTheme="minorEastAsia" w:hAnsiTheme="minorHAnsi" w:cstheme="majorBidi" w:hint="eastAsia"/>
          <w:lang w:eastAsia="zh-CN"/>
        </w:rPr>
        <w:t>、</w:t>
      </w:r>
      <w:r w:rsidR="00BC1318" w:rsidRPr="00256D7E">
        <w:rPr>
          <w:rFonts w:asciiTheme="minorHAnsi" w:eastAsia="Times New Roman" w:hAnsiTheme="minorHAnsi" w:cstheme="majorBidi"/>
          <w:lang w:eastAsia="zh-CN"/>
        </w:rPr>
        <w:t>7B</w:t>
      </w:r>
      <w:r w:rsidR="00BC1318">
        <w:rPr>
          <w:rFonts w:asciiTheme="minorHAnsi" w:eastAsiaTheme="minorEastAsia" w:hAnsiTheme="minorHAnsi" w:cstheme="majorBidi" w:hint="eastAsia"/>
          <w:lang w:eastAsia="zh-CN"/>
        </w:rPr>
        <w:t>和</w:t>
      </w:r>
      <w:r w:rsidR="00BC1318" w:rsidRPr="00256D7E">
        <w:rPr>
          <w:rFonts w:asciiTheme="minorHAnsi" w:eastAsia="Times New Roman" w:hAnsiTheme="minorHAnsi" w:cstheme="majorBidi"/>
          <w:lang w:eastAsia="zh-CN"/>
        </w:rPr>
        <w:t>7C</w:t>
      </w:r>
      <w:r w:rsidR="00BC1318">
        <w:rPr>
          <w:rFonts w:asciiTheme="minorHAnsi" w:eastAsiaTheme="minorEastAsia" w:hAnsiTheme="minorHAnsi" w:cstheme="majorBidi" w:hint="eastAsia"/>
          <w:lang w:eastAsia="zh-CN"/>
        </w:rPr>
        <w:t>）及国际电联其他部门（如</w:t>
      </w:r>
      <w:r w:rsidR="00BC1318">
        <w:rPr>
          <w:rFonts w:asciiTheme="minorHAnsi" w:eastAsiaTheme="minorEastAsia" w:hAnsiTheme="minorHAnsi" w:cstheme="majorBidi" w:hint="eastAsia"/>
          <w:lang w:eastAsia="zh-CN"/>
        </w:rPr>
        <w:t>RRB</w:t>
      </w:r>
      <w:r w:rsidR="00BC1318">
        <w:rPr>
          <w:rFonts w:asciiTheme="minorHAnsi" w:eastAsiaTheme="minorEastAsia" w:hAnsiTheme="minorHAnsi" w:cstheme="majorBidi" w:hint="eastAsia"/>
          <w:lang w:eastAsia="zh-CN"/>
        </w:rPr>
        <w:t>和</w:t>
      </w:r>
      <w:r w:rsidR="00BC1318" w:rsidRPr="00256D7E">
        <w:rPr>
          <w:rFonts w:eastAsia="Times New Roman"/>
          <w:color w:val="000000"/>
          <w:lang w:eastAsia="zh-CN"/>
        </w:rPr>
        <w:t>CWG-FHR</w:t>
      </w:r>
      <w:r w:rsidR="00BC1318">
        <w:rPr>
          <w:rFonts w:asciiTheme="minorHAnsi" w:eastAsiaTheme="minorEastAsia" w:hAnsiTheme="minorHAnsi" w:cstheme="majorBidi" w:hint="eastAsia"/>
          <w:lang w:eastAsia="zh-CN"/>
        </w:rPr>
        <w:t>）根据各自的职责予以安排。俄联邦认为，还应讨论将程序</w:t>
      </w:r>
      <w:r w:rsidR="00BC1318">
        <w:rPr>
          <w:rFonts w:asciiTheme="minorHAnsi" w:eastAsiaTheme="minorEastAsia" w:hAnsiTheme="minorHAnsi" w:cstheme="majorBidi" w:hint="eastAsia"/>
          <w:lang w:eastAsia="zh-CN"/>
        </w:rPr>
        <w:t>C</w:t>
      </w:r>
      <w:r w:rsidR="00BC1318">
        <w:rPr>
          <w:rFonts w:asciiTheme="minorHAnsi" w:eastAsiaTheme="minorEastAsia" w:hAnsiTheme="minorHAnsi" w:cstheme="majorBidi" w:hint="eastAsia"/>
          <w:lang w:eastAsia="zh-CN"/>
        </w:rPr>
        <w:t>用于无线电通信局已经收到但尚未审查在程序</w:t>
      </w:r>
      <w:r w:rsidR="00BC1318">
        <w:rPr>
          <w:rFonts w:asciiTheme="minorHAnsi" w:eastAsiaTheme="minorEastAsia" w:hAnsiTheme="minorHAnsi" w:cstheme="majorBidi" w:hint="eastAsia"/>
          <w:lang w:eastAsia="zh-CN"/>
        </w:rPr>
        <w:t>C</w:t>
      </w:r>
      <w:r w:rsidR="00BC1318">
        <w:rPr>
          <w:rFonts w:asciiTheme="minorHAnsi" w:eastAsiaTheme="minorEastAsia" w:hAnsiTheme="minorHAnsi" w:cstheme="majorBidi" w:hint="eastAsia"/>
          <w:lang w:eastAsia="zh-CN"/>
        </w:rPr>
        <w:t>生效时是否符合第</w:t>
      </w:r>
      <w:r w:rsidR="00BC1318">
        <w:rPr>
          <w:rFonts w:asciiTheme="minorHAnsi" w:eastAsiaTheme="minorEastAsia" w:hAnsiTheme="minorHAnsi" w:cstheme="majorBidi" w:hint="eastAsia"/>
          <w:lang w:eastAsia="zh-CN"/>
        </w:rPr>
        <w:t>22</w:t>
      </w:r>
      <w:r w:rsidR="00BC1318">
        <w:rPr>
          <w:rFonts w:asciiTheme="minorHAnsi" w:eastAsiaTheme="minorEastAsia" w:hAnsiTheme="minorHAnsi" w:cstheme="majorBidi" w:hint="eastAsia"/>
          <w:lang w:eastAsia="zh-CN"/>
        </w:rPr>
        <w:t>条所规定</w:t>
      </w:r>
      <w:proofErr w:type="spellStart"/>
      <w:r w:rsidR="00BC1318" w:rsidRPr="00256D7E">
        <w:rPr>
          <w:rFonts w:asciiTheme="minorHAnsi" w:eastAsia="Times New Roman" w:hAnsiTheme="minorHAnsi" w:cstheme="majorBidi"/>
          <w:lang w:eastAsia="zh-CN"/>
        </w:rPr>
        <w:t>epfd</w:t>
      </w:r>
      <w:proofErr w:type="spellEnd"/>
      <w:r w:rsidR="00BC1318">
        <w:rPr>
          <w:rFonts w:asciiTheme="minorHAnsi" w:eastAsiaTheme="minorEastAsia" w:hAnsiTheme="minorHAnsi" w:cstheme="majorBidi" w:hint="eastAsia"/>
          <w:lang w:eastAsia="zh-CN"/>
        </w:rPr>
        <w:t>限值的申报资料的条件。</w:t>
      </w:r>
    </w:p>
    <w:p w:rsidR="00256D7E" w:rsidRPr="00256D7E" w:rsidRDefault="00BC1318" w:rsidP="003F096F">
      <w:pPr>
        <w:pStyle w:val="Headingb"/>
        <w:rPr>
          <w:rFonts w:eastAsia="Times New Roman"/>
          <w:lang w:eastAsia="zh-CN"/>
        </w:rPr>
      </w:pPr>
      <w:r>
        <w:rPr>
          <w:rFonts w:hint="eastAsia"/>
          <w:lang w:eastAsia="zh-CN"/>
        </w:rPr>
        <w:t>结论</w:t>
      </w:r>
    </w:p>
    <w:p w:rsidR="00256D7E" w:rsidRPr="00256D7E" w:rsidRDefault="00BC1318" w:rsidP="00BC1318">
      <w:pPr>
        <w:tabs>
          <w:tab w:val="clear" w:pos="794"/>
          <w:tab w:val="clear" w:pos="1191"/>
          <w:tab w:val="clear" w:pos="1588"/>
          <w:tab w:val="clear" w:pos="1985"/>
        </w:tabs>
        <w:snapToGrid w:val="0"/>
        <w:spacing w:after="120"/>
        <w:ind w:firstLineChars="200" w:firstLine="480"/>
        <w:jc w:val="both"/>
        <w:rPr>
          <w:rFonts w:asciiTheme="minorHAnsi" w:eastAsia="Times New Roman" w:hAnsiTheme="minorHAnsi" w:cstheme="majorBidi"/>
          <w:lang w:eastAsia="zh-CN"/>
        </w:rPr>
      </w:pPr>
      <w:r>
        <w:rPr>
          <w:rFonts w:asciiTheme="minorHAnsi" w:eastAsiaTheme="minorEastAsia" w:hAnsiTheme="minorHAnsi" w:cstheme="majorBidi" w:hint="eastAsia"/>
          <w:lang w:eastAsia="zh-CN"/>
        </w:rPr>
        <w:t>俄联邦认为，根据无线电通信局在</w:t>
      </w:r>
      <w:r w:rsidRPr="00256D7E">
        <w:rPr>
          <w:rFonts w:asciiTheme="minorHAnsi" w:eastAsia="Times New Roman" w:hAnsiTheme="minorHAnsi" w:cstheme="majorBidi"/>
          <w:lang w:eastAsia="zh-CN"/>
        </w:rPr>
        <w:t>C18/36</w:t>
      </w:r>
      <w:r>
        <w:rPr>
          <w:rFonts w:asciiTheme="minorHAnsi" w:eastAsiaTheme="minorEastAsia" w:hAnsiTheme="minorHAnsi" w:cstheme="majorBidi" w:hint="eastAsia"/>
          <w:lang w:eastAsia="zh-CN"/>
        </w:rPr>
        <w:t>号文件中的建议及</w:t>
      </w:r>
      <w:r>
        <w:rPr>
          <w:rFonts w:asciiTheme="minorHAnsi" w:eastAsiaTheme="minorEastAsia" w:hAnsiTheme="minorHAnsi" w:cstheme="majorBidi" w:hint="eastAsia"/>
          <w:lang w:eastAsia="zh-CN"/>
        </w:rPr>
        <w:t>ITU-R 4A</w:t>
      </w:r>
      <w:r>
        <w:rPr>
          <w:rFonts w:asciiTheme="minorHAnsi" w:eastAsiaTheme="minorEastAsia" w:hAnsiTheme="minorHAnsi" w:cstheme="majorBidi" w:hint="eastAsia"/>
          <w:lang w:eastAsia="zh-CN"/>
        </w:rPr>
        <w:t>工作组提出的补充意见，采纳修订第</w:t>
      </w:r>
      <w:r>
        <w:rPr>
          <w:rFonts w:asciiTheme="minorHAnsi" w:eastAsiaTheme="minorEastAsia" w:hAnsiTheme="minorHAnsi" w:cstheme="majorBidi" w:hint="eastAsia"/>
          <w:lang w:eastAsia="zh-CN"/>
        </w:rPr>
        <w:t>482</w:t>
      </w:r>
      <w:r>
        <w:rPr>
          <w:rFonts w:asciiTheme="minorHAnsi" w:eastAsiaTheme="minorEastAsia" w:hAnsiTheme="minorHAnsi" w:cstheme="majorBidi" w:hint="eastAsia"/>
          <w:lang w:eastAsia="zh-CN"/>
        </w:rPr>
        <w:t>号决定（</w:t>
      </w:r>
      <w:r>
        <w:rPr>
          <w:rFonts w:asciiTheme="minorHAnsi" w:eastAsiaTheme="minorEastAsia" w:hAnsiTheme="minorHAnsi" w:cstheme="majorBidi" w:hint="eastAsia"/>
          <w:lang w:eastAsia="zh-CN"/>
        </w:rPr>
        <w:t>2017</w:t>
      </w:r>
      <w:r>
        <w:rPr>
          <w:rFonts w:asciiTheme="minorHAnsi" w:eastAsiaTheme="minorEastAsia" w:hAnsiTheme="minorHAnsi" w:cstheme="majorBidi" w:hint="eastAsia"/>
          <w:lang w:eastAsia="zh-CN"/>
        </w:rPr>
        <w:t>年修订）的提案，以实施程序</w:t>
      </w:r>
      <w:r>
        <w:rPr>
          <w:rFonts w:asciiTheme="minorHAnsi" w:eastAsiaTheme="minorEastAsia" w:hAnsiTheme="minorHAnsi" w:cstheme="majorBidi" w:hint="eastAsia"/>
          <w:lang w:eastAsia="zh-CN"/>
        </w:rPr>
        <w:t>A</w:t>
      </w:r>
      <w:r>
        <w:rPr>
          <w:rFonts w:asciiTheme="minorHAnsi" w:eastAsiaTheme="minorEastAsia" w:hAnsiTheme="minorHAnsi" w:cstheme="majorBidi" w:hint="eastAsia"/>
          <w:lang w:eastAsia="zh-CN"/>
        </w:rPr>
        <w:t>和</w:t>
      </w:r>
      <w:r>
        <w:rPr>
          <w:rFonts w:asciiTheme="minorHAnsi" w:eastAsiaTheme="minorEastAsia" w:hAnsiTheme="minorHAnsi" w:cstheme="majorBidi" w:hint="eastAsia"/>
          <w:lang w:eastAsia="zh-CN"/>
        </w:rPr>
        <w:t>B</w:t>
      </w:r>
      <w:r>
        <w:rPr>
          <w:rFonts w:asciiTheme="minorHAnsi" w:eastAsiaTheme="minorEastAsia" w:hAnsiTheme="minorHAnsi" w:cstheme="majorBidi" w:hint="eastAsia"/>
          <w:lang w:eastAsia="zh-CN"/>
        </w:rPr>
        <w:t>将有助于补偿无线电通信局处理</w:t>
      </w:r>
      <w:r>
        <w:rPr>
          <w:rFonts w:hint="eastAsia"/>
          <w:lang w:eastAsia="zh-CN"/>
        </w:rPr>
        <w:t>复杂</w:t>
      </w:r>
      <w:r w:rsidRPr="00256D7E">
        <w:rPr>
          <w:lang w:eastAsia="zh-CN"/>
        </w:rPr>
        <w:t>non-GSO</w:t>
      </w:r>
      <w:r>
        <w:rPr>
          <w:rFonts w:hint="eastAsia"/>
          <w:lang w:eastAsia="zh-CN"/>
        </w:rPr>
        <w:t>系统申报资料所发生成本与此类申报资料成本回收金额两者间的差额。此外，这将有助于减少处理申报资料所需的时间，因为申报不现实的</w:t>
      </w:r>
      <w:r w:rsidRPr="00256D7E">
        <w:rPr>
          <w:rFonts w:asciiTheme="minorHAnsi" w:eastAsia="Times New Roman" w:hAnsiTheme="minorHAnsi" w:cstheme="majorBidi"/>
          <w:lang w:eastAsia="zh-CN"/>
        </w:rPr>
        <w:t>non-GSO</w:t>
      </w:r>
      <w:r>
        <w:rPr>
          <w:rFonts w:asciiTheme="minorHAnsi" w:eastAsiaTheme="minorEastAsia" w:hAnsiTheme="minorHAnsi" w:cstheme="majorBidi" w:hint="eastAsia"/>
          <w:lang w:eastAsia="zh-CN"/>
        </w:rPr>
        <w:t>系统在经济上并不划算。</w:t>
      </w:r>
    </w:p>
    <w:p w:rsidR="00256D7E" w:rsidRPr="00256D7E" w:rsidRDefault="00BC1318" w:rsidP="00DE2450">
      <w:pPr>
        <w:tabs>
          <w:tab w:val="clear" w:pos="794"/>
          <w:tab w:val="clear" w:pos="1191"/>
          <w:tab w:val="clear" w:pos="1588"/>
          <w:tab w:val="clear" w:pos="1985"/>
          <w:tab w:val="left" w:pos="567"/>
          <w:tab w:val="left" w:pos="1134"/>
          <w:tab w:val="left" w:pos="1701"/>
          <w:tab w:val="left" w:pos="2268"/>
          <w:tab w:val="left" w:pos="2835"/>
        </w:tabs>
        <w:ind w:firstLineChars="200" w:firstLine="480"/>
        <w:rPr>
          <w:rFonts w:eastAsia="Times New Roman"/>
          <w:color w:val="000000"/>
          <w:lang w:eastAsia="zh-CN"/>
        </w:rPr>
      </w:pPr>
      <w:r>
        <w:rPr>
          <w:rFonts w:eastAsiaTheme="minorEastAsia" w:hint="eastAsia"/>
          <w:lang w:eastAsia="zh-CN"/>
        </w:rPr>
        <w:t>关于程序</w:t>
      </w:r>
      <w:r>
        <w:rPr>
          <w:rFonts w:eastAsiaTheme="minorEastAsia" w:hint="eastAsia"/>
          <w:lang w:eastAsia="zh-CN"/>
        </w:rPr>
        <w:t>C</w:t>
      </w:r>
      <w:r>
        <w:rPr>
          <w:rFonts w:eastAsiaTheme="minorEastAsia" w:hint="eastAsia"/>
          <w:lang w:eastAsia="zh-CN"/>
        </w:rPr>
        <w:t>，俄联邦认为，需要在</w:t>
      </w:r>
      <w:r>
        <w:rPr>
          <w:rFonts w:asciiTheme="minorHAnsi" w:eastAsiaTheme="minorEastAsia" w:hAnsiTheme="minorHAnsi" w:cstheme="majorBidi" w:hint="eastAsia"/>
          <w:lang w:eastAsia="zh-CN"/>
        </w:rPr>
        <w:t>相关</w:t>
      </w:r>
      <w:r>
        <w:rPr>
          <w:rFonts w:asciiTheme="minorHAnsi" w:eastAsiaTheme="minorEastAsia" w:hAnsiTheme="minorHAnsi" w:cstheme="majorBidi" w:hint="eastAsia"/>
          <w:lang w:eastAsia="zh-CN"/>
        </w:rPr>
        <w:t>ITU-R</w:t>
      </w:r>
      <w:r>
        <w:rPr>
          <w:rFonts w:asciiTheme="minorHAnsi" w:eastAsiaTheme="minorEastAsia" w:hAnsiTheme="minorHAnsi" w:cstheme="majorBidi" w:hint="eastAsia"/>
          <w:lang w:eastAsia="zh-CN"/>
        </w:rPr>
        <w:t>工作组（</w:t>
      </w:r>
      <w:r w:rsidRPr="00256D7E">
        <w:rPr>
          <w:rFonts w:asciiTheme="minorHAnsi" w:eastAsia="Times New Roman" w:hAnsiTheme="minorHAnsi" w:cstheme="majorBidi"/>
          <w:lang w:eastAsia="zh-CN"/>
        </w:rPr>
        <w:t>4A</w:t>
      </w:r>
      <w:r>
        <w:rPr>
          <w:rFonts w:asciiTheme="minorHAnsi" w:eastAsiaTheme="minorEastAsia" w:hAnsiTheme="minorHAnsi" w:cstheme="majorBidi" w:hint="eastAsia"/>
          <w:lang w:eastAsia="zh-CN"/>
        </w:rPr>
        <w:t>、</w:t>
      </w:r>
      <w:r w:rsidRPr="00256D7E">
        <w:rPr>
          <w:rFonts w:asciiTheme="minorHAnsi" w:eastAsia="Times New Roman" w:hAnsiTheme="minorHAnsi" w:cstheme="majorBidi"/>
          <w:lang w:eastAsia="zh-CN"/>
        </w:rPr>
        <w:t>4B</w:t>
      </w:r>
      <w:r>
        <w:rPr>
          <w:rFonts w:asciiTheme="minorHAnsi" w:eastAsiaTheme="minorEastAsia" w:hAnsiTheme="minorHAnsi" w:cstheme="majorBidi" w:hint="eastAsia"/>
          <w:lang w:eastAsia="zh-CN"/>
        </w:rPr>
        <w:t>、</w:t>
      </w:r>
      <w:r w:rsidRPr="00256D7E">
        <w:rPr>
          <w:rFonts w:asciiTheme="minorHAnsi" w:eastAsia="Times New Roman" w:hAnsiTheme="minorHAnsi" w:cstheme="majorBidi"/>
          <w:lang w:eastAsia="zh-CN"/>
        </w:rPr>
        <w:t>4C</w:t>
      </w:r>
      <w:r>
        <w:rPr>
          <w:rFonts w:asciiTheme="minorHAnsi" w:eastAsiaTheme="minorEastAsia" w:hAnsiTheme="minorHAnsi" w:cstheme="majorBidi" w:hint="eastAsia"/>
          <w:lang w:eastAsia="zh-CN"/>
        </w:rPr>
        <w:t>、</w:t>
      </w:r>
      <w:r w:rsidRPr="00256D7E">
        <w:rPr>
          <w:rFonts w:asciiTheme="minorHAnsi" w:eastAsia="Times New Roman" w:hAnsiTheme="minorHAnsi" w:cstheme="majorBidi"/>
          <w:lang w:eastAsia="zh-CN"/>
        </w:rPr>
        <w:t>7B</w:t>
      </w:r>
      <w:r>
        <w:rPr>
          <w:rFonts w:asciiTheme="minorHAnsi" w:eastAsiaTheme="minorEastAsia" w:hAnsiTheme="minorHAnsi" w:cstheme="majorBidi" w:hint="eastAsia"/>
          <w:lang w:eastAsia="zh-CN"/>
        </w:rPr>
        <w:t>和</w:t>
      </w:r>
      <w:r w:rsidRPr="00256D7E">
        <w:rPr>
          <w:rFonts w:asciiTheme="minorHAnsi" w:eastAsia="Times New Roman" w:hAnsiTheme="minorHAnsi" w:cstheme="majorBidi"/>
          <w:lang w:eastAsia="zh-CN"/>
        </w:rPr>
        <w:t>7C</w:t>
      </w:r>
      <w:r>
        <w:rPr>
          <w:rFonts w:asciiTheme="minorHAnsi" w:eastAsiaTheme="minorEastAsia" w:hAnsiTheme="minorHAnsi" w:cstheme="majorBidi" w:hint="eastAsia"/>
          <w:lang w:eastAsia="zh-CN"/>
        </w:rPr>
        <w:t>）及国际电联其他部门（如</w:t>
      </w:r>
      <w:r>
        <w:rPr>
          <w:rFonts w:asciiTheme="minorHAnsi" w:eastAsiaTheme="minorEastAsia" w:hAnsiTheme="minorHAnsi" w:cstheme="majorBidi" w:hint="eastAsia"/>
          <w:lang w:eastAsia="zh-CN"/>
        </w:rPr>
        <w:t>RRB</w:t>
      </w:r>
      <w:r>
        <w:rPr>
          <w:rFonts w:asciiTheme="minorHAnsi" w:eastAsiaTheme="minorEastAsia" w:hAnsiTheme="minorHAnsi" w:cstheme="majorBidi" w:hint="eastAsia"/>
          <w:lang w:eastAsia="zh-CN"/>
        </w:rPr>
        <w:t>和</w:t>
      </w:r>
      <w:r w:rsidRPr="00256D7E">
        <w:rPr>
          <w:rFonts w:eastAsia="Times New Roman"/>
          <w:color w:val="000000"/>
          <w:lang w:eastAsia="zh-CN"/>
        </w:rPr>
        <w:t>CWG-FHR</w:t>
      </w:r>
      <w:r>
        <w:rPr>
          <w:rFonts w:asciiTheme="minorHAnsi" w:eastAsiaTheme="minorEastAsia" w:hAnsiTheme="minorHAnsi" w:cstheme="majorBidi" w:hint="eastAsia"/>
          <w:lang w:eastAsia="zh-CN"/>
        </w:rPr>
        <w:t>）的协助下，根据他们各自的职责开展紧急研究，以便就</w:t>
      </w:r>
      <w:r w:rsidR="00DE2450">
        <w:rPr>
          <w:rFonts w:hint="eastAsia"/>
          <w:bCs/>
          <w:lang w:eastAsia="zh-CN"/>
        </w:rPr>
        <w:t>处理复杂非对地静止（</w:t>
      </w:r>
      <w:r w:rsidR="00DE2450" w:rsidRPr="00434AC0">
        <w:rPr>
          <w:lang w:eastAsia="zh-CN"/>
        </w:rPr>
        <w:t>non-GSO</w:t>
      </w:r>
      <w:r w:rsidR="00DE2450">
        <w:rPr>
          <w:rFonts w:hint="eastAsia"/>
          <w:bCs/>
          <w:lang w:eastAsia="zh-CN"/>
        </w:rPr>
        <w:t>）卫星</w:t>
      </w:r>
      <w:r w:rsidR="00DE2450">
        <w:rPr>
          <w:rFonts w:hint="eastAsia"/>
          <w:bCs/>
          <w:lang w:val="en-US" w:eastAsia="zh-CN"/>
        </w:rPr>
        <w:t>系统</w:t>
      </w:r>
      <w:r w:rsidR="00DE2450">
        <w:rPr>
          <w:rFonts w:hint="eastAsia"/>
          <w:bCs/>
          <w:lang w:eastAsia="zh-CN"/>
        </w:rPr>
        <w:t>申报资料的成本回收问题做出考虑周全的决定。</w:t>
      </w:r>
    </w:p>
    <w:p w:rsidR="003F096F" w:rsidRDefault="003F096F" w:rsidP="0032202E">
      <w:pPr>
        <w:pStyle w:val="Reasons"/>
      </w:pPr>
    </w:p>
    <w:p w:rsidR="003F096F" w:rsidRDefault="003F096F">
      <w:pPr>
        <w:jc w:val="center"/>
      </w:pPr>
      <w:r>
        <w:t>______________</w:t>
      </w:r>
    </w:p>
    <w:sectPr w:rsidR="003F096F" w:rsidSect="006C36CD">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D7E" w:rsidRDefault="00256D7E">
      <w:r>
        <w:separator/>
      </w:r>
    </w:p>
  </w:endnote>
  <w:endnote w:type="continuationSeparator" w:id="0">
    <w:p w:rsidR="00256D7E" w:rsidRDefault="0025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A53" w:rsidRPr="004E4BFF" w:rsidRDefault="003F096F" w:rsidP="002F4614">
    <w:pPr>
      <w:pStyle w:val="Footer"/>
    </w:pPr>
    <w:r>
      <w:fldChar w:fldCharType="begin"/>
    </w:r>
    <w:r>
      <w:instrText xml:space="preserve"> FILENAME \p  \* MERGEFORMAT </w:instrText>
    </w:r>
    <w:r>
      <w:fldChar w:fldCharType="separate"/>
    </w:r>
    <w:r>
      <w:t>P:\CHI\SG\CONSEIL\C18\000\083C.docx</w:t>
    </w:r>
    <w:r>
      <w:fldChar w:fldCharType="end"/>
    </w:r>
    <w:r w:rsidR="004E4BFF">
      <w:t xml:space="preserve"> (</w:t>
    </w:r>
    <w:r w:rsidR="002F4614">
      <w:t>434480</w:t>
    </w:r>
    <w:r w:rsidR="004E4BFF">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16F" w:rsidRDefault="00AC516F" w:rsidP="00001B77">
    <w:pPr>
      <w:spacing w:after="120"/>
      <w:jc w:val="center"/>
      <w:rPr>
        <w:lang w:val="fr-CH"/>
      </w:rPr>
    </w:pPr>
    <w:r>
      <w:rPr>
        <w:lang w:val="fr-CH"/>
      </w:rPr>
      <w:t xml:space="preserve">• </w:t>
    </w:r>
    <w:hyperlink r:id="rId1" w:history="1">
      <w:r>
        <w:rPr>
          <w:rStyle w:val="Hyperlink"/>
          <w:lang w:val="fr-CH"/>
        </w:rPr>
        <w:t>http://www.itu.int/council</w:t>
      </w:r>
    </w:hyperlink>
    <w:r>
      <w:rPr>
        <w:lang w:val="fr-CH"/>
      </w:rPr>
      <w:t xml:space="preserve"> •</w:t>
    </w:r>
  </w:p>
  <w:p w:rsidR="00B40A53" w:rsidRDefault="00DE2450" w:rsidP="002F4614">
    <w:pPr>
      <w:pStyle w:val="Footer"/>
    </w:pPr>
    <w:fldSimple w:instr=" FILENAME \p  \* MERGEFORMAT ">
      <w:r w:rsidR="003F096F">
        <w:t>P:\CHI\SG\CONSEIL\C18\000\083C.docx</w:t>
      </w:r>
    </w:fldSimple>
    <w:r w:rsidR="002F4614">
      <w:t xml:space="preserve"> (434480)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D7E" w:rsidRDefault="00256D7E">
      <w:r>
        <w:t>____________________</w:t>
      </w:r>
    </w:p>
  </w:footnote>
  <w:footnote w:type="continuationSeparator" w:id="0">
    <w:p w:rsidR="00256D7E" w:rsidRDefault="00256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16F" w:rsidRDefault="00AC516F" w:rsidP="00CE6F22">
    <w:pPr>
      <w:pStyle w:val="Header"/>
    </w:pPr>
    <w:r>
      <w:fldChar w:fldCharType="begin"/>
    </w:r>
    <w:r>
      <w:instrText>PAGE</w:instrText>
    </w:r>
    <w:r>
      <w:fldChar w:fldCharType="separate"/>
    </w:r>
    <w:r w:rsidR="003F096F">
      <w:rPr>
        <w:noProof/>
      </w:rPr>
      <w:t>3</w:t>
    </w:r>
    <w:r>
      <w:rPr>
        <w:noProof/>
      </w:rPr>
      <w:fldChar w:fldCharType="end"/>
    </w:r>
  </w:p>
  <w:p w:rsidR="00AC516F" w:rsidRDefault="0098459B" w:rsidP="00256D7E">
    <w:pPr>
      <w:pStyle w:val="Header"/>
      <w:rPr>
        <w:lang w:eastAsia="zh-CN"/>
      </w:rPr>
    </w:pPr>
    <w:r>
      <w:t>C1</w:t>
    </w:r>
    <w:r w:rsidR="00D21F11">
      <w:rPr>
        <w:lang w:eastAsia="zh-CN"/>
      </w:rPr>
      <w:t>8</w:t>
    </w:r>
    <w:r w:rsidR="004672E6">
      <w:t>/</w:t>
    </w:r>
    <w:r w:rsidR="00256D7E">
      <w:rPr>
        <w:lang w:eastAsia="zh-CN"/>
      </w:rPr>
      <w:t>83</w:t>
    </w:r>
    <w:r w:rsidR="00AC516F">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584A12"/>
    <w:multiLevelType w:val="hybridMultilevel"/>
    <w:tmpl w:val="F07C5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4"/>
  </w:num>
  <w:num w:numId="4">
    <w:abstractNumId w:val="5"/>
  </w:num>
  <w:num w:numId="5">
    <w:abstractNumId w:val="7"/>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D7E"/>
    <w:rsid w:val="00001B77"/>
    <w:rsid w:val="0000517A"/>
    <w:rsid w:val="00031E72"/>
    <w:rsid w:val="000404D2"/>
    <w:rsid w:val="000853C0"/>
    <w:rsid w:val="000A1C21"/>
    <w:rsid w:val="000C6857"/>
    <w:rsid w:val="000D15EA"/>
    <w:rsid w:val="00100D84"/>
    <w:rsid w:val="00124C9D"/>
    <w:rsid w:val="00157773"/>
    <w:rsid w:val="0018251A"/>
    <w:rsid w:val="001869D5"/>
    <w:rsid w:val="00190272"/>
    <w:rsid w:val="00193244"/>
    <w:rsid w:val="00195C6C"/>
    <w:rsid w:val="00195FED"/>
    <w:rsid w:val="001A4BD6"/>
    <w:rsid w:val="001D5A18"/>
    <w:rsid w:val="00256D7E"/>
    <w:rsid w:val="00280EB8"/>
    <w:rsid w:val="002A6670"/>
    <w:rsid w:val="002F4614"/>
    <w:rsid w:val="00303502"/>
    <w:rsid w:val="00325C25"/>
    <w:rsid w:val="00372C8F"/>
    <w:rsid w:val="00380ECE"/>
    <w:rsid w:val="00393DDF"/>
    <w:rsid w:val="00397F55"/>
    <w:rsid w:val="003B4454"/>
    <w:rsid w:val="003C2E37"/>
    <w:rsid w:val="003F096F"/>
    <w:rsid w:val="003F1415"/>
    <w:rsid w:val="0040144C"/>
    <w:rsid w:val="00403EB7"/>
    <w:rsid w:val="00430BF0"/>
    <w:rsid w:val="004549A0"/>
    <w:rsid w:val="004672E6"/>
    <w:rsid w:val="00474ED1"/>
    <w:rsid w:val="00493085"/>
    <w:rsid w:val="004A36EC"/>
    <w:rsid w:val="004D163F"/>
    <w:rsid w:val="004E4BFF"/>
    <w:rsid w:val="004F2598"/>
    <w:rsid w:val="005403F7"/>
    <w:rsid w:val="00540632"/>
    <w:rsid w:val="00541CF4"/>
    <w:rsid w:val="005451E8"/>
    <w:rsid w:val="005507F2"/>
    <w:rsid w:val="005759CC"/>
    <w:rsid w:val="005A72E1"/>
    <w:rsid w:val="005C6632"/>
    <w:rsid w:val="005D1C9E"/>
    <w:rsid w:val="0060555C"/>
    <w:rsid w:val="00654257"/>
    <w:rsid w:val="0065435A"/>
    <w:rsid w:val="006A2DD3"/>
    <w:rsid w:val="006A5AF8"/>
    <w:rsid w:val="006C36CD"/>
    <w:rsid w:val="00700D1F"/>
    <w:rsid w:val="007205CB"/>
    <w:rsid w:val="00726073"/>
    <w:rsid w:val="00734FE8"/>
    <w:rsid w:val="007360CE"/>
    <w:rsid w:val="00772315"/>
    <w:rsid w:val="00775157"/>
    <w:rsid w:val="007813AE"/>
    <w:rsid w:val="00785BBF"/>
    <w:rsid w:val="007A37DB"/>
    <w:rsid w:val="007E189D"/>
    <w:rsid w:val="00811259"/>
    <w:rsid w:val="00813AA2"/>
    <w:rsid w:val="008173A3"/>
    <w:rsid w:val="0086059C"/>
    <w:rsid w:val="00864589"/>
    <w:rsid w:val="00890AFB"/>
    <w:rsid w:val="00890FC4"/>
    <w:rsid w:val="00894AD4"/>
    <w:rsid w:val="00895905"/>
    <w:rsid w:val="009164A9"/>
    <w:rsid w:val="009258CB"/>
    <w:rsid w:val="0093362E"/>
    <w:rsid w:val="00944563"/>
    <w:rsid w:val="00953160"/>
    <w:rsid w:val="009625D8"/>
    <w:rsid w:val="0098459B"/>
    <w:rsid w:val="00997185"/>
    <w:rsid w:val="009C2458"/>
    <w:rsid w:val="009C4A7B"/>
    <w:rsid w:val="009C6123"/>
    <w:rsid w:val="009F1E3E"/>
    <w:rsid w:val="00A1213C"/>
    <w:rsid w:val="00A272FF"/>
    <w:rsid w:val="00A52DB1"/>
    <w:rsid w:val="00A5354B"/>
    <w:rsid w:val="00A71B57"/>
    <w:rsid w:val="00AB42C1"/>
    <w:rsid w:val="00AC516F"/>
    <w:rsid w:val="00AE2926"/>
    <w:rsid w:val="00B0184B"/>
    <w:rsid w:val="00B035CD"/>
    <w:rsid w:val="00B0769D"/>
    <w:rsid w:val="00B217F8"/>
    <w:rsid w:val="00B332EA"/>
    <w:rsid w:val="00B40A53"/>
    <w:rsid w:val="00B45365"/>
    <w:rsid w:val="00B46A65"/>
    <w:rsid w:val="00B60184"/>
    <w:rsid w:val="00B62D20"/>
    <w:rsid w:val="00B81E75"/>
    <w:rsid w:val="00BC1318"/>
    <w:rsid w:val="00BD04F1"/>
    <w:rsid w:val="00BD1A5A"/>
    <w:rsid w:val="00BD7A9B"/>
    <w:rsid w:val="00BD7BE1"/>
    <w:rsid w:val="00BF416B"/>
    <w:rsid w:val="00C42516"/>
    <w:rsid w:val="00C64E4E"/>
    <w:rsid w:val="00C66E64"/>
    <w:rsid w:val="00C761A0"/>
    <w:rsid w:val="00C85F7E"/>
    <w:rsid w:val="00C90D53"/>
    <w:rsid w:val="00CD47F0"/>
    <w:rsid w:val="00CD5566"/>
    <w:rsid w:val="00CD64D7"/>
    <w:rsid w:val="00CE6F22"/>
    <w:rsid w:val="00CF41F6"/>
    <w:rsid w:val="00CF7D3E"/>
    <w:rsid w:val="00D02B4E"/>
    <w:rsid w:val="00D21F11"/>
    <w:rsid w:val="00D36817"/>
    <w:rsid w:val="00D5666C"/>
    <w:rsid w:val="00D666BC"/>
    <w:rsid w:val="00D83542"/>
    <w:rsid w:val="00D92F45"/>
    <w:rsid w:val="00D94637"/>
    <w:rsid w:val="00D9725C"/>
    <w:rsid w:val="00DA7006"/>
    <w:rsid w:val="00DC6427"/>
    <w:rsid w:val="00DD66A1"/>
    <w:rsid w:val="00DE196D"/>
    <w:rsid w:val="00DE2450"/>
    <w:rsid w:val="00DF6B49"/>
    <w:rsid w:val="00E067C5"/>
    <w:rsid w:val="00E265BF"/>
    <w:rsid w:val="00E378D8"/>
    <w:rsid w:val="00E43A12"/>
    <w:rsid w:val="00E67C67"/>
    <w:rsid w:val="00E77476"/>
    <w:rsid w:val="00E8228B"/>
    <w:rsid w:val="00EE5706"/>
    <w:rsid w:val="00EF373D"/>
    <w:rsid w:val="00F11595"/>
    <w:rsid w:val="00F13BC9"/>
    <w:rsid w:val="00F357B2"/>
    <w:rsid w:val="00F36556"/>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99A1BD3-3398-459F-BD48-155D5BF2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S17-CL-C-0135/e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yji\AppData\Roaming\Microsoft\Templates\POOL%20C%20-%20ITU\PC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BEC83-7955-4F94-A9E5-96A9E7C48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PC_C18.dotx</Template>
  <TotalTime>3</TotalTime>
  <Pages>3</Pages>
  <Words>1587</Words>
  <Characters>389</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1973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Council 2018</dc:subject>
  <dc:creator>Wang, Yujia</dc:creator>
  <cp:keywords>C2018, C18</cp:keywords>
  <dc:description/>
  <cp:lastModifiedBy>Wang, Yujia</cp:lastModifiedBy>
  <cp:revision>3</cp:revision>
  <cp:lastPrinted>2015-02-24T13:23:00Z</cp:lastPrinted>
  <dcterms:created xsi:type="dcterms:W3CDTF">2018-04-13T08:04:00Z</dcterms:created>
  <dcterms:modified xsi:type="dcterms:W3CDTF">2018-04-13T08:07:00Z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