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C2E94">
        <w:trPr>
          <w:cantSplit/>
        </w:trPr>
        <w:tc>
          <w:tcPr>
            <w:tcW w:w="6912" w:type="dxa"/>
          </w:tcPr>
          <w:p w:rsidR="00093EEB" w:rsidRPr="005C2E94" w:rsidRDefault="00093EEB" w:rsidP="00953D1B">
            <w:pPr>
              <w:spacing w:before="360"/>
              <w:rPr>
                <w:szCs w:val="24"/>
              </w:rPr>
            </w:pPr>
            <w:bookmarkStart w:id="0" w:name="dbluepink" w:colFirst="0" w:colLast="0"/>
            <w:bookmarkStart w:id="1" w:name="dc06"/>
            <w:bookmarkStart w:id="2" w:name="_GoBack"/>
            <w:bookmarkEnd w:id="1"/>
            <w:bookmarkEnd w:id="2"/>
            <w:r w:rsidRPr="005C2E94">
              <w:rPr>
                <w:b/>
                <w:bCs/>
                <w:sz w:val="30"/>
                <w:szCs w:val="30"/>
              </w:rPr>
              <w:t>Consejo 201</w:t>
            </w:r>
            <w:r w:rsidR="009F4811" w:rsidRPr="005C2E94">
              <w:rPr>
                <w:b/>
                <w:bCs/>
                <w:sz w:val="30"/>
                <w:szCs w:val="30"/>
              </w:rPr>
              <w:t>8</w:t>
            </w:r>
            <w:r w:rsidRPr="005C2E94">
              <w:rPr>
                <w:b/>
                <w:bCs/>
                <w:sz w:val="26"/>
                <w:szCs w:val="26"/>
              </w:rPr>
              <w:br/>
            </w:r>
            <w:r w:rsidRPr="005C2E94">
              <w:rPr>
                <w:b/>
                <w:bCs/>
                <w:szCs w:val="24"/>
              </w:rPr>
              <w:t>Ginebra, 1</w:t>
            </w:r>
            <w:r w:rsidR="009F4811" w:rsidRPr="005C2E94">
              <w:rPr>
                <w:b/>
                <w:bCs/>
                <w:szCs w:val="24"/>
              </w:rPr>
              <w:t>7</w:t>
            </w:r>
            <w:r w:rsidRPr="005C2E94">
              <w:rPr>
                <w:b/>
                <w:bCs/>
                <w:szCs w:val="24"/>
              </w:rPr>
              <w:t>-2</w:t>
            </w:r>
            <w:r w:rsidR="009F4811" w:rsidRPr="005C2E94">
              <w:rPr>
                <w:b/>
                <w:bCs/>
                <w:szCs w:val="24"/>
              </w:rPr>
              <w:t>7</w:t>
            </w:r>
            <w:r w:rsidRPr="005C2E94">
              <w:rPr>
                <w:b/>
                <w:bCs/>
                <w:szCs w:val="24"/>
              </w:rPr>
              <w:t xml:space="preserve"> de </w:t>
            </w:r>
            <w:r w:rsidR="009F4811" w:rsidRPr="005C2E94">
              <w:rPr>
                <w:b/>
                <w:bCs/>
                <w:szCs w:val="24"/>
              </w:rPr>
              <w:t>abril</w:t>
            </w:r>
            <w:r w:rsidRPr="005C2E94">
              <w:rPr>
                <w:b/>
                <w:bCs/>
                <w:szCs w:val="24"/>
              </w:rPr>
              <w:t xml:space="preserve"> de 201</w:t>
            </w:r>
            <w:r w:rsidR="009F4811" w:rsidRPr="005C2E94">
              <w:rPr>
                <w:b/>
                <w:bCs/>
                <w:szCs w:val="24"/>
              </w:rPr>
              <w:t>8</w:t>
            </w:r>
          </w:p>
        </w:tc>
        <w:tc>
          <w:tcPr>
            <w:tcW w:w="3261" w:type="dxa"/>
          </w:tcPr>
          <w:p w:rsidR="00093EEB" w:rsidRPr="005C2E94" w:rsidRDefault="00093EEB" w:rsidP="00953D1B">
            <w:pPr>
              <w:spacing w:before="0"/>
              <w:jc w:val="right"/>
              <w:rPr>
                <w:szCs w:val="24"/>
              </w:rPr>
            </w:pPr>
            <w:bookmarkStart w:id="3" w:name="ditulogo"/>
            <w:bookmarkEnd w:id="3"/>
            <w:r w:rsidRPr="005C2E94">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C2E94">
        <w:trPr>
          <w:cantSplit/>
          <w:trHeight w:val="20"/>
        </w:trPr>
        <w:tc>
          <w:tcPr>
            <w:tcW w:w="10173" w:type="dxa"/>
            <w:gridSpan w:val="2"/>
            <w:tcBorders>
              <w:bottom w:val="single" w:sz="12" w:space="0" w:color="auto"/>
            </w:tcBorders>
          </w:tcPr>
          <w:p w:rsidR="00093EEB" w:rsidRPr="005C2E94" w:rsidRDefault="00093EEB" w:rsidP="00953D1B">
            <w:pPr>
              <w:spacing w:before="0"/>
              <w:rPr>
                <w:b/>
                <w:bCs/>
                <w:szCs w:val="24"/>
              </w:rPr>
            </w:pPr>
          </w:p>
        </w:tc>
      </w:tr>
      <w:tr w:rsidR="00093EEB" w:rsidRPr="005C2E94">
        <w:trPr>
          <w:cantSplit/>
          <w:trHeight w:val="20"/>
        </w:trPr>
        <w:tc>
          <w:tcPr>
            <w:tcW w:w="6912" w:type="dxa"/>
            <w:tcBorders>
              <w:top w:val="single" w:sz="12" w:space="0" w:color="auto"/>
            </w:tcBorders>
          </w:tcPr>
          <w:p w:rsidR="00093EEB" w:rsidRPr="005C2E94" w:rsidRDefault="00093EEB" w:rsidP="00953D1B">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5C2E94" w:rsidRDefault="00093EEB" w:rsidP="00953D1B">
            <w:pPr>
              <w:spacing w:before="0"/>
              <w:rPr>
                <w:b/>
                <w:bCs/>
                <w:szCs w:val="24"/>
              </w:rPr>
            </w:pPr>
          </w:p>
        </w:tc>
      </w:tr>
      <w:tr w:rsidR="00093EEB" w:rsidRPr="005C2E94">
        <w:trPr>
          <w:cantSplit/>
          <w:trHeight w:val="20"/>
        </w:trPr>
        <w:tc>
          <w:tcPr>
            <w:tcW w:w="6912" w:type="dxa"/>
            <w:shd w:val="clear" w:color="auto" w:fill="auto"/>
          </w:tcPr>
          <w:p w:rsidR="00093EEB" w:rsidRPr="005C2E94" w:rsidRDefault="00292189" w:rsidP="00953D1B">
            <w:pPr>
              <w:tabs>
                <w:tab w:val="clear" w:pos="2268"/>
                <w:tab w:val="left" w:pos="1560"/>
                <w:tab w:val="left" w:pos="2269"/>
                <w:tab w:val="left" w:pos="3544"/>
                <w:tab w:val="left" w:pos="3969"/>
              </w:tabs>
              <w:spacing w:before="0"/>
              <w:rPr>
                <w:rFonts w:cs="Times"/>
                <w:b/>
                <w:szCs w:val="24"/>
              </w:rPr>
            </w:pPr>
            <w:bookmarkStart w:id="4" w:name="dnum" w:colFirst="1" w:colLast="1"/>
            <w:bookmarkStart w:id="5" w:name="dmeeting" w:colFirst="0" w:colLast="0"/>
            <w:r w:rsidRPr="005C2E94">
              <w:rPr>
                <w:rFonts w:cs="Times"/>
                <w:b/>
                <w:szCs w:val="24"/>
              </w:rPr>
              <w:t>Punto del orden del día: PL 1.9</w:t>
            </w:r>
          </w:p>
        </w:tc>
        <w:tc>
          <w:tcPr>
            <w:tcW w:w="3261" w:type="dxa"/>
          </w:tcPr>
          <w:p w:rsidR="00093EEB" w:rsidRPr="005C2E94" w:rsidRDefault="00093EEB" w:rsidP="00953D1B">
            <w:pPr>
              <w:spacing w:before="0"/>
              <w:rPr>
                <w:b/>
                <w:bCs/>
                <w:szCs w:val="24"/>
              </w:rPr>
            </w:pPr>
            <w:r w:rsidRPr="005C2E94">
              <w:rPr>
                <w:b/>
                <w:bCs/>
                <w:szCs w:val="24"/>
              </w:rPr>
              <w:t>Documento C1</w:t>
            </w:r>
            <w:r w:rsidR="009F4811" w:rsidRPr="005C2E94">
              <w:rPr>
                <w:b/>
                <w:bCs/>
                <w:szCs w:val="24"/>
              </w:rPr>
              <w:t>8</w:t>
            </w:r>
            <w:r w:rsidRPr="005C2E94">
              <w:rPr>
                <w:b/>
                <w:bCs/>
                <w:szCs w:val="24"/>
              </w:rPr>
              <w:t>/</w:t>
            </w:r>
            <w:r w:rsidR="00292189" w:rsidRPr="005C2E94">
              <w:rPr>
                <w:b/>
                <w:bCs/>
                <w:szCs w:val="24"/>
              </w:rPr>
              <w:t>81</w:t>
            </w:r>
            <w:r w:rsidRPr="005C2E94">
              <w:rPr>
                <w:b/>
                <w:bCs/>
                <w:szCs w:val="24"/>
              </w:rPr>
              <w:t>-S</w:t>
            </w:r>
          </w:p>
        </w:tc>
      </w:tr>
      <w:tr w:rsidR="00093EEB" w:rsidRPr="005C2E94">
        <w:trPr>
          <w:cantSplit/>
          <w:trHeight w:val="20"/>
        </w:trPr>
        <w:tc>
          <w:tcPr>
            <w:tcW w:w="6912" w:type="dxa"/>
            <w:shd w:val="clear" w:color="auto" w:fill="auto"/>
          </w:tcPr>
          <w:p w:rsidR="00093EEB" w:rsidRPr="005C2E94" w:rsidRDefault="00093EEB" w:rsidP="00953D1B">
            <w:pPr>
              <w:shd w:val="solid" w:color="FFFFFF" w:fill="FFFFFF"/>
              <w:spacing w:before="0"/>
              <w:rPr>
                <w:smallCaps/>
                <w:szCs w:val="24"/>
              </w:rPr>
            </w:pPr>
            <w:bookmarkStart w:id="6" w:name="ddate" w:colFirst="1" w:colLast="1"/>
            <w:bookmarkEnd w:id="4"/>
            <w:bookmarkEnd w:id="5"/>
          </w:p>
        </w:tc>
        <w:tc>
          <w:tcPr>
            <w:tcW w:w="3261" w:type="dxa"/>
          </w:tcPr>
          <w:p w:rsidR="00093EEB" w:rsidRPr="005C2E94" w:rsidRDefault="00292189" w:rsidP="00953D1B">
            <w:pPr>
              <w:spacing w:before="0"/>
              <w:rPr>
                <w:b/>
                <w:bCs/>
                <w:szCs w:val="24"/>
              </w:rPr>
            </w:pPr>
            <w:r w:rsidRPr="005C2E94">
              <w:rPr>
                <w:b/>
                <w:bCs/>
                <w:szCs w:val="24"/>
              </w:rPr>
              <w:t>3 de abril</w:t>
            </w:r>
            <w:r w:rsidR="00093EEB" w:rsidRPr="005C2E94">
              <w:rPr>
                <w:b/>
                <w:bCs/>
                <w:szCs w:val="24"/>
              </w:rPr>
              <w:t xml:space="preserve"> de 201</w:t>
            </w:r>
            <w:r w:rsidR="009F4811" w:rsidRPr="005C2E94">
              <w:rPr>
                <w:b/>
                <w:bCs/>
                <w:szCs w:val="24"/>
              </w:rPr>
              <w:t>8</w:t>
            </w:r>
          </w:p>
        </w:tc>
      </w:tr>
      <w:tr w:rsidR="00093EEB" w:rsidRPr="005C2E94">
        <w:trPr>
          <w:cantSplit/>
          <w:trHeight w:val="20"/>
        </w:trPr>
        <w:tc>
          <w:tcPr>
            <w:tcW w:w="6912" w:type="dxa"/>
            <w:shd w:val="clear" w:color="auto" w:fill="auto"/>
          </w:tcPr>
          <w:p w:rsidR="00093EEB" w:rsidRPr="005C2E94" w:rsidRDefault="00093EEB" w:rsidP="00953D1B">
            <w:pPr>
              <w:shd w:val="solid" w:color="FFFFFF" w:fill="FFFFFF"/>
              <w:spacing w:before="0"/>
              <w:rPr>
                <w:smallCaps/>
                <w:szCs w:val="24"/>
              </w:rPr>
            </w:pPr>
            <w:bookmarkStart w:id="7" w:name="dorlang" w:colFirst="1" w:colLast="1"/>
            <w:bookmarkEnd w:id="6"/>
          </w:p>
        </w:tc>
        <w:tc>
          <w:tcPr>
            <w:tcW w:w="3261" w:type="dxa"/>
          </w:tcPr>
          <w:p w:rsidR="00093EEB" w:rsidRPr="005C2E94" w:rsidRDefault="00093EEB" w:rsidP="00953D1B">
            <w:pPr>
              <w:spacing w:before="0"/>
              <w:rPr>
                <w:b/>
                <w:bCs/>
                <w:szCs w:val="24"/>
              </w:rPr>
            </w:pPr>
            <w:r w:rsidRPr="005C2E94">
              <w:rPr>
                <w:b/>
                <w:bCs/>
                <w:szCs w:val="24"/>
              </w:rPr>
              <w:t>Original: inglés</w:t>
            </w:r>
          </w:p>
        </w:tc>
      </w:tr>
      <w:tr w:rsidR="00093EEB" w:rsidRPr="005C2E94">
        <w:trPr>
          <w:cantSplit/>
        </w:trPr>
        <w:tc>
          <w:tcPr>
            <w:tcW w:w="10173" w:type="dxa"/>
            <w:gridSpan w:val="2"/>
          </w:tcPr>
          <w:p w:rsidR="00093EEB" w:rsidRPr="005C2E94" w:rsidRDefault="00292189" w:rsidP="00953D1B">
            <w:pPr>
              <w:pStyle w:val="Source"/>
            </w:pPr>
            <w:bookmarkStart w:id="8" w:name="dsource" w:colFirst="0" w:colLast="0"/>
            <w:bookmarkEnd w:id="0"/>
            <w:bookmarkEnd w:id="7"/>
            <w:r w:rsidRPr="005C2E94">
              <w:t>Nota del Secretario General</w:t>
            </w:r>
          </w:p>
        </w:tc>
      </w:tr>
      <w:tr w:rsidR="00093EEB" w:rsidRPr="005C2E94">
        <w:trPr>
          <w:cantSplit/>
        </w:trPr>
        <w:tc>
          <w:tcPr>
            <w:tcW w:w="10173" w:type="dxa"/>
            <w:gridSpan w:val="2"/>
          </w:tcPr>
          <w:p w:rsidR="00093EEB" w:rsidRPr="005C2E94" w:rsidRDefault="00292189" w:rsidP="00953D1B">
            <w:pPr>
              <w:pStyle w:val="Title1"/>
            </w:pPr>
            <w:bookmarkStart w:id="9" w:name="dtitle1" w:colFirst="0" w:colLast="0"/>
            <w:bookmarkEnd w:id="8"/>
            <w:r w:rsidRPr="005C2E94">
              <w:t>contribución de la federación de rusia</w:t>
            </w:r>
          </w:p>
        </w:tc>
      </w:tr>
      <w:tr w:rsidR="00292189" w:rsidRPr="005C2E94">
        <w:trPr>
          <w:cantSplit/>
        </w:trPr>
        <w:tc>
          <w:tcPr>
            <w:tcW w:w="10173" w:type="dxa"/>
            <w:gridSpan w:val="2"/>
          </w:tcPr>
          <w:p w:rsidR="00292189" w:rsidRPr="005C2E94" w:rsidRDefault="00D75048" w:rsidP="00953D1B">
            <w:pPr>
              <w:pStyle w:val="Title2"/>
            </w:pPr>
            <w:bookmarkStart w:id="10" w:name="_Toc477787128"/>
            <w:r w:rsidRPr="005C2E94">
              <w:t>Nombramiento y duración máxima del mandato de los Presidentes y Vicepresidentes de las Comisiones de Estudio, los Grupos Asesores y los comités de coordinación de vocabulari</w:t>
            </w:r>
            <w:bookmarkEnd w:id="10"/>
            <w:r w:rsidRPr="005C2E94">
              <w:t>o de los Sectores</w:t>
            </w:r>
          </w:p>
        </w:tc>
      </w:tr>
    </w:tbl>
    <w:bookmarkEnd w:id="9"/>
    <w:p w:rsidR="00292189" w:rsidRPr="005C2E94" w:rsidRDefault="00292189" w:rsidP="00953D1B">
      <w:pPr>
        <w:pStyle w:val="Normalaftertitle"/>
        <w:rPr>
          <w:b/>
          <w:bCs/>
        </w:rPr>
      </w:pPr>
      <w:r w:rsidRPr="005C2E94">
        <w:t xml:space="preserve">Tengo el honor de transmitir a los Estados Miembros del Consejo la contribución adjunta presentada por la </w:t>
      </w:r>
      <w:r w:rsidRPr="005C2E94">
        <w:rPr>
          <w:b/>
          <w:bCs/>
        </w:rPr>
        <w:t>Federación de Rusia</w:t>
      </w:r>
      <w:r w:rsidRPr="005C2E94">
        <w:t>.</w:t>
      </w:r>
    </w:p>
    <w:p w:rsidR="00292189" w:rsidRPr="005C2E94" w:rsidRDefault="00292189" w:rsidP="00953D1B"/>
    <w:p w:rsidR="00292189" w:rsidRPr="005C2E94" w:rsidRDefault="00292189" w:rsidP="00953D1B"/>
    <w:p w:rsidR="00292189" w:rsidRPr="005C2E94" w:rsidRDefault="00292189" w:rsidP="00953D1B">
      <w:pPr>
        <w:tabs>
          <w:tab w:val="clear" w:pos="567"/>
          <w:tab w:val="clear" w:pos="1134"/>
          <w:tab w:val="clear" w:pos="1701"/>
          <w:tab w:val="clear" w:pos="2268"/>
          <w:tab w:val="clear" w:pos="2835"/>
          <w:tab w:val="center" w:pos="7088"/>
        </w:tabs>
      </w:pPr>
      <w:r w:rsidRPr="005C2E94">
        <w:tab/>
        <w:t>Houlin ZHAO</w:t>
      </w:r>
      <w:r w:rsidRPr="005C2E94">
        <w:br/>
      </w:r>
      <w:r w:rsidRPr="005C2E94">
        <w:tab/>
        <w:t>Secretario General</w:t>
      </w:r>
    </w:p>
    <w:p w:rsidR="00292189" w:rsidRPr="005C2E94" w:rsidRDefault="00292189" w:rsidP="00953D1B">
      <w:pPr>
        <w:tabs>
          <w:tab w:val="clear" w:pos="567"/>
          <w:tab w:val="clear" w:pos="1134"/>
          <w:tab w:val="clear" w:pos="1701"/>
          <w:tab w:val="clear" w:pos="2268"/>
          <w:tab w:val="clear" w:pos="2835"/>
        </w:tabs>
        <w:overflowPunct/>
        <w:autoSpaceDE/>
        <w:autoSpaceDN/>
        <w:adjustRightInd/>
        <w:spacing w:before="0"/>
        <w:textAlignment w:val="auto"/>
      </w:pPr>
      <w:r w:rsidRPr="005C2E94">
        <w:br w:type="page"/>
      </w:r>
    </w:p>
    <w:p w:rsidR="00292189" w:rsidRPr="005C2E94" w:rsidRDefault="00292189" w:rsidP="00953D1B">
      <w:pPr>
        <w:pStyle w:val="Title1"/>
      </w:pPr>
      <w:r w:rsidRPr="005C2E94">
        <w:lastRenderedPageBreak/>
        <w:t>federación de rusia</w:t>
      </w:r>
    </w:p>
    <w:p w:rsidR="00292189" w:rsidRPr="005C2E94" w:rsidRDefault="00D75048" w:rsidP="00953D1B">
      <w:pPr>
        <w:pStyle w:val="Title2"/>
      </w:pPr>
      <w:r w:rsidRPr="005C2E94">
        <w:t>Nombramiento y duración máxima del mandato de los Presidentes y Vicepresidentes de las Comisiones de Estudio, los Grupos Asesores y los comités de coordinación de vocabulario de los Sectores</w:t>
      </w:r>
    </w:p>
    <w:p w:rsidR="00292189" w:rsidRPr="005C2E94" w:rsidRDefault="00D75048" w:rsidP="00953D1B">
      <w:r w:rsidRPr="005C2E94">
        <w:t xml:space="preserve">La </w:t>
      </w:r>
      <w:r w:rsidR="00292189" w:rsidRPr="005C2E94">
        <w:t>Administr</w:t>
      </w:r>
      <w:r w:rsidRPr="005C2E94">
        <w:t>ac</w:t>
      </w:r>
      <w:r w:rsidR="00292189" w:rsidRPr="005C2E94">
        <w:t>i</w:t>
      </w:r>
      <w:r w:rsidRPr="005C2E94">
        <w:t>ó</w:t>
      </w:r>
      <w:r w:rsidR="00292189" w:rsidRPr="005C2E94">
        <w:t xml:space="preserve">n </w:t>
      </w:r>
      <w:r w:rsidRPr="005C2E94">
        <w:t>de la Federación de Rusia propone</w:t>
      </w:r>
      <w:r w:rsidR="00292189" w:rsidRPr="005C2E94">
        <w:t xml:space="preserve"> </w:t>
      </w:r>
      <w:r w:rsidRPr="005C2E94">
        <w:t xml:space="preserve">que el Consejo de la UIT examine el proyecto de nueva Resolución sobre el nombramiento y la duración máxima del mandato de los </w:t>
      </w:r>
      <w:r w:rsidR="00FA1DC8" w:rsidRPr="005C2E94">
        <w:t>presidentes</w:t>
      </w:r>
      <w:r w:rsidRPr="005C2E94">
        <w:t xml:space="preserve"> y </w:t>
      </w:r>
      <w:r w:rsidR="00FA1DC8" w:rsidRPr="005C2E94">
        <w:t>vicepresidentes</w:t>
      </w:r>
      <w:r w:rsidRPr="005C2E94">
        <w:t xml:space="preserve"> de las Comisiones de Estudio, los Grupos Asesores y los Comités de Coordinación de Vocabulario de los Sectores, que se adjunta a continuación</w:t>
      </w:r>
      <w:r w:rsidR="00292189" w:rsidRPr="005C2E94">
        <w:t>.</w:t>
      </w:r>
    </w:p>
    <w:p w:rsidR="00292189" w:rsidRPr="005C2E94" w:rsidRDefault="00292189" w:rsidP="00953D1B">
      <w:pPr>
        <w:pStyle w:val="Headingb"/>
      </w:pPr>
      <w:r w:rsidRPr="005C2E94">
        <w:t>ADD</w:t>
      </w:r>
    </w:p>
    <w:p w:rsidR="00292189" w:rsidRPr="005C2E94" w:rsidRDefault="00292189" w:rsidP="00953D1B">
      <w:pPr>
        <w:pStyle w:val="ResNo"/>
      </w:pPr>
      <w:r w:rsidRPr="005C2E94">
        <w:t>proyecto de nueva resolución</w:t>
      </w:r>
    </w:p>
    <w:p w:rsidR="00292189" w:rsidRPr="005C2E94" w:rsidRDefault="00D75048" w:rsidP="00953D1B">
      <w:pPr>
        <w:pStyle w:val="Restitle"/>
      </w:pPr>
      <w:r w:rsidRPr="005C2E94">
        <w:t xml:space="preserve">Nombramiento y duración máxima del mandato de los </w:t>
      </w:r>
      <w:r w:rsidR="00FA1DC8" w:rsidRPr="005C2E94">
        <w:t>presidentes</w:t>
      </w:r>
      <w:r w:rsidRPr="005C2E94">
        <w:t xml:space="preserve"> y </w:t>
      </w:r>
      <w:r w:rsidR="00FA1DC8" w:rsidRPr="005C2E94">
        <w:t>vicepresidentes</w:t>
      </w:r>
      <w:r w:rsidRPr="005C2E94">
        <w:t xml:space="preserve"> de las Comisiones de Estudio, los Grupos Asesores y los Comités de Coordinación de Vocabulario de los Sectores</w:t>
      </w:r>
    </w:p>
    <w:p w:rsidR="00292189" w:rsidRPr="005C2E94" w:rsidRDefault="00292189" w:rsidP="00953D1B">
      <w:pPr>
        <w:pStyle w:val="Normalaftertitle"/>
      </w:pPr>
      <w:r w:rsidRPr="005C2E94">
        <w:t>La Conferencia de Plenipotenciarios de la Unión Internacional de Telecomunicaciones (Dubái, 2018),</w:t>
      </w:r>
    </w:p>
    <w:p w:rsidR="00292189" w:rsidRPr="005C2E94" w:rsidRDefault="00292189" w:rsidP="00953D1B">
      <w:pPr>
        <w:pStyle w:val="Call"/>
      </w:pPr>
      <w:r w:rsidRPr="005C2E94">
        <w:t>considerando</w:t>
      </w:r>
    </w:p>
    <w:p w:rsidR="00292189" w:rsidRPr="005C2E94" w:rsidRDefault="00292189" w:rsidP="00953D1B">
      <w:r w:rsidRPr="005C2E94">
        <w:rPr>
          <w:i/>
          <w:iCs/>
        </w:rPr>
        <w:t>a)</w:t>
      </w:r>
      <w:r w:rsidRPr="005C2E94">
        <w:tab/>
      </w:r>
      <w:r w:rsidR="0097267D" w:rsidRPr="005C2E94">
        <w:t xml:space="preserve">la Resolución UIT-R 15-6 de la Asamblea de Radiocomunicaciones (AR) de 2015, la Resolución 35 (Rev. Hammamet, 2016) de la Asamblea Mundial de Normalización de las Telecomunicaciones (AMNT) y la Resolución 61 (Rev. Hyderabad, 2016) de la Conferencia Mundial de Desarrollo de las Telecomunicaciones (CMDT), relativas al nombramiento y la duración máxima del mandato de los </w:t>
      </w:r>
      <w:r w:rsidR="00FA1DC8" w:rsidRPr="005C2E94">
        <w:t>presidentes</w:t>
      </w:r>
      <w:r w:rsidR="0097267D" w:rsidRPr="005C2E94">
        <w:t xml:space="preserve"> y </w:t>
      </w:r>
      <w:r w:rsidR="00FA1DC8" w:rsidRPr="005C2E94">
        <w:t>vicepresidentes</w:t>
      </w:r>
      <w:r w:rsidR="0097267D" w:rsidRPr="005C2E94">
        <w:t xml:space="preserve"> de sus respectivos Grupos Asesores y Comisiones de Estudio;</w:t>
      </w:r>
    </w:p>
    <w:p w:rsidR="00292189" w:rsidRPr="005C2E94" w:rsidRDefault="00292189" w:rsidP="00953D1B">
      <w:r w:rsidRPr="005C2E94">
        <w:rPr>
          <w:i/>
          <w:iCs/>
        </w:rPr>
        <w:t>b)</w:t>
      </w:r>
      <w:r w:rsidRPr="005C2E94">
        <w:rPr>
          <w:i/>
          <w:iCs/>
        </w:rPr>
        <w:tab/>
      </w:r>
      <w:r w:rsidR="005126D3" w:rsidRPr="005C2E94">
        <w:t>la Resolución 166 (</w:t>
      </w:r>
      <w:r w:rsidR="005126D3" w:rsidRPr="005C2E94">
        <w:rPr>
          <w:szCs w:val="24"/>
        </w:rPr>
        <w:t>Rev. Busán, 2014)</w:t>
      </w:r>
      <w:r w:rsidR="005126D3" w:rsidRPr="005C2E94">
        <w:t xml:space="preserve"> de la Conferencia de Plenipotenciarios</w:t>
      </w:r>
      <w:r w:rsidR="0097267D" w:rsidRPr="005C2E94">
        <w:t>,</w:t>
      </w:r>
      <w:r w:rsidR="005126D3" w:rsidRPr="005C2E94">
        <w:t xml:space="preserve"> relativa al número de </w:t>
      </w:r>
      <w:r w:rsidR="00FA1DC8" w:rsidRPr="005C2E94">
        <w:t>vicepresidentes</w:t>
      </w:r>
      <w:r w:rsidR="005126D3" w:rsidRPr="005C2E94">
        <w:t xml:space="preserve"> de los Grupos Asesores, las Comisiones de Estudio y otros grupos</w:t>
      </w:r>
      <w:r w:rsidR="0097267D" w:rsidRPr="005C2E94">
        <w:t xml:space="preserve"> de los Sectores</w:t>
      </w:r>
      <w:r w:rsidRPr="005C2E94">
        <w:t>;</w:t>
      </w:r>
    </w:p>
    <w:p w:rsidR="00292189" w:rsidRPr="005C2E94" w:rsidRDefault="00292189" w:rsidP="00953D1B">
      <w:r w:rsidRPr="005C2E94">
        <w:rPr>
          <w:i/>
          <w:iCs/>
        </w:rPr>
        <w:t>c)</w:t>
      </w:r>
      <w:r w:rsidRPr="005C2E94">
        <w:rPr>
          <w:i/>
          <w:iCs/>
        </w:rPr>
        <w:tab/>
      </w:r>
      <w:r w:rsidR="005126D3" w:rsidRPr="005C2E94">
        <w:t>la Resolución 58 (Rev. </w:t>
      </w:r>
      <w:r w:rsidR="005126D3" w:rsidRPr="005C2E94">
        <w:rPr>
          <w:szCs w:val="24"/>
        </w:rPr>
        <w:t>Busán 2014</w:t>
      </w:r>
      <w:r w:rsidR="005126D3" w:rsidRPr="005C2E94">
        <w:t xml:space="preserve">) de la Conferencia de Plenipotenciarios, sobre la intensificación de las relaciones entre la UIT y las organizaciones regionales de telecomunicaciones y </w:t>
      </w:r>
      <w:r w:rsidR="0097267D" w:rsidRPr="005C2E94">
        <w:t xml:space="preserve">de los </w:t>
      </w:r>
      <w:r w:rsidR="005126D3" w:rsidRPr="005C2E94">
        <w:t>preparativos regionales para la Conferencia de Plenipotenciarios</w:t>
      </w:r>
      <w:r w:rsidRPr="005C2E94">
        <w:t>;</w:t>
      </w:r>
    </w:p>
    <w:p w:rsidR="00292189" w:rsidRPr="005C2E94" w:rsidRDefault="00292189" w:rsidP="00953D1B">
      <w:r w:rsidRPr="005C2E94">
        <w:rPr>
          <w:i/>
          <w:iCs/>
        </w:rPr>
        <w:t>d)</w:t>
      </w:r>
      <w:r w:rsidRPr="005C2E94">
        <w:rPr>
          <w:i/>
          <w:iCs/>
        </w:rPr>
        <w:tab/>
      </w:r>
      <w:r w:rsidR="005126D3" w:rsidRPr="005C2E94">
        <w:t>la Resolución 70 (Rev. Busán, 2014) de la Conferencia de Plenipotenciarios</w:t>
      </w:r>
      <w:r w:rsidR="0097267D" w:rsidRPr="005C2E94">
        <w:t>,</w:t>
      </w:r>
      <w:r w:rsidR="005126D3" w:rsidRPr="005C2E94">
        <w:t xml:space="preserve"> sobre la incorporación de una perspectiva de género en la UIT y la promoción de la igualdad de género y el empoderamiento de la mujer por medio de las tecnologías de la información y la comunicación</w:t>
      </w:r>
      <w:r w:rsidRPr="005C2E94">
        <w:t>,</w:t>
      </w:r>
    </w:p>
    <w:p w:rsidR="00292189" w:rsidRPr="005C2E94" w:rsidRDefault="00292189" w:rsidP="00953D1B">
      <w:pPr>
        <w:pStyle w:val="Call"/>
        <w:rPr>
          <w:i w:val="0"/>
          <w:iCs/>
        </w:rPr>
      </w:pPr>
      <w:r w:rsidRPr="005C2E94">
        <w:t>consider</w:t>
      </w:r>
      <w:r w:rsidR="0097267D" w:rsidRPr="005C2E94">
        <w:t>ando además</w:t>
      </w:r>
    </w:p>
    <w:p w:rsidR="00292189" w:rsidRPr="005C2E94" w:rsidRDefault="00292189" w:rsidP="00953D1B">
      <w:r w:rsidRPr="005C2E94">
        <w:rPr>
          <w:i/>
          <w:iCs/>
        </w:rPr>
        <w:t>a)</w:t>
      </w:r>
      <w:r w:rsidRPr="005C2E94">
        <w:rPr>
          <w:i/>
          <w:iCs/>
        </w:rPr>
        <w:tab/>
      </w:r>
      <w:r w:rsidR="0097267D" w:rsidRPr="005C2E94">
        <w:t>que</w:t>
      </w:r>
      <w:r w:rsidRPr="005C2E94">
        <w:t xml:space="preserve">, </w:t>
      </w:r>
      <w:r w:rsidR="0097267D" w:rsidRPr="005C2E94">
        <w:t>conforme a lo dispuesto en el número 24</w:t>
      </w:r>
      <w:r w:rsidR="00D953BB" w:rsidRPr="005C2E94">
        <w:t>2</w:t>
      </w:r>
      <w:r w:rsidRPr="005C2E94">
        <w:t xml:space="preserve"> </w:t>
      </w:r>
      <w:r w:rsidR="0097267D" w:rsidRPr="005C2E94">
        <w:t>del Convenio</w:t>
      </w:r>
      <w:r w:rsidRPr="005C2E94">
        <w:t xml:space="preserve">, </w:t>
      </w:r>
      <w:r w:rsidR="005126D3" w:rsidRPr="005C2E94">
        <w:t xml:space="preserve">la AR, la AMNT y las CMDT nombrarán al </w:t>
      </w:r>
      <w:r w:rsidR="00FA1DC8" w:rsidRPr="005C2E94">
        <w:t>presidente</w:t>
      </w:r>
      <w:r w:rsidR="00D953BB" w:rsidRPr="005C2E94">
        <w:t xml:space="preserve"> </w:t>
      </w:r>
      <w:r w:rsidR="005126D3" w:rsidRPr="005C2E94">
        <w:t xml:space="preserve">de cada Comisión de Estudio y a uno o varios </w:t>
      </w:r>
      <w:r w:rsidR="00FA1DC8" w:rsidRPr="005C2E94">
        <w:t>vicepresidentes</w:t>
      </w:r>
      <w:r w:rsidR="00D953BB" w:rsidRPr="005C2E94">
        <w:t>, y que para</w:t>
      </w:r>
      <w:r w:rsidR="005126D3" w:rsidRPr="005C2E94">
        <w:t xml:space="preserve"> el nombramiento de </w:t>
      </w:r>
      <w:r w:rsidR="00FA1DC8" w:rsidRPr="005C2E94">
        <w:t>presidentes</w:t>
      </w:r>
      <w:r w:rsidR="00D953BB" w:rsidRPr="005C2E94">
        <w:t xml:space="preserve"> </w:t>
      </w:r>
      <w:r w:rsidR="005126D3" w:rsidRPr="005C2E94">
        <w:t xml:space="preserve">y </w:t>
      </w:r>
      <w:r w:rsidR="00FA1DC8" w:rsidRPr="005C2E94">
        <w:t>vicepresidentes</w:t>
      </w:r>
      <w:r w:rsidR="00D953BB" w:rsidRPr="005C2E94">
        <w:t xml:space="preserve"> </w:t>
      </w:r>
      <w:r w:rsidR="005126D3" w:rsidRPr="005C2E94">
        <w:t>se tendrán particularmente presentes la competencia personal y una distribución geográfica equitativa, así como la necesidad de fomentar una participación más eficaz de los países en desarrollo</w:t>
      </w:r>
      <w:r w:rsidRPr="005C2E94">
        <w:t>;</w:t>
      </w:r>
    </w:p>
    <w:p w:rsidR="00292189" w:rsidRPr="005C2E94" w:rsidRDefault="00292189" w:rsidP="00953D1B">
      <w:r w:rsidRPr="005C2E94">
        <w:rPr>
          <w:i/>
          <w:iCs/>
        </w:rPr>
        <w:lastRenderedPageBreak/>
        <w:t>b)</w:t>
      </w:r>
      <w:r w:rsidRPr="005C2E94">
        <w:rPr>
          <w:i/>
          <w:iCs/>
        </w:rPr>
        <w:tab/>
      </w:r>
      <w:r w:rsidR="00D953BB" w:rsidRPr="005C2E94">
        <w:t>que, conforme a lo dispuesto en el número 243 del Convenio</w:t>
      </w:r>
      <w:r w:rsidRPr="005C2E94">
        <w:t xml:space="preserve">, </w:t>
      </w:r>
      <w:r w:rsidR="005126D3" w:rsidRPr="005C2E94">
        <w:t xml:space="preserve">si el volumen de trabajo de una Comisión de Estudio lo requiere, la Asamblea y la Conferencia nombrarán los </w:t>
      </w:r>
      <w:r w:rsidR="00FA1DC8" w:rsidRPr="005C2E94">
        <w:t>vicepresidentes</w:t>
      </w:r>
      <w:r w:rsidR="00D953BB" w:rsidRPr="005C2E94">
        <w:t xml:space="preserve"> </w:t>
      </w:r>
      <w:r w:rsidR="005126D3" w:rsidRPr="005C2E94">
        <w:t>que estimen necesarios</w:t>
      </w:r>
      <w:r w:rsidRPr="005C2E94">
        <w:t>;</w:t>
      </w:r>
    </w:p>
    <w:p w:rsidR="00292189" w:rsidRPr="005C2E94" w:rsidRDefault="00292189" w:rsidP="00953D1B">
      <w:r w:rsidRPr="005C2E94">
        <w:rPr>
          <w:i/>
          <w:iCs/>
        </w:rPr>
        <w:t>c)</w:t>
      </w:r>
      <w:r w:rsidRPr="005C2E94">
        <w:rPr>
          <w:i/>
          <w:iCs/>
        </w:rPr>
        <w:tab/>
      </w:r>
      <w:r w:rsidR="005126D3" w:rsidRPr="005C2E94">
        <w:t xml:space="preserve">que en el número 244 del Convenio se describe el procedimiento para sustituir al </w:t>
      </w:r>
      <w:r w:rsidR="00FA1DC8" w:rsidRPr="005C2E94">
        <w:t>presidente</w:t>
      </w:r>
      <w:r w:rsidR="005126D3" w:rsidRPr="005C2E94">
        <w:t xml:space="preserve"> o al </w:t>
      </w:r>
      <w:r w:rsidR="00FA1DC8" w:rsidRPr="005C2E94">
        <w:t>vicepresidente</w:t>
      </w:r>
      <w:r w:rsidR="005126D3" w:rsidRPr="005C2E94">
        <w:t xml:space="preserve"> de una Comisión de Estudio que se ve imposibilitado de ejercer sus funciones en cualquier momento entre dos </w:t>
      </w:r>
      <w:r w:rsidR="009D1102" w:rsidRPr="005C2E94">
        <w:t>a</w:t>
      </w:r>
      <w:r w:rsidR="00D953BB" w:rsidRPr="005C2E94">
        <w:t xml:space="preserve">sambleas o </w:t>
      </w:r>
      <w:r w:rsidR="009D1102" w:rsidRPr="005C2E94">
        <w:t>c</w:t>
      </w:r>
      <w:r w:rsidR="00D953BB" w:rsidRPr="005C2E94">
        <w:t>onferencias de los Sectores</w:t>
      </w:r>
      <w:r w:rsidRPr="005C2E94">
        <w:t>;</w:t>
      </w:r>
    </w:p>
    <w:p w:rsidR="00292189" w:rsidRPr="005C2E94" w:rsidRDefault="00292189" w:rsidP="00953D1B">
      <w:r w:rsidRPr="005C2E94">
        <w:rPr>
          <w:i/>
          <w:iCs/>
        </w:rPr>
        <w:t>d)</w:t>
      </w:r>
      <w:r w:rsidRPr="005C2E94">
        <w:rPr>
          <w:i/>
          <w:iCs/>
        </w:rPr>
        <w:tab/>
      </w:r>
      <w:r w:rsidR="005126D3" w:rsidRPr="005C2E94">
        <w:t xml:space="preserve">que los procedimientos y las cualificaciones requeridas para el nombramiento del </w:t>
      </w:r>
      <w:r w:rsidR="00FA1DC8" w:rsidRPr="005C2E94">
        <w:t>presidente</w:t>
      </w:r>
      <w:r w:rsidR="005126D3" w:rsidRPr="005C2E94">
        <w:t xml:space="preserve"> y los </w:t>
      </w:r>
      <w:r w:rsidR="00FA1DC8" w:rsidRPr="005C2E94">
        <w:t>vicepresidentes</w:t>
      </w:r>
      <w:r w:rsidR="005126D3" w:rsidRPr="005C2E94">
        <w:t xml:space="preserve"> de</w:t>
      </w:r>
      <w:r w:rsidR="0055254B" w:rsidRPr="005C2E94">
        <w:t xml:space="preserve"> </w:t>
      </w:r>
      <w:r w:rsidR="005126D3" w:rsidRPr="005C2E94">
        <w:t>l</w:t>
      </w:r>
      <w:r w:rsidR="0055254B" w:rsidRPr="005C2E94">
        <w:t>os Grupos Asesores</w:t>
      </w:r>
      <w:r w:rsidR="005126D3" w:rsidRPr="005C2E94">
        <w:t xml:space="preserve"> deben generalmente coincidir con los estipulados para el nombramiento de </w:t>
      </w:r>
      <w:r w:rsidR="0055254B" w:rsidRPr="005C2E94">
        <w:t xml:space="preserve">los </w:t>
      </w:r>
      <w:r w:rsidR="00FA1DC8" w:rsidRPr="005C2E94">
        <w:t>presidentes</w:t>
      </w:r>
      <w:r w:rsidR="005126D3" w:rsidRPr="005C2E94">
        <w:t xml:space="preserve"> y </w:t>
      </w:r>
      <w:r w:rsidR="00FA1DC8" w:rsidRPr="005C2E94">
        <w:t>vicepresidentes</w:t>
      </w:r>
      <w:r w:rsidR="005126D3" w:rsidRPr="005C2E94">
        <w:t xml:space="preserve"> de </w:t>
      </w:r>
      <w:r w:rsidR="0055254B" w:rsidRPr="005C2E94">
        <w:t>las Comisio</w:t>
      </w:r>
      <w:r w:rsidR="005126D3" w:rsidRPr="005C2E94">
        <w:t>n</w:t>
      </w:r>
      <w:r w:rsidR="0055254B" w:rsidRPr="005C2E94">
        <w:t>es</w:t>
      </w:r>
      <w:r w:rsidR="005126D3" w:rsidRPr="005C2E94">
        <w:t xml:space="preserve"> de Estudio</w:t>
      </w:r>
      <w:r w:rsidRPr="005C2E94">
        <w:t>;</w:t>
      </w:r>
    </w:p>
    <w:p w:rsidR="00292189" w:rsidRPr="005C2E94" w:rsidRDefault="00292189" w:rsidP="00953D1B">
      <w:r w:rsidRPr="005C2E94">
        <w:rPr>
          <w:i/>
          <w:iCs/>
        </w:rPr>
        <w:t>e)</w:t>
      </w:r>
      <w:r w:rsidRPr="005C2E94">
        <w:rPr>
          <w:i/>
          <w:iCs/>
        </w:rPr>
        <w:tab/>
      </w:r>
      <w:r w:rsidR="005126D3" w:rsidRPr="005C2E94">
        <w:t xml:space="preserve">que la experiencia </w:t>
      </w:r>
      <w:r w:rsidR="0055254B" w:rsidRPr="005C2E94">
        <w:t>d</w:t>
      </w:r>
      <w:r w:rsidR="005126D3" w:rsidRPr="005C2E94">
        <w:t xml:space="preserve">e la UIT en general y </w:t>
      </w:r>
      <w:r w:rsidR="0055254B" w:rsidRPr="005C2E94">
        <w:t>de</w:t>
      </w:r>
      <w:r w:rsidR="00065A56" w:rsidRPr="005C2E94">
        <w:t xml:space="preserve"> </w:t>
      </w:r>
      <w:r w:rsidR="0055254B" w:rsidRPr="005C2E94">
        <w:t>l</w:t>
      </w:r>
      <w:r w:rsidR="00065A56" w:rsidRPr="005C2E94">
        <w:t>os Sectores implicados</w:t>
      </w:r>
      <w:r w:rsidR="005126D3" w:rsidRPr="005C2E94">
        <w:t xml:space="preserve"> en particular se considera de especial importancia para el </w:t>
      </w:r>
      <w:r w:rsidR="00FA1DC8" w:rsidRPr="005C2E94">
        <w:t>presidente</w:t>
      </w:r>
      <w:r w:rsidR="005126D3" w:rsidRPr="005C2E94">
        <w:t xml:space="preserve"> y los </w:t>
      </w:r>
      <w:r w:rsidR="00FA1DC8" w:rsidRPr="005C2E94">
        <w:t>vicepresidentes</w:t>
      </w:r>
      <w:r w:rsidR="005126D3" w:rsidRPr="005C2E94">
        <w:t xml:space="preserve"> de</w:t>
      </w:r>
      <w:r w:rsidR="00065A56" w:rsidRPr="005C2E94">
        <w:t xml:space="preserve"> </w:t>
      </w:r>
      <w:r w:rsidR="005126D3" w:rsidRPr="005C2E94">
        <w:t>l</w:t>
      </w:r>
      <w:r w:rsidR="00065A56" w:rsidRPr="005C2E94">
        <w:t>os</w:t>
      </w:r>
      <w:r w:rsidR="005126D3" w:rsidRPr="005C2E94">
        <w:t xml:space="preserve"> G</w:t>
      </w:r>
      <w:r w:rsidR="00065A56" w:rsidRPr="005C2E94">
        <w:t xml:space="preserve">rupos </w:t>
      </w:r>
      <w:r w:rsidR="005126D3" w:rsidRPr="005C2E94">
        <w:t>A</w:t>
      </w:r>
      <w:r w:rsidR="00065A56" w:rsidRPr="005C2E94">
        <w:t>sesores de los Sectores</w:t>
      </w:r>
      <w:r w:rsidRPr="005C2E94">
        <w:t>;</w:t>
      </w:r>
    </w:p>
    <w:p w:rsidR="00292189" w:rsidRPr="005C2E94" w:rsidRDefault="00292189" w:rsidP="00953D1B">
      <w:r w:rsidRPr="005C2E94">
        <w:rPr>
          <w:i/>
          <w:iCs/>
        </w:rPr>
        <w:t>f)</w:t>
      </w:r>
      <w:r w:rsidRPr="005C2E94">
        <w:rPr>
          <w:i/>
          <w:iCs/>
        </w:rPr>
        <w:tab/>
      </w:r>
      <w:r w:rsidR="00065A56" w:rsidRPr="005C2E94">
        <w:t xml:space="preserve">que los apartados pertinentes de la Resolución </w:t>
      </w:r>
      <w:r w:rsidRPr="005C2E94">
        <w:t xml:space="preserve">1 </w:t>
      </w:r>
      <w:r w:rsidR="00065A56" w:rsidRPr="005C2E94">
        <w:t xml:space="preserve">sobre los métodos de trabajo de cada </w:t>
      </w:r>
      <w:r w:rsidRPr="005C2E94">
        <w:t xml:space="preserve">Sector </w:t>
      </w:r>
      <w:r w:rsidR="00065A56" w:rsidRPr="005C2E94">
        <w:t xml:space="preserve">contienen directrices para el nombramiento de </w:t>
      </w:r>
      <w:r w:rsidR="00FA1DC8" w:rsidRPr="005C2E94">
        <w:t>presidentes</w:t>
      </w:r>
      <w:r w:rsidR="00065A56" w:rsidRPr="005C2E94">
        <w:t xml:space="preserve"> y </w:t>
      </w:r>
      <w:r w:rsidR="00FA1DC8" w:rsidRPr="005C2E94">
        <w:t>vicepresidentes</w:t>
      </w:r>
      <w:r w:rsidR="00065A56" w:rsidRPr="005C2E94">
        <w:t xml:space="preserve"> de las Comisiones de Estudio y los Grupos Asesores</w:t>
      </w:r>
      <w:r w:rsidRPr="005C2E94">
        <w:t>,</w:t>
      </w:r>
    </w:p>
    <w:p w:rsidR="00292189" w:rsidRPr="005C2E94" w:rsidRDefault="00BC4134" w:rsidP="00953D1B">
      <w:pPr>
        <w:pStyle w:val="Call"/>
        <w:rPr>
          <w:i w:val="0"/>
          <w:iCs/>
        </w:rPr>
      </w:pPr>
      <w:r w:rsidRPr="005C2E94">
        <w:t>reconociendo</w:t>
      </w:r>
    </w:p>
    <w:p w:rsidR="00292189" w:rsidRPr="005C2E94" w:rsidRDefault="00292189" w:rsidP="00C733B8">
      <w:r w:rsidRPr="005C2E94">
        <w:rPr>
          <w:i/>
          <w:iCs/>
        </w:rPr>
        <w:t>a)</w:t>
      </w:r>
      <w:r w:rsidRPr="005C2E94">
        <w:tab/>
      </w:r>
      <w:r w:rsidR="00BC4134" w:rsidRPr="005C2E94">
        <w:t xml:space="preserve">que en la actualidad los tres Sectores de la UIT han establecido el procedimiento de nombramiento, las cualificaciones requeridas y las directrices aplicables a los </w:t>
      </w:r>
      <w:r w:rsidR="00FA1DC8" w:rsidRPr="005C2E94">
        <w:t>presidentes</w:t>
      </w:r>
      <w:r w:rsidR="00BC4134" w:rsidRPr="005C2E94">
        <w:t xml:space="preserve"> y </w:t>
      </w:r>
      <w:r w:rsidR="00FA1DC8" w:rsidRPr="005C2E94">
        <w:t>vicepresidentes</w:t>
      </w:r>
      <w:r w:rsidR="00BC4134" w:rsidRPr="005C2E94">
        <w:t xml:space="preserve"> de los Grupos Asesores, las Comisiones de Estudio y otros grupos</w:t>
      </w:r>
      <w:r w:rsidR="00C733B8" w:rsidRPr="005C2E94">
        <w:rPr>
          <w:rStyle w:val="FootnoteReference"/>
        </w:rPr>
        <w:footnoteReference w:id="1"/>
      </w:r>
      <w:r w:rsidRPr="005C2E94">
        <w:t>;</w:t>
      </w:r>
    </w:p>
    <w:p w:rsidR="00292189" w:rsidRPr="005C2E94" w:rsidRDefault="00292189" w:rsidP="00C733B8">
      <w:r w:rsidRPr="005C2E94">
        <w:t>b)</w:t>
      </w:r>
      <w:r w:rsidRPr="005C2E94">
        <w:tab/>
      </w:r>
      <w:r w:rsidR="00BC4134" w:rsidRPr="005C2E94">
        <w:t xml:space="preserve">la necesidad de lograr y alentar la representación adecuada de los </w:t>
      </w:r>
      <w:r w:rsidR="00FA1DC8" w:rsidRPr="005C2E94">
        <w:t>presidentes</w:t>
      </w:r>
      <w:r w:rsidR="004130A6" w:rsidRPr="005C2E94">
        <w:t xml:space="preserve"> </w:t>
      </w:r>
      <w:r w:rsidR="00BC4134" w:rsidRPr="005C2E94">
        <w:t xml:space="preserve">y </w:t>
      </w:r>
      <w:r w:rsidR="00FA1DC8" w:rsidRPr="005C2E94">
        <w:t>vicepresidentes</w:t>
      </w:r>
      <w:r w:rsidR="004130A6" w:rsidRPr="005C2E94">
        <w:t xml:space="preserve"> </w:t>
      </w:r>
      <w:r w:rsidR="00BC4134" w:rsidRPr="005C2E94">
        <w:t>procedentes de países en desarrollo</w:t>
      </w:r>
      <w:r w:rsidR="00C733B8" w:rsidRPr="005C2E94">
        <w:rPr>
          <w:rStyle w:val="FootnoteReference"/>
        </w:rPr>
        <w:footnoteReference w:id="2"/>
      </w:r>
      <w:r w:rsidRPr="005C2E94">
        <w:t>;</w:t>
      </w:r>
    </w:p>
    <w:p w:rsidR="00292189" w:rsidRPr="005C2E94" w:rsidRDefault="00292189" w:rsidP="00953D1B">
      <w:r w:rsidRPr="005C2E94">
        <w:t>c)</w:t>
      </w:r>
      <w:r w:rsidRPr="005C2E94">
        <w:tab/>
      </w:r>
      <w:r w:rsidR="00BC4134" w:rsidRPr="005C2E94">
        <w:t xml:space="preserve">la necesidad de alentar una participación efectiva de todos los </w:t>
      </w:r>
      <w:r w:rsidR="00FA1DC8" w:rsidRPr="005C2E94">
        <w:t>vicepresidentes</w:t>
      </w:r>
      <w:r w:rsidR="004130A6" w:rsidRPr="005C2E94">
        <w:t xml:space="preserve"> </w:t>
      </w:r>
      <w:r w:rsidR="00BC4134" w:rsidRPr="005C2E94">
        <w:t xml:space="preserve">electos en los trabajos de sus respectivos Grupos Asesores y Comisiones de Estudio, mediante el establecimiento de funciones específicas para cada </w:t>
      </w:r>
      <w:r w:rsidR="00FA1DC8" w:rsidRPr="005C2E94">
        <w:t>vicepresidente</w:t>
      </w:r>
      <w:r w:rsidR="00BC4134" w:rsidRPr="005C2E94">
        <w:t xml:space="preserve"> electo, a fin de distribuir mejor la carga de trabajo de las reuniones de la Unión</w:t>
      </w:r>
      <w:r w:rsidRPr="005C2E94">
        <w:t>,</w:t>
      </w:r>
    </w:p>
    <w:p w:rsidR="00292189" w:rsidRPr="005C2E94" w:rsidRDefault="00BC4134" w:rsidP="00953D1B">
      <w:pPr>
        <w:pStyle w:val="Call"/>
        <w:rPr>
          <w:i w:val="0"/>
          <w:iCs/>
        </w:rPr>
      </w:pPr>
      <w:r w:rsidRPr="005C2E94">
        <w:t>reconociendo además</w:t>
      </w:r>
    </w:p>
    <w:p w:rsidR="00292189" w:rsidRPr="005C2E94" w:rsidRDefault="00292189" w:rsidP="00953D1B">
      <w:r w:rsidRPr="005C2E94">
        <w:t>a)</w:t>
      </w:r>
      <w:r w:rsidRPr="005C2E94">
        <w:tab/>
      </w:r>
      <w:r w:rsidR="00BC4134" w:rsidRPr="005C2E94">
        <w:t xml:space="preserve">que los Grupos Asesores, las Comisiones de Estudio y </w:t>
      </w:r>
      <w:r w:rsidR="00CC010B" w:rsidRPr="005C2E94">
        <w:t>los Comités de Coordinación de Vocabulario de los Sectores</w:t>
      </w:r>
      <w:r w:rsidR="00BC4134" w:rsidRPr="005C2E94">
        <w:t xml:space="preserve"> deberían nombrar el mínimo número de </w:t>
      </w:r>
      <w:r w:rsidR="00FA1DC8" w:rsidRPr="005C2E94">
        <w:t>vicepresidentes</w:t>
      </w:r>
      <w:r w:rsidR="00BC4134" w:rsidRPr="005C2E94">
        <w:t xml:space="preserve"> que se estime necesario para </w:t>
      </w:r>
      <w:r w:rsidR="00CC010B" w:rsidRPr="005C2E94">
        <w:t>asegurar la gestión eficaz y eficiente y el funcionamiento del grupo de que se trate</w:t>
      </w:r>
      <w:r w:rsidRPr="005C2E94">
        <w:t>;</w:t>
      </w:r>
    </w:p>
    <w:p w:rsidR="00292189" w:rsidRPr="005C2E94" w:rsidRDefault="00292189" w:rsidP="00953D1B">
      <w:r w:rsidRPr="005C2E94">
        <w:rPr>
          <w:i/>
          <w:iCs/>
        </w:rPr>
        <w:t>b)</w:t>
      </w:r>
      <w:r w:rsidRPr="005C2E94">
        <w:tab/>
      </w:r>
      <w:r w:rsidR="00BC4134" w:rsidRPr="005C2E94">
        <w:t xml:space="preserve">que deberían tomarse las medidas necesarias para garantizar cierta continuidad entre los </w:t>
      </w:r>
      <w:r w:rsidR="00FA1DC8" w:rsidRPr="005C2E94">
        <w:t>presidentes</w:t>
      </w:r>
      <w:r w:rsidR="00CC010B" w:rsidRPr="005C2E94">
        <w:t xml:space="preserve"> </w:t>
      </w:r>
      <w:r w:rsidR="00BC4134" w:rsidRPr="005C2E94">
        <w:t xml:space="preserve">y </w:t>
      </w:r>
      <w:r w:rsidR="00FA1DC8" w:rsidRPr="005C2E94">
        <w:t>vicepresidentes</w:t>
      </w:r>
      <w:r w:rsidRPr="005C2E94">
        <w:t>;</w:t>
      </w:r>
    </w:p>
    <w:p w:rsidR="00292189" w:rsidRPr="005C2E94" w:rsidRDefault="00292189" w:rsidP="00953D1B">
      <w:r w:rsidRPr="005C2E94">
        <w:rPr>
          <w:i/>
          <w:iCs/>
        </w:rPr>
        <w:t>c)</w:t>
      </w:r>
      <w:r w:rsidRPr="005C2E94">
        <w:rPr>
          <w:i/>
          <w:iCs/>
        </w:rPr>
        <w:tab/>
      </w:r>
      <w:r w:rsidR="00CC010B" w:rsidRPr="005C2E94">
        <w:t>que una limitación específica de la duración del mandato permitiría la aportación de nuevas ideas periódicamente</w:t>
      </w:r>
      <w:r w:rsidRPr="005C2E94">
        <w:t xml:space="preserve">, </w:t>
      </w:r>
      <w:r w:rsidR="00CC010B" w:rsidRPr="005C2E94">
        <w:t xml:space="preserve">y ofrecería además una oportunidad para nombrar a Presidentes y Vicepresidentes de las Comisiones de Estudio, los Grupos Asesores y los Comités de Coordinación de Vocabulario procedentes de distintos Estados Miembros de la Unión, lo que garantizaría, por </w:t>
      </w:r>
      <w:r w:rsidR="00CC010B" w:rsidRPr="005C2E94">
        <w:lastRenderedPageBreak/>
        <w:t>una parte, una estabilidad razonable para avanzar en los trabajos y, por otra parte, la renovación con candidatos con nuevas perspectivas y visiones</w:t>
      </w:r>
      <w:r w:rsidRPr="005C2E94">
        <w:t>;</w:t>
      </w:r>
    </w:p>
    <w:p w:rsidR="00292189" w:rsidRPr="005C2E94" w:rsidRDefault="00292189" w:rsidP="00953D1B">
      <w:r w:rsidRPr="005C2E94">
        <w:rPr>
          <w:i/>
          <w:iCs/>
        </w:rPr>
        <w:t>d)</w:t>
      </w:r>
      <w:r w:rsidRPr="005C2E94">
        <w:tab/>
      </w:r>
      <w:r w:rsidR="00BC4134" w:rsidRPr="005C2E94">
        <w:t>la importancia de incorporar una perspectiva de género en las políticas de todos los Sectores de la UIT</w:t>
      </w:r>
      <w:r w:rsidRPr="005C2E94">
        <w:t>,</w:t>
      </w:r>
    </w:p>
    <w:p w:rsidR="00292189" w:rsidRPr="005C2E94" w:rsidRDefault="00BC4134" w:rsidP="00953D1B">
      <w:pPr>
        <w:pStyle w:val="Call"/>
      </w:pPr>
      <w:r w:rsidRPr="005C2E94">
        <w:t>teniendo en cuenta</w:t>
      </w:r>
    </w:p>
    <w:p w:rsidR="00292189" w:rsidRPr="005C2E94" w:rsidRDefault="00292189" w:rsidP="00953D1B">
      <w:r w:rsidRPr="005C2E94">
        <w:rPr>
          <w:i/>
          <w:iCs/>
        </w:rPr>
        <w:t>a)</w:t>
      </w:r>
      <w:r w:rsidRPr="005C2E94">
        <w:tab/>
      </w:r>
      <w:r w:rsidR="00BC4134" w:rsidRPr="005C2E94">
        <w:t xml:space="preserve">que un máximo de dos mandatos </w:t>
      </w:r>
      <w:r w:rsidR="00FA08DD" w:rsidRPr="005C2E94">
        <w:t xml:space="preserve">(ocho años en total) </w:t>
      </w:r>
      <w:r w:rsidR="00BC4134" w:rsidRPr="005C2E94">
        <w:t xml:space="preserve">para los </w:t>
      </w:r>
      <w:r w:rsidR="00FA1DC8" w:rsidRPr="005C2E94">
        <w:t>presidentes</w:t>
      </w:r>
      <w:r w:rsidR="00BC4134" w:rsidRPr="005C2E94">
        <w:t xml:space="preserve"> y </w:t>
      </w:r>
      <w:r w:rsidR="00FA1DC8" w:rsidRPr="005C2E94">
        <w:t>vicepresidentes</w:t>
      </w:r>
      <w:r w:rsidR="00BC4134" w:rsidRPr="005C2E94">
        <w:t xml:space="preserve"> de las Comisiones de Estudio</w:t>
      </w:r>
      <w:r w:rsidR="00FA08DD" w:rsidRPr="005C2E94">
        <w:t>, los Grupos Asesores y Comités</w:t>
      </w:r>
      <w:r w:rsidR="00F202FE" w:rsidRPr="005C2E94">
        <w:t xml:space="preserve"> de Coordinación de Vocabulario de los Sectores entre dos </w:t>
      </w:r>
      <w:r w:rsidR="009D1102" w:rsidRPr="005C2E94">
        <w:t>a</w:t>
      </w:r>
      <w:r w:rsidR="00F202FE" w:rsidRPr="005C2E94">
        <w:t xml:space="preserve">sambleas o </w:t>
      </w:r>
      <w:r w:rsidR="009D1102" w:rsidRPr="005C2E94">
        <w:t>c</w:t>
      </w:r>
      <w:r w:rsidR="00F202FE" w:rsidRPr="005C2E94">
        <w:t xml:space="preserve">onferencias del Sector de que se trate ofrece un nivel </w:t>
      </w:r>
      <w:r w:rsidR="00BC4134" w:rsidRPr="005C2E94">
        <w:t xml:space="preserve">estabilidad </w:t>
      </w:r>
      <w:r w:rsidR="00F202FE" w:rsidRPr="005C2E94">
        <w:t xml:space="preserve">adecuado </w:t>
      </w:r>
      <w:r w:rsidR="00BC4134" w:rsidRPr="005C2E94">
        <w:t xml:space="preserve">al tiempo que ofrece la oportunidad </w:t>
      </w:r>
      <w:r w:rsidR="00F202FE" w:rsidRPr="005C2E94">
        <w:t>a</w:t>
      </w:r>
      <w:r w:rsidR="00BC4134" w:rsidRPr="005C2E94">
        <w:t xml:space="preserve"> distintas personas </w:t>
      </w:r>
      <w:r w:rsidR="00F202FE" w:rsidRPr="005C2E94">
        <w:t>de ejercer</w:t>
      </w:r>
      <w:r w:rsidR="00BC4134" w:rsidRPr="005C2E94">
        <w:t xml:space="preserve"> esas funciones</w:t>
      </w:r>
      <w:r w:rsidRPr="005C2E94">
        <w:t>;</w:t>
      </w:r>
    </w:p>
    <w:p w:rsidR="00292189" w:rsidRPr="005C2E94" w:rsidRDefault="00292189" w:rsidP="00953D1B">
      <w:r w:rsidRPr="005C2E94">
        <w:rPr>
          <w:i/>
          <w:iCs/>
        </w:rPr>
        <w:t>b)</w:t>
      </w:r>
      <w:r w:rsidRPr="005C2E94">
        <w:tab/>
      </w:r>
      <w:r w:rsidR="00BC4134" w:rsidRPr="005C2E94">
        <w:t xml:space="preserve">que el equipo de dirección </w:t>
      </w:r>
      <w:r w:rsidR="00BC4134" w:rsidRPr="005C2E94">
        <w:rPr>
          <w:szCs w:val="24"/>
        </w:rPr>
        <w:t>de</w:t>
      </w:r>
      <w:r w:rsidR="00172776" w:rsidRPr="005C2E94">
        <w:rPr>
          <w:szCs w:val="24"/>
        </w:rPr>
        <w:t xml:space="preserve"> una </w:t>
      </w:r>
      <w:r w:rsidR="00BC4134" w:rsidRPr="005C2E94">
        <w:t>Comisi</w:t>
      </w:r>
      <w:r w:rsidR="00172776" w:rsidRPr="005C2E94">
        <w:t>ó</w:t>
      </w:r>
      <w:r w:rsidR="00BC4134" w:rsidRPr="005C2E94">
        <w:t xml:space="preserve">n de Estudio </w:t>
      </w:r>
      <w:r w:rsidR="00172776" w:rsidRPr="005C2E94">
        <w:t xml:space="preserve">o Grupo Asesor </w:t>
      </w:r>
      <w:r w:rsidR="00BC4134" w:rsidRPr="005C2E94">
        <w:t xml:space="preserve">debe estar formado al menos por el </w:t>
      </w:r>
      <w:r w:rsidR="00FA1DC8" w:rsidRPr="005C2E94">
        <w:t>presidente</w:t>
      </w:r>
      <w:r w:rsidR="00BC4134" w:rsidRPr="005C2E94">
        <w:t xml:space="preserve">, los </w:t>
      </w:r>
      <w:r w:rsidR="00FA1DC8" w:rsidRPr="005C2E94">
        <w:t>vicepresidentes</w:t>
      </w:r>
      <w:r w:rsidR="00BC4134" w:rsidRPr="005C2E94">
        <w:t xml:space="preserve"> y los </w:t>
      </w:r>
      <w:r w:rsidR="00FA1DC8" w:rsidRPr="005C2E94">
        <w:t>presidentes</w:t>
      </w:r>
      <w:r w:rsidR="00BC4134" w:rsidRPr="005C2E94">
        <w:t xml:space="preserve"> de los Grupos subordinados</w:t>
      </w:r>
      <w:r w:rsidRPr="005C2E94">
        <w:t>;</w:t>
      </w:r>
    </w:p>
    <w:p w:rsidR="00292189" w:rsidRPr="005C2E94" w:rsidRDefault="00292189" w:rsidP="003F0031">
      <w:r w:rsidRPr="005C2E94">
        <w:rPr>
          <w:i/>
          <w:iCs/>
        </w:rPr>
        <w:t>c)</w:t>
      </w:r>
      <w:r w:rsidRPr="005C2E94">
        <w:tab/>
      </w:r>
      <w:r w:rsidR="00BC4134" w:rsidRPr="005C2E94">
        <w:rPr>
          <w:lang w:eastAsia="es-ES"/>
        </w:rPr>
        <w:t xml:space="preserve">la conveniencia de postular por consenso por </w:t>
      </w:r>
      <w:r w:rsidR="00172776" w:rsidRPr="005C2E94">
        <w:rPr>
          <w:lang w:eastAsia="es-ES"/>
        </w:rPr>
        <w:t>organización regional</w:t>
      </w:r>
      <w:r w:rsidR="00C733B8" w:rsidRPr="005C2E94">
        <w:rPr>
          <w:rStyle w:val="FootnoteReference"/>
          <w:lang w:eastAsia="es-ES"/>
        </w:rPr>
        <w:footnoteReference w:id="3"/>
      </w:r>
      <w:r w:rsidR="00172776" w:rsidRPr="005C2E94">
        <w:rPr>
          <w:lang w:eastAsia="es-ES"/>
        </w:rPr>
        <w:t xml:space="preserve"> </w:t>
      </w:r>
      <w:r w:rsidR="00BC4134" w:rsidRPr="005C2E94">
        <w:rPr>
          <w:lang w:eastAsia="es-ES"/>
        </w:rPr>
        <w:t xml:space="preserve">para las vicepresidencias de los Grupos Asesores </w:t>
      </w:r>
      <w:r w:rsidR="00172776" w:rsidRPr="005C2E94">
        <w:rPr>
          <w:lang w:eastAsia="es-ES"/>
        </w:rPr>
        <w:t>y las Comisiones de Estudio</w:t>
      </w:r>
      <w:r w:rsidRPr="005C2E94">
        <w:t>;</w:t>
      </w:r>
    </w:p>
    <w:p w:rsidR="00292189" w:rsidRPr="005C2E94" w:rsidRDefault="00292189" w:rsidP="00953D1B">
      <w:r w:rsidRPr="005C2E94">
        <w:rPr>
          <w:i/>
          <w:iCs/>
        </w:rPr>
        <w:t>d)</w:t>
      </w:r>
      <w:r w:rsidRPr="005C2E94">
        <w:tab/>
      </w:r>
      <w:r w:rsidR="00BC4134" w:rsidRPr="005C2E94">
        <w:rPr>
          <w:szCs w:val="24"/>
        </w:rPr>
        <w:t xml:space="preserve">que resulta valiosa la experiencia previa del candidato como </w:t>
      </w:r>
      <w:r w:rsidR="00FA1DC8" w:rsidRPr="005C2E94">
        <w:rPr>
          <w:szCs w:val="24"/>
        </w:rPr>
        <w:t>presidente</w:t>
      </w:r>
      <w:r w:rsidR="00172776" w:rsidRPr="005C2E94">
        <w:rPr>
          <w:szCs w:val="24"/>
        </w:rPr>
        <w:t xml:space="preserve"> o </w:t>
      </w:r>
      <w:r w:rsidR="00FA1DC8" w:rsidRPr="005C2E94">
        <w:rPr>
          <w:szCs w:val="24"/>
        </w:rPr>
        <w:t>vicepresidente</w:t>
      </w:r>
      <w:r w:rsidR="00172776" w:rsidRPr="005C2E94">
        <w:rPr>
          <w:szCs w:val="24"/>
        </w:rPr>
        <w:t xml:space="preserve"> de un grupo de trabajo o como </w:t>
      </w:r>
      <w:r w:rsidR="00BC4134" w:rsidRPr="005C2E94">
        <w:rPr>
          <w:szCs w:val="24"/>
        </w:rPr>
        <w:t>Relator, Relator asociado o Editor en la</w:t>
      </w:r>
      <w:r w:rsidR="00172776" w:rsidRPr="005C2E94">
        <w:rPr>
          <w:szCs w:val="24"/>
        </w:rPr>
        <w:t>s</w:t>
      </w:r>
      <w:r w:rsidR="00BC4134" w:rsidRPr="005C2E94">
        <w:rPr>
          <w:szCs w:val="24"/>
        </w:rPr>
        <w:t xml:space="preserve"> respectiva</w:t>
      </w:r>
      <w:r w:rsidR="00172776" w:rsidRPr="005C2E94">
        <w:rPr>
          <w:szCs w:val="24"/>
        </w:rPr>
        <w:t>s</w:t>
      </w:r>
      <w:r w:rsidR="00BC4134" w:rsidRPr="005C2E94">
        <w:rPr>
          <w:szCs w:val="24"/>
        </w:rPr>
        <w:t xml:space="preserve"> Comisi</w:t>
      </w:r>
      <w:r w:rsidR="00172776" w:rsidRPr="005C2E94">
        <w:rPr>
          <w:szCs w:val="24"/>
        </w:rPr>
        <w:t>o</w:t>
      </w:r>
      <w:r w:rsidR="00BC4134" w:rsidRPr="005C2E94">
        <w:rPr>
          <w:szCs w:val="24"/>
        </w:rPr>
        <w:t>n</w:t>
      </w:r>
      <w:r w:rsidR="00172776" w:rsidRPr="005C2E94">
        <w:rPr>
          <w:szCs w:val="24"/>
        </w:rPr>
        <w:t>es</w:t>
      </w:r>
      <w:r w:rsidR="00BC4134" w:rsidRPr="005C2E94">
        <w:rPr>
          <w:szCs w:val="24"/>
        </w:rPr>
        <w:t xml:space="preserve"> de Estudio</w:t>
      </w:r>
      <w:r w:rsidRPr="005C2E94">
        <w:t>,</w:t>
      </w:r>
    </w:p>
    <w:p w:rsidR="00292189" w:rsidRPr="005C2E94" w:rsidRDefault="00BC4134" w:rsidP="00953D1B">
      <w:pPr>
        <w:pStyle w:val="Call"/>
      </w:pPr>
      <w:r w:rsidRPr="005C2E94">
        <w:t>resuelve</w:t>
      </w:r>
    </w:p>
    <w:p w:rsidR="00292189" w:rsidRPr="005C2E94" w:rsidRDefault="00292189" w:rsidP="00953D1B">
      <w:r w:rsidRPr="005C2E94">
        <w:t>1</w:t>
      </w:r>
      <w:r w:rsidRPr="005C2E94">
        <w:tab/>
      </w:r>
      <w:r w:rsidR="00BC4134" w:rsidRPr="005C2E94">
        <w:t xml:space="preserve">que se designe a los candidatos para los puestos de </w:t>
      </w:r>
      <w:r w:rsidR="00FA1DC8" w:rsidRPr="005C2E94">
        <w:t>presidentes</w:t>
      </w:r>
      <w:r w:rsidR="00BC4134" w:rsidRPr="005C2E94">
        <w:t xml:space="preserve"> y </w:t>
      </w:r>
      <w:r w:rsidR="00FA1DC8" w:rsidRPr="005C2E94">
        <w:t>v</w:t>
      </w:r>
      <w:r w:rsidR="00BC4134" w:rsidRPr="005C2E94">
        <w:t>icepresidente</w:t>
      </w:r>
      <w:r w:rsidR="003D3D80" w:rsidRPr="005C2E94">
        <w:t>s</w:t>
      </w:r>
      <w:r w:rsidR="00BC4134" w:rsidRPr="005C2E94">
        <w:t xml:space="preserve"> de Comisiones de Estudio</w:t>
      </w:r>
      <w:r w:rsidR="003D3D80" w:rsidRPr="005C2E94">
        <w:t>, Grupos Asesores y Comités de Coordinación de Vocabulario</w:t>
      </w:r>
      <w:r w:rsidR="00BC4134" w:rsidRPr="005C2E94">
        <w:t xml:space="preserve"> aplicando los procedimientos que figuran en el Anexo A, las cualificaciones requeridas para dichos puestos, que figuran en el Anexo B, y las directrices contenidas en el Anexo C a la presente Resolución</w:t>
      </w:r>
      <w:r w:rsidR="00BC4134" w:rsidRPr="005C2E94">
        <w:rPr>
          <w:szCs w:val="24"/>
        </w:rPr>
        <w:t xml:space="preserve"> y el </w:t>
      </w:r>
      <w:r w:rsidR="00BC4134" w:rsidRPr="005C2E94">
        <w:rPr>
          <w:i/>
          <w:iCs/>
          <w:szCs w:val="24"/>
        </w:rPr>
        <w:t>resuelve</w:t>
      </w:r>
      <w:r w:rsidR="00BC4134" w:rsidRPr="005C2E94">
        <w:rPr>
          <w:szCs w:val="24"/>
        </w:rPr>
        <w:t xml:space="preserve"> 2 de la Resolución 58 (Rev. Busán, 2014)</w:t>
      </w:r>
      <w:r w:rsidRPr="005C2E94">
        <w:t>;</w:t>
      </w:r>
    </w:p>
    <w:p w:rsidR="00292189" w:rsidRPr="005C2E94" w:rsidRDefault="00292189" w:rsidP="00953D1B">
      <w:r w:rsidRPr="005C2E94">
        <w:t>2</w:t>
      </w:r>
      <w:r w:rsidRPr="005C2E94">
        <w:tab/>
      </w:r>
      <w:r w:rsidR="00BC4134" w:rsidRPr="005C2E94">
        <w:t xml:space="preserve">que se identifique a candidatos para los puestos de </w:t>
      </w:r>
      <w:r w:rsidR="00FA1DC8" w:rsidRPr="005C2E94">
        <w:t>presidentes</w:t>
      </w:r>
      <w:r w:rsidR="00BC4134" w:rsidRPr="005C2E94">
        <w:t xml:space="preserve"> y </w:t>
      </w:r>
      <w:r w:rsidR="00FA1DC8" w:rsidRPr="005C2E94">
        <w:t>v</w:t>
      </w:r>
      <w:r w:rsidR="00BC4134" w:rsidRPr="005C2E94">
        <w:t>icepresidente</w:t>
      </w:r>
      <w:r w:rsidR="003D3D80" w:rsidRPr="005C2E94">
        <w:t>s</w:t>
      </w:r>
      <w:r w:rsidR="00BC4134" w:rsidRPr="005C2E94">
        <w:t xml:space="preserve"> de Comisión de Estudio</w:t>
      </w:r>
      <w:r w:rsidR="003D3D80" w:rsidRPr="005C2E94">
        <w:t>, Grupos Asesores y Comités de Coordinación de Vocabulario</w:t>
      </w:r>
      <w:r w:rsidR="00BC4134" w:rsidRPr="005C2E94">
        <w:t xml:space="preserve"> teniendo en cuenta que la </w:t>
      </w:r>
      <w:r w:rsidR="003D3D80" w:rsidRPr="005C2E94">
        <w:t xml:space="preserve">asamblea o conferencia pertinente </w:t>
      </w:r>
      <w:r w:rsidR="00BC4134" w:rsidRPr="005C2E94">
        <w:t xml:space="preserve">nombrará al </w:t>
      </w:r>
      <w:r w:rsidR="00FA1DC8" w:rsidRPr="005C2E94">
        <w:t>presidente</w:t>
      </w:r>
      <w:r w:rsidR="00BC4134" w:rsidRPr="005C2E94">
        <w:t xml:space="preserve">, y únicamente al número de </w:t>
      </w:r>
      <w:r w:rsidR="00FA1DC8" w:rsidRPr="005C2E94">
        <w:t>vicepresidentes</w:t>
      </w:r>
      <w:r w:rsidR="00BC4134" w:rsidRPr="005C2E94">
        <w:t xml:space="preserve"> que se considere necesario para la gestión y el funcionamiento eficientes y eficaces de</w:t>
      </w:r>
      <w:r w:rsidR="003D3D80" w:rsidRPr="005C2E94">
        <w:t>l</w:t>
      </w:r>
      <w:r w:rsidR="00BC4134" w:rsidRPr="005C2E94">
        <w:t xml:space="preserve"> grupo de que se trate con arreglo a las directrices contenidas en el Anexo C</w:t>
      </w:r>
      <w:r w:rsidRPr="005C2E94">
        <w:t>;</w:t>
      </w:r>
    </w:p>
    <w:p w:rsidR="00292189" w:rsidRPr="005C2E94" w:rsidRDefault="00292189" w:rsidP="00953D1B">
      <w:r w:rsidRPr="005C2E94">
        <w:t>3</w:t>
      </w:r>
      <w:r w:rsidRPr="005C2E94">
        <w:tab/>
      </w:r>
      <w:r w:rsidR="00BC4134" w:rsidRPr="005C2E94">
        <w:t xml:space="preserve">que las candidaturas que se presenten para los puestos de </w:t>
      </w:r>
      <w:r w:rsidR="00FA1DC8" w:rsidRPr="005C2E94">
        <w:t>p</w:t>
      </w:r>
      <w:r w:rsidR="00BC4134" w:rsidRPr="005C2E94">
        <w:t>residente</w:t>
      </w:r>
      <w:r w:rsidR="001E490D" w:rsidRPr="005C2E94">
        <w:t>s</w:t>
      </w:r>
      <w:r w:rsidR="00BC4134" w:rsidRPr="005C2E94">
        <w:t xml:space="preserve"> y </w:t>
      </w:r>
      <w:r w:rsidR="00FA1DC8" w:rsidRPr="005C2E94">
        <w:t>v</w:t>
      </w:r>
      <w:r w:rsidR="00BC4134" w:rsidRPr="005C2E94">
        <w:t>icepresidente</w:t>
      </w:r>
      <w:r w:rsidR="001E490D" w:rsidRPr="005C2E94">
        <w:t>s</w:t>
      </w:r>
      <w:r w:rsidR="00BC4134" w:rsidRPr="005C2E94">
        <w:t xml:space="preserve"> de Comisión de Estudio</w:t>
      </w:r>
      <w:r w:rsidR="001E490D" w:rsidRPr="005C2E94">
        <w:t>, Grupos Asesores y Comités de Coordinación de Vocabulario</w:t>
      </w:r>
      <w:r w:rsidR="00BC4134" w:rsidRPr="005C2E94">
        <w:t xml:space="preserve"> vayan acompañadas de un </w:t>
      </w:r>
      <w:r w:rsidR="00BC4134" w:rsidRPr="005C2E94">
        <w:rPr>
          <w:i/>
          <w:iCs/>
        </w:rPr>
        <w:t>curriculum vitae</w:t>
      </w:r>
      <w:r w:rsidR="00BC4134" w:rsidRPr="005C2E94">
        <w:t xml:space="preserve"> en el que se pongan de manifiesto las cualificaciones de la persona o personas propuestas, teniendo muy en cuenta la continuidad de la participación en las Comisiones de Estudio</w:t>
      </w:r>
      <w:r w:rsidR="001E490D" w:rsidRPr="005C2E94">
        <w:t>, Grupos Asesores y Comités de Coordinación de Vocabulario</w:t>
      </w:r>
      <w:r w:rsidR="00BC4134" w:rsidRPr="005C2E94">
        <w:t xml:space="preserve">, y que el Director de la Oficina de </w:t>
      </w:r>
      <w:r w:rsidR="001E490D" w:rsidRPr="005C2E94">
        <w:t>que se trate</w:t>
      </w:r>
      <w:r w:rsidR="00BC4134" w:rsidRPr="005C2E94">
        <w:t xml:space="preserve"> distribuya estos </w:t>
      </w:r>
      <w:r w:rsidR="00BC4134" w:rsidRPr="005C2E94">
        <w:rPr>
          <w:i/>
          <w:iCs/>
        </w:rPr>
        <w:t>curricula</w:t>
      </w:r>
      <w:r w:rsidR="00BC4134" w:rsidRPr="005C2E94">
        <w:t xml:space="preserve"> entre los Jefes de Delegación presentes en la</w:t>
      </w:r>
      <w:r w:rsidR="001E490D" w:rsidRPr="005C2E94">
        <w:t xml:space="preserve"> asamblea o conferencia</w:t>
      </w:r>
      <w:r w:rsidRPr="005C2E94">
        <w:t>;</w:t>
      </w:r>
    </w:p>
    <w:p w:rsidR="00292189" w:rsidRPr="005C2E94" w:rsidRDefault="00292189" w:rsidP="00953D1B">
      <w:r w:rsidRPr="005C2E94">
        <w:t>4</w:t>
      </w:r>
      <w:r w:rsidRPr="005C2E94">
        <w:tab/>
      </w:r>
      <w:r w:rsidR="00BC4134" w:rsidRPr="005C2E94">
        <w:t xml:space="preserve">que la duración del mandato de cada </w:t>
      </w:r>
      <w:r w:rsidR="00FA1DC8" w:rsidRPr="005C2E94">
        <w:t>presidente</w:t>
      </w:r>
      <w:r w:rsidR="00BC4134" w:rsidRPr="005C2E94">
        <w:t xml:space="preserve"> y </w:t>
      </w:r>
      <w:r w:rsidR="00FA1DC8" w:rsidRPr="005C2E94">
        <w:t>vicepresidente</w:t>
      </w:r>
      <w:r w:rsidR="00BC4134" w:rsidRPr="005C2E94">
        <w:t xml:space="preserve"> no rebase dos intervalos entre asambleas </w:t>
      </w:r>
      <w:r w:rsidR="003F0031">
        <w:t xml:space="preserve">o conferencias </w:t>
      </w:r>
      <w:r w:rsidR="00BC4134" w:rsidRPr="005C2E94">
        <w:t>consecutivas</w:t>
      </w:r>
      <w:r w:rsidRPr="005C2E94">
        <w:t>;</w:t>
      </w:r>
    </w:p>
    <w:p w:rsidR="00292189" w:rsidRPr="005C2E94" w:rsidRDefault="00292189" w:rsidP="00953D1B">
      <w:r w:rsidRPr="005C2E94">
        <w:lastRenderedPageBreak/>
        <w:t>5</w:t>
      </w:r>
      <w:r w:rsidRPr="005C2E94">
        <w:tab/>
      </w:r>
      <w:r w:rsidR="00BC4134" w:rsidRPr="005C2E94">
        <w:t xml:space="preserve">que la duración del mandato de un nombramiento (por ejemplo, de </w:t>
      </w:r>
      <w:r w:rsidR="00FA1DC8" w:rsidRPr="005C2E94">
        <w:t>vicepresidente</w:t>
      </w:r>
      <w:r w:rsidR="00BC4134" w:rsidRPr="005C2E94">
        <w:t xml:space="preserve">) no se compute a los efectos del mandato de otro nombramiento (por ejemplo, de </w:t>
      </w:r>
      <w:r w:rsidR="00FA1DC8" w:rsidRPr="005C2E94">
        <w:t>presidente</w:t>
      </w:r>
      <w:r w:rsidR="00BC4134" w:rsidRPr="005C2E94">
        <w:t xml:space="preserve">), y que se tomen medidas para garantizar cierto grado de continuidad entre </w:t>
      </w:r>
      <w:r w:rsidR="00FA1DC8" w:rsidRPr="005C2E94">
        <w:t>presidentes</w:t>
      </w:r>
      <w:r w:rsidR="00BC4134" w:rsidRPr="005C2E94">
        <w:t xml:space="preserve"> y </w:t>
      </w:r>
      <w:r w:rsidR="00FA1DC8" w:rsidRPr="005C2E94">
        <w:t>vicepresidentes</w:t>
      </w:r>
      <w:r w:rsidRPr="005C2E94">
        <w:t>;</w:t>
      </w:r>
    </w:p>
    <w:p w:rsidR="00292189" w:rsidRPr="005C2E94" w:rsidRDefault="00292189" w:rsidP="00953D1B">
      <w:r w:rsidRPr="005C2E94">
        <w:t>6</w:t>
      </w:r>
      <w:r w:rsidRPr="005C2E94">
        <w:tab/>
      </w:r>
      <w:r w:rsidR="00BC4134" w:rsidRPr="005C2E94">
        <w:t xml:space="preserve">que el intervalo entre </w:t>
      </w:r>
      <w:r w:rsidR="008106AD" w:rsidRPr="005C2E94">
        <w:t>a</w:t>
      </w:r>
      <w:r w:rsidR="00BC4134" w:rsidRPr="005C2E94">
        <w:t xml:space="preserve">sambleas </w:t>
      </w:r>
      <w:r w:rsidR="008106AD" w:rsidRPr="005C2E94">
        <w:t xml:space="preserve">o conferencias </w:t>
      </w:r>
      <w:r w:rsidR="00BC4134" w:rsidRPr="005C2E94">
        <w:t xml:space="preserve">en las que se elija un </w:t>
      </w:r>
      <w:r w:rsidR="00FA1DC8" w:rsidRPr="005C2E94">
        <w:t>presidente</w:t>
      </w:r>
      <w:r w:rsidR="00BC4134" w:rsidRPr="005C2E94">
        <w:t xml:space="preserve"> o </w:t>
      </w:r>
      <w:r w:rsidR="00FA1DC8" w:rsidRPr="005C2E94">
        <w:t>vicepresidente</w:t>
      </w:r>
      <w:r w:rsidR="00BC4134" w:rsidRPr="005C2E94">
        <w:t xml:space="preserve"> con arreglo al número 244 del Convenio no se compute como mandato</w:t>
      </w:r>
      <w:r w:rsidRPr="005C2E94">
        <w:t>,</w:t>
      </w:r>
    </w:p>
    <w:p w:rsidR="00292189" w:rsidRPr="005C2E94" w:rsidRDefault="00BC4134" w:rsidP="00953D1B">
      <w:pPr>
        <w:pStyle w:val="Call"/>
      </w:pPr>
      <w:r w:rsidRPr="005C2E94">
        <w:t>resuelve además</w:t>
      </w:r>
    </w:p>
    <w:p w:rsidR="00292189" w:rsidRPr="005C2E94" w:rsidRDefault="00292189" w:rsidP="00953D1B">
      <w:r w:rsidRPr="005C2E94">
        <w:t>1</w:t>
      </w:r>
      <w:r w:rsidRPr="005C2E94">
        <w:tab/>
      </w:r>
      <w:r w:rsidR="00BC4134" w:rsidRPr="005C2E94">
        <w:t xml:space="preserve">que se aliente a los </w:t>
      </w:r>
      <w:r w:rsidR="00FA1DC8" w:rsidRPr="005C2E94">
        <w:t>vicepresidentes</w:t>
      </w:r>
      <w:r w:rsidR="00734396" w:rsidRPr="005C2E94">
        <w:t xml:space="preserve"> </w:t>
      </w:r>
      <w:r w:rsidR="00BC4134" w:rsidRPr="005C2E94">
        <w:t>de</w:t>
      </w:r>
      <w:r w:rsidR="005D6C33" w:rsidRPr="005C2E94">
        <w:t xml:space="preserve"> </w:t>
      </w:r>
      <w:r w:rsidR="00BC4134" w:rsidRPr="005C2E94">
        <w:t>l</w:t>
      </w:r>
      <w:r w:rsidR="005D6C33" w:rsidRPr="005C2E94">
        <w:t xml:space="preserve">os </w:t>
      </w:r>
      <w:r w:rsidR="00BC4134" w:rsidRPr="005C2E94">
        <w:t>G</w:t>
      </w:r>
      <w:r w:rsidR="005D6C33" w:rsidRPr="005C2E94">
        <w:t xml:space="preserve">rupos Asesores y </w:t>
      </w:r>
      <w:r w:rsidR="00BC4134" w:rsidRPr="005C2E94">
        <w:t xml:space="preserve">las Comisiones de Estudio a asumir el liderazgo de actividades con el fin de asegurar una distribución equitativa de las tareas y lograr una mayor implicación de los </w:t>
      </w:r>
      <w:r w:rsidR="00FA1DC8" w:rsidRPr="005C2E94">
        <w:t>vicepresidentes</w:t>
      </w:r>
      <w:r w:rsidR="00734396" w:rsidRPr="005C2E94">
        <w:t xml:space="preserve"> </w:t>
      </w:r>
      <w:r w:rsidR="00BC4134" w:rsidRPr="005C2E94">
        <w:t>en la gestión y trabajo de</w:t>
      </w:r>
      <w:r w:rsidR="005D6C33" w:rsidRPr="005C2E94">
        <w:t xml:space="preserve"> los Grupos Asesores y las Comisiones de Estudio</w:t>
      </w:r>
      <w:r w:rsidRPr="005C2E94">
        <w:t>;</w:t>
      </w:r>
    </w:p>
    <w:p w:rsidR="00292189" w:rsidRPr="005C2E94" w:rsidRDefault="00292189" w:rsidP="00953D1B">
      <w:r w:rsidRPr="005C2E94">
        <w:t>2</w:t>
      </w:r>
      <w:r w:rsidRPr="005C2E94">
        <w:tab/>
      </w:r>
      <w:r w:rsidR="00BC4134" w:rsidRPr="005C2E94">
        <w:t xml:space="preserve">que el nombramiento de </w:t>
      </w:r>
      <w:r w:rsidR="00FA1DC8" w:rsidRPr="005C2E94">
        <w:t>vicepresidentes</w:t>
      </w:r>
      <w:r w:rsidR="00BC4134" w:rsidRPr="005C2E94">
        <w:t xml:space="preserve"> de l</w:t>
      </w:r>
      <w:r w:rsidR="00734396" w:rsidRPr="005C2E94">
        <w:t>a</w:t>
      </w:r>
      <w:r w:rsidR="00BC4134" w:rsidRPr="005C2E94">
        <w:t xml:space="preserve">s </w:t>
      </w:r>
      <w:r w:rsidR="00734396" w:rsidRPr="005C2E94">
        <w:t xml:space="preserve">Comisiones de Estudio </w:t>
      </w:r>
      <w:r w:rsidR="00BC4134" w:rsidRPr="005C2E94">
        <w:t>se limite a</w:t>
      </w:r>
      <w:r w:rsidR="00734396" w:rsidRPr="005C2E94">
        <w:t xml:space="preserve"> dos o</w:t>
      </w:r>
      <w:r w:rsidR="00BC4134" w:rsidRPr="005C2E94">
        <w:t xml:space="preserve"> tres candidatos de cada Región, teniendo en cuenta la Resolución 70 (Rev. Busán, 2014) y el </w:t>
      </w:r>
      <w:r w:rsidR="00BC4134" w:rsidRPr="005C2E94">
        <w:rPr>
          <w:i/>
          <w:iCs/>
        </w:rPr>
        <w:t>resuelve</w:t>
      </w:r>
      <w:r w:rsidR="00BC4134" w:rsidRPr="005C2E94">
        <w:t xml:space="preserve"> 2 de la Resolución 58 (Rev. Busán, 2014) para asegurar una distribución geográfica equitativa entre las regiones de</w:t>
      </w:r>
      <w:r w:rsidR="00734396" w:rsidRPr="005C2E94">
        <w:t xml:space="preserve"> la</w:t>
      </w:r>
      <w:r w:rsidR="00BC4134" w:rsidRPr="005C2E94">
        <w:t xml:space="preserve"> UIT y que cada región esté representada por no más de tres candidatos competentes y cualificados</w:t>
      </w:r>
      <w:r w:rsidRPr="005C2E94">
        <w:t>;</w:t>
      </w:r>
    </w:p>
    <w:p w:rsidR="00292189" w:rsidRPr="005C2E94" w:rsidRDefault="00292189" w:rsidP="00953D1B">
      <w:r w:rsidRPr="005C2E94">
        <w:t>3</w:t>
      </w:r>
      <w:r w:rsidRPr="005C2E94">
        <w:tab/>
      </w:r>
      <w:r w:rsidR="00734396" w:rsidRPr="005C2E94">
        <w:t xml:space="preserve">que se aliente </w:t>
      </w:r>
      <w:r w:rsidR="00BC4134" w:rsidRPr="005C2E94">
        <w:t xml:space="preserve">el nombramiento de candidatos de países que no cuentan con ningún </w:t>
      </w:r>
      <w:r w:rsidR="00FA1DC8" w:rsidRPr="005C2E94">
        <w:t>presidente</w:t>
      </w:r>
      <w:r w:rsidR="00BC4134" w:rsidRPr="005C2E94">
        <w:t xml:space="preserve"> o </w:t>
      </w:r>
      <w:r w:rsidR="00FA1DC8" w:rsidRPr="005C2E94">
        <w:t>vicepresidente</w:t>
      </w:r>
      <w:r w:rsidRPr="005C2E94">
        <w:t>;</w:t>
      </w:r>
    </w:p>
    <w:p w:rsidR="00292189" w:rsidRPr="005C2E94" w:rsidRDefault="00292189" w:rsidP="00953D1B">
      <w:r w:rsidRPr="005C2E94">
        <w:t>4</w:t>
      </w:r>
      <w:r w:rsidRPr="005C2E94">
        <w:tab/>
      </w:r>
      <w:r w:rsidR="0017379A" w:rsidRPr="005C2E94">
        <w:t xml:space="preserve">que </w:t>
      </w:r>
      <w:r w:rsidR="00734396" w:rsidRPr="005C2E94">
        <w:t>se aliente</w:t>
      </w:r>
      <w:r w:rsidR="00BC4134" w:rsidRPr="005C2E94">
        <w:t xml:space="preserve"> a </w:t>
      </w:r>
      <w:r w:rsidR="00734396" w:rsidRPr="005C2E94">
        <w:t xml:space="preserve">cada </w:t>
      </w:r>
      <w:r w:rsidR="00BC4134" w:rsidRPr="005C2E94">
        <w:t xml:space="preserve">región de la UIT que asista a AR, AMNT y CMDT </w:t>
      </w:r>
      <w:r w:rsidR="00734396" w:rsidRPr="005C2E94">
        <w:t xml:space="preserve">a que, al asignar los puestos a profesionales experimentados, observe </w:t>
      </w:r>
      <w:r w:rsidR="00BC4134" w:rsidRPr="005C2E94">
        <w:t>plenamente el principio de</w:t>
      </w:r>
      <w:r w:rsidR="00734396" w:rsidRPr="005C2E94">
        <w:t xml:space="preserve"> la</w:t>
      </w:r>
      <w:r w:rsidR="00BC4134" w:rsidRPr="005C2E94">
        <w:t xml:space="preserve"> distribución geográfica equitativa entre las regiones de la UIT y </w:t>
      </w:r>
      <w:r w:rsidR="00734396" w:rsidRPr="005C2E94">
        <w:t xml:space="preserve">la necesidad de promover </w:t>
      </w:r>
      <w:r w:rsidR="00BC4134" w:rsidRPr="005C2E94">
        <w:t>una participación más eficaz de los países en desarrollo</w:t>
      </w:r>
      <w:r w:rsidRPr="005C2E94">
        <w:t>;</w:t>
      </w:r>
    </w:p>
    <w:p w:rsidR="00292189" w:rsidRPr="005C2E94" w:rsidRDefault="00292189" w:rsidP="00953D1B">
      <w:r w:rsidRPr="005C2E94">
        <w:t>5</w:t>
      </w:r>
      <w:r w:rsidRPr="005C2E94">
        <w:tab/>
      </w:r>
      <w:r w:rsidR="0017379A" w:rsidRPr="005C2E94">
        <w:t xml:space="preserve">que, en la medida de lo posible, </w:t>
      </w:r>
      <w:r w:rsidR="00BC4134" w:rsidRPr="005C2E94">
        <w:t xml:space="preserve">estas directrices </w:t>
      </w:r>
      <w:r w:rsidR="0017379A" w:rsidRPr="005C2E94">
        <w:t xml:space="preserve">puedan </w:t>
      </w:r>
      <w:r w:rsidR="00BC4134" w:rsidRPr="005C2E94">
        <w:t>aplicarse</w:t>
      </w:r>
      <w:r w:rsidR="0017379A" w:rsidRPr="005C2E94">
        <w:t xml:space="preserve"> a las reuniones preparatorias de la conferencia del Sector de Radiocomunicaciones</w:t>
      </w:r>
      <w:r w:rsidRPr="005C2E94">
        <w:t>.</w:t>
      </w:r>
    </w:p>
    <w:p w:rsidR="00292189" w:rsidRPr="005C2E94" w:rsidRDefault="00292189" w:rsidP="00953D1B">
      <w:pPr>
        <w:tabs>
          <w:tab w:val="clear" w:pos="567"/>
          <w:tab w:val="clear" w:pos="1134"/>
          <w:tab w:val="clear" w:pos="1701"/>
          <w:tab w:val="clear" w:pos="2268"/>
          <w:tab w:val="clear" w:pos="2835"/>
        </w:tabs>
        <w:overflowPunct/>
        <w:autoSpaceDE/>
        <w:autoSpaceDN/>
        <w:adjustRightInd/>
        <w:spacing w:before="0"/>
        <w:textAlignment w:val="auto"/>
      </w:pPr>
      <w:r w:rsidRPr="005C2E94">
        <w:br w:type="page"/>
      </w:r>
    </w:p>
    <w:p w:rsidR="00292189" w:rsidRPr="005C2E94" w:rsidRDefault="00BC4134" w:rsidP="00953D1B">
      <w:pPr>
        <w:pStyle w:val="AnnexNo"/>
      </w:pPr>
      <w:r w:rsidRPr="005C2E94">
        <w:rPr>
          <w:caps w:val="0"/>
        </w:rPr>
        <w:lastRenderedPageBreak/>
        <w:t>AN</w:t>
      </w:r>
      <w:r w:rsidR="00292189" w:rsidRPr="005C2E94">
        <w:rPr>
          <w:caps w:val="0"/>
        </w:rPr>
        <w:t>EX</w:t>
      </w:r>
      <w:r w:rsidRPr="005C2E94">
        <w:rPr>
          <w:caps w:val="0"/>
        </w:rPr>
        <w:t>O</w:t>
      </w:r>
      <w:r w:rsidR="00292189" w:rsidRPr="005C2E94">
        <w:rPr>
          <w:caps w:val="0"/>
        </w:rPr>
        <w:t> A</w:t>
      </w:r>
    </w:p>
    <w:p w:rsidR="00292189" w:rsidRPr="005C2E94" w:rsidRDefault="00BC4134" w:rsidP="00953D1B">
      <w:pPr>
        <w:pStyle w:val="Annextitle"/>
      </w:pPr>
      <w:r w:rsidRPr="005C2E94">
        <w:t xml:space="preserve">Procedimiento para el nombramiento de </w:t>
      </w:r>
      <w:r w:rsidR="00FA1DC8" w:rsidRPr="005C2E94">
        <w:t>presidentes</w:t>
      </w:r>
      <w:r w:rsidRPr="005C2E94">
        <w:t xml:space="preserve"> y </w:t>
      </w:r>
      <w:r w:rsidR="00FA1DC8" w:rsidRPr="005C2E94">
        <w:t>vicepresidentes</w:t>
      </w:r>
      <w:r w:rsidRPr="005C2E94">
        <w:br/>
        <w:t>de Comisiones de Estudio</w:t>
      </w:r>
      <w:r w:rsidR="00340B9F" w:rsidRPr="005C2E94">
        <w:t>,</w:t>
      </w:r>
      <w:r w:rsidRPr="005C2E94">
        <w:t xml:space="preserve"> Grupo</w:t>
      </w:r>
      <w:r w:rsidR="00340B9F" w:rsidRPr="005C2E94">
        <w:t>s</w:t>
      </w:r>
      <w:r w:rsidRPr="005C2E94">
        <w:t xml:space="preserve"> Asesor</w:t>
      </w:r>
      <w:r w:rsidR="00340B9F" w:rsidRPr="005C2E94">
        <w:t>es y Comités de Coordinación de Vocabulario</w:t>
      </w:r>
    </w:p>
    <w:p w:rsidR="00292189" w:rsidRPr="005C2E94" w:rsidRDefault="00292189" w:rsidP="00953D1B">
      <w:pPr>
        <w:pStyle w:val="Normalaftertitle"/>
      </w:pPr>
      <w:r w:rsidRPr="005C2E94">
        <w:t>1</w:t>
      </w:r>
      <w:r w:rsidRPr="005C2E94">
        <w:tab/>
      </w:r>
      <w:r w:rsidR="00BC4134" w:rsidRPr="005C2E94">
        <w:t xml:space="preserve">Habitualmente, los puestos de Presidente y Vicepresidente que han de cubrirse se conocen antes de la celebración de </w:t>
      </w:r>
      <w:r w:rsidR="00340B9F" w:rsidRPr="005C2E94">
        <w:t>las asambleas y conferencias</w:t>
      </w:r>
      <w:r w:rsidR="00BC4134" w:rsidRPr="005C2E94">
        <w:t>.</w:t>
      </w:r>
    </w:p>
    <w:p w:rsidR="00292189" w:rsidRPr="005C2E94" w:rsidRDefault="00292189" w:rsidP="00953D1B">
      <w:pPr>
        <w:pStyle w:val="enumlev1"/>
      </w:pPr>
      <w:r w:rsidRPr="005C2E94">
        <w:t>a)</w:t>
      </w:r>
      <w:r w:rsidRPr="005C2E94">
        <w:tab/>
      </w:r>
      <w:r w:rsidR="00BC4134" w:rsidRPr="005C2E94">
        <w:t xml:space="preserve">Para ayudar a </w:t>
      </w:r>
      <w:r w:rsidR="00340B9F" w:rsidRPr="005C2E94">
        <w:t xml:space="preserve">las asambleas y conferencias </w:t>
      </w:r>
      <w:r w:rsidR="00BC4134" w:rsidRPr="005C2E94">
        <w:t>a nombrar Presidentes</w:t>
      </w:r>
      <w:r w:rsidR="00340B9F" w:rsidRPr="005C2E94">
        <w:t>/</w:t>
      </w:r>
      <w:r w:rsidR="00BC4134" w:rsidRPr="005C2E94">
        <w:t xml:space="preserve">Vicepresidentes, se alienta a los Estados Miembros y los Miembros de Sector a que indiquen al Director de la Oficina </w:t>
      </w:r>
      <w:r w:rsidR="00340B9F" w:rsidRPr="005C2E94">
        <w:t xml:space="preserve">que corresponda </w:t>
      </w:r>
      <w:r w:rsidR="00BC4134" w:rsidRPr="005C2E94">
        <w:t>candidatos adecuados, preferiblemente tres meses y a más tardar dos semanas antes de la apertura de la</w:t>
      </w:r>
      <w:r w:rsidR="00340B9F" w:rsidRPr="005C2E94">
        <w:t>s</w:t>
      </w:r>
      <w:r w:rsidR="00BC4134" w:rsidRPr="005C2E94">
        <w:t> </w:t>
      </w:r>
      <w:r w:rsidR="00340B9F" w:rsidRPr="005C2E94">
        <w:t>asambleas o conferencias</w:t>
      </w:r>
      <w:r w:rsidR="00BC4134" w:rsidRPr="005C2E94">
        <w:t>.</w:t>
      </w:r>
    </w:p>
    <w:p w:rsidR="00292189" w:rsidRPr="005C2E94" w:rsidRDefault="00292189" w:rsidP="00953D1B">
      <w:pPr>
        <w:pStyle w:val="enumlev1"/>
      </w:pPr>
      <w:r w:rsidRPr="005C2E94">
        <w:t>b)</w:t>
      </w:r>
      <w:r w:rsidRPr="005C2E94">
        <w:rPr>
          <w:i/>
          <w:iCs/>
        </w:rPr>
        <w:tab/>
      </w:r>
      <w:r w:rsidR="00BC4134" w:rsidRPr="005C2E94">
        <w:t>Para designar a los candidatos adecuados, los Miembros de Sector deben mantener previamente consultas con la administración/Estado Miembro correspondiente, a fin de evitar eventuales discrepancias con respecto a dicha designación.</w:t>
      </w:r>
    </w:p>
    <w:p w:rsidR="00292189" w:rsidRPr="005C2E94" w:rsidRDefault="00292189" w:rsidP="00953D1B">
      <w:pPr>
        <w:pStyle w:val="enumlev1"/>
      </w:pPr>
      <w:r w:rsidRPr="005C2E94">
        <w:t>c)</w:t>
      </w:r>
      <w:r w:rsidRPr="005C2E94">
        <w:tab/>
      </w:r>
      <w:r w:rsidR="00BC4134" w:rsidRPr="005C2E94">
        <w:t xml:space="preserve">Sobre la base de las propuestas recibidas, el Director de la </w:t>
      </w:r>
      <w:r w:rsidR="00340B9F" w:rsidRPr="005C2E94">
        <w:t>Oficina</w:t>
      </w:r>
      <w:r w:rsidR="00BC4134" w:rsidRPr="005C2E94">
        <w:t xml:space="preserve"> distribuirá entre los Estados Miembros y los Miembros de Sector la lista de candidatos, que irá acompañada de una indicación relativa a las cualificaciones de cada candidato, según se indica en el Anexo B a la presente Resolución.</w:t>
      </w:r>
    </w:p>
    <w:p w:rsidR="00292189" w:rsidRPr="005C2E94" w:rsidRDefault="00292189" w:rsidP="00953D1B">
      <w:pPr>
        <w:pStyle w:val="enumlev1"/>
      </w:pPr>
      <w:r w:rsidRPr="005C2E94">
        <w:t>d)</w:t>
      </w:r>
      <w:r w:rsidRPr="005C2E94">
        <w:tab/>
      </w:r>
      <w:r w:rsidR="00BC4134" w:rsidRPr="005C2E94">
        <w:t xml:space="preserve">Sobre la base de dicho documento y de los comentarios pertinentes recibidos, se invitará a los Jefes de Delegación a que, en consulta con el Director de la </w:t>
      </w:r>
      <w:r w:rsidR="00340B9F" w:rsidRPr="005C2E94">
        <w:t>Oficina</w:t>
      </w:r>
      <w:r w:rsidR="00BC4134" w:rsidRPr="005C2E94">
        <w:t xml:space="preserve"> y en un momento adecuado durante la </w:t>
      </w:r>
      <w:r w:rsidR="00340B9F" w:rsidRPr="005C2E94">
        <w:t>asamblea o conferencia</w:t>
      </w:r>
      <w:r w:rsidR="00BC4134" w:rsidRPr="005C2E94">
        <w:t xml:space="preserve">, preparen una lista refundida de Presidentes y Vicepresidentes designados de las Comisiones de Estudio, </w:t>
      </w:r>
      <w:r w:rsidR="00340B9F" w:rsidRPr="005C2E94">
        <w:t xml:space="preserve">los Grupos Asesores y los Comités de Coordinación de Vocabulario </w:t>
      </w:r>
      <w:r w:rsidR="00BC4134" w:rsidRPr="005C2E94">
        <w:t xml:space="preserve">que se presentará en un documento a la </w:t>
      </w:r>
      <w:r w:rsidR="00340B9F" w:rsidRPr="005C2E94">
        <w:t xml:space="preserve">asamblea o conferencia </w:t>
      </w:r>
      <w:r w:rsidR="00BC4134" w:rsidRPr="005C2E94">
        <w:t>para su aprobación definitiva.</w:t>
      </w:r>
    </w:p>
    <w:p w:rsidR="00292189" w:rsidRPr="005C2E94" w:rsidRDefault="00292189" w:rsidP="00953D1B">
      <w:pPr>
        <w:pStyle w:val="enumlev1"/>
      </w:pPr>
      <w:r w:rsidRPr="005C2E94">
        <w:t>e)</w:t>
      </w:r>
      <w:r w:rsidRPr="005C2E94">
        <w:tab/>
      </w:r>
      <w:r w:rsidR="00BC4134" w:rsidRPr="005C2E94">
        <w:t xml:space="preserve">Al redactar la lista refundida debe tenerse en cuenta lo siguiente: en </w:t>
      </w:r>
      <w:r w:rsidR="00340B9F" w:rsidRPr="005C2E94">
        <w:t>caso</w:t>
      </w:r>
      <w:r w:rsidR="00BC4134" w:rsidRPr="005C2E94">
        <w:t xml:space="preserve"> </w:t>
      </w:r>
      <w:r w:rsidR="00340B9F" w:rsidRPr="005C2E94">
        <w:t>de haber</w:t>
      </w:r>
      <w:r w:rsidR="00BC4134" w:rsidRPr="005C2E94">
        <w:t xml:space="preserve"> dos o más candidatos igualmente competentes para el mismo cargo de Presidente, se deberá dar preferencia a los candidatos procedentes de los Estados Miembros y </w:t>
      </w:r>
      <w:r w:rsidR="00340B9F" w:rsidRPr="005C2E94">
        <w:t xml:space="preserve">los </w:t>
      </w:r>
      <w:r w:rsidR="00BC4134" w:rsidRPr="005C2E94">
        <w:t xml:space="preserve">Miembros de Sector que cuenten con el menor número de Presidentes designados para Comisiones de Estudio y </w:t>
      </w:r>
      <w:r w:rsidR="00340B9F" w:rsidRPr="005C2E94">
        <w:t>Grupos Asesores</w:t>
      </w:r>
      <w:r w:rsidR="00BC4134" w:rsidRPr="005C2E94">
        <w:t>.</w:t>
      </w:r>
    </w:p>
    <w:p w:rsidR="00BC4134" w:rsidRPr="005C2E94" w:rsidRDefault="00292189" w:rsidP="00953D1B">
      <w:r w:rsidRPr="005C2E94">
        <w:t>2</w:t>
      </w:r>
      <w:r w:rsidRPr="005C2E94">
        <w:tab/>
      </w:r>
      <w:r w:rsidR="00BC4134" w:rsidRPr="005C2E94">
        <w:t>Las situaciones que no se puedan considerar con arreglo a lo anterior se tratarán caso por caso en la </w:t>
      </w:r>
      <w:r w:rsidR="00C90528" w:rsidRPr="005C2E94">
        <w:t>asamblea o conferencia</w:t>
      </w:r>
      <w:r w:rsidR="00BC4134" w:rsidRPr="005C2E94">
        <w:t>. Por ejemplo, si se contempla la posibilidad de fusionar dos Comisiones de Estudio, pueden estudiarse las propuestas que presenten las Comisiones de Estudio implicadas. Por consiguiente, en este caso puede aplicarse el procedimiento descrito en el apartado 1.</w:t>
      </w:r>
    </w:p>
    <w:p w:rsidR="00292189" w:rsidRPr="005C2E94" w:rsidRDefault="00BC4134" w:rsidP="00953D1B">
      <w:r w:rsidRPr="005C2E94">
        <w:t xml:space="preserve">Pero si la </w:t>
      </w:r>
      <w:r w:rsidR="00C90528" w:rsidRPr="005C2E94">
        <w:t xml:space="preserve">asamblea o conferencia </w:t>
      </w:r>
      <w:r w:rsidRPr="005C2E94">
        <w:t>decide crear una Comisión de Estudio nueva, deberá procederse a las discusiones y a los nombramientos durante la </w:t>
      </w:r>
      <w:r w:rsidR="00C90528" w:rsidRPr="005C2E94">
        <w:t>asamblea o conferencia</w:t>
      </w:r>
      <w:r w:rsidRPr="005C2E94">
        <w:t>.</w:t>
      </w:r>
    </w:p>
    <w:p w:rsidR="00292189" w:rsidRPr="005C2E94" w:rsidRDefault="00292189" w:rsidP="00953D1B">
      <w:r w:rsidRPr="005C2E94">
        <w:t>3</w:t>
      </w:r>
      <w:r w:rsidRPr="005C2E94">
        <w:tab/>
      </w:r>
      <w:r w:rsidR="00BC4134" w:rsidRPr="005C2E94">
        <w:t xml:space="preserve">Estos procedimientos se deben aplicar también a los nombramientos efectuados por </w:t>
      </w:r>
      <w:r w:rsidR="00C90528" w:rsidRPr="005C2E94">
        <w:t>un Grupo Asesor</w:t>
      </w:r>
      <w:r w:rsidR="00BC4134" w:rsidRPr="005C2E94">
        <w:t xml:space="preserve"> en virtud de la autoridad delegada.</w:t>
      </w:r>
    </w:p>
    <w:p w:rsidR="00292189" w:rsidRPr="005C2E94" w:rsidRDefault="00292189" w:rsidP="00953D1B">
      <w:r w:rsidRPr="005C2E94">
        <w:t>4</w:t>
      </w:r>
      <w:r w:rsidRPr="005C2E94">
        <w:tab/>
      </w:r>
      <w:r w:rsidR="00535019" w:rsidRPr="005C2E94">
        <w:t xml:space="preserve">Los puestos vacantes de Presidentes y Vicepresidentes que se produzcan entre </w:t>
      </w:r>
      <w:r w:rsidR="00C90528" w:rsidRPr="005C2E94">
        <w:t xml:space="preserve">asambleas o conferencias </w:t>
      </w:r>
      <w:r w:rsidR="00535019" w:rsidRPr="005C2E94">
        <w:t>se cubrirán de conformidad con el número 244 del Convenio.</w:t>
      </w:r>
    </w:p>
    <w:p w:rsidR="00292189" w:rsidRPr="005C2E94" w:rsidRDefault="00292189" w:rsidP="00953D1B">
      <w:pPr>
        <w:tabs>
          <w:tab w:val="clear" w:pos="1134"/>
          <w:tab w:val="clear" w:pos="2268"/>
        </w:tabs>
        <w:overflowPunct/>
        <w:autoSpaceDE/>
        <w:autoSpaceDN/>
        <w:adjustRightInd/>
        <w:spacing w:before="0"/>
        <w:textAlignment w:val="auto"/>
        <w:rPr>
          <w:sz w:val="28"/>
        </w:rPr>
      </w:pPr>
      <w:r w:rsidRPr="005C2E94">
        <w:rPr>
          <w:caps/>
        </w:rPr>
        <w:br w:type="page"/>
      </w:r>
    </w:p>
    <w:p w:rsidR="00292189" w:rsidRPr="005C2E94" w:rsidRDefault="00535019" w:rsidP="00953D1B">
      <w:pPr>
        <w:pStyle w:val="AnnexNo"/>
      </w:pPr>
      <w:r w:rsidRPr="005C2E94">
        <w:rPr>
          <w:caps w:val="0"/>
        </w:rPr>
        <w:lastRenderedPageBreak/>
        <w:t>A</w:t>
      </w:r>
      <w:r w:rsidR="00292189" w:rsidRPr="005C2E94">
        <w:rPr>
          <w:caps w:val="0"/>
        </w:rPr>
        <w:t>NEX</w:t>
      </w:r>
      <w:r w:rsidRPr="005C2E94">
        <w:rPr>
          <w:caps w:val="0"/>
        </w:rPr>
        <w:t>O</w:t>
      </w:r>
      <w:r w:rsidR="00292189" w:rsidRPr="005C2E94">
        <w:rPr>
          <w:caps w:val="0"/>
        </w:rPr>
        <w:t> B</w:t>
      </w:r>
    </w:p>
    <w:p w:rsidR="00292189" w:rsidRPr="005C2E94" w:rsidRDefault="00535019" w:rsidP="00953D1B">
      <w:pPr>
        <w:pStyle w:val="Annextitle"/>
      </w:pPr>
      <w:r w:rsidRPr="005C2E94">
        <w:t>Cualificaciones de los Presidentes y Vicepresidentes</w:t>
      </w:r>
    </w:p>
    <w:p w:rsidR="00535019" w:rsidRPr="005C2E94" w:rsidRDefault="00292189" w:rsidP="00953D1B">
      <w:pPr>
        <w:pStyle w:val="Normalaftertitle"/>
      </w:pPr>
      <w:r w:rsidRPr="005C2E94">
        <w:t>1</w:t>
      </w:r>
      <w:r w:rsidRPr="005C2E94">
        <w:tab/>
      </w:r>
      <w:r w:rsidR="00535019" w:rsidRPr="005C2E94">
        <w:t>El número 242 del Convenio estipula que:</w:t>
      </w:r>
    </w:p>
    <w:p w:rsidR="00535019" w:rsidRPr="005C2E94" w:rsidRDefault="00535019" w:rsidP="00953D1B">
      <w:r w:rsidRPr="005C2E94">
        <w:t>"... Para el nombramiento de Presidentes y de Vicepresidentes se tendrán particularmente presentes la competencia personal y una distribución geográfica equitativa, así como la necesidad de fomentar una participación más efi</w:t>
      </w:r>
      <w:r w:rsidR="00300A56">
        <w:t>caz de los países en desarrollo</w:t>
      </w:r>
      <w:r w:rsidRPr="005C2E94">
        <w:t>"</w:t>
      </w:r>
      <w:r w:rsidR="00300A56">
        <w:t>.</w:t>
      </w:r>
    </w:p>
    <w:p w:rsidR="00292189" w:rsidRPr="005C2E94" w:rsidRDefault="00535019" w:rsidP="00953D1B">
      <w:pPr>
        <w:pStyle w:val="Normalaftertitle"/>
      </w:pPr>
      <w:r w:rsidRPr="005C2E94">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y los países con economías en transición.</w:t>
      </w:r>
    </w:p>
    <w:p w:rsidR="00535019" w:rsidRPr="005C2E94" w:rsidRDefault="00292189" w:rsidP="00953D1B">
      <w:r w:rsidRPr="005C2E94">
        <w:t>2</w:t>
      </w:r>
      <w:r w:rsidRPr="005C2E94">
        <w:tab/>
      </w:r>
      <w:r w:rsidR="00535019" w:rsidRPr="005C2E94">
        <w:t>En lo que respecta a la competencia, se estima que, entre las cualificaciones que habrán de tenerse en cuenta para nombrar a los Presidentes y Vicepresidentes, revisten suma importancia las siguientes:</w:t>
      </w:r>
    </w:p>
    <w:p w:rsidR="00535019" w:rsidRPr="005C2E94" w:rsidRDefault="00535019" w:rsidP="00953D1B">
      <w:pPr>
        <w:pStyle w:val="enumlev1"/>
      </w:pPr>
      <w:r w:rsidRPr="005C2E94">
        <w:t>–</w:t>
      </w:r>
      <w:r w:rsidRPr="005C2E94">
        <w:tab/>
        <w:t>conocimientos y experiencia profesional pertinentes;</w:t>
      </w:r>
    </w:p>
    <w:p w:rsidR="00535019" w:rsidRPr="005C2E94" w:rsidRDefault="00535019" w:rsidP="00953D1B">
      <w:pPr>
        <w:pStyle w:val="enumlev1"/>
      </w:pPr>
      <w:r w:rsidRPr="005C2E94">
        <w:t>–</w:t>
      </w:r>
      <w:r w:rsidRPr="005C2E94">
        <w:tab/>
        <w:t>continuidad de participación en la Comisión de Estudio pertinente o, en el caso de Presidentes y Vicepresidentes de G</w:t>
      </w:r>
      <w:r w:rsidR="00100DF3" w:rsidRPr="005C2E94">
        <w:t>rupos Asesores</w:t>
      </w:r>
      <w:r w:rsidRPr="005C2E94">
        <w:t>, en</w:t>
      </w:r>
      <w:r w:rsidR="00100DF3" w:rsidRPr="005C2E94">
        <w:t xml:space="preserve"> la UIT y el correspondiente Sector en particular</w:t>
      </w:r>
      <w:r w:rsidRPr="005C2E94">
        <w:t>;</w:t>
      </w:r>
    </w:p>
    <w:p w:rsidR="00535019" w:rsidRPr="005C2E94" w:rsidRDefault="00535019" w:rsidP="00953D1B">
      <w:pPr>
        <w:pStyle w:val="enumlev1"/>
      </w:pPr>
      <w:r w:rsidRPr="005C2E94">
        <w:t>–</w:t>
      </w:r>
      <w:r w:rsidRPr="005C2E94">
        <w:tab/>
        <w:t>aptitudes de gestión;</w:t>
      </w:r>
    </w:p>
    <w:p w:rsidR="00535019" w:rsidRPr="005C2E94" w:rsidRDefault="00535019" w:rsidP="00953D1B">
      <w:pPr>
        <w:pStyle w:val="enumlev1"/>
      </w:pPr>
      <w:r w:rsidRPr="005C2E94">
        <w:t>–</w:t>
      </w:r>
      <w:r w:rsidRPr="005C2E94">
        <w:tab/>
        <w:t>disponibilidad</w:t>
      </w:r>
      <w:r w:rsidR="00100DF3" w:rsidRPr="005C2E94">
        <w:t xml:space="preserve"> para comenzar</w:t>
      </w:r>
      <w:r w:rsidR="00FA5F15" w:rsidRPr="005C2E94">
        <w:t xml:space="preserve"> inmediatamente sus tareas y hasta la siguiente asamblea o conferencia</w:t>
      </w:r>
      <w:r w:rsidRPr="005C2E94">
        <w:t>;</w:t>
      </w:r>
    </w:p>
    <w:p w:rsidR="00535019" w:rsidRPr="005C2E94" w:rsidRDefault="00535019" w:rsidP="00953D1B">
      <w:pPr>
        <w:pStyle w:val="enumlev1"/>
      </w:pPr>
      <w:r w:rsidRPr="005C2E94">
        <w:t>–</w:t>
      </w:r>
      <w:r w:rsidRPr="005C2E94">
        <w:tab/>
        <w:t xml:space="preserve">conocimientos sobre las actividades </w:t>
      </w:r>
      <w:r w:rsidR="00FA5F15" w:rsidRPr="005C2E94">
        <w:t>relacionadas con el mandato del Sector de que se trate</w:t>
      </w:r>
      <w:r w:rsidRPr="005C2E94">
        <w:t>.</w:t>
      </w:r>
    </w:p>
    <w:p w:rsidR="00C733B8" w:rsidRPr="005C2E94" w:rsidRDefault="00FA5F15" w:rsidP="00C733B8">
      <w:r w:rsidRPr="005C2E94">
        <w:t>3</w:t>
      </w:r>
      <w:r w:rsidRPr="005C2E94">
        <w:tab/>
      </w:r>
      <w:r w:rsidR="00535019" w:rsidRPr="005C2E94">
        <w:t xml:space="preserve">En el </w:t>
      </w:r>
      <w:r w:rsidR="00535019" w:rsidRPr="005C2E94">
        <w:rPr>
          <w:i/>
          <w:iCs/>
        </w:rPr>
        <w:t>curriculum vitae</w:t>
      </w:r>
      <w:r w:rsidR="00535019" w:rsidRPr="005C2E94">
        <w:t xml:space="preserve"> que distribuya el Director de la </w:t>
      </w:r>
      <w:r w:rsidRPr="005C2E94">
        <w:t>Oficina</w:t>
      </w:r>
      <w:r w:rsidR="00535019" w:rsidRPr="005C2E94">
        <w:t xml:space="preserve"> se hará referencia particular a dichas cualificaciones.</w:t>
      </w:r>
    </w:p>
    <w:p w:rsidR="00C733B8" w:rsidRPr="005C2E94" w:rsidRDefault="00C733B8" w:rsidP="00C733B8">
      <w:r w:rsidRPr="005C2E94">
        <w:br w:type="page"/>
      </w:r>
    </w:p>
    <w:p w:rsidR="00292189" w:rsidRPr="005C2E94" w:rsidRDefault="00535019" w:rsidP="00953D1B">
      <w:pPr>
        <w:pStyle w:val="AnnexNo"/>
      </w:pPr>
      <w:r w:rsidRPr="005C2E94">
        <w:lastRenderedPageBreak/>
        <w:t>AN</w:t>
      </w:r>
      <w:r w:rsidR="00292189" w:rsidRPr="005C2E94">
        <w:t>EX</w:t>
      </w:r>
      <w:r w:rsidRPr="005C2E94">
        <w:t>O</w:t>
      </w:r>
      <w:r w:rsidR="00292189" w:rsidRPr="005C2E94">
        <w:t xml:space="preserve"> C</w:t>
      </w:r>
    </w:p>
    <w:p w:rsidR="00292189" w:rsidRPr="005C2E94" w:rsidRDefault="00535019" w:rsidP="00953D1B">
      <w:pPr>
        <w:pStyle w:val="Annextitle"/>
      </w:pPr>
      <w:r w:rsidRPr="005C2E94">
        <w:t>Directrices para el nombramiento del número óptimo de Vicepresidentes</w:t>
      </w:r>
      <w:r w:rsidRPr="005C2E94">
        <w:br/>
        <w:t>de las Comisiones de Estudio</w:t>
      </w:r>
      <w:r w:rsidR="00FA5F15" w:rsidRPr="005C2E94">
        <w:t>, los Grupos Asesores y los Comités de Coordinación de Vocabulario</w:t>
      </w:r>
    </w:p>
    <w:p w:rsidR="00292189" w:rsidRPr="005C2E94" w:rsidRDefault="00292189" w:rsidP="00300A56">
      <w:pPr>
        <w:pStyle w:val="Normalaftertitle"/>
      </w:pPr>
      <w:r w:rsidRPr="005C2E94">
        <w:t>1</w:t>
      </w:r>
      <w:r w:rsidRPr="005C2E94">
        <w:tab/>
      </w:r>
      <w:r w:rsidR="00535019" w:rsidRPr="005C2E94">
        <w:t>De acuerdo con la Resolución 166 (</w:t>
      </w:r>
      <w:r w:rsidR="00535019" w:rsidRPr="005C2E94">
        <w:rPr>
          <w:szCs w:val="24"/>
        </w:rPr>
        <w:t>Rev. Busán, 2014</w:t>
      </w:r>
      <w:r w:rsidR="00535019" w:rsidRPr="005C2E94">
        <w:t>) de la Conferencia de Plenipotenciarios y el número 242 del Convenio, se tendrán en cuenta la distribución geográfica equitativa entre las regiones</w:t>
      </w:r>
      <w:r w:rsidR="00FA5F15" w:rsidRPr="005C2E94">
        <w:t xml:space="preserve"> </w:t>
      </w:r>
      <w:r w:rsidR="00535019" w:rsidRPr="005C2E94">
        <w:t>de la UIT</w:t>
      </w:r>
      <w:r w:rsidR="00FA5F15" w:rsidRPr="005C2E94">
        <w:t>,</w:t>
      </w:r>
      <w:r w:rsidR="00535019" w:rsidRPr="005C2E94">
        <w:t xml:space="preserve"> la necesidad de fomentar una participación más efectiva de los países en desarrollo</w:t>
      </w:r>
      <w:r w:rsidR="00FA5F15" w:rsidRPr="005C2E94">
        <w:t>, el equilibrio entre hombres y mujeres, y los conocimientos y la experiencia del especialista</w:t>
      </w:r>
      <w:r w:rsidR="00F45900" w:rsidRPr="005C2E94">
        <w:rPr>
          <w:rStyle w:val="FootnoteReference"/>
        </w:rPr>
        <w:footnoteReference w:id="4"/>
      </w:r>
      <w:r w:rsidR="00300A56">
        <w:t>.</w:t>
      </w:r>
    </w:p>
    <w:p w:rsidR="00292189" w:rsidRPr="005C2E94" w:rsidRDefault="00292189" w:rsidP="00953D1B">
      <w:r w:rsidRPr="005C2E94">
        <w:t>2</w:t>
      </w:r>
      <w:r w:rsidRPr="005C2E94">
        <w:tab/>
      </w:r>
      <w:r w:rsidR="00535019" w:rsidRPr="005C2E94">
        <w:t xml:space="preserve">En la medida de lo posible, y teniendo en cuenta el requisito de la competencia acreditada, para el nombramiento o selección del equipo de dirección se utilizarán los recursos </w:t>
      </w:r>
      <w:r w:rsidR="009A25B7" w:rsidRPr="005C2E94">
        <w:t xml:space="preserve">humanos </w:t>
      </w:r>
      <w:r w:rsidR="00535019" w:rsidRPr="005C2E94">
        <w:t>del mayor número posible de Estados Miembros y Miembros de Sector, reconociendo al mismo tiempo la necesidad de nombrar únicamente al número de Vicepresidentes necesario para garantizar la gestión y el funcionamiento efectivos y eficaces de la Comisión de Estudio,</w:t>
      </w:r>
      <w:r w:rsidR="009A25B7" w:rsidRPr="005C2E94">
        <w:t xml:space="preserve"> los Grupos Asesores y los Comités de Coordinación de Vocabulario,</w:t>
      </w:r>
      <w:r w:rsidR="00535019" w:rsidRPr="005C2E94">
        <w:t xml:space="preserve"> de conformidad con la estructura prevista y el programa de trabajo.</w:t>
      </w:r>
    </w:p>
    <w:p w:rsidR="00292189" w:rsidRPr="005C2E94" w:rsidRDefault="00292189" w:rsidP="00953D1B">
      <w:r w:rsidRPr="005C2E94">
        <w:t>3</w:t>
      </w:r>
      <w:r w:rsidRPr="005C2E94">
        <w:tab/>
      </w:r>
      <w:r w:rsidR="00535019" w:rsidRPr="005C2E94">
        <w:t>Se tendrá en cuenta el volumen de trabajo para determinar el número adecuado de Vicepresidentes con miras a garantizar la plena gestión de todos los aspectos comprendidos en el ámbito de las Comisiones de Estudio</w:t>
      </w:r>
      <w:r w:rsidR="009A25B7" w:rsidRPr="005C2E94">
        <w:t>, los Grupos Asesores y los Comités de Coordinación de Vocabulario</w:t>
      </w:r>
      <w:r w:rsidR="00535019" w:rsidRPr="005C2E94">
        <w:t>.</w:t>
      </w:r>
      <w:r w:rsidR="00535019" w:rsidRPr="005C2E94">
        <w:rPr>
          <w:szCs w:val="24"/>
        </w:rPr>
        <w:t xml:space="preserve"> </w:t>
      </w:r>
      <w:r w:rsidR="00535019" w:rsidRPr="005C2E94">
        <w:t>La distribución de tareas entre los</w:t>
      </w:r>
      <w:r w:rsidR="00535019" w:rsidRPr="005C2E94">
        <w:rPr>
          <w:szCs w:val="24"/>
        </w:rPr>
        <w:t xml:space="preserve"> </w:t>
      </w:r>
      <w:r w:rsidR="00FA1DC8" w:rsidRPr="005C2E94">
        <w:t>vicepresidentes</w:t>
      </w:r>
      <w:r w:rsidR="00535019" w:rsidRPr="005C2E94">
        <w:t xml:space="preserve"> deberá realizarse en el marco de cada Comisión de Estudio</w:t>
      </w:r>
      <w:r w:rsidR="009A25B7" w:rsidRPr="005C2E94">
        <w:t xml:space="preserve"> y Grupo Asesor, </w:t>
      </w:r>
      <w:r w:rsidR="00535019" w:rsidRPr="005C2E94">
        <w:t>y podrá modificarse de acuerdo con las necesidades de trabajo.</w:t>
      </w:r>
    </w:p>
    <w:p w:rsidR="00292189" w:rsidRPr="005C2E94" w:rsidRDefault="00292189" w:rsidP="00953D1B">
      <w:r w:rsidRPr="005C2E94">
        <w:t>4</w:t>
      </w:r>
      <w:r w:rsidRPr="005C2E94">
        <w:tab/>
      </w:r>
      <w:r w:rsidR="00535019" w:rsidRPr="005C2E94">
        <w:t>El número total de Vicepresidentes que proponga una administración debe ser razonable, a fin de respetar el principio de distribución equitativa de los puestos entre los Estados Miembros interesados.</w:t>
      </w:r>
    </w:p>
    <w:p w:rsidR="00292189" w:rsidRPr="005C2E94" w:rsidRDefault="00292189" w:rsidP="00C733B8">
      <w:r w:rsidRPr="005C2E94">
        <w:t>5</w:t>
      </w:r>
      <w:r w:rsidRPr="005C2E94">
        <w:tab/>
      </w:r>
      <w:r w:rsidR="009A25B7" w:rsidRPr="005C2E94">
        <w:t xml:space="preserve">Los Estados Miembros de </w:t>
      </w:r>
      <w:r w:rsidR="00535019" w:rsidRPr="005C2E94">
        <w:t>cada región de la UIT</w:t>
      </w:r>
      <w:r w:rsidR="00C733B8" w:rsidRPr="005C2E94">
        <w:rPr>
          <w:rStyle w:val="FootnoteReference"/>
        </w:rPr>
        <w:footnoteReference w:id="5"/>
      </w:r>
      <w:r w:rsidR="009A25B7" w:rsidRPr="005C2E94">
        <w:t xml:space="preserve">, cuando asigne los puestos a cada profesional con experiencia, </w:t>
      </w:r>
      <w:r w:rsidR="00535019" w:rsidRPr="005C2E94">
        <w:t>respetar</w:t>
      </w:r>
      <w:r w:rsidR="009A25B7" w:rsidRPr="005C2E94">
        <w:t>á</w:t>
      </w:r>
      <w:r w:rsidR="00535019" w:rsidRPr="005C2E94">
        <w:t xml:space="preserve"> plenamente el principio de distribución geográfica equitativa entre las regiones de la UIT y </w:t>
      </w:r>
      <w:r w:rsidR="009A25B7" w:rsidRPr="005C2E94">
        <w:t xml:space="preserve">la necesidad de promover </w:t>
      </w:r>
      <w:r w:rsidR="00535019" w:rsidRPr="005C2E94">
        <w:t>una participación más eficaz de los países en desarrollo</w:t>
      </w:r>
      <w:r w:rsidR="009A25B7" w:rsidRPr="005C2E94">
        <w:t>.</w:t>
      </w:r>
    </w:p>
    <w:p w:rsidR="00C733B8" w:rsidRPr="005C2E94" w:rsidRDefault="00C733B8">
      <w:pPr>
        <w:tabs>
          <w:tab w:val="clear" w:pos="567"/>
          <w:tab w:val="clear" w:pos="1134"/>
          <w:tab w:val="clear" w:pos="1701"/>
          <w:tab w:val="clear" w:pos="2268"/>
          <w:tab w:val="clear" w:pos="2835"/>
        </w:tabs>
        <w:overflowPunct/>
        <w:autoSpaceDE/>
        <w:autoSpaceDN/>
        <w:adjustRightInd/>
        <w:spacing w:before="0"/>
        <w:textAlignment w:val="auto"/>
      </w:pPr>
      <w:r w:rsidRPr="005C2E94">
        <w:br w:type="page"/>
      </w:r>
    </w:p>
    <w:p w:rsidR="00292189" w:rsidRPr="005C2E94" w:rsidRDefault="00292189" w:rsidP="00C733B8">
      <w:r w:rsidRPr="005C2E94">
        <w:t>6</w:t>
      </w:r>
      <w:r w:rsidRPr="005C2E94">
        <w:tab/>
      </w:r>
      <w:r w:rsidR="00535019" w:rsidRPr="005C2E94">
        <w:t xml:space="preserve">Se tendrá en cuenta la representación regional en </w:t>
      </w:r>
      <w:r w:rsidR="009A25B7" w:rsidRPr="005C2E94">
        <w:t xml:space="preserve">las Comisiones de Estudio, </w:t>
      </w:r>
      <w:r w:rsidR="00535019" w:rsidRPr="005C2E94">
        <w:t>los Grupos Asesores y otros grupos de los tres Sectores, de modo que una misma persona no pueda ocupar más de un cargo de Vicepresidente en esos grupos de cualquiera de los Sectores, y sólo en casos excepcionales pueda ocupar dicho cargo en más de un Sector</w:t>
      </w:r>
      <w:r w:rsidR="00C733B8" w:rsidRPr="005C2E94">
        <w:rPr>
          <w:rStyle w:val="FootnoteReference"/>
        </w:rPr>
        <w:footnoteReference w:id="6"/>
      </w:r>
      <w:r w:rsidRPr="005C2E94">
        <w:t>.</w:t>
      </w:r>
    </w:p>
    <w:p w:rsidR="00C733B8" w:rsidRPr="005C2E94" w:rsidRDefault="00C733B8" w:rsidP="0032202E">
      <w:pPr>
        <w:pStyle w:val="Reasons"/>
      </w:pPr>
    </w:p>
    <w:p w:rsidR="00C733B8" w:rsidRPr="005C2E94" w:rsidRDefault="00C733B8">
      <w:pPr>
        <w:jc w:val="center"/>
      </w:pPr>
      <w:r w:rsidRPr="005C2E94">
        <w:t>______________</w:t>
      </w:r>
    </w:p>
    <w:sectPr w:rsidR="00C733B8" w:rsidRPr="005C2E94" w:rsidSect="00300A56">
      <w:headerReference w:type="default" r:id="rId8"/>
      <w:footerReference w:type="default" r:id="rId9"/>
      <w:footerReference w:type="first" r:id="rId1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356" w:rsidRDefault="00E40356">
      <w:r>
        <w:separator/>
      </w:r>
    </w:p>
  </w:endnote>
  <w:endnote w:type="continuationSeparator" w:id="0">
    <w:p w:rsidR="00E40356" w:rsidRDefault="00E4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83" w:rsidRPr="00953D1B" w:rsidRDefault="00953D1B" w:rsidP="00953D1B">
    <w:pPr>
      <w:pStyle w:val="Footer"/>
      <w:rPr>
        <w:lang w:val="fr-CH"/>
      </w:rPr>
    </w:pPr>
    <w:r w:rsidRPr="00953D1B">
      <w:rPr>
        <w:lang w:val="en-GB"/>
      </w:rPr>
      <w:fldChar w:fldCharType="begin"/>
    </w:r>
    <w:r w:rsidRPr="00953D1B">
      <w:rPr>
        <w:lang w:val="fr-CH"/>
      </w:rPr>
      <w:instrText xml:space="preserve"> FILENAME \p  \* MERGEFORMAT </w:instrText>
    </w:r>
    <w:r w:rsidRPr="00953D1B">
      <w:rPr>
        <w:lang w:val="en-GB"/>
      </w:rPr>
      <w:fldChar w:fldCharType="separate"/>
    </w:r>
    <w:r w:rsidR="00300A56">
      <w:rPr>
        <w:lang w:val="fr-CH"/>
      </w:rPr>
      <w:t>P:\ESP\SG\CONSEIL\C18\000\081S.docx</w:t>
    </w:r>
    <w:r w:rsidRPr="00953D1B">
      <w:rPr>
        <w:lang w:val="en-GB"/>
      </w:rPr>
      <w:fldChar w:fldCharType="end"/>
    </w:r>
    <w:r>
      <w:rPr>
        <w:lang w:val="fr-CH"/>
      </w:rPr>
      <w:t xml:space="preserve"> (434477</w:t>
    </w:r>
    <w:r w:rsidRPr="00953D1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83" w:rsidRPr="00953D1B" w:rsidRDefault="00953D1B" w:rsidP="00953D1B">
    <w:pPr>
      <w:pStyle w:val="Footer"/>
      <w:rPr>
        <w:lang w:val="fr-CH"/>
      </w:rPr>
    </w:pPr>
    <w:r w:rsidRPr="00953D1B">
      <w:rPr>
        <w:lang w:val="en-GB"/>
      </w:rPr>
      <w:fldChar w:fldCharType="begin"/>
    </w:r>
    <w:r w:rsidRPr="00953D1B">
      <w:rPr>
        <w:lang w:val="fr-CH"/>
      </w:rPr>
      <w:instrText xml:space="preserve"> FILENAME \p  \* MERGEFORMAT </w:instrText>
    </w:r>
    <w:r w:rsidRPr="00953D1B">
      <w:rPr>
        <w:lang w:val="en-GB"/>
      </w:rPr>
      <w:fldChar w:fldCharType="separate"/>
    </w:r>
    <w:r w:rsidR="00300A56">
      <w:rPr>
        <w:lang w:val="fr-CH"/>
      </w:rPr>
      <w:t>P:\ESP\SG\CONSEIL\C18\000\081S.docx</w:t>
    </w:r>
    <w:r w:rsidRPr="00953D1B">
      <w:rPr>
        <w:lang w:val="en-GB"/>
      </w:rPr>
      <w:fldChar w:fldCharType="end"/>
    </w:r>
    <w:r>
      <w:rPr>
        <w:lang w:val="fr-CH"/>
      </w:rPr>
      <w:t xml:space="preserve"> (434477</w:t>
    </w:r>
    <w:r w:rsidRPr="00953D1B">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356" w:rsidRDefault="00E40356">
      <w:r>
        <w:t>____________________</w:t>
      </w:r>
    </w:p>
  </w:footnote>
  <w:footnote w:type="continuationSeparator" w:id="0">
    <w:p w:rsidR="00E40356" w:rsidRDefault="00E40356">
      <w:r>
        <w:continuationSeparator/>
      </w:r>
    </w:p>
  </w:footnote>
  <w:footnote w:id="1">
    <w:p w:rsidR="00C733B8" w:rsidRDefault="00C733B8">
      <w:pPr>
        <w:pStyle w:val="FootnoteText"/>
      </w:pPr>
      <w:r>
        <w:rPr>
          <w:rStyle w:val="FootnoteReference"/>
        </w:rPr>
        <w:footnoteRef/>
      </w:r>
      <w:r>
        <w:tab/>
      </w:r>
      <w:r w:rsidRPr="006E1D67">
        <w:t xml:space="preserve">Los criterios contenidos en la presente Resolución no se aplican a la designación de </w:t>
      </w:r>
      <w:r>
        <w:t>presidentes</w:t>
      </w:r>
      <w:r w:rsidRPr="006E1D67">
        <w:t xml:space="preserve"> o </w:t>
      </w:r>
      <w:r>
        <w:t>V</w:t>
      </w:r>
      <w:r w:rsidRPr="006E1D67">
        <w:t xml:space="preserve">icepresidentes de </w:t>
      </w:r>
      <w:r w:rsidRPr="00E805A6">
        <w:t>Grupos</w:t>
      </w:r>
      <w:r w:rsidRPr="006E1D67">
        <w:t xml:space="preserve"> Temáticos.</w:t>
      </w:r>
    </w:p>
  </w:footnote>
  <w:footnote w:id="2">
    <w:p w:rsidR="00C733B8" w:rsidRDefault="00C733B8">
      <w:pPr>
        <w:pStyle w:val="FootnoteText"/>
      </w:pPr>
      <w:r>
        <w:rPr>
          <w:rStyle w:val="FootnoteReference"/>
        </w:rPr>
        <w:footnoteRef/>
      </w:r>
      <w:r>
        <w:tab/>
      </w:r>
      <w:r w:rsidRPr="00B56CB3">
        <w:t>Este término comprende los países menos adelantados, los pequeños Estados insulares en desarrollo, los países en desarrollo sin litoral y los países con economías en transición.</w:t>
      </w:r>
    </w:p>
  </w:footnote>
  <w:footnote w:id="3">
    <w:p w:rsidR="00C733B8" w:rsidRDefault="00C733B8">
      <w:pPr>
        <w:pStyle w:val="FootnoteText"/>
      </w:pPr>
      <w:r>
        <w:rPr>
          <w:rStyle w:val="FootnoteReference"/>
        </w:rPr>
        <w:footnoteRef/>
      </w:r>
      <w:r>
        <w:tab/>
      </w:r>
      <w:r w:rsidRPr="007064C2">
        <w:t xml:space="preserve">Teniendo en cuenta el </w:t>
      </w:r>
      <w:r w:rsidRPr="00300A56">
        <w:rPr>
          <w:i/>
          <w:iCs/>
        </w:rPr>
        <w:t>resuelve</w:t>
      </w:r>
      <w:r w:rsidRPr="007064C2">
        <w:t xml:space="preserve"> 2 de la Resolución 58 de la Conferencia de Plenipotenciarios (Rev. Busán, 2014)</w:t>
      </w:r>
      <w:r>
        <w:t>.</w:t>
      </w:r>
    </w:p>
  </w:footnote>
  <w:footnote w:id="4">
    <w:p w:rsidR="00F45900" w:rsidRDefault="00F45900">
      <w:pPr>
        <w:pStyle w:val="FootnoteText"/>
      </w:pPr>
      <w:r>
        <w:rPr>
          <w:rStyle w:val="FootnoteReference"/>
        </w:rPr>
        <w:footnoteRef/>
      </w:r>
      <w:r>
        <w:tab/>
      </w:r>
      <w:r w:rsidRPr="003D0C48">
        <w:rPr>
          <w:szCs w:val="24"/>
        </w:rPr>
        <w:t>En la medida de lo posible se aumentará el número de representantes de las regiones formadas por numerosas administraciones y con un desarrollo económico y tecnológico de índole diversa, según corresponda.</w:t>
      </w:r>
    </w:p>
  </w:footnote>
  <w:footnote w:id="5">
    <w:p w:rsidR="00C733B8" w:rsidRDefault="00C733B8">
      <w:pPr>
        <w:pStyle w:val="FootnoteText"/>
      </w:pPr>
      <w:r>
        <w:rPr>
          <w:rStyle w:val="FootnoteReference"/>
        </w:rPr>
        <w:footnoteRef/>
      </w:r>
      <w:r>
        <w:tab/>
      </w:r>
      <w:r w:rsidRPr="003D0C48">
        <w:rPr>
          <w:szCs w:val="24"/>
        </w:rPr>
        <w:t xml:space="preserve">Teniendo en cuenta la Resolución 58 (Rev. </w:t>
      </w:r>
      <w:r>
        <w:rPr>
          <w:szCs w:val="24"/>
        </w:rPr>
        <w:t>Busán, 2014</w:t>
      </w:r>
      <w:r w:rsidRPr="003D0C48">
        <w:rPr>
          <w:szCs w:val="24"/>
        </w:rPr>
        <w:t>) de la Conferencia de Plenipotenciarios sobre las seis principales organizaciones regionales de telecomunicaciones, a saber, la Telecomunidad Asia</w:t>
      </w:r>
      <w:r w:rsidRPr="003D0C48">
        <w:rPr>
          <w:szCs w:val="24"/>
        </w:rPr>
        <w:noBreakHyphen/>
        <w:t>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 w:id="6">
    <w:p w:rsidR="00C733B8" w:rsidRPr="00C733B8" w:rsidRDefault="00C733B8">
      <w:pPr>
        <w:pStyle w:val="FootnoteText"/>
        <w:rPr>
          <w:b/>
          <w:bCs/>
        </w:rPr>
      </w:pPr>
      <w:r>
        <w:rPr>
          <w:rStyle w:val="FootnoteReference"/>
        </w:rPr>
        <w:footnoteRef/>
      </w:r>
      <w:r>
        <w:tab/>
      </w:r>
      <w:r w:rsidRPr="003D0C48">
        <w:rPr>
          <w:szCs w:val="24"/>
        </w:rPr>
        <w:t>El criterio mencionado en este párrafo no debe impedir que un vicepresidente de un determinad</w:t>
      </w:r>
      <w:r>
        <w:rPr>
          <w:szCs w:val="24"/>
        </w:rPr>
        <w:t>o</w:t>
      </w:r>
      <w:r w:rsidRPr="003D0C48">
        <w:rPr>
          <w:szCs w:val="24"/>
        </w:rPr>
        <w:t xml:space="preserve"> Grupo Asesor o un vicepresidente de un</w:t>
      </w:r>
      <w:r>
        <w:rPr>
          <w:szCs w:val="24"/>
        </w:rPr>
        <w:t>a</w:t>
      </w:r>
      <w:r w:rsidRPr="003D0C48">
        <w:rPr>
          <w:szCs w:val="24"/>
        </w:rPr>
        <w:t xml:space="preserve"> determinad</w:t>
      </w:r>
      <w:r>
        <w:rPr>
          <w:szCs w:val="24"/>
        </w:rPr>
        <w:t>a</w:t>
      </w:r>
      <w:r w:rsidRPr="003D0C48">
        <w:rPr>
          <w:szCs w:val="24"/>
        </w:rPr>
        <w:t xml:space="preserve"> Comisión de Estudio ocupe cargos de presidente o vicepresidente de un determinado Grupo de Trabajo o de Relator o Relator Asociado de cualquier grupo bajo el mandato de</w:t>
      </w:r>
      <w:r>
        <w:rPr>
          <w:szCs w:val="24"/>
        </w:rPr>
        <w:t>l</w:t>
      </w:r>
      <w:r w:rsidRPr="003D0C48">
        <w:rPr>
          <w:szCs w:val="24"/>
        </w:rPr>
        <w:t xml:space="preserve"> grupo de Sector en cuestión.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F0031">
      <w:rPr>
        <w:noProof/>
      </w:rPr>
      <w:t>9</w:t>
    </w:r>
    <w:r>
      <w:rPr>
        <w:noProof/>
      </w:rPr>
      <w:fldChar w:fldCharType="end"/>
    </w:r>
  </w:p>
  <w:p w:rsidR="00300A56" w:rsidRDefault="00760F1C">
    <w:pPr>
      <w:pStyle w:val="Header"/>
    </w:pPr>
    <w:r>
      <w:t>C</w:t>
    </w:r>
    <w:r w:rsidR="007F350B">
      <w:t>1</w:t>
    </w:r>
    <w:r w:rsidR="009F4811">
      <w:t>8</w:t>
    </w:r>
    <w:r w:rsidR="00675F83">
      <w:t>/81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3F"/>
    <w:rsid w:val="00065A56"/>
    <w:rsid w:val="00093EEB"/>
    <w:rsid w:val="000B0D00"/>
    <w:rsid w:val="000B7C15"/>
    <w:rsid w:val="000D1D0F"/>
    <w:rsid w:val="000F5290"/>
    <w:rsid w:val="000F6A64"/>
    <w:rsid w:val="00100DF3"/>
    <w:rsid w:val="0010165C"/>
    <w:rsid w:val="00146BFB"/>
    <w:rsid w:val="00172776"/>
    <w:rsid w:val="0017379A"/>
    <w:rsid w:val="001E490D"/>
    <w:rsid w:val="001F14A2"/>
    <w:rsid w:val="002801AA"/>
    <w:rsid w:val="00292189"/>
    <w:rsid w:val="002C4676"/>
    <w:rsid w:val="002C70B0"/>
    <w:rsid w:val="002F3CC4"/>
    <w:rsid w:val="00300A56"/>
    <w:rsid w:val="00340B9F"/>
    <w:rsid w:val="003A2224"/>
    <w:rsid w:val="003D3D80"/>
    <w:rsid w:val="003F0031"/>
    <w:rsid w:val="004130A6"/>
    <w:rsid w:val="005126D3"/>
    <w:rsid w:val="00513630"/>
    <w:rsid w:val="00535019"/>
    <w:rsid w:val="0055254B"/>
    <w:rsid w:val="00560125"/>
    <w:rsid w:val="00585553"/>
    <w:rsid w:val="005B34D9"/>
    <w:rsid w:val="005C2E94"/>
    <w:rsid w:val="005D0CCF"/>
    <w:rsid w:val="005D6C33"/>
    <w:rsid w:val="005F3BCB"/>
    <w:rsid w:val="005F410F"/>
    <w:rsid w:val="0060149A"/>
    <w:rsid w:val="00601924"/>
    <w:rsid w:val="006447EA"/>
    <w:rsid w:val="0064731F"/>
    <w:rsid w:val="006710F6"/>
    <w:rsid w:val="00675F83"/>
    <w:rsid w:val="00677362"/>
    <w:rsid w:val="006C1B56"/>
    <w:rsid w:val="006D4761"/>
    <w:rsid w:val="007064C2"/>
    <w:rsid w:val="00726872"/>
    <w:rsid w:val="00730CE1"/>
    <w:rsid w:val="00734396"/>
    <w:rsid w:val="00760F1C"/>
    <w:rsid w:val="007657F0"/>
    <w:rsid w:val="0077252D"/>
    <w:rsid w:val="00797E3F"/>
    <w:rsid w:val="007E5DD3"/>
    <w:rsid w:val="007F350B"/>
    <w:rsid w:val="008106AD"/>
    <w:rsid w:val="00820BE4"/>
    <w:rsid w:val="008451E8"/>
    <w:rsid w:val="00913B9C"/>
    <w:rsid w:val="00953D1B"/>
    <w:rsid w:val="00956E77"/>
    <w:rsid w:val="0095748F"/>
    <w:rsid w:val="0097267D"/>
    <w:rsid w:val="009A25B7"/>
    <w:rsid w:val="009D1102"/>
    <w:rsid w:val="009F4811"/>
    <w:rsid w:val="00A508F9"/>
    <w:rsid w:val="00AA390C"/>
    <w:rsid w:val="00B0200A"/>
    <w:rsid w:val="00B10B58"/>
    <w:rsid w:val="00B574DB"/>
    <w:rsid w:val="00B826C2"/>
    <w:rsid w:val="00B8298E"/>
    <w:rsid w:val="00B9636C"/>
    <w:rsid w:val="00BC4134"/>
    <w:rsid w:val="00BD0723"/>
    <w:rsid w:val="00BD2518"/>
    <w:rsid w:val="00BF1D1C"/>
    <w:rsid w:val="00C20C59"/>
    <w:rsid w:val="00C55B1F"/>
    <w:rsid w:val="00C733B8"/>
    <w:rsid w:val="00C90528"/>
    <w:rsid w:val="00C94920"/>
    <w:rsid w:val="00CB1211"/>
    <w:rsid w:val="00CC010B"/>
    <w:rsid w:val="00CF1A67"/>
    <w:rsid w:val="00D2750E"/>
    <w:rsid w:val="00D62446"/>
    <w:rsid w:val="00D75048"/>
    <w:rsid w:val="00D77905"/>
    <w:rsid w:val="00D953BB"/>
    <w:rsid w:val="00DA4EA2"/>
    <w:rsid w:val="00DC3D3E"/>
    <w:rsid w:val="00DE2C90"/>
    <w:rsid w:val="00DE3B24"/>
    <w:rsid w:val="00E06947"/>
    <w:rsid w:val="00E3592D"/>
    <w:rsid w:val="00E40356"/>
    <w:rsid w:val="00E92DE8"/>
    <w:rsid w:val="00EB1212"/>
    <w:rsid w:val="00ED65AB"/>
    <w:rsid w:val="00F12850"/>
    <w:rsid w:val="00F202FE"/>
    <w:rsid w:val="00F33BF4"/>
    <w:rsid w:val="00F35526"/>
    <w:rsid w:val="00F45900"/>
    <w:rsid w:val="00F7105E"/>
    <w:rsid w:val="00F75F57"/>
    <w:rsid w:val="00F82FEE"/>
    <w:rsid w:val="00FA08DD"/>
    <w:rsid w:val="00FA1DC8"/>
    <w:rsid w:val="00FA5F15"/>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AB7095-D1C2-4CE2-8439-A310C8F8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qFormat/>
    <w:rsid w:val="000B0D00"/>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292189"/>
    <w:rPr>
      <w:rFonts w:ascii="Calibri" w:hAnsi="Calibri"/>
      <w:sz w:val="24"/>
      <w:lang w:val="es-ES_tradnl" w:eastAsia="en-US"/>
    </w:rPr>
  </w:style>
  <w:style w:type="character" w:customStyle="1" w:styleId="7">
    <w:name w:val="Сноска7"/>
    <w:basedOn w:val="DefaultParagraphFont"/>
    <w:uiPriority w:val="99"/>
    <w:rsid w:val="00292189"/>
    <w:rPr>
      <w:rFonts w:ascii="Calibri" w:hAnsi="Calibri" w:cs="Calibri"/>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FBAF-0D1B-41C7-9ADE-EA0ED22E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65</TotalTime>
  <Pages>9</Pages>
  <Words>2701</Words>
  <Characters>14594</Characters>
  <Application>Microsoft Office Word</Application>
  <DocSecurity>0</DocSecurity>
  <Lines>121</Lines>
  <Paragraphs>34</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Unión Internacional de Telecomunicaciones (UIT)</Company>
  <LinksUpToDate>false</LinksUpToDate>
  <CharactersWithSpaces>17261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Consejo 2018</dc:subject>
  <dc:creator>Spanish</dc:creator>
  <cp:keywords>C2018, C18</cp:keywords>
  <cp:lastModifiedBy>Marin Matas, Juan Gabriel</cp:lastModifiedBy>
  <cp:revision>7</cp:revision>
  <cp:lastPrinted>2018-04-16T10:01:00Z</cp:lastPrinted>
  <dcterms:created xsi:type="dcterms:W3CDTF">2018-04-16T09:33:00Z</dcterms:created>
  <dcterms:modified xsi:type="dcterms:W3CDTF">2018-04-16T12:33:00Z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