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557D4E" w:rsidRDefault="00700D1F" w:rsidP="00E067C5">
            <w:pPr>
              <w:tabs>
                <w:tab w:val="left" w:pos="851"/>
              </w:tabs>
              <w:rPr>
                <w:b/>
                <w:szCs w:val="24"/>
                <w:lang w:val="en-US" w:eastAsia="zh-CN"/>
              </w:rPr>
            </w:pPr>
            <w:bookmarkStart w:id="1" w:name="dmeeting" w:colFirst="0" w:colLast="0"/>
            <w:r w:rsidRPr="00FC5386">
              <w:rPr>
                <w:rFonts w:hint="eastAsia"/>
                <w:b/>
                <w:szCs w:val="24"/>
                <w:lang w:eastAsia="zh-CN"/>
              </w:rPr>
              <w:t>议项</w:t>
            </w:r>
            <w:r w:rsidRPr="00FC5386">
              <w:rPr>
                <w:b/>
                <w:szCs w:val="24"/>
                <w:lang w:eastAsia="zh-CN"/>
              </w:rPr>
              <w:t>：</w:t>
            </w:r>
            <w:r w:rsidR="00411644">
              <w:rPr>
                <w:b/>
                <w:szCs w:val="22"/>
                <w:lang w:val="en-US"/>
              </w:rPr>
              <w:t>ADM 21</w:t>
            </w:r>
          </w:p>
        </w:tc>
        <w:tc>
          <w:tcPr>
            <w:tcW w:w="3120" w:type="dxa"/>
          </w:tcPr>
          <w:p w:rsidR="00700D1F" w:rsidRPr="00700D1F" w:rsidRDefault="00700D1F" w:rsidP="00D21F1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411644">
              <w:rPr>
                <w:rFonts w:hint="eastAsia"/>
                <w:b/>
                <w:bCs/>
                <w:szCs w:val="24"/>
                <w:lang w:eastAsia="zh-CN"/>
              </w:rPr>
              <w:t>80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FE4B8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FE4B8A">
              <w:rPr>
                <w:rFonts w:asciiTheme="minorHAnsi" w:hAnsiTheme="minorHAnsi" w:cstheme="minorHAnsi"/>
                <w:b/>
                <w:bCs/>
                <w:szCs w:val="24"/>
                <w:lang w:eastAsia="zh-CN"/>
              </w:rPr>
              <w:t>4</w:t>
            </w:r>
            <w:r w:rsidRPr="00FC5386">
              <w:rPr>
                <w:rFonts w:hint="eastAsia"/>
                <w:b/>
                <w:bCs/>
                <w:szCs w:val="24"/>
                <w:lang w:eastAsia="zh-CN"/>
              </w:rPr>
              <w:t>月</w:t>
            </w:r>
            <w:r w:rsidR="00FE4B8A">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11644">
            <w:pPr>
              <w:tabs>
                <w:tab w:val="left" w:pos="993"/>
              </w:tabs>
              <w:spacing w:before="0"/>
              <w:rPr>
                <w:rFonts w:ascii="SimSun" w:hAnsi="SimSun"/>
                <w:b/>
                <w:bCs/>
                <w:szCs w:val="24"/>
                <w:lang w:eastAsia="zh-CN"/>
              </w:rPr>
            </w:pPr>
            <w:r w:rsidRPr="00FC5386">
              <w:rPr>
                <w:rFonts w:hint="eastAsia"/>
                <w:b/>
                <w:bCs/>
                <w:szCs w:val="24"/>
                <w:lang w:eastAsia="zh-CN"/>
              </w:rPr>
              <w:t>原文：</w:t>
            </w:r>
            <w:r w:rsidR="00411644">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3F7596">
            <w:pPr>
              <w:pStyle w:val="Source"/>
              <w:rPr>
                <w:lang w:eastAsia="zh-CN"/>
              </w:rPr>
            </w:pPr>
            <w:r>
              <w:rPr>
                <w:rFonts w:ascii="Times New Roman Bold" w:hAnsi="Times New Roman Bold" w:hint="eastAsia"/>
                <w:lang w:val="fr-CH" w:eastAsia="zh-CN"/>
              </w:rPr>
              <w:t>秘书长的</w:t>
            </w:r>
            <w:r w:rsidR="003F7596">
              <w:rPr>
                <w:rFonts w:ascii="Times New Roman Bold" w:hAnsi="Times New Roman Bold" w:hint="eastAsia"/>
                <w:lang w:eastAsia="zh-CN"/>
              </w:rPr>
              <w:t>说明</w:t>
            </w:r>
          </w:p>
        </w:tc>
      </w:tr>
      <w:tr w:rsidR="00C04049">
        <w:trPr>
          <w:cantSplit/>
        </w:trPr>
        <w:tc>
          <w:tcPr>
            <w:tcW w:w="10031" w:type="dxa"/>
          </w:tcPr>
          <w:p w:rsidR="00C04049" w:rsidRPr="00C04049" w:rsidRDefault="00C04049" w:rsidP="00C04049">
            <w:pPr>
              <w:pStyle w:val="Title1"/>
              <w:rPr>
                <w:rFonts w:hint="eastAsia"/>
                <w:bCs/>
                <w:lang w:eastAsia="zh-CN"/>
              </w:rPr>
            </w:pPr>
            <w:r w:rsidRPr="00381B4E">
              <w:rPr>
                <w:rFonts w:hint="eastAsia"/>
                <w:lang w:eastAsia="zh-CN"/>
              </w:rPr>
              <w:t>俄罗斯联邦提交的文稿</w:t>
            </w:r>
          </w:p>
        </w:tc>
      </w:tr>
      <w:tr w:rsidR="0093362E">
        <w:trPr>
          <w:cantSplit/>
        </w:trPr>
        <w:tc>
          <w:tcPr>
            <w:tcW w:w="10031" w:type="dxa"/>
          </w:tcPr>
          <w:p w:rsidR="0093362E" w:rsidRDefault="006B6811" w:rsidP="000D1266">
            <w:pPr>
              <w:pStyle w:val="Title1"/>
              <w:rPr>
                <w:bCs/>
                <w:lang w:eastAsia="zh-CN"/>
              </w:rPr>
            </w:pPr>
            <w:r>
              <w:rPr>
                <w:rFonts w:asciiTheme="minorHAnsi" w:hAnsiTheme="minorHAnsi" w:cstheme="minorHAnsi" w:hint="eastAsia"/>
                <w:szCs w:val="26"/>
                <w:lang w:val="en-US" w:eastAsia="zh-CN"/>
              </w:rPr>
              <w:t>有关</w:t>
            </w:r>
            <w:r w:rsidR="003A7ABB">
              <w:rPr>
                <w:rFonts w:asciiTheme="minorHAnsi" w:hAnsiTheme="minorHAnsi" w:cstheme="minorHAnsi" w:hint="eastAsia"/>
                <w:szCs w:val="26"/>
                <w:lang w:val="en-US" w:eastAsia="zh-CN"/>
              </w:rPr>
              <w:t>确保</w:t>
            </w:r>
            <w:r w:rsidR="003A7ABB">
              <w:rPr>
                <w:rFonts w:asciiTheme="minorHAnsi" w:hAnsiTheme="minorHAnsi" w:cstheme="minorHAnsi" w:hint="eastAsia"/>
                <w:szCs w:val="26"/>
                <w:lang w:val="en-US" w:eastAsia="zh-CN"/>
              </w:rPr>
              <w:t>2018</w:t>
            </w:r>
            <w:r w:rsidR="003A7ABB">
              <w:rPr>
                <w:rFonts w:asciiTheme="minorHAnsi" w:hAnsiTheme="minorHAnsi" w:cstheme="minorHAnsi" w:hint="eastAsia"/>
                <w:szCs w:val="26"/>
                <w:lang w:val="en-US" w:eastAsia="zh-CN"/>
              </w:rPr>
              <w:t>年全权代表大会通过现实的</w:t>
            </w:r>
            <w:r w:rsidR="000D1266">
              <w:rPr>
                <w:rFonts w:asciiTheme="minorHAnsi" w:hAnsiTheme="minorHAnsi" w:cstheme="minorHAnsi"/>
                <w:szCs w:val="26"/>
                <w:lang w:val="en-US" w:eastAsia="zh-CN"/>
              </w:rPr>
              <w:br/>
            </w:r>
            <w:r w:rsidR="000D1266">
              <w:rPr>
                <w:rFonts w:asciiTheme="minorHAnsi" w:hAnsiTheme="minorHAnsi" w:cstheme="minorHAnsi" w:hint="eastAsia"/>
                <w:szCs w:val="26"/>
                <w:lang w:val="en-US" w:eastAsia="zh-CN"/>
              </w:rPr>
              <w:t>2020-2023</w:t>
            </w:r>
            <w:r w:rsidR="000D1266">
              <w:rPr>
                <w:rFonts w:asciiTheme="minorHAnsi" w:hAnsiTheme="minorHAnsi" w:cstheme="minorHAnsi" w:hint="eastAsia"/>
                <w:szCs w:val="26"/>
                <w:lang w:val="en-US" w:eastAsia="zh-CN"/>
              </w:rPr>
              <w:t>年国际电联</w:t>
            </w:r>
            <w:r w:rsidR="003A7ABB">
              <w:rPr>
                <w:rFonts w:asciiTheme="minorHAnsi" w:hAnsiTheme="minorHAnsi" w:cstheme="minorHAnsi" w:hint="eastAsia"/>
                <w:szCs w:val="26"/>
                <w:lang w:val="en-US" w:eastAsia="zh-CN"/>
              </w:rPr>
              <w:t>《战略规划》</w:t>
            </w:r>
            <w:r w:rsidR="000D1266">
              <w:rPr>
                <w:rFonts w:asciiTheme="minorHAnsi" w:hAnsiTheme="minorHAnsi" w:cstheme="minorHAnsi" w:hint="eastAsia"/>
                <w:szCs w:val="26"/>
                <w:lang w:val="en-US" w:eastAsia="zh-CN"/>
              </w:rPr>
              <w:t>及</w:t>
            </w:r>
            <w:r w:rsidR="003A7ABB">
              <w:rPr>
                <w:rFonts w:asciiTheme="minorHAnsi" w:hAnsiTheme="minorHAnsi" w:cstheme="minorHAnsi" w:hint="eastAsia"/>
                <w:szCs w:val="26"/>
                <w:lang w:val="en-US" w:eastAsia="zh-CN"/>
              </w:rPr>
              <w:t>预算和财务限额基础</w:t>
            </w:r>
            <w:r>
              <w:rPr>
                <w:rFonts w:asciiTheme="minorHAnsi" w:hAnsiTheme="minorHAnsi" w:cstheme="minorHAnsi" w:hint="eastAsia"/>
                <w:szCs w:val="26"/>
                <w:lang w:val="en-US" w:eastAsia="zh-CN"/>
              </w:rPr>
              <w:t>的提案</w:t>
            </w:r>
          </w:p>
        </w:tc>
      </w:tr>
    </w:tbl>
    <w:p w:rsidR="00FE4B8A" w:rsidRPr="00966AD2" w:rsidRDefault="00411644" w:rsidP="000D1266">
      <w:pPr>
        <w:pStyle w:val="Normalaftertitle"/>
        <w:spacing w:before="1560"/>
        <w:ind w:firstLineChars="200" w:firstLine="480"/>
        <w:rPr>
          <w:b/>
          <w:bCs/>
          <w:lang w:eastAsia="zh-CN"/>
        </w:rPr>
      </w:pPr>
      <w:bookmarkStart w:id="2" w:name="lt_pId014"/>
      <w:r w:rsidRPr="00293D5C">
        <w:rPr>
          <w:rFonts w:hint="eastAsia"/>
          <w:lang w:val="en-US" w:eastAsia="zh-CN"/>
        </w:rPr>
        <w:t>我荣幸地向各理事国转呈</w:t>
      </w:r>
      <w:r w:rsidRPr="00293D5C">
        <w:rPr>
          <w:rFonts w:hint="eastAsia"/>
          <w:b/>
          <w:bCs/>
          <w:lang w:val="en-US" w:eastAsia="zh-CN"/>
        </w:rPr>
        <w:t>俄罗斯联邦</w:t>
      </w:r>
      <w:r w:rsidRPr="00293D5C">
        <w:rPr>
          <w:rFonts w:hint="eastAsia"/>
          <w:lang w:val="en-US" w:eastAsia="zh-CN"/>
        </w:rPr>
        <w:t>提交的一份文稿。</w:t>
      </w:r>
    </w:p>
    <w:p w:rsidR="00FE4B8A" w:rsidRDefault="00FE4B8A" w:rsidP="00FE4B8A">
      <w:pPr>
        <w:spacing w:before="1080"/>
        <w:ind w:left="4819"/>
        <w:jc w:val="center"/>
        <w:rPr>
          <w:lang w:val="fr-FR" w:eastAsia="zh-CN"/>
        </w:rPr>
      </w:pPr>
      <w:r>
        <w:rPr>
          <w:rFonts w:hint="eastAsia"/>
          <w:lang w:val="en-US" w:eastAsia="zh-CN"/>
        </w:rPr>
        <w:t>秘书</w:t>
      </w:r>
      <w:r>
        <w:rPr>
          <w:lang w:val="en-US" w:eastAsia="zh-CN"/>
        </w:rPr>
        <w:t>长</w:t>
      </w:r>
      <w:bookmarkEnd w:id="2"/>
      <w:r>
        <w:rPr>
          <w:lang w:val="en-US" w:eastAsia="zh-CN"/>
        </w:rPr>
        <w:br/>
      </w:r>
      <w:r>
        <w:rPr>
          <w:rFonts w:hint="eastAsia"/>
          <w:lang w:val="en-US" w:eastAsia="zh-CN"/>
        </w:rPr>
        <w:t>赵</w:t>
      </w:r>
      <w:r>
        <w:rPr>
          <w:lang w:val="en-US" w:eastAsia="zh-CN"/>
        </w:rPr>
        <w:t>厚麟</w:t>
      </w:r>
    </w:p>
    <w:p w:rsidR="00FE4B8A" w:rsidRDefault="00FE4B8A" w:rsidP="00FE4B8A">
      <w:pPr>
        <w:tabs>
          <w:tab w:val="left" w:pos="720"/>
        </w:tabs>
        <w:overflowPunct/>
        <w:autoSpaceDE/>
        <w:adjustRightInd/>
        <w:spacing w:before="0"/>
        <w:rPr>
          <w:lang w:val="fr-FR" w:eastAsia="zh-CN"/>
        </w:rPr>
      </w:pPr>
      <w:r>
        <w:rPr>
          <w:lang w:val="fr-FR" w:eastAsia="zh-CN"/>
        </w:rPr>
        <w:br w:type="page"/>
      </w:r>
    </w:p>
    <w:p w:rsidR="00411644" w:rsidRDefault="00411644" w:rsidP="00411644">
      <w:pPr>
        <w:pStyle w:val="Source"/>
        <w:rPr>
          <w:lang w:val="en-US" w:eastAsia="zh-CN"/>
        </w:rPr>
      </w:pPr>
      <w:r>
        <w:rPr>
          <w:rFonts w:hint="eastAsia"/>
          <w:lang w:val="en-US" w:eastAsia="zh-CN"/>
        </w:rPr>
        <w:lastRenderedPageBreak/>
        <w:t>俄罗斯</w:t>
      </w:r>
      <w:r>
        <w:rPr>
          <w:lang w:val="en-US" w:eastAsia="zh-CN"/>
        </w:rPr>
        <w:t>联邦</w:t>
      </w:r>
      <w:r>
        <w:rPr>
          <w:rStyle w:val="FootnoteReference"/>
          <w:lang w:val="en-US"/>
        </w:rPr>
        <w:footnoteReference w:id="1"/>
      </w:r>
    </w:p>
    <w:p w:rsidR="00411644" w:rsidRPr="00411644" w:rsidRDefault="00411644" w:rsidP="00411644">
      <w:pPr>
        <w:jc w:val="center"/>
        <w:rPr>
          <w:sz w:val="28"/>
          <w:szCs w:val="28"/>
          <w:lang w:val="en-US" w:eastAsia="zh-CN"/>
        </w:rPr>
      </w:pPr>
      <w:r w:rsidRPr="00411644">
        <w:rPr>
          <w:rFonts w:hint="eastAsia"/>
          <w:sz w:val="28"/>
          <w:szCs w:val="28"/>
          <w:lang w:eastAsia="zh-CN"/>
        </w:rPr>
        <w:t>俄罗斯联邦提交的文稿</w:t>
      </w:r>
    </w:p>
    <w:p w:rsidR="00B40A53" w:rsidRDefault="000D1266" w:rsidP="000D1266">
      <w:pPr>
        <w:pStyle w:val="Title1"/>
        <w:spacing w:after="600"/>
        <w:rPr>
          <w:rFonts w:asciiTheme="minorHAnsi" w:hAnsiTheme="minorHAnsi" w:cstheme="minorHAnsi"/>
          <w:szCs w:val="26"/>
          <w:lang w:val="en-US" w:eastAsia="zh-CN"/>
        </w:rPr>
      </w:pPr>
      <w:r>
        <w:rPr>
          <w:rFonts w:asciiTheme="minorHAnsi" w:hAnsiTheme="minorHAnsi" w:cstheme="minorHAnsi" w:hint="eastAsia"/>
          <w:szCs w:val="26"/>
          <w:lang w:val="en-US" w:eastAsia="zh-CN"/>
        </w:rPr>
        <w:t>有关确保</w:t>
      </w:r>
      <w:r>
        <w:rPr>
          <w:rFonts w:asciiTheme="minorHAnsi" w:hAnsiTheme="minorHAnsi" w:cstheme="minorHAnsi" w:hint="eastAsia"/>
          <w:szCs w:val="26"/>
          <w:lang w:val="en-US" w:eastAsia="zh-CN"/>
        </w:rPr>
        <w:t>2018</w:t>
      </w:r>
      <w:r>
        <w:rPr>
          <w:rFonts w:asciiTheme="minorHAnsi" w:hAnsiTheme="minorHAnsi" w:cstheme="minorHAnsi" w:hint="eastAsia"/>
          <w:szCs w:val="26"/>
          <w:lang w:val="en-US" w:eastAsia="zh-CN"/>
        </w:rPr>
        <w:t>年全权代表大会通过现实的</w:t>
      </w:r>
      <w:r>
        <w:rPr>
          <w:rFonts w:asciiTheme="minorHAnsi" w:hAnsiTheme="minorHAnsi" w:cstheme="minorHAnsi"/>
          <w:szCs w:val="26"/>
          <w:lang w:val="en-US" w:eastAsia="zh-CN"/>
        </w:rPr>
        <w:br/>
      </w:r>
      <w:r>
        <w:rPr>
          <w:rFonts w:asciiTheme="minorHAnsi" w:hAnsiTheme="minorHAnsi" w:cstheme="minorHAnsi" w:hint="eastAsia"/>
          <w:szCs w:val="26"/>
          <w:lang w:val="en-US" w:eastAsia="zh-CN"/>
        </w:rPr>
        <w:t>2020-2023</w:t>
      </w:r>
      <w:r>
        <w:rPr>
          <w:rFonts w:asciiTheme="minorHAnsi" w:hAnsiTheme="minorHAnsi" w:cstheme="minorHAnsi" w:hint="eastAsia"/>
          <w:szCs w:val="26"/>
          <w:lang w:val="en-US" w:eastAsia="zh-CN"/>
        </w:rPr>
        <w:t>年国际电联《战略规划》及预算和财务限额基础的提案</w:t>
      </w:r>
      <w:bookmarkStart w:id="3" w:name="_GoBack"/>
      <w:bookmarkEnd w:id="3"/>
    </w:p>
    <w:tbl>
      <w:tblPr>
        <w:tblStyle w:val="TableGrid"/>
        <w:tblW w:w="0" w:type="auto"/>
        <w:tblInd w:w="836" w:type="dxa"/>
        <w:tblLook w:val="04A0" w:firstRow="1" w:lastRow="0" w:firstColumn="1" w:lastColumn="0" w:noHBand="0" w:noVBand="1"/>
      </w:tblPr>
      <w:tblGrid>
        <w:gridCol w:w="8231"/>
      </w:tblGrid>
      <w:tr w:rsidR="00002762" w:rsidRPr="006B6811" w:rsidTr="00B559BB">
        <w:tc>
          <w:tcPr>
            <w:tcW w:w="8231" w:type="dxa"/>
            <w:tcBorders>
              <w:top w:val="single" w:sz="12" w:space="0" w:color="auto"/>
              <w:left w:val="single" w:sz="12" w:space="0" w:color="auto"/>
              <w:bottom w:val="single" w:sz="12" w:space="0" w:color="auto"/>
              <w:right w:val="single" w:sz="12" w:space="0" w:color="auto"/>
            </w:tcBorders>
          </w:tcPr>
          <w:p w:rsidR="00002762" w:rsidRPr="00FC78A8" w:rsidRDefault="006B6811" w:rsidP="000D1266">
            <w:pPr>
              <w:pStyle w:val="Headingb"/>
              <w:spacing w:before="240" w:after="120"/>
              <w:rPr>
                <w:szCs w:val="24"/>
                <w:lang w:eastAsia="zh-CN"/>
              </w:rPr>
            </w:pPr>
            <w:r>
              <w:rPr>
                <w:rFonts w:eastAsiaTheme="minorEastAsia" w:hint="eastAsia"/>
                <w:szCs w:val="24"/>
                <w:lang w:eastAsia="zh-CN"/>
              </w:rPr>
              <w:t>摘要</w:t>
            </w:r>
          </w:p>
          <w:p w:rsidR="00411644" w:rsidRDefault="006B6811" w:rsidP="000D1266">
            <w:pPr>
              <w:overflowPunct/>
              <w:autoSpaceDE/>
              <w:autoSpaceDN/>
              <w:adjustRightInd/>
              <w:ind w:firstLineChars="200" w:firstLine="480"/>
              <w:textAlignment w:val="auto"/>
              <w:rPr>
                <w:lang w:val="en-US" w:eastAsia="zh-CN"/>
              </w:rPr>
            </w:pPr>
            <w:r>
              <w:rPr>
                <w:rFonts w:eastAsiaTheme="minorEastAsia" w:hint="eastAsia"/>
                <w:lang w:val="en-US" w:eastAsia="zh-CN"/>
              </w:rPr>
              <w:t>鉴于以往多届全权代表大会所采取的做法，本文件提出确保</w:t>
            </w:r>
            <w:r w:rsidR="000D1266">
              <w:rPr>
                <w:rFonts w:eastAsiaTheme="minorEastAsia" w:hint="eastAsia"/>
                <w:lang w:val="en-US" w:eastAsia="zh-CN"/>
              </w:rPr>
              <w:t>遵</w:t>
            </w:r>
            <w:r w:rsidR="000D1266">
              <w:rPr>
                <w:rFonts w:asciiTheme="minorHAnsi" w:eastAsiaTheme="minorEastAsia" w:hAnsiTheme="minorHAnsi" w:cstheme="majorBidi"/>
                <w:szCs w:val="22"/>
                <w:lang w:eastAsia="zh-CN"/>
              </w:rPr>
              <w:t>守全权代表大会</w:t>
            </w:r>
            <w:r w:rsidR="00411644" w:rsidRPr="00411644">
              <w:rPr>
                <w:rFonts w:asciiTheme="minorHAnsi" w:eastAsiaTheme="minorEastAsia" w:hAnsiTheme="minorHAnsi" w:cstheme="majorBidi"/>
                <w:szCs w:val="22"/>
                <w:lang w:eastAsia="zh-CN"/>
              </w:rPr>
              <w:t>《组织法》第</w:t>
            </w:r>
            <w:r w:rsidR="00411644" w:rsidRPr="00411644">
              <w:rPr>
                <w:rFonts w:asciiTheme="minorHAnsi" w:eastAsiaTheme="minorEastAsia" w:hAnsiTheme="minorHAnsi" w:cstheme="majorBidi"/>
                <w:szCs w:val="22"/>
                <w:lang w:eastAsia="zh-CN"/>
              </w:rPr>
              <w:t>8</w:t>
            </w:r>
            <w:r w:rsidR="00411644" w:rsidRPr="00411644">
              <w:rPr>
                <w:rFonts w:asciiTheme="minorHAnsi" w:eastAsiaTheme="minorEastAsia" w:hAnsiTheme="minorHAnsi" w:cstheme="majorBidi"/>
                <w:szCs w:val="22"/>
                <w:lang w:eastAsia="zh-CN"/>
              </w:rPr>
              <w:t>条第</w:t>
            </w:r>
            <w:r w:rsidR="00411644" w:rsidRPr="00411644">
              <w:rPr>
                <w:rFonts w:asciiTheme="minorHAnsi" w:eastAsiaTheme="minorEastAsia" w:hAnsiTheme="minorHAnsi" w:cstheme="majorBidi"/>
                <w:szCs w:val="22"/>
                <w:lang w:eastAsia="zh-CN"/>
              </w:rPr>
              <w:t>51</w:t>
            </w:r>
            <w:r w:rsidR="00411644" w:rsidRPr="00411644">
              <w:rPr>
                <w:rFonts w:asciiTheme="minorHAnsi" w:eastAsiaTheme="minorEastAsia" w:hAnsiTheme="minorHAnsi" w:cstheme="majorBidi"/>
                <w:szCs w:val="22"/>
                <w:lang w:eastAsia="zh-CN"/>
              </w:rPr>
              <w:t>款，该款规定：</w:t>
            </w:r>
            <w:r>
              <w:rPr>
                <w:rFonts w:asciiTheme="minorHAnsi" w:eastAsiaTheme="minorEastAsia" w:hAnsiTheme="minorHAnsi" w:cstheme="majorBidi" w:hint="eastAsia"/>
                <w:szCs w:val="22"/>
                <w:lang w:eastAsia="zh-CN"/>
              </w:rPr>
              <w:t>“</w:t>
            </w:r>
            <w:r w:rsidR="00411644" w:rsidRPr="00411644">
              <w:rPr>
                <w:rFonts w:asciiTheme="minorHAnsi" w:eastAsiaTheme="minorEastAsia" w:hAnsiTheme="minorHAnsi" w:cstheme="majorBidi"/>
                <w:i/>
                <w:iCs/>
                <w:szCs w:val="22"/>
                <w:lang w:eastAsia="zh-CN"/>
              </w:rPr>
              <w:t xml:space="preserve">c) </w:t>
            </w:r>
            <w:r w:rsidR="00411644" w:rsidRPr="00411644">
              <w:rPr>
                <w:rFonts w:asciiTheme="minorHAnsi" w:eastAsiaTheme="minorEastAsia" w:hAnsiTheme="minorHAnsi" w:cstheme="majorBidi"/>
                <w:szCs w:val="22"/>
                <w:lang w:eastAsia="zh-CN"/>
              </w:rPr>
              <w:t>在审议了至下一届全权代表大会召开之前国际电联工作的所有相关方面之后，根据就上述第</w:t>
            </w:r>
            <w:r w:rsidR="00411644" w:rsidRPr="00411644">
              <w:rPr>
                <w:rFonts w:asciiTheme="minorHAnsi" w:eastAsiaTheme="minorEastAsia" w:hAnsiTheme="minorHAnsi" w:cstheme="majorBidi"/>
                <w:szCs w:val="22"/>
                <w:lang w:eastAsia="zh-CN"/>
              </w:rPr>
              <w:t>50</w:t>
            </w:r>
            <w:r w:rsidR="00411644" w:rsidRPr="00411644">
              <w:rPr>
                <w:rFonts w:asciiTheme="minorHAnsi" w:eastAsiaTheme="minorEastAsia" w:hAnsiTheme="minorHAnsi" w:cstheme="majorBidi"/>
                <w:szCs w:val="22"/>
                <w:lang w:eastAsia="zh-CN"/>
              </w:rPr>
              <w:t>款提及的报告所做的决定，制定国际电联的战略规划和国际电联的预算基础，并确定该阶段的相关财务限额</w:t>
            </w:r>
            <w:r>
              <w:rPr>
                <w:rFonts w:asciiTheme="minorHAnsi" w:eastAsiaTheme="minorEastAsia" w:hAnsiTheme="minorHAnsi" w:cstheme="majorBidi" w:hint="eastAsia"/>
                <w:szCs w:val="22"/>
                <w:lang w:eastAsia="zh-CN"/>
              </w:rPr>
              <w:t>”</w:t>
            </w:r>
            <w:r w:rsidR="000D1266">
              <w:rPr>
                <w:rFonts w:asciiTheme="minorHAnsi" w:eastAsiaTheme="minorEastAsia" w:hAnsiTheme="minorHAnsi" w:cstheme="majorBidi" w:hint="eastAsia"/>
                <w:szCs w:val="22"/>
                <w:lang w:eastAsia="zh-CN"/>
              </w:rPr>
              <w:t>。</w:t>
            </w:r>
            <w:r>
              <w:rPr>
                <w:rFonts w:asciiTheme="minorHAnsi" w:eastAsiaTheme="minorEastAsia" w:hAnsiTheme="minorHAnsi" w:cstheme="majorBidi" w:hint="eastAsia"/>
                <w:szCs w:val="22"/>
                <w:lang w:eastAsia="zh-CN"/>
              </w:rPr>
              <w:t>这些提案旨在确保</w:t>
            </w:r>
            <w:r>
              <w:rPr>
                <w:rFonts w:asciiTheme="minorHAnsi" w:eastAsiaTheme="minorEastAsia" w:hAnsiTheme="minorHAnsi" w:cstheme="majorBidi" w:hint="eastAsia"/>
                <w:szCs w:val="22"/>
                <w:lang w:eastAsia="zh-CN"/>
              </w:rPr>
              <w:t>2018</w:t>
            </w:r>
            <w:r>
              <w:rPr>
                <w:rFonts w:asciiTheme="minorHAnsi" w:eastAsiaTheme="minorEastAsia" w:hAnsiTheme="minorHAnsi" w:cstheme="majorBidi" w:hint="eastAsia"/>
                <w:szCs w:val="22"/>
                <w:lang w:eastAsia="zh-CN"/>
              </w:rPr>
              <w:t>年全权代表大会（</w:t>
            </w:r>
            <w:r>
              <w:rPr>
                <w:rFonts w:asciiTheme="minorHAnsi" w:eastAsiaTheme="minorEastAsia" w:hAnsiTheme="minorHAnsi" w:cstheme="majorBidi" w:hint="eastAsia"/>
                <w:szCs w:val="22"/>
                <w:lang w:eastAsia="zh-CN"/>
              </w:rPr>
              <w:t>PP-18</w:t>
            </w:r>
            <w:r>
              <w:rPr>
                <w:rFonts w:asciiTheme="minorHAnsi" w:eastAsiaTheme="minorEastAsia" w:hAnsiTheme="minorHAnsi" w:cstheme="majorBidi" w:hint="eastAsia"/>
                <w:szCs w:val="22"/>
                <w:lang w:eastAsia="zh-CN"/>
              </w:rPr>
              <w:t>）通过一项</w:t>
            </w:r>
            <w:r w:rsidR="000D1266">
              <w:rPr>
                <w:rFonts w:asciiTheme="minorHAnsi" w:eastAsiaTheme="minorEastAsia" w:hAnsiTheme="minorHAnsi" w:cstheme="majorBidi" w:hint="eastAsia"/>
                <w:szCs w:val="22"/>
                <w:lang w:eastAsia="zh-CN"/>
              </w:rPr>
              <w:t>预算</w:t>
            </w:r>
            <w:r>
              <w:rPr>
                <w:rFonts w:asciiTheme="minorHAnsi" w:eastAsiaTheme="minorEastAsia" w:hAnsiTheme="minorHAnsi" w:cstheme="majorBidi" w:hint="eastAsia"/>
                <w:szCs w:val="22"/>
                <w:lang w:eastAsia="zh-CN"/>
              </w:rPr>
              <w:t>资金</w:t>
            </w:r>
            <w:r w:rsidR="000D1266">
              <w:rPr>
                <w:rFonts w:asciiTheme="minorHAnsi" w:eastAsiaTheme="minorEastAsia" w:hAnsiTheme="minorHAnsi" w:cstheme="majorBidi" w:hint="eastAsia"/>
                <w:szCs w:val="22"/>
                <w:lang w:eastAsia="zh-CN"/>
              </w:rPr>
              <w:t>有</w:t>
            </w:r>
            <w:r>
              <w:rPr>
                <w:rFonts w:asciiTheme="minorHAnsi" w:eastAsiaTheme="minorEastAsia" w:hAnsiTheme="minorHAnsi" w:cstheme="majorBidi" w:hint="eastAsia"/>
                <w:szCs w:val="22"/>
                <w:lang w:eastAsia="zh-CN"/>
              </w:rPr>
              <w:t>保障的国际电联战略规划。</w:t>
            </w:r>
          </w:p>
          <w:p w:rsidR="00411644" w:rsidRDefault="00411644" w:rsidP="00411644">
            <w:pPr>
              <w:rPr>
                <w:lang w:val="en-US" w:eastAsia="zh-CN"/>
              </w:rPr>
            </w:pPr>
          </w:p>
          <w:p w:rsidR="00411644" w:rsidRPr="00120FD9" w:rsidRDefault="00411644" w:rsidP="00411644">
            <w:pPr>
              <w:pStyle w:val="Headingb"/>
              <w:rPr>
                <w:rFonts w:asciiTheme="minorEastAsia" w:eastAsiaTheme="minorEastAsia" w:hAnsiTheme="minorEastAsia"/>
                <w:lang w:val="en-US" w:eastAsia="zh-CN"/>
              </w:rPr>
            </w:pPr>
            <w:r w:rsidRPr="00120FD9">
              <w:rPr>
                <w:rFonts w:asciiTheme="minorEastAsia" w:eastAsiaTheme="minorEastAsia" w:hAnsiTheme="minorEastAsia" w:cstheme="majorBidi"/>
                <w:szCs w:val="22"/>
                <w:lang w:val="en-US" w:eastAsia="zh-CN"/>
              </w:rPr>
              <w:t>需采取的行动</w:t>
            </w:r>
          </w:p>
          <w:p w:rsidR="00411644" w:rsidRPr="00120FD9" w:rsidRDefault="00120FD9" w:rsidP="000D1266">
            <w:pPr>
              <w:ind w:firstLineChars="200" w:firstLine="480"/>
              <w:rPr>
                <w:rFonts w:asciiTheme="minorHAnsi" w:eastAsiaTheme="minorEastAsia" w:hAnsiTheme="minorHAnsi"/>
                <w:lang w:val="en-US" w:eastAsia="zh-CN"/>
              </w:rPr>
            </w:pPr>
            <w:r w:rsidRPr="00120FD9">
              <w:rPr>
                <w:rFonts w:asciiTheme="minorHAnsi" w:eastAsiaTheme="minorEastAsia" w:hAnsiTheme="minorHAnsi" w:cstheme="majorBidi"/>
                <w:szCs w:val="22"/>
                <w:lang w:val="en-US" w:eastAsia="zh-CN"/>
              </w:rPr>
              <w:t>请理事会</w:t>
            </w:r>
            <w:r w:rsidRPr="00120FD9">
              <w:rPr>
                <w:rFonts w:asciiTheme="minorHAnsi" w:eastAsiaTheme="minorEastAsia" w:hAnsiTheme="minorHAnsi" w:cstheme="majorBidi"/>
                <w:b/>
                <w:bCs/>
                <w:szCs w:val="22"/>
                <w:lang w:val="en-US" w:eastAsia="zh-CN"/>
              </w:rPr>
              <w:t>审议相关提案并</w:t>
            </w:r>
            <w:r w:rsidR="006B6811">
              <w:rPr>
                <w:rFonts w:asciiTheme="minorHAnsi" w:eastAsiaTheme="minorEastAsia" w:hAnsiTheme="minorHAnsi" w:cstheme="majorBidi" w:hint="eastAsia"/>
                <w:b/>
                <w:bCs/>
                <w:szCs w:val="22"/>
                <w:lang w:val="en-US" w:eastAsia="zh-CN"/>
              </w:rPr>
              <w:t>向</w:t>
            </w:r>
            <w:r w:rsidR="000D1266">
              <w:rPr>
                <w:rFonts w:asciiTheme="minorHAnsi" w:eastAsiaTheme="minorEastAsia" w:hAnsiTheme="minorHAnsi" w:cstheme="majorBidi" w:hint="eastAsia"/>
                <w:b/>
                <w:bCs/>
                <w:szCs w:val="22"/>
                <w:lang w:val="en-US" w:eastAsia="zh-CN"/>
              </w:rPr>
              <w:t>国</w:t>
            </w:r>
            <w:r w:rsidR="000D1266">
              <w:rPr>
                <w:rFonts w:asciiTheme="minorHAnsi" w:eastAsiaTheme="minorEastAsia" w:hAnsiTheme="minorHAnsi" w:cstheme="majorBidi"/>
                <w:b/>
                <w:bCs/>
                <w:szCs w:val="22"/>
                <w:lang w:val="en-US" w:eastAsia="zh-CN"/>
              </w:rPr>
              <w:t>际电联</w:t>
            </w:r>
            <w:r w:rsidR="000D1266">
              <w:rPr>
                <w:rFonts w:asciiTheme="minorHAnsi" w:eastAsiaTheme="minorEastAsia" w:hAnsiTheme="minorHAnsi" w:cstheme="majorBidi" w:hint="eastAsia"/>
                <w:b/>
                <w:bCs/>
                <w:szCs w:val="22"/>
                <w:lang w:val="en-US" w:eastAsia="zh-CN"/>
              </w:rPr>
              <w:t>2018</w:t>
            </w:r>
            <w:r w:rsidR="000D1266">
              <w:rPr>
                <w:rFonts w:asciiTheme="minorHAnsi" w:eastAsiaTheme="minorEastAsia" w:hAnsiTheme="minorHAnsi" w:cstheme="majorBidi" w:hint="eastAsia"/>
                <w:b/>
                <w:bCs/>
                <w:szCs w:val="22"/>
                <w:lang w:val="en-US" w:eastAsia="zh-CN"/>
              </w:rPr>
              <w:t>年</w:t>
            </w:r>
            <w:r w:rsidR="000D1266">
              <w:rPr>
                <w:rFonts w:asciiTheme="minorHAnsi" w:eastAsiaTheme="minorEastAsia" w:hAnsiTheme="minorHAnsi" w:cstheme="majorBidi"/>
                <w:b/>
                <w:bCs/>
                <w:szCs w:val="22"/>
                <w:lang w:val="en-US" w:eastAsia="zh-CN"/>
              </w:rPr>
              <w:t>全权代表大会</w:t>
            </w:r>
            <w:r w:rsidRPr="00120FD9">
              <w:rPr>
                <w:rFonts w:asciiTheme="minorHAnsi" w:eastAsiaTheme="minorEastAsia" w:hAnsiTheme="minorHAnsi" w:cstheme="majorBidi"/>
                <w:b/>
                <w:bCs/>
                <w:szCs w:val="22"/>
                <w:lang w:val="en-US" w:eastAsia="zh-CN"/>
              </w:rPr>
              <w:t>提出</w:t>
            </w:r>
            <w:r w:rsidR="006B6811">
              <w:rPr>
                <w:rFonts w:asciiTheme="minorHAnsi" w:eastAsiaTheme="minorEastAsia" w:hAnsiTheme="minorHAnsi" w:cstheme="majorBidi" w:hint="eastAsia"/>
                <w:b/>
                <w:bCs/>
                <w:szCs w:val="22"/>
                <w:lang w:val="en-US" w:eastAsia="zh-CN"/>
              </w:rPr>
              <w:t>适当</w:t>
            </w:r>
            <w:r w:rsidRPr="00120FD9">
              <w:rPr>
                <w:rFonts w:asciiTheme="minorHAnsi" w:eastAsiaTheme="minorEastAsia" w:hAnsiTheme="minorHAnsi" w:cstheme="majorBidi"/>
                <w:b/>
                <w:bCs/>
                <w:szCs w:val="22"/>
                <w:lang w:val="en-US" w:eastAsia="zh-CN"/>
              </w:rPr>
              <w:t>建议。</w:t>
            </w:r>
          </w:p>
          <w:p w:rsidR="00411644" w:rsidRPr="00A907A0" w:rsidRDefault="00411644" w:rsidP="00411644">
            <w:pPr>
              <w:pStyle w:val="Table"/>
              <w:keepNext w:val="0"/>
              <w:spacing w:before="0" w:after="0"/>
              <w:rPr>
                <w:rFonts w:ascii="Calibri" w:hAnsi="Calibri"/>
                <w:caps w:val="0"/>
                <w:sz w:val="22"/>
                <w:lang w:val="en-US"/>
              </w:rPr>
            </w:pPr>
            <w:r w:rsidRPr="00A907A0">
              <w:rPr>
                <w:rFonts w:ascii="Calibri" w:hAnsi="Calibri"/>
                <w:caps w:val="0"/>
                <w:sz w:val="22"/>
                <w:lang w:val="en-US"/>
              </w:rPr>
              <w:t>____________</w:t>
            </w:r>
          </w:p>
          <w:p w:rsidR="00411644" w:rsidRPr="00A907A0" w:rsidRDefault="006B6811" w:rsidP="006B6811">
            <w:pPr>
              <w:pStyle w:val="Headingb"/>
              <w:rPr>
                <w:lang w:val="en-US"/>
              </w:rPr>
            </w:pPr>
            <w:r>
              <w:rPr>
                <w:rFonts w:eastAsiaTheme="minorEastAsia" w:hint="eastAsia"/>
                <w:lang w:val="en-US" w:eastAsia="zh-CN"/>
              </w:rPr>
              <w:t>参考文件</w:t>
            </w:r>
          </w:p>
          <w:p w:rsidR="00002762" w:rsidRPr="006B6811" w:rsidRDefault="00B559BB" w:rsidP="00B559BB">
            <w:pPr>
              <w:spacing w:after="120"/>
              <w:rPr>
                <w:rFonts w:eastAsiaTheme="minorEastAsia"/>
                <w:lang w:val="en-US" w:eastAsia="zh-CN"/>
              </w:rPr>
            </w:pPr>
            <w:hyperlink r:id="rId9" w:history="1">
              <w:r w:rsidRPr="00B559BB">
                <w:rPr>
                  <w:rStyle w:val="Hyperlink"/>
                </w:rPr>
                <w:t>С16/4</w:t>
              </w:r>
            </w:hyperlink>
            <w:r>
              <w:rPr>
                <w:rFonts w:eastAsiaTheme="minorEastAsia" w:hint="eastAsia"/>
                <w:lang w:eastAsia="zh-CN"/>
              </w:rPr>
              <w:t>、</w:t>
            </w:r>
            <w:r w:rsidRPr="00B559BB">
              <w:fldChar w:fldCharType="begin"/>
            </w:r>
            <w:r w:rsidRPr="00B559BB">
              <w:instrText xml:space="preserve"> HYPERLINK "https://www.itu.int/md/S17-CLCWGFHRM7-C-0010/fr" </w:instrText>
            </w:r>
            <w:r w:rsidRPr="00B559BB">
              <w:fldChar w:fldCharType="separate"/>
            </w:r>
            <w:r w:rsidRPr="00B559BB">
              <w:rPr>
                <w:rStyle w:val="Hyperlink"/>
              </w:rPr>
              <w:t>CWG-FHR 7/10</w:t>
            </w:r>
            <w:r w:rsidRPr="00B559BB">
              <w:rPr>
                <w:rStyle w:val="Hyperlink"/>
              </w:rPr>
              <w:fldChar w:fldCharType="end"/>
            </w:r>
            <w:r>
              <w:rPr>
                <w:rFonts w:eastAsiaTheme="minorEastAsia" w:hint="eastAsia"/>
                <w:lang w:eastAsia="zh-CN"/>
              </w:rPr>
              <w:t>、</w:t>
            </w:r>
            <w:r w:rsidRPr="00B559BB">
              <w:fldChar w:fldCharType="begin"/>
            </w:r>
            <w:r w:rsidRPr="00B559BB">
              <w:instrText xml:space="preserve"> HYPERLINK "https://www.itu.int/md/S17-CL-C-0078/fr" </w:instrText>
            </w:r>
            <w:r w:rsidRPr="00B559BB">
              <w:fldChar w:fldCharType="separate"/>
            </w:r>
            <w:r w:rsidRPr="00B559BB">
              <w:rPr>
                <w:rStyle w:val="Hyperlink"/>
                <w:rFonts w:asciiTheme="minorHAnsi" w:hAnsiTheme="minorHAnsi" w:cstheme="minorHAnsi"/>
                <w:szCs w:val="22"/>
              </w:rPr>
              <w:t>С17/78 (Rév.2)</w:t>
            </w:r>
            <w:r w:rsidRPr="00B559BB">
              <w:rPr>
                <w:rStyle w:val="Hyperlink"/>
                <w:rFonts w:asciiTheme="minorHAnsi" w:hAnsiTheme="minorHAnsi" w:cstheme="minorHAnsi"/>
                <w:szCs w:val="22"/>
              </w:rPr>
              <w:fldChar w:fldCharType="end"/>
            </w:r>
            <w:r>
              <w:rPr>
                <w:rFonts w:eastAsiaTheme="minorEastAsia" w:hint="eastAsia"/>
                <w:lang w:eastAsia="zh-CN"/>
              </w:rPr>
              <w:t>、</w:t>
            </w:r>
            <w:r w:rsidRPr="00B559BB">
              <w:fldChar w:fldCharType="begin"/>
            </w:r>
            <w:r w:rsidRPr="00B559BB">
              <w:instrText xml:space="preserve"> HYPERLINK "https://www.itu.int/md/S17-CL-C-0130/fr" </w:instrText>
            </w:r>
            <w:r w:rsidRPr="00B559BB">
              <w:fldChar w:fldCharType="separate"/>
            </w:r>
            <w:r w:rsidRPr="00B559BB">
              <w:rPr>
                <w:rStyle w:val="Hyperlink"/>
                <w:szCs w:val="22"/>
              </w:rPr>
              <w:t>C17/130 (Rév.1)</w:t>
            </w:r>
            <w:r w:rsidRPr="00B559BB">
              <w:rPr>
                <w:rStyle w:val="Hyperlink"/>
                <w:szCs w:val="22"/>
              </w:rPr>
              <w:fldChar w:fldCharType="end"/>
            </w:r>
            <w:r>
              <w:rPr>
                <w:rFonts w:asciiTheme="minorHAnsi" w:eastAsiaTheme="minorEastAsia" w:hAnsiTheme="minorHAnsi" w:cstheme="minorHAnsi" w:hint="eastAsia"/>
                <w:lang w:eastAsia="zh-CN"/>
              </w:rPr>
              <w:t>、</w:t>
            </w:r>
            <w:r w:rsidRPr="00B559BB">
              <w:fldChar w:fldCharType="begin"/>
            </w:r>
            <w:r w:rsidRPr="00B559BB">
              <w:instrText xml:space="preserve"> HYPERLINK "https://www.itu.int/md/S17-CL-170515-DL-0008/fr" </w:instrText>
            </w:r>
            <w:r w:rsidRPr="00B559BB">
              <w:fldChar w:fldCharType="separate"/>
            </w:r>
            <w:r w:rsidRPr="00B559BB">
              <w:rPr>
                <w:rStyle w:val="Hyperlink"/>
              </w:rPr>
              <w:t>C17/DL/8</w:t>
            </w:r>
            <w:r w:rsidRPr="00B559BB">
              <w:rPr>
                <w:rStyle w:val="Hyperlink"/>
              </w:rPr>
              <w:fldChar w:fldCharType="end"/>
            </w:r>
            <w:r w:rsidR="006B6811" w:rsidRPr="006B6811">
              <w:rPr>
                <w:rFonts w:ascii="STKaiti" w:eastAsia="STKaiti" w:hAnsi="STKaiti" w:hint="eastAsia"/>
                <w:iCs/>
                <w:lang w:val="en-US" w:eastAsia="zh-CN"/>
              </w:rPr>
              <w:t>号文件</w:t>
            </w:r>
          </w:p>
        </w:tc>
      </w:tr>
    </w:tbl>
    <w:p w:rsidR="00120FD9" w:rsidRPr="00A907A0" w:rsidRDefault="00120FD9" w:rsidP="000D1266">
      <w:pPr>
        <w:pStyle w:val="Heading1"/>
        <w:spacing w:before="720"/>
        <w:rPr>
          <w:lang w:val="en-US"/>
        </w:rPr>
      </w:pPr>
      <w:r>
        <w:rPr>
          <w:lang w:val="en-US"/>
        </w:rPr>
        <w:t>1</w:t>
      </w:r>
      <w:r>
        <w:rPr>
          <w:lang w:val="en-US"/>
        </w:rPr>
        <w:tab/>
      </w:r>
      <w:r w:rsidR="006B6811">
        <w:rPr>
          <w:rFonts w:hint="eastAsia"/>
          <w:lang w:val="en-US" w:eastAsia="zh-CN"/>
        </w:rPr>
        <w:t>引言</w:t>
      </w:r>
    </w:p>
    <w:p w:rsidR="00120FD9" w:rsidRDefault="00ED0A92" w:rsidP="000D1266">
      <w:pPr>
        <w:ind w:firstLineChars="200" w:firstLine="480"/>
        <w:rPr>
          <w:lang w:val="en-US" w:eastAsia="zh-CN"/>
        </w:rPr>
      </w:pPr>
      <w:r>
        <w:rPr>
          <w:rFonts w:hint="eastAsia"/>
          <w:lang w:val="en-US" w:eastAsia="zh-CN"/>
        </w:rPr>
        <w:t>在理事会</w:t>
      </w:r>
      <w:r>
        <w:rPr>
          <w:rFonts w:hint="eastAsia"/>
          <w:lang w:val="en-US" w:eastAsia="zh-CN"/>
        </w:rPr>
        <w:t>2016</w:t>
      </w:r>
      <w:r>
        <w:rPr>
          <w:rFonts w:hint="eastAsia"/>
          <w:lang w:val="en-US" w:eastAsia="zh-CN"/>
        </w:rPr>
        <w:t>和</w:t>
      </w:r>
      <w:r>
        <w:rPr>
          <w:rFonts w:hint="eastAsia"/>
          <w:lang w:val="en-US" w:eastAsia="zh-CN"/>
        </w:rPr>
        <w:t>2017</w:t>
      </w:r>
      <w:r w:rsidR="000D1266">
        <w:rPr>
          <w:rFonts w:hint="eastAsia"/>
          <w:lang w:val="en-US" w:eastAsia="zh-CN"/>
        </w:rPr>
        <w:t>年会议</w:t>
      </w:r>
      <w:r>
        <w:rPr>
          <w:rFonts w:hint="eastAsia"/>
          <w:lang w:val="en-US" w:eastAsia="zh-CN"/>
        </w:rPr>
        <w:t>讨论了多份有关改进全权代表大会进程的可能方法的文件。其中理事会审议并赞同的最重要的一项提案即是确保</w:t>
      </w:r>
      <w:r>
        <w:rPr>
          <w:rFonts w:hint="eastAsia"/>
          <w:lang w:val="en-US" w:eastAsia="zh-CN"/>
        </w:rPr>
        <w:t>PP-18</w:t>
      </w:r>
      <w:r>
        <w:rPr>
          <w:rFonts w:hint="eastAsia"/>
          <w:lang w:val="en-US" w:eastAsia="zh-CN"/>
        </w:rPr>
        <w:t>通过现实的国际电联</w:t>
      </w:r>
      <w:r>
        <w:rPr>
          <w:rFonts w:hint="eastAsia"/>
          <w:lang w:val="en-US" w:eastAsia="zh-CN"/>
        </w:rPr>
        <w:t>2020-2023</w:t>
      </w:r>
      <w:r>
        <w:rPr>
          <w:rFonts w:hint="eastAsia"/>
          <w:lang w:val="en-US" w:eastAsia="zh-CN"/>
        </w:rPr>
        <w:t>年战略规划、预算和财务限额。这些提案符合国际电联《组织法》</w:t>
      </w:r>
      <w:r w:rsidR="0092297D">
        <w:rPr>
          <w:rFonts w:hint="eastAsia"/>
          <w:lang w:val="en-US" w:eastAsia="zh-CN"/>
        </w:rPr>
        <w:t>第</w:t>
      </w:r>
      <w:r w:rsidR="0092297D">
        <w:rPr>
          <w:rFonts w:hint="eastAsia"/>
          <w:lang w:val="en-US" w:eastAsia="zh-CN"/>
        </w:rPr>
        <w:t>8</w:t>
      </w:r>
      <w:r w:rsidR="0092297D">
        <w:rPr>
          <w:rFonts w:hint="eastAsia"/>
          <w:lang w:val="en-US" w:eastAsia="zh-CN"/>
        </w:rPr>
        <w:t>条的规定，同时考虑了国际电联以往多届全权代表大会的做法。</w:t>
      </w:r>
    </w:p>
    <w:p w:rsidR="00120FD9" w:rsidRDefault="0092297D" w:rsidP="000D1266">
      <w:pPr>
        <w:ind w:firstLineChars="200" w:firstLine="480"/>
        <w:rPr>
          <w:lang w:val="en-US" w:eastAsia="zh-CN"/>
        </w:rPr>
      </w:pPr>
      <w:r>
        <w:rPr>
          <w:rFonts w:hint="eastAsia"/>
          <w:lang w:val="en-US" w:eastAsia="zh-CN"/>
        </w:rPr>
        <w:t>应指出，自</w:t>
      </w:r>
      <w:r>
        <w:rPr>
          <w:rFonts w:hint="eastAsia"/>
          <w:lang w:val="en-US" w:eastAsia="zh-CN"/>
        </w:rPr>
        <w:t>2002</w:t>
      </w:r>
      <w:r>
        <w:rPr>
          <w:rFonts w:hint="eastAsia"/>
          <w:lang w:val="en-US" w:eastAsia="zh-CN"/>
        </w:rPr>
        <w:t>年马拉喀什全权代表大会起，</w:t>
      </w:r>
      <w:r w:rsidR="000B78FB">
        <w:rPr>
          <w:rFonts w:hint="eastAsia"/>
          <w:lang w:val="en-US" w:eastAsia="zh-CN"/>
        </w:rPr>
        <w:t>会费单位</w:t>
      </w:r>
      <w:r w:rsidR="0003477F">
        <w:rPr>
          <w:rFonts w:hint="eastAsia"/>
          <w:lang w:val="en-US" w:eastAsia="zh-CN"/>
        </w:rPr>
        <w:t>金额</w:t>
      </w:r>
      <w:r w:rsidR="000B78FB">
        <w:rPr>
          <w:rFonts w:hint="eastAsia"/>
          <w:lang w:val="en-US" w:eastAsia="zh-CN"/>
        </w:rPr>
        <w:t>一直保持不变。</w:t>
      </w:r>
      <w:r w:rsidR="0003477F">
        <w:rPr>
          <w:rFonts w:hint="eastAsia"/>
          <w:lang w:val="en-US" w:eastAsia="zh-CN"/>
        </w:rPr>
        <w:t>此外，一旦国际电联成员国宣布其最终选定的会费单位等级</w:t>
      </w:r>
      <w:r w:rsidR="000D1266">
        <w:rPr>
          <w:rFonts w:hint="eastAsia"/>
          <w:lang w:val="en-US" w:eastAsia="zh-CN"/>
        </w:rPr>
        <w:t>后，不再对会费单位进行复审。采用以往多届全权代表大会的做法，当</w:t>
      </w:r>
      <w:r w:rsidR="0003477F">
        <w:rPr>
          <w:rFonts w:hint="eastAsia"/>
          <w:lang w:val="en-US" w:eastAsia="zh-CN"/>
        </w:rPr>
        <w:t>全权代表大会开幕确定会费单位金额时，无需再施行审议会费单位金额最终上限的程序，而是在全权代表大会第一天即最终批准会费单位金额。</w:t>
      </w:r>
    </w:p>
    <w:p w:rsidR="00120FD9" w:rsidRDefault="0003477F" w:rsidP="000D1266">
      <w:pPr>
        <w:ind w:firstLineChars="200" w:firstLine="480"/>
        <w:rPr>
          <w:lang w:val="en-US" w:eastAsia="zh-CN"/>
        </w:rPr>
      </w:pPr>
      <w:r>
        <w:rPr>
          <w:rFonts w:hint="eastAsia"/>
          <w:lang w:val="en-US" w:eastAsia="zh-CN"/>
        </w:rPr>
        <w:t>在此情况下，成员国可根据《组织法》第</w:t>
      </w:r>
      <w:r>
        <w:rPr>
          <w:rFonts w:hint="eastAsia"/>
          <w:lang w:val="en-US" w:eastAsia="zh-CN"/>
        </w:rPr>
        <w:t>116E</w:t>
      </w:r>
      <w:r>
        <w:rPr>
          <w:rFonts w:hint="eastAsia"/>
          <w:lang w:val="en-US" w:eastAsia="zh-CN"/>
        </w:rPr>
        <w:t>款，在</w:t>
      </w:r>
      <w:r>
        <w:rPr>
          <w:rFonts w:hint="eastAsia"/>
          <w:lang w:val="en-US" w:eastAsia="zh-CN"/>
        </w:rPr>
        <w:t>PP-18</w:t>
      </w:r>
      <w:r>
        <w:rPr>
          <w:rFonts w:hint="eastAsia"/>
          <w:lang w:val="en-US" w:eastAsia="zh-CN"/>
        </w:rPr>
        <w:t>的第二或第三天即可宣布其最终选定的会费单位等级。</w:t>
      </w:r>
    </w:p>
    <w:p w:rsidR="00120FD9" w:rsidRPr="000D1266" w:rsidRDefault="00120FD9" w:rsidP="000D1266">
      <w:pPr>
        <w:pStyle w:val="Heading1"/>
        <w:rPr>
          <w:lang w:val="en-US"/>
        </w:rPr>
      </w:pPr>
      <w:r w:rsidRPr="000D1266">
        <w:rPr>
          <w:lang w:val="en-US"/>
        </w:rPr>
        <w:lastRenderedPageBreak/>
        <w:t>2</w:t>
      </w:r>
      <w:r w:rsidRPr="000D1266">
        <w:rPr>
          <w:lang w:val="en-US"/>
        </w:rPr>
        <w:tab/>
      </w:r>
      <w:proofErr w:type="spellStart"/>
      <w:r w:rsidR="000D1266">
        <w:rPr>
          <w:rFonts w:hint="eastAsia"/>
          <w:lang w:val="en-US"/>
        </w:rPr>
        <w:t>提案</w:t>
      </w:r>
      <w:proofErr w:type="spellEnd"/>
    </w:p>
    <w:p w:rsidR="00120FD9" w:rsidRDefault="00120FD9" w:rsidP="00FD7A25">
      <w:pPr>
        <w:rPr>
          <w:lang w:val="en-US" w:eastAsia="zh-CN"/>
        </w:rPr>
      </w:pPr>
      <w:r w:rsidRPr="00623A6F">
        <w:rPr>
          <w:lang w:val="en-US" w:eastAsia="zh-CN"/>
        </w:rPr>
        <w:t>2.1</w:t>
      </w:r>
      <w:r w:rsidRPr="00623A6F">
        <w:rPr>
          <w:lang w:val="en-US" w:eastAsia="zh-CN"/>
        </w:rPr>
        <w:tab/>
      </w:r>
      <w:r w:rsidR="00FD7A25">
        <w:rPr>
          <w:rFonts w:hint="eastAsia"/>
          <w:lang w:val="en-US" w:eastAsia="zh-CN"/>
        </w:rPr>
        <w:t>为确保制定一份现实的国际电联</w:t>
      </w:r>
      <w:r w:rsidR="00FD7A25">
        <w:rPr>
          <w:rFonts w:hint="eastAsia"/>
          <w:lang w:val="en-US" w:eastAsia="zh-CN"/>
        </w:rPr>
        <w:t>2020-2023</w:t>
      </w:r>
      <w:r w:rsidR="00FD7A25">
        <w:rPr>
          <w:rFonts w:hint="eastAsia"/>
          <w:lang w:val="en-US" w:eastAsia="zh-CN"/>
        </w:rPr>
        <w:t>年战略规划、确定预算和财务限额的基础，特向</w:t>
      </w:r>
      <w:r w:rsidR="00FD7A25">
        <w:rPr>
          <w:rFonts w:hint="eastAsia"/>
          <w:lang w:val="en-US" w:eastAsia="zh-CN"/>
        </w:rPr>
        <w:t>2018</w:t>
      </w:r>
      <w:r w:rsidR="00FD7A25">
        <w:rPr>
          <w:rFonts w:hint="eastAsia"/>
          <w:lang w:val="en-US" w:eastAsia="zh-CN"/>
        </w:rPr>
        <w:t>年全权代表大会建议：</w:t>
      </w:r>
    </w:p>
    <w:p w:rsidR="00120FD9" w:rsidRDefault="00120FD9" w:rsidP="00FD7A25">
      <w:pPr>
        <w:rPr>
          <w:lang w:val="en-US" w:eastAsia="zh-CN"/>
        </w:rPr>
      </w:pPr>
      <w:r>
        <w:rPr>
          <w:lang w:val="en-US" w:eastAsia="zh-CN"/>
        </w:rPr>
        <w:t>a)</w:t>
      </w:r>
      <w:r>
        <w:rPr>
          <w:lang w:val="en-US" w:eastAsia="zh-CN"/>
        </w:rPr>
        <w:tab/>
      </w:r>
      <w:r w:rsidRPr="002A1C84">
        <w:rPr>
          <w:lang w:val="en-US" w:eastAsia="zh-CN"/>
        </w:rPr>
        <w:t>在</w:t>
      </w:r>
      <w:r w:rsidRPr="002A1C84">
        <w:rPr>
          <w:lang w:val="en-US" w:eastAsia="zh-CN"/>
        </w:rPr>
        <w:t>PP-18</w:t>
      </w:r>
      <w:r w:rsidRPr="002A1C84">
        <w:rPr>
          <w:lang w:val="en-US" w:eastAsia="zh-CN"/>
        </w:rPr>
        <w:t>第一</w:t>
      </w:r>
      <w:r w:rsidR="00FD7A25">
        <w:rPr>
          <w:rFonts w:hint="eastAsia"/>
          <w:lang w:val="en-US" w:eastAsia="zh-CN"/>
        </w:rPr>
        <w:t>个工作日</w:t>
      </w:r>
      <w:r w:rsidRPr="002A1C84">
        <w:rPr>
          <w:lang w:val="en-US" w:eastAsia="zh-CN"/>
        </w:rPr>
        <w:t>批准确定的会费单位上限（</w:t>
      </w:r>
      <w:r w:rsidRPr="002A1C84">
        <w:rPr>
          <w:lang w:val="en-US" w:eastAsia="zh-CN"/>
        </w:rPr>
        <w:t>PP-14</w:t>
      </w:r>
      <w:r w:rsidRPr="002A1C84">
        <w:rPr>
          <w:lang w:val="en-US" w:eastAsia="zh-CN"/>
        </w:rPr>
        <w:t>便是如此操作）；</w:t>
      </w:r>
    </w:p>
    <w:p w:rsidR="00120FD9" w:rsidRDefault="00120FD9" w:rsidP="00FD7A25">
      <w:pPr>
        <w:rPr>
          <w:lang w:val="en-US" w:eastAsia="zh-CN"/>
        </w:rPr>
      </w:pPr>
      <w:r>
        <w:rPr>
          <w:lang w:val="en-US" w:eastAsia="zh-CN"/>
        </w:rPr>
        <w:t>b)</w:t>
      </w:r>
      <w:r>
        <w:rPr>
          <w:lang w:val="en-US" w:eastAsia="zh-CN"/>
        </w:rPr>
        <w:tab/>
      </w:r>
      <w:r>
        <w:rPr>
          <w:lang w:val="en-US" w:eastAsia="zh-CN"/>
        </w:rPr>
        <w:t>规定国际电联成员国在全权代表大会的第三天宣布其最终选</w:t>
      </w:r>
      <w:r>
        <w:rPr>
          <w:rFonts w:hint="eastAsia"/>
          <w:lang w:val="en-US" w:eastAsia="zh-CN"/>
        </w:rPr>
        <w:t>定</w:t>
      </w:r>
      <w:r w:rsidRPr="002A1C84">
        <w:rPr>
          <w:lang w:val="en-US" w:eastAsia="zh-CN"/>
        </w:rPr>
        <w:t>的会费</w:t>
      </w:r>
      <w:r w:rsidR="00FD7A25">
        <w:rPr>
          <w:rFonts w:hint="eastAsia"/>
          <w:lang w:val="en-US" w:eastAsia="zh-CN"/>
        </w:rPr>
        <w:t>等级</w:t>
      </w:r>
      <w:r w:rsidRPr="002A1C84">
        <w:rPr>
          <w:lang w:val="en-US" w:eastAsia="zh-CN"/>
        </w:rPr>
        <w:t>；</w:t>
      </w:r>
    </w:p>
    <w:p w:rsidR="00120FD9" w:rsidRDefault="00120FD9" w:rsidP="00157B7A">
      <w:pPr>
        <w:rPr>
          <w:lang w:val="en-US" w:eastAsia="zh-CN"/>
        </w:rPr>
      </w:pPr>
      <w:r>
        <w:rPr>
          <w:lang w:val="en-US" w:eastAsia="zh-CN"/>
        </w:rPr>
        <w:t>c)</w:t>
      </w:r>
      <w:r>
        <w:rPr>
          <w:lang w:val="en-US" w:eastAsia="zh-CN"/>
        </w:rPr>
        <w:tab/>
      </w:r>
      <w:r w:rsidRPr="002A1C84">
        <w:rPr>
          <w:lang w:val="en-US" w:eastAsia="zh-CN"/>
        </w:rPr>
        <w:t>在</w:t>
      </w:r>
      <w:r w:rsidRPr="002A1C84">
        <w:rPr>
          <w:lang w:val="en-US" w:eastAsia="zh-CN"/>
        </w:rPr>
        <w:t>PP-18</w:t>
      </w:r>
      <w:r w:rsidRPr="002A1C84">
        <w:rPr>
          <w:lang w:val="en-US" w:eastAsia="zh-CN"/>
        </w:rPr>
        <w:t>第三天</w:t>
      </w:r>
      <w:r w:rsidR="00157B7A">
        <w:rPr>
          <w:rFonts w:hint="eastAsia"/>
          <w:lang w:val="en-US" w:eastAsia="zh-CN"/>
        </w:rPr>
        <w:t>的</w:t>
      </w:r>
      <w:r w:rsidRPr="002A1C84">
        <w:rPr>
          <w:lang w:val="en-US" w:eastAsia="zh-CN"/>
        </w:rPr>
        <w:t>24</w:t>
      </w:r>
      <w:r w:rsidRPr="002A1C84">
        <w:rPr>
          <w:lang w:val="en-US" w:eastAsia="zh-CN"/>
        </w:rPr>
        <w:t>时</w:t>
      </w:r>
      <w:r w:rsidR="000D1266">
        <w:rPr>
          <w:rFonts w:hint="eastAsia"/>
          <w:lang w:val="en-US" w:eastAsia="zh-CN"/>
        </w:rPr>
        <w:t>（日内瓦</w:t>
      </w:r>
      <w:r w:rsidR="000D1266">
        <w:rPr>
          <w:lang w:val="en-US" w:eastAsia="zh-CN"/>
        </w:rPr>
        <w:t>时间）</w:t>
      </w:r>
      <w:r w:rsidRPr="002A1C84">
        <w:rPr>
          <w:lang w:val="en-US" w:eastAsia="zh-CN"/>
        </w:rPr>
        <w:t>前，公布</w:t>
      </w:r>
      <w:r w:rsidR="00157B7A" w:rsidRPr="002A1C84">
        <w:rPr>
          <w:lang w:val="en-US" w:eastAsia="zh-CN"/>
        </w:rPr>
        <w:t>国际电联成员国</w:t>
      </w:r>
      <w:r w:rsidR="00157B7A">
        <w:rPr>
          <w:rFonts w:hint="eastAsia"/>
          <w:lang w:val="en-US" w:eastAsia="zh-CN"/>
        </w:rPr>
        <w:t>最终</w:t>
      </w:r>
      <w:r w:rsidRPr="002A1C84">
        <w:rPr>
          <w:lang w:val="en-US" w:eastAsia="zh-CN"/>
        </w:rPr>
        <w:t>选定的会费</w:t>
      </w:r>
      <w:r w:rsidR="00157B7A">
        <w:rPr>
          <w:rFonts w:hint="eastAsia"/>
          <w:lang w:val="en-US" w:eastAsia="zh-CN"/>
        </w:rPr>
        <w:t>等级</w:t>
      </w:r>
      <w:r w:rsidRPr="002A1C84">
        <w:rPr>
          <w:lang w:val="en-US" w:eastAsia="zh-CN"/>
        </w:rPr>
        <w:t>。</w:t>
      </w:r>
    </w:p>
    <w:p w:rsidR="00120FD9" w:rsidRDefault="00120FD9" w:rsidP="00157B7A">
      <w:pPr>
        <w:rPr>
          <w:lang w:val="en-US" w:eastAsia="zh-CN"/>
        </w:rPr>
      </w:pPr>
      <w:r>
        <w:rPr>
          <w:lang w:val="en-US" w:eastAsia="zh-CN"/>
        </w:rPr>
        <w:t>2.2</w:t>
      </w:r>
      <w:r>
        <w:rPr>
          <w:lang w:val="en-US" w:eastAsia="zh-CN"/>
        </w:rPr>
        <w:tab/>
      </w:r>
      <w:r w:rsidR="00157B7A">
        <w:rPr>
          <w:rFonts w:hint="eastAsia"/>
          <w:lang w:val="en-US" w:eastAsia="zh-CN"/>
        </w:rPr>
        <w:t>建议国际电联秘书长：</w:t>
      </w:r>
    </w:p>
    <w:p w:rsidR="00120FD9" w:rsidRDefault="00120FD9" w:rsidP="00157B7A">
      <w:pPr>
        <w:rPr>
          <w:lang w:val="en-US" w:eastAsia="zh-CN"/>
        </w:rPr>
      </w:pPr>
      <w:r>
        <w:rPr>
          <w:lang w:val="en-US" w:eastAsia="zh-CN"/>
        </w:rPr>
        <w:t>a)</w:t>
      </w:r>
      <w:r>
        <w:rPr>
          <w:lang w:val="en-US" w:eastAsia="zh-CN"/>
        </w:rPr>
        <w:tab/>
      </w:r>
      <w:r w:rsidR="00157B7A">
        <w:rPr>
          <w:rFonts w:hint="eastAsia"/>
          <w:lang w:val="en-US" w:eastAsia="zh-CN"/>
        </w:rPr>
        <w:t>在代表团团长正式和非正式会议上，与其他改进全权代表大会进程的提案一起，公布这些提案；</w:t>
      </w:r>
    </w:p>
    <w:p w:rsidR="00120FD9" w:rsidRDefault="00120FD9" w:rsidP="00157B7A">
      <w:pPr>
        <w:rPr>
          <w:lang w:val="en-US" w:eastAsia="zh-CN"/>
        </w:rPr>
      </w:pPr>
      <w:r>
        <w:rPr>
          <w:lang w:val="en-US" w:eastAsia="zh-CN"/>
        </w:rPr>
        <w:t>b)</w:t>
      </w:r>
      <w:r>
        <w:rPr>
          <w:lang w:val="en-US" w:eastAsia="zh-CN"/>
        </w:rPr>
        <w:tab/>
      </w:r>
      <w:r w:rsidR="00157B7A">
        <w:rPr>
          <w:rFonts w:hint="eastAsia"/>
          <w:lang w:val="en-US" w:eastAsia="zh-CN"/>
        </w:rPr>
        <w:t>在</w:t>
      </w:r>
      <w:r w:rsidR="00157B7A">
        <w:rPr>
          <w:rFonts w:hint="eastAsia"/>
          <w:lang w:val="en-US" w:eastAsia="zh-CN"/>
        </w:rPr>
        <w:t>2018</w:t>
      </w:r>
      <w:r w:rsidR="00157B7A">
        <w:rPr>
          <w:rFonts w:hint="eastAsia"/>
          <w:lang w:val="en-US" w:eastAsia="zh-CN"/>
        </w:rPr>
        <w:t>年全权代表大会第一次全体会议议程草案中包括这些提案。</w:t>
      </w:r>
    </w:p>
    <w:p w:rsidR="00120FD9" w:rsidRDefault="00120FD9" w:rsidP="000D1266">
      <w:pPr>
        <w:ind w:firstLineChars="200" w:firstLine="480"/>
        <w:rPr>
          <w:lang w:val="en-US" w:eastAsia="zh-CN"/>
        </w:rPr>
      </w:pPr>
      <w:r w:rsidRPr="000851C1">
        <w:rPr>
          <w:lang w:eastAsia="zh-CN"/>
        </w:rPr>
        <w:t>这些行动建议完全符合《组织法》第</w:t>
      </w:r>
      <w:r w:rsidRPr="000851C1">
        <w:rPr>
          <w:lang w:eastAsia="zh-CN"/>
        </w:rPr>
        <w:t>161</w:t>
      </w:r>
      <w:r w:rsidR="000D1266">
        <w:rPr>
          <w:lang w:eastAsia="zh-CN"/>
        </w:rPr>
        <w:t>B-</w:t>
      </w:r>
      <w:r>
        <w:rPr>
          <w:lang w:eastAsia="zh-CN"/>
        </w:rPr>
        <w:t>F</w:t>
      </w:r>
      <w:r w:rsidR="000D1266">
        <w:rPr>
          <w:rFonts w:hint="eastAsia"/>
          <w:lang w:eastAsia="zh-CN"/>
        </w:rPr>
        <w:t>款</w:t>
      </w:r>
      <w:r w:rsidRPr="000851C1">
        <w:rPr>
          <w:lang w:eastAsia="zh-CN"/>
        </w:rPr>
        <w:t>，只是对日期稍加澄清。与此同时，此方法可确保通过一个相互平衡且合理的国际电联战略和财务规划</w:t>
      </w:r>
      <w:r w:rsidR="00157B7A">
        <w:rPr>
          <w:rFonts w:hint="eastAsia"/>
          <w:lang w:eastAsia="zh-CN"/>
        </w:rPr>
        <w:t>。</w:t>
      </w:r>
    </w:p>
    <w:p w:rsidR="00B45365" w:rsidRDefault="00B45365" w:rsidP="00280EB8">
      <w:pPr>
        <w:rPr>
          <w:lang w:val="en-US" w:eastAsia="zh-CN"/>
        </w:rPr>
      </w:pPr>
    </w:p>
    <w:p w:rsidR="000D1266" w:rsidRPr="00120FD9" w:rsidRDefault="000D1266" w:rsidP="00280EB8">
      <w:pPr>
        <w:rPr>
          <w:lang w:val="en-US"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4E" w:rsidRDefault="00557D4E">
      <w:r>
        <w:separator/>
      </w:r>
    </w:p>
  </w:endnote>
  <w:endnote w:type="continuationSeparator" w:id="0">
    <w:p w:rsidR="00557D4E" w:rsidRDefault="0055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041545" w:rsidP="00F705DF">
    <w:pPr>
      <w:pStyle w:val="Footer"/>
    </w:pPr>
    <w:r>
      <w:fldChar w:fldCharType="begin"/>
    </w:r>
    <w:r>
      <w:instrText xml:space="preserve"> FILENAME \p  \* MERGEFORMAT </w:instrText>
    </w:r>
    <w:r>
      <w:fldChar w:fldCharType="separate"/>
    </w:r>
    <w:r>
      <w:t>P:\CHI\SG\CONSEIL\C18\000\080C.docx</w:t>
    </w:r>
    <w:r>
      <w:fldChar w:fldCharType="end"/>
    </w:r>
    <w:r>
      <w:t xml:space="preserve"> (434475)</w:t>
    </w:r>
    <w:r w:rsidR="00411644">
      <w:tab/>
    </w:r>
    <w:r w:rsidR="00411644">
      <w:fldChar w:fldCharType="begin"/>
    </w:r>
    <w:r w:rsidR="00411644">
      <w:instrText xml:space="preserve"> SAVEDATE \@ DD.MM.YY </w:instrText>
    </w:r>
    <w:r w:rsidR="00411644">
      <w:fldChar w:fldCharType="separate"/>
    </w:r>
    <w:r w:rsidR="0027040F">
      <w:t>11.04.18</w:t>
    </w:r>
    <w:r w:rsidR="00411644">
      <w:fldChar w:fldCharType="end"/>
    </w:r>
    <w:r w:rsidR="00411644">
      <w:tab/>
    </w:r>
    <w:r w:rsidR="00411644">
      <w:fldChar w:fldCharType="begin"/>
    </w:r>
    <w:r w:rsidR="00411644">
      <w:instrText xml:space="preserve"> PRINTDATE \@ DD.MM.YY </w:instrText>
    </w:r>
    <w:r w:rsidR="00411644">
      <w:fldChar w:fldCharType="separate"/>
    </w:r>
    <w:r w:rsidR="00411644">
      <w:t>24.02.15</w:t>
    </w:r>
    <w:r w:rsidR="0041164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157B7A" w:rsidP="00411644">
    <w:pPr>
      <w:pStyle w:val="Footer"/>
    </w:pPr>
    <w:fldSimple w:instr=" FILENAME \p  \* MERGEFORMAT ">
      <w:r w:rsidR="00041545">
        <w:t>P:\CHI\SG\CONSEIL\C18\000\080C.docx</w:t>
      </w:r>
    </w:fldSimple>
    <w:r w:rsidR="00864589">
      <w:t xml:space="preserve"> (</w:t>
    </w:r>
    <w:r w:rsidR="00FE4B8A">
      <w:t>434</w:t>
    </w:r>
    <w:r w:rsidR="00411644">
      <w:t>475</w:t>
    </w:r>
    <w:r w:rsidR="00864589">
      <w:t>)</w:t>
    </w:r>
    <w:r w:rsidR="00864589">
      <w:tab/>
    </w:r>
    <w:r w:rsidR="00864589">
      <w:fldChar w:fldCharType="begin"/>
    </w:r>
    <w:r w:rsidR="00864589">
      <w:instrText xml:space="preserve"> SAVEDATE \@ DD.MM.YY </w:instrText>
    </w:r>
    <w:r w:rsidR="00864589">
      <w:fldChar w:fldCharType="separate"/>
    </w:r>
    <w:r w:rsidR="0027040F">
      <w:t>11.04.18</w:t>
    </w:r>
    <w:r w:rsidR="00864589">
      <w:fldChar w:fldCharType="end"/>
    </w:r>
    <w:r w:rsidR="00864589">
      <w:tab/>
    </w:r>
    <w:r w:rsidR="00864589">
      <w:fldChar w:fldCharType="begin"/>
    </w:r>
    <w:r w:rsidR="00864589">
      <w:instrText xml:space="preserve"> PRINTDATE \@ DD.MM.YY </w:instrText>
    </w:r>
    <w:r w:rsidR="00864589">
      <w:fldChar w:fldCharType="separate"/>
    </w:r>
    <w:r w:rsidR="00557D4E">
      <w:t>24.02.15</w:t>
    </w:r>
    <w:r w:rsidR="008645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4E" w:rsidRDefault="00557D4E">
      <w:r>
        <w:t>____________________</w:t>
      </w:r>
    </w:p>
  </w:footnote>
  <w:footnote w:type="continuationSeparator" w:id="0">
    <w:p w:rsidR="00557D4E" w:rsidRDefault="00557D4E">
      <w:r>
        <w:continuationSeparator/>
      </w:r>
    </w:p>
  </w:footnote>
  <w:footnote w:id="1">
    <w:p w:rsidR="00411644" w:rsidRPr="00755901" w:rsidRDefault="00411644" w:rsidP="00FD7A25">
      <w:pPr>
        <w:pStyle w:val="FootnoteText"/>
        <w:rPr>
          <w:lang w:val="en-US" w:eastAsia="zh-CN"/>
        </w:rPr>
      </w:pPr>
      <w:r>
        <w:rPr>
          <w:rStyle w:val="FootnoteReference"/>
        </w:rPr>
        <w:footnoteRef/>
      </w:r>
      <w:r>
        <w:rPr>
          <w:lang w:eastAsia="zh-CN"/>
        </w:rPr>
        <w:t xml:space="preserve"> </w:t>
      </w:r>
      <w:r w:rsidR="0003477F" w:rsidRPr="00FD7A25">
        <w:rPr>
          <w:rFonts w:hint="eastAsia"/>
          <w:sz w:val="20"/>
          <w:lang w:eastAsia="zh-CN"/>
        </w:rPr>
        <w:t>本文件已</w:t>
      </w:r>
      <w:r w:rsidR="00FD7A25">
        <w:rPr>
          <w:rFonts w:hint="eastAsia"/>
          <w:sz w:val="20"/>
          <w:lang w:eastAsia="zh-CN"/>
        </w:rPr>
        <w:t>在</w:t>
      </w:r>
      <w:r w:rsidR="00FD7A25">
        <w:rPr>
          <w:rFonts w:hint="eastAsia"/>
          <w:sz w:val="20"/>
          <w:lang w:eastAsia="zh-CN"/>
        </w:rPr>
        <w:t>RCC</w:t>
      </w:r>
      <w:r w:rsidR="00FD7A25">
        <w:rPr>
          <w:rFonts w:hint="eastAsia"/>
          <w:sz w:val="20"/>
          <w:lang w:eastAsia="zh-CN"/>
        </w:rPr>
        <w:t>国际合作协调委员会工作组于</w:t>
      </w:r>
      <w:r w:rsidR="00FD7A25">
        <w:rPr>
          <w:rFonts w:hint="eastAsia"/>
          <w:sz w:val="20"/>
          <w:lang w:eastAsia="zh-CN"/>
        </w:rPr>
        <w:t>2017</w:t>
      </w:r>
      <w:r w:rsidR="00FD7A25">
        <w:rPr>
          <w:rFonts w:hint="eastAsia"/>
          <w:sz w:val="20"/>
          <w:lang w:eastAsia="zh-CN"/>
        </w:rPr>
        <w:t>年</w:t>
      </w:r>
      <w:r w:rsidR="00FD7A25">
        <w:rPr>
          <w:rFonts w:hint="eastAsia"/>
          <w:sz w:val="20"/>
          <w:lang w:eastAsia="zh-CN"/>
        </w:rPr>
        <w:t>11</w:t>
      </w:r>
      <w:r w:rsidR="00FD7A25">
        <w:rPr>
          <w:rFonts w:hint="eastAsia"/>
          <w:sz w:val="20"/>
          <w:lang w:eastAsia="zh-CN"/>
        </w:rPr>
        <w:t>月</w:t>
      </w:r>
      <w:r w:rsidR="00FD7A25">
        <w:rPr>
          <w:rFonts w:hint="eastAsia"/>
          <w:sz w:val="20"/>
          <w:lang w:eastAsia="zh-CN"/>
        </w:rPr>
        <w:t>1</w:t>
      </w:r>
      <w:r w:rsidR="00FD7A25">
        <w:rPr>
          <w:rFonts w:hint="eastAsia"/>
          <w:sz w:val="20"/>
          <w:lang w:eastAsia="zh-CN"/>
        </w:rPr>
        <w:t>日举行的会议上获得认可。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B559BB">
      <w:rPr>
        <w:noProof/>
      </w:rPr>
      <w:t>2</w:t>
    </w:r>
    <w:r>
      <w:rPr>
        <w:noProof/>
      </w:rPr>
      <w:fldChar w:fldCharType="end"/>
    </w:r>
  </w:p>
  <w:p w:rsidR="00AC516F" w:rsidRDefault="0098459B" w:rsidP="00411644">
    <w:pPr>
      <w:pStyle w:val="Header"/>
      <w:rPr>
        <w:lang w:eastAsia="zh-CN"/>
      </w:rPr>
    </w:pPr>
    <w:r>
      <w:t>C1</w:t>
    </w:r>
    <w:r w:rsidR="00D21F11">
      <w:rPr>
        <w:lang w:eastAsia="zh-CN"/>
      </w:rPr>
      <w:t>8</w:t>
    </w:r>
    <w:r w:rsidR="004672E6">
      <w:t>/</w:t>
    </w:r>
    <w:r w:rsidR="00411644">
      <w:rPr>
        <w:lang w:eastAsia="zh-CN"/>
      </w:rPr>
      <w:t>80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9"/>
  </w:num>
  <w:num w:numId="5">
    <w:abstractNumId w:val="13"/>
  </w:num>
  <w:num w:numId="6">
    <w:abstractNumId w:val="12"/>
  </w:num>
  <w:num w:numId="7">
    <w:abstractNumId w:val="3"/>
  </w:num>
  <w:num w:numId="8">
    <w:abstractNumId w:val="7"/>
  </w:num>
  <w:num w:numId="9">
    <w:abstractNumId w:val="8"/>
  </w:num>
  <w:num w:numId="10">
    <w:abstractNumId w:val="6"/>
  </w:num>
  <w:num w:numId="11">
    <w:abstractNumId w:val="2"/>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4E"/>
    <w:rsid w:val="00001B77"/>
    <w:rsid w:val="00002762"/>
    <w:rsid w:val="0000517A"/>
    <w:rsid w:val="00031E72"/>
    <w:rsid w:val="0003477F"/>
    <w:rsid w:val="000404D2"/>
    <w:rsid w:val="00041545"/>
    <w:rsid w:val="000853C0"/>
    <w:rsid w:val="000A1C21"/>
    <w:rsid w:val="000B78FB"/>
    <w:rsid w:val="000D1266"/>
    <w:rsid w:val="000D15EA"/>
    <w:rsid w:val="00100D84"/>
    <w:rsid w:val="00120FD9"/>
    <w:rsid w:val="00124C9D"/>
    <w:rsid w:val="00157773"/>
    <w:rsid w:val="00157B7A"/>
    <w:rsid w:val="0018251A"/>
    <w:rsid w:val="00190272"/>
    <w:rsid w:val="00193244"/>
    <w:rsid w:val="00195C6C"/>
    <w:rsid w:val="00195E37"/>
    <w:rsid w:val="00195FED"/>
    <w:rsid w:val="001A4BD6"/>
    <w:rsid w:val="001D5A18"/>
    <w:rsid w:val="0027040F"/>
    <w:rsid w:val="00280EB8"/>
    <w:rsid w:val="002857FA"/>
    <w:rsid w:val="002A6670"/>
    <w:rsid w:val="00303502"/>
    <w:rsid w:val="00325C25"/>
    <w:rsid w:val="00372C8F"/>
    <w:rsid w:val="00380ECE"/>
    <w:rsid w:val="00393DDF"/>
    <w:rsid w:val="00397F55"/>
    <w:rsid w:val="003A7ABB"/>
    <w:rsid w:val="003B4454"/>
    <w:rsid w:val="003C2E37"/>
    <w:rsid w:val="003F1415"/>
    <w:rsid w:val="003F7596"/>
    <w:rsid w:val="0040144C"/>
    <w:rsid w:val="00403EB7"/>
    <w:rsid w:val="00411644"/>
    <w:rsid w:val="00430BF0"/>
    <w:rsid w:val="004407AF"/>
    <w:rsid w:val="004672E6"/>
    <w:rsid w:val="00474ED1"/>
    <w:rsid w:val="00493085"/>
    <w:rsid w:val="004A36EC"/>
    <w:rsid w:val="004D163F"/>
    <w:rsid w:val="004E4BFF"/>
    <w:rsid w:val="004F2598"/>
    <w:rsid w:val="005403F7"/>
    <w:rsid w:val="00540632"/>
    <w:rsid w:val="00541CF4"/>
    <w:rsid w:val="005451E8"/>
    <w:rsid w:val="005507F2"/>
    <w:rsid w:val="00557D4E"/>
    <w:rsid w:val="005759CC"/>
    <w:rsid w:val="005A72E1"/>
    <w:rsid w:val="005C6632"/>
    <w:rsid w:val="005D1C9E"/>
    <w:rsid w:val="006046D0"/>
    <w:rsid w:val="00654257"/>
    <w:rsid w:val="0065435A"/>
    <w:rsid w:val="006A2DD3"/>
    <w:rsid w:val="006A5AF8"/>
    <w:rsid w:val="006B6811"/>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297D"/>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559BB"/>
    <w:rsid w:val="00B60184"/>
    <w:rsid w:val="00B62D20"/>
    <w:rsid w:val="00B81E75"/>
    <w:rsid w:val="00BD1A5A"/>
    <w:rsid w:val="00BD7A9B"/>
    <w:rsid w:val="00BD7BE1"/>
    <w:rsid w:val="00BF3031"/>
    <w:rsid w:val="00BF416B"/>
    <w:rsid w:val="00C04049"/>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76F0D"/>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D0A92"/>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D7A25"/>
    <w:rsid w:val="00FE4B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554FE4-A811-4FFD-AD4B-4E3D1741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002762"/>
    <w:pPr>
      <w:keepNext/>
      <w:overflowPunct/>
      <w:autoSpaceDE/>
      <w:autoSpaceDN/>
      <w:adjustRightInd/>
      <w:spacing w:before="560" w:after="120"/>
      <w:jc w:val="center"/>
      <w:textAlignment w:val="auto"/>
    </w:pPr>
    <w:rPr>
      <w:rFonts w:ascii="Times New Roman" w:eastAsia="Times New Roman" w:hAnsi="Times New Roman"/>
      <w:caps/>
    </w:rPr>
  </w:style>
  <w:style w:type="paragraph" w:styleId="BodyText">
    <w:name w:val="Body Text"/>
    <w:basedOn w:val="Normal"/>
    <w:link w:val="BodyTextChar"/>
    <w:semiHidden/>
    <w:rsid w:val="00002762"/>
    <w:pPr>
      <w:tabs>
        <w:tab w:val="clear" w:pos="794"/>
        <w:tab w:val="clear" w:pos="1191"/>
        <w:tab w:val="clear" w:pos="1588"/>
        <w:tab w:val="clear" w:pos="1985"/>
        <w:tab w:val="num" w:pos="360"/>
      </w:tabs>
      <w:overflowPunct/>
      <w:autoSpaceDE/>
      <w:autoSpaceDN/>
      <w:adjustRightInd/>
      <w:spacing w:before="0" w:after="240"/>
      <w:jc w:val="both"/>
      <w:textAlignment w:val="auto"/>
    </w:pPr>
    <w:rPr>
      <w:rFonts w:ascii="Times New Roman" w:eastAsia="Times New Roman" w:hAnsi="Times New Roman"/>
      <w:sz w:val="22"/>
    </w:rPr>
  </w:style>
  <w:style w:type="character" w:customStyle="1" w:styleId="BodyTextChar">
    <w:name w:val="Body Text Char"/>
    <w:basedOn w:val="DefaultParagraphFont"/>
    <w:link w:val="BodyText"/>
    <w:semiHidden/>
    <w:rsid w:val="00002762"/>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6-CL-C-0004/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405B-FD02-4C6E-A7A5-13EE2762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13</TotalTime>
  <Pages>3</Pages>
  <Words>1054</Words>
  <Characters>569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Kong, Hongli</dc:creator>
  <cp:keywords>C2018, C18</cp:keywords>
  <dc:description/>
  <cp:lastModifiedBy>Kong, Hongli</cp:lastModifiedBy>
  <cp:revision>6</cp:revision>
  <cp:lastPrinted>2015-02-24T13:23:00Z</cp:lastPrinted>
  <dcterms:created xsi:type="dcterms:W3CDTF">2018-04-12T07:31:00Z</dcterms:created>
  <dcterms:modified xsi:type="dcterms:W3CDTF">2018-04-12T07:46:00Z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