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5322C4">
        <w:trPr>
          <w:cantSplit/>
        </w:trPr>
        <w:tc>
          <w:tcPr>
            <w:tcW w:w="6912" w:type="dxa"/>
          </w:tcPr>
          <w:p w:rsidR="00093EEB" w:rsidRPr="005322C4" w:rsidRDefault="00093EEB" w:rsidP="009F4811">
            <w:pPr>
              <w:spacing w:before="360"/>
              <w:rPr>
                <w:szCs w:val="24"/>
              </w:rPr>
            </w:pPr>
            <w:bookmarkStart w:id="0" w:name="dc06"/>
            <w:bookmarkStart w:id="1" w:name="dbluepink" w:colFirst="0" w:colLast="0"/>
            <w:bookmarkEnd w:id="0"/>
            <w:r w:rsidRPr="005322C4">
              <w:rPr>
                <w:b/>
                <w:bCs/>
                <w:sz w:val="30"/>
                <w:szCs w:val="30"/>
              </w:rPr>
              <w:t>Consejo 201</w:t>
            </w:r>
            <w:r w:rsidR="009F4811" w:rsidRPr="005322C4">
              <w:rPr>
                <w:b/>
                <w:bCs/>
                <w:sz w:val="30"/>
                <w:szCs w:val="30"/>
              </w:rPr>
              <w:t>8</w:t>
            </w:r>
            <w:r w:rsidRPr="005322C4">
              <w:rPr>
                <w:b/>
                <w:bCs/>
                <w:sz w:val="26"/>
                <w:szCs w:val="26"/>
              </w:rPr>
              <w:br/>
            </w:r>
            <w:r w:rsidRPr="005322C4">
              <w:rPr>
                <w:b/>
                <w:bCs/>
                <w:szCs w:val="24"/>
              </w:rPr>
              <w:t>Ginebra, 1</w:t>
            </w:r>
            <w:r w:rsidR="009F4811" w:rsidRPr="005322C4">
              <w:rPr>
                <w:b/>
                <w:bCs/>
                <w:szCs w:val="24"/>
              </w:rPr>
              <w:t>7</w:t>
            </w:r>
            <w:r w:rsidRPr="005322C4">
              <w:rPr>
                <w:b/>
                <w:bCs/>
                <w:szCs w:val="24"/>
              </w:rPr>
              <w:t>-2</w:t>
            </w:r>
            <w:r w:rsidR="009F4811" w:rsidRPr="005322C4">
              <w:rPr>
                <w:b/>
                <w:bCs/>
                <w:szCs w:val="24"/>
              </w:rPr>
              <w:t>7</w:t>
            </w:r>
            <w:r w:rsidRPr="005322C4">
              <w:rPr>
                <w:b/>
                <w:bCs/>
                <w:szCs w:val="24"/>
              </w:rPr>
              <w:t xml:space="preserve"> de </w:t>
            </w:r>
            <w:r w:rsidR="009F4811" w:rsidRPr="005322C4">
              <w:rPr>
                <w:b/>
                <w:bCs/>
                <w:szCs w:val="24"/>
              </w:rPr>
              <w:t>abril</w:t>
            </w:r>
            <w:r w:rsidRPr="005322C4">
              <w:rPr>
                <w:b/>
                <w:bCs/>
                <w:szCs w:val="24"/>
              </w:rPr>
              <w:t xml:space="preserve"> de 201</w:t>
            </w:r>
            <w:r w:rsidR="009F4811" w:rsidRPr="005322C4">
              <w:rPr>
                <w:b/>
                <w:bCs/>
                <w:szCs w:val="24"/>
              </w:rPr>
              <w:t>8</w:t>
            </w:r>
          </w:p>
        </w:tc>
        <w:tc>
          <w:tcPr>
            <w:tcW w:w="3261" w:type="dxa"/>
          </w:tcPr>
          <w:p w:rsidR="00093EEB" w:rsidRPr="005322C4" w:rsidRDefault="00093EEB" w:rsidP="00093EEB">
            <w:pPr>
              <w:spacing w:before="0"/>
              <w:jc w:val="right"/>
              <w:rPr>
                <w:szCs w:val="24"/>
              </w:rPr>
            </w:pPr>
            <w:bookmarkStart w:id="2" w:name="ditulogo"/>
            <w:bookmarkEnd w:id="2"/>
            <w:r w:rsidRPr="005322C4">
              <w:rPr>
                <w:rFonts w:cstheme="minorHAnsi"/>
                <w:b/>
                <w:bCs/>
                <w:noProof/>
                <w:szCs w:val="24"/>
                <w:lang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5322C4">
        <w:trPr>
          <w:cantSplit/>
          <w:trHeight w:val="20"/>
        </w:trPr>
        <w:tc>
          <w:tcPr>
            <w:tcW w:w="10173" w:type="dxa"/>
            <w:gridSpan w:val="2"/>
            <w:tcBorders>
              <w:bottom w:val="single" w:sz="12" w:space="0" w:color="auto"/>
            </w:tcBorders>
          </w:tcPr>
          <w:p w:rsidR="00093EEB" w:rsidRPr="005322C4" w:rsidRDefault="00093EEB">
            <w:pPr>
              <w:spacing w:before="0"/>
              <w:rPr>
                <w:b/>
                <w:bCs/>
                <w:szCs w:val="24"/>
              </w:rPr>
            </w:pPr>
          </w:p>
        </w:tc>
      </w:tr>
      <w:tr w:rsidR="00093EEB" w:rsidRPr="005322C4">
        <w:trPr>
          <w:cantSplit/>
          <w:trHeight w:val="20"/>
        </w:trPr>
        <w:tc>
          <w:tcPr>
            <w:tcW w:w="6912" w:type="dxa"/>
            <w:tcBorders>
              <w:top w:val="single" w:sz="12" w:space="0" w:color="auto"/>
            </w:tcBorders>
          </w:tcPr>
          <w:p w:rsidR="00093EEB" w:rsidRPr="005322C4"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5322C4" w:rsidRDefault="00093EEB">
            <w:pPr>
              <w:spacing w:before="0"/>
              <w:rPr>
                <w:b/>
                <w:bCs/>
                <w:szCs w:val="24"/>
              </w:rPr>
            </w:pPr>
          </w:p>
        </w:tc>
      </w:tr>
      <w:tr w:rsidR="00093EEB" w:rsidRPr="005322C4">
        <w:trPr>
          <w:cantSplit/>
          <w:trHeight w:val="20"/>
        </w:trPr>
        <w:tc>
          <w:tcPr>
            <w:tcW w:w="6912" w:type="dxa"/>
            <w:shd w:val="clear" w:color="auto" w:fill="auto"/>
          </w:tcPr>
          <w:p w:rsidR="00093EEB" w:rsidRPr="005322C4" w:rsidRDefault="000A58BF">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r w:rsidRPr="005322C4">
              <w:rPr>
                <w:rFonts w:asciiTheme="minorHAnsi" w:hAnsiTheme="minorHAnsi" w:cs="Calibri"/>
                <w:b/>
                <w:szCs w:val="24"/>
              </w:rPr>
              <w:t>Punto del orden del día: ADM 28</w:t>
            </w:r>
          </w:p>
        </w:tc>
        <w:tc>
          <w:tcPr>
            <w:tcW w:w="3261" w:type="dxa"/>
          </w:tcPr>
          <w:p w:rsidR="00093EEB" w:rsidRPr="005322C4" w:rsidRDefault="00093EEB" w:rsidP="000A58BF">
            <w:pPr>
              <w:spacing w:before="0"/>
              <w:rPr>
                <w:b/>
                <w:bCs/>
                <w:szCs w:val="24"/>
              </w:rPr>
            </w:pPr>
            <w:r w:rsidRPr="005322C4">
              <w:rPr>
                <w:b/>
                <w:bCs/>
                <w:szCs w:val="24"/>
              </w:rPr>
              <w:t>Documento C1</w:t>
            </w:r>
            <w:r w:rsidR="009F4811" w:rsidRPr="005322C4">
              <w:rPr>
                <w:b/>
                <w:bCs/>
                <w:szCs w:val="24"/>
              </w:rPr>
              <w:t>8</w:t>
            </w:r>
            <w:r w:rsidRPr="005322C4">
              <w:rPr>
                <w:b/>
                <w:bCs/>
                <w:szCs w:val="24"/>
              </w:rPr>
              <w:t>/</w:t>
            </w:r>
            <w:r w:rsidR="000A58BF" w:rsidRPr="005322C4">
              <w:rPr>
                <w:b/>
                <w:bCs/>
                <w:szCs w:val="24"/>
              </w:rPr>
              <w:t>72</w:t>
            </w:r>
            <w:r w:rsidRPr="005322C4">
              <w:rPr>
                <w:b/>
                <w:bCs/>
                <w:szCs w:val="24"/>
              </w:rPr>
              <w:t>-S</w:t>
            </w:r>
          </w:p>
        </w:tc>
      </w:tr>
      <w:tr w:rsidR="00093EEB" w:rsidRPr="005322C4">
        <w:trPr>
          <w:cantSplit/>
          <w:trHeight w:val="20"/>
        </w:trPr>
        <w:tc>
          <w:tcPr>
            <w:tcW w:w="6912" w:type="dxa"/>
            <w:shd w:val="clear" w:color="auto" w:fill="auto"/>
          </w:tcPr>
          <w:p w:rsidR="00093EEB" w:rsidRPr="005322C4" w:rsidRDefault="00093EEB">
            <w:pPr>
              <w:shd w:val="solid" w:color="FFFFFF" w:fill="FFFFFF"/>
              <w:spacing w:before="0"/>
              <w:rPr>
                <w:smallCaps/>
                <w:szCs w:val="24"/>
              </w:rPr>
            </w:pPr>
            <w:bookmarkStart w:id="5" w:name="ddate" w:colFirst="1" w:colLast="1"/>
            <w:bookmarkEnd w:id="3"/>
            <w:bookmarkEnd w:id="4"/>
          </w:p>
        </w:tc>
        <w:tc>
          <w:tcPr>
            <w:tcW w:w="3261" w:type="dxa"/>
          </w:tcPr>
          <w:p w:rsidR="00093EEB" w:rsidRPr="005322C4" w:rsidRDefault="000A58BF" w:rsidP="009F4811">
            <w:pPr>
              <w:spacing w:before="0"/>
              <w:rPr>
                <w:b/>
                <w:bCs/>
                <w:szCs w:val="24"/>
              </w:rPr>
            </w:pPr>
            <w:r w:rsidRPr="005322C4">
              <w:rPr>
                <w:b/>
                <w:bCs/>
                <w:szCs w:val="24"/>
              </w:rPr>
              <w:t>4 de abril</w:t>
            </w:r>
            <w:r w:rsidR="00093EEB" w:rsidRPr="005322C4">
              <w:rPr>
                <w:b/>
                <w:bCs/>
                <w:szCs w:val="24"/>
              </w:rPr>
              <w:t xml:space="preserve"> de 201</w:t>
            </w:r>
            <w:r w:rsidR="009F4811" w:rsidRPr="005322C4">
              <w:rPr>
                <w:b/>
                <w:bCs/>
                <w:szCs w:val="24"/>
              </w:rPr>
              <w:t>8</w:t>
            </w:r>
          </w:p>
        </w:tc>
      </w:tr>
      <w:tr w:rsidR="00093EEB" w:rsidRPr="005322C4">
        <w:trPr>
          <w:cantSplit/>
          <w:trHeight w:val="20"/>
        </w:trPr>
        <w:tc>
          <w:tcPr>
            <w:tcW w:w="6912" w:type="dxa"/>
            <w:shd w:val="clear" w:color="auto" w:fill="auto"/>
          </w:tcPr>
          <w:p w:rsidR="00093EEB" w:rsidRPr="005322C4" w:rsidRDefault="00093EEB">
            <w:pPr>
              <w:shd w:val="solid" w:color="FFFFFF" w:fill="FFFFFF"/>
              <w:spacing w:before="0"/>
              <w:rPr>
                <w:smallCaps/>
                <w:szCs w:val="24"/>
              </w:rPr>
            </w:pPr>
            <w:bookmarkStart w:id="6" w:name="dorlang" w:colFirst="1" w:colLast="1"/>
            <w:bookmarkEnd w:id="5"/>
          </w:p>
        </w:tc>
        <w:tc>
          <w:tcPr>
            <w:tcW w:w="3261" w:type="dxa"/>
          </w:tcPr>
          <w:p w:rsidR="00093EEB" w:rsidRPr="005322C4" w:rsidRDefault="00093EEB" w:rsidP="00093EEB">
            <w:pPr>
              <w:spacing w:before="0"/>
              <w:rPr>
                <w:b/>
                <w:bCs/>
                <w:szCs w:val="24"/>
              </w:rPr>
            </w:pPr>
            <w:r w:rsidRPr="005322C4">
              <w:rPr>
                <w:b/>
                <w:bCs/>
                <w:szCs w:val="24"/>
              </w:rPr>
              <w:t>Original: inglés</w:t>
            </w:r>
          </w:p>
        </w:tc>
      </w:tr>
      <w:tr w:rsidR="00093EEB" w:rsidRPr="005322C4">
        <w:trPr>
          <w:cantSplit/>
        </w:trPr>
        <w:tc>
          <w:tcPr>
            <w:tcW w:w="10173" w:type="dxa"/>
            <w:gridSpan w:val="2"/>
          </w:tcPr>
          <w:p w:rsidR="00093EEB" w:rsidRPr="005322C4" w:rsidRDefault="000A58BF">
            <w:pPr>
              <w:pStyle w:val="Source"/>
            </w:pPr>
            <w:bookmarkStart w:id="7" w:name="dsource" w:colFirst="0" w:colLast="0"/>
            <w:bookmarkEnd w:id="1"/>
            <w:bookmarkEnd w:id="6"/>
            <w:r w:rsidRPr="005322C4">
              <w:t>Informe del Secretario General</w:t>
            </w:r>
          </w:p>
        </w:tc>
      </w:tr>
      <w:tr w:rsidR="00093EEB" w:rsidRPr="005322C4">
        <w:trPr>
          <w:cantSplit/>
        </w:trPr>
        <w:tc>
          <w:tcPr>
            <w:tcW w:w="10173" w:type="dxa"/>
            <w:gridSpan w:val="2"/>
          </w:tcPr>
          <w:p w:rsidR="00093EEB" w:rsidRPr="005322C4" w:rsidRDefault="000A58BF">
            <w:pPr>
              <w:pStyle w:val="Title1"/>
            </w:pPr>
            <w:bookmarkStart w:id="8" w:name="dtitle1" w:colFirst="0" w:colLast="0"/>
            <w:bookmarkEnd w:id="7"/>
            <w:r w:rsidRPr="005322C4">
              <w:t>SOLICITUDES DE EXONERACIÓN DEL PAGO DE CONTRIBUCIONES</w:t>
            </w:r>
            <w:r w:rsidRPr="005322C4">
              <w:br/>
              <w:t>FINANCIERAS PARA SUFRAGAR LOS GASTOS RELATIVOS A</w:t>
            </w:r>
            <w:r w:rsidRPr="005322C4">
              <w:br/>
              <w:t>LA PARTICIPACIÓN DE LOS TRABAJOS DE LA UIT</w:t>
            </w:r>
          </w:p>
        </w:tc>
      </w:tr>
      <w:bookmarkEnd w:id="8"/>
    </w:tbl>
    <w:p w:rsidR="00093EEB" w:rsidRPr="005322C4" w:rsidRDefault="00093EE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5322C4">
        <w:trPr>
          <w:trHeight w:val="3372"/>
        </w:trPr>
        <w:tc>
          <w:tcPr>
            <w:tcW w:w="8080" w:type="dxa"/>
            <w:tcBorders>
              <w:top w:val="single" w:sz="12" w:space="0" w:color="auto"/>
              <w:left w:val="single" w:sz="12" w:space="0" w:color="auto"/>
              <w:bottom w:val="single" w:sz="12" w:space="0" w:color="auto"/>
              <w:right w:val="single" w:sz="12" w:space="0" w:color="auto"/>
            </w:tcBorders>
          </w:tcPr>
          <w:p w:rsidR="00093EEB" w:rsidRPr="005322C4" w:rsidRDefault="00093EEB">
            <w:pPr>
              <w:pStyle w:val="Headingb"/>
            </w:pPr>
            <w:r w:rsidRPr="005322C4">
              <w:t>Resumen</w:t>
            </w:r>
          </w:p>
          <w:p w:rsidR="00093EEB" w:rsidRPr="005322C4" w:rsidRDefault="000A58BF">
            <w:r w:rsidRPr="005322C4">
              <w:rPr>
                <w:rFonts w:asciiTheme="minorHAnsi" w:hAnsiTheme="minorHAnsi" w:cs="Calibri"/>
                <w:szCs w:val="24"/>
              </w:rPr>
              <w:t>Ocho organizaciones han solicitado ser exoneradas de su contribución financiera. Con arreglo a las correspondientes directrices, el Consejo tomará nota de las opiniones expresadas por el Secretario General a este respecto, así como de las ventajas que aporta la participación de estas organizaciones en las actividades de la Unión.</w:t>
            </w:r>
          </w:p>
          <w:p w:rsidR="00093EEB" w:rsidRPr="005322C4" w:rsidRDefault="00093EEB">
            <w:pPr>
              <w:pStyle w:val="Headingb"/>
            </w:pPr>
            <w:r w:rsidRPr="005322C4">
              <w:t>Acción solicitada</w:t>
            </w:r>
          </w:p>
          <w:p w:rsidR="00093EEB" w:rsidRPr="005322C4" w:rsidRDefault="000A58BF">
            <w:r w:rsidRPr="005322C4">
              <w:rPr>
                <w:rFonts w:asciiTheme="minorHAnsi" w:hAnsiTheme="minorHAnsi" w:cs="Calibri"/>
                <w:szCs w:val="24"/>
              </w:rPr>
              <w:t xml:space="preserve">Se invita al Consejo a </w:t>
            </w:r>
            <w:r w:rsidRPr="005322C4">
              <w:rPr>
                <w:rFonts w:asciiTheme="minorHAnsi" w:hAnsiTheme="minorHAnsi" w:cs="Calibri"/>
                <w:b/>
                <w:bCs/>
                <w:szCs w:val="24"/>
              </w:rPr>
              <w:t>considerar</w:t>
            </w:r>
            <w:r w:rsidRPr="005322C4">
              <w:rPr>
                <w:rFonts w:asciiTheme="minorHAnsi" w:hAnsiTheme="minorHAnsi" w:cs="Calibri"/>
                <w:szCs w:val="24"/>
              </w:rPr>
              <w:t xml:space="preserve"> estas solicitudes de admisión con la categoría de Miembro de Sector y exoneración de la contribución financiera, y a </w:t>
            </w:r>
            <w:r w:rsidRPr="005322C4">
              <w:rPr>
                <w:rFonts w:asciiTheme="minorHAnsi" w:hAnsiTheme="minorHAnsi" w:cs="Calibri"/>
                <w:b/>
                <w:bCs/>
                <w:szCs w:val="24"/>
              </w:rPr>
              <w:t xml:space="preserve">aprobar </w:t>
            </w:r>
            <w:r w:rsidRPr="005322C4">
              <w:rPr>
                <w:rFonts w:asciiTheme="minorHAnsi" w:hAnsiTheme="minorHAnsi" w:cs="Calibri"/>
                <w:szCs w:val="24"/>
              </w:rPr>
              <w:t>las recomendaciones del Secretario General.</w:t>
            </w:r>
          </w:p>
          <w:p w:rsidR="00093EEB" w:rsidRPr="005322C4" w:rsidRDefault="00093EEB">
            <w:pPr>
              <w:pStyle w:val="Table"/>
              <w:keepNext w:val="0"/>
              <w:spacing w:before="0" w:after="0"/>
              <w:rPr>
                <w:caps w:val="0"/>
                <w:sz w:val="22"/>
                <w:lang w:val="es-ES_tradnl"/>
              </w:rPr>
            </w:pPr>
            <w:r w:rsidRPr="005322C4">
              <w:rPr>
                <w:caps w:val="0"/>
                <w:sz w:val="22"/>
                <w:lang w:val="es-ES_tradnl"/>
              </w:rPr>
              <w:t>____________</w:t>
            </w:r>
          </w:p>
          <w:p w:rsidR="00093EEB" w:rsidRPr="005322C4" w:rsidRDefault="00093EEB">
            <w:pPr>
              <w:pStyle w:val="Headingb"/>
            </w:pPr>
            <w:r w:rsidRPr="005322C4">
              <w:t>Referencia</w:t>
            </w:r>
            <w:r w:rsidR="000A58BF" w:rsidRPr="005322C4">
              <w:t>s</w:t>
            </w:r>
          </w:p>
          <w:p w:rsidR="00093EEB" w:rsidRPr="005322C4" w:rsidRDefault="006110BB" w:rsidP="000A58BF">
            <w:pPr>
              <w:spacing w:after="120"/>
              <w:rPr>
                <w:i/>
                <w:iCs/>
              </w:rPr>
            </w:pPr>
            <w:hyperlink r:id="rId8" w:anchor="cv231" w:history="1">
              <w:r w:rsidR="000A58BF" w:rsidRPr="005322C4">
                <w:rPr>
                  <w:rStyle w:val="Hyperlink"/>
                  <w:rFonts w:asciiTheme="minorHAnsi" w:hAnsiTheme="minorHAnsi" w:cs="Calibri"/>
                  <w:i/>
                  <w:iCs/>
                  <w:szCs w:val="24"/>
                </w:rPr>
                <w:t>CV</w:t>
              </w:r>
              <w:r w:rsidR="000A58BF" w:rsidRPr="005322C4">
                <w:rPr>
                  <w:rStyle w:val="Hyperlink"/>
                  <w:rFonts w:asciiTheme="minorHAnsi" w:hAnsiTheme="minorHAnsi" w:cs="Calibri"/>
                  <w:i/>
                  <w:iCs/>
                  <w:szCs w:val="24"/>
                </w:rPr>
                <w:t>2</w:t>
              </w:r>
              <w:r w:rsidR="000A58BF" w:rsidRPr="005322C4">
                <w:rPr>
                  <w:rStyle w:val="Hyperlink"/>
                  <w:rFonts w:asciiTheme="minorHAnsi" w:hAnsiTheme="minorHAnsi" w:cs="Calibri"/>
                  <w:i/>
                  <w:iCs/>
                  <w:szCs w:val="24"/>
                </w:rPr>
                <w:t>31</w:t>
              </w:r>
            </w:hyperlink>
            <w:r w:rsidR="000A58BF" w:rsidRPr="005322C4">
              <w:rPr>
                <w:rFonts w:asciiTheme="minorHAnsi" w:hAnsiTheme="minorHAnsi" w:cs="Calibri"/>
                <w:i/>
                <w:iCs/>
                <w:szCs w:val="24"/>
              </w:rPr>
              <w:t xml:space="preserve">, </w:t>
            </w:r>
            <w:hyperlink r:id="rId9" w:anchor="res110" w:history="1">
              <w:r w:rsidR="000A58BF" w:rsidRPr="005322C4">
                <w:rPr>
                  <w:rStyle w:val="Hyperlink"/>
                  <w:rFonts w:asciiTheme="minorHAnsi" w:hAnsiTheme="minorHAnsi" w:cs="Calibri"/>
                  <w:i/>
                  <w:iCs/>
                  <w:szCs w:val="24"/>
                </w:rPr>
                <w:t>Re</w:t>
              </w:r>
              <w:r w:rsidR="000A58BF" w:rsidRPr="005322C4">
                <w:rPr>
                  <w:rStyle w:val="Hyperlink"/>
                  <w:rFonts w:asciiTheme="minorHAnsi" w:hAnsiTheme="minorHAnsi" w:cs="Calibri"/>
                  <w:i/>
                  <w:iCs/>
                  <w:szCs w:val="24"/>
                </w:rPr>
                <w:t>s</w:t>
              </w:r>
              <w:r w:rsidR="000A58BF" w:rsidRPr="005322C4">
                <w:rPr>
                  <w:rStyle w:val="Hyperlink"/>
                  <w:rFonts w:asciiTheme="minorHAnsi" w:hAnsiTheme="minorHAnsi" w:cs="Calibri"/>
                  <w:i/>
                  <w:iCs/>
                  <w:szCs w:val="24"/>
                </w:rPr>
                <w:t>olución 110 (Marrakech, 2002)</w:t>
              </w:r>
            </w:hyperlink>
            <w:r w:rsidR="000A58BF" w:rsidRPr="005322C4">
              <w:rPr>
                <w:rFonts w:asciiTheme="minorHAnsi" w:hAnsiTheme="minorHAnsi" w:cs="Calibri"/>
                <w:i/>
                <w:iCs/>
                <w:szCs w:val="24"/>
              </w:rPr>
              <w:t xml:space="preserve">, </w:t>
            </w:r>
            <w:hyperlink r:id="rId10" w:history="1">
              <w:r w:rsidR="000A58BF" w:rsidRPr="005322C4">
                <w:rPr>
                  <w:i/>
                  <w:iCs/>
                </w:rPr>
                <w:t xml:space="preserve">Documentos </w:t>
              </w:r>
              <w:r w:rsidR="000A58BF" w:rsidRPr="005322C4">
                <w:rPr>
                  <w:rStyle w:val="Hyperlink"/>
                  <w:rFonts w:asciiTheme="minorHAnsi" w:hAnsiTheme="minorHAnsi" w:cs="Calibri"/>
                  <w:i/>
                  <w:iCs/>
                  <w:szCs w:val="24"/>
                </w:rPr>
                <w:t>C2</w:t>
              </w:r>
              <w:r w:rsidR="000A58BF" w:rsidRPr="005322C4">
                <w:rPr>
                  <w:rStyle w:val="Hyperlink"/>
                  <w:rFonts w:asciiTheme="minorHAnsi" w:hAnsiTheme="minorHAnsi" w:cs="Calibri"/>
                  <w:i/>
                  <w:iCs/>
                  <w:szCs w:val="24"/>
                </w:rPr>
                <w:t>0</w:t>
              </w:r>
              <w:r w:rsidR="000A58BF" w:rsidRPr="005322C4">
                <w:rPr>
                  <w:rStyle w:val="Hyperlink"/>
                  <w:rFonts w:asciiTheme="minorHAnsi" w:hAnsiTheme="minorHAnsi" w:cs="Calibri"/>
                  <w:i/>
                  <w:iCs/>
                  <w:szCs w:val="24"/>
                </w:rPr>
                <w:t>0</w:t>
              </w:r>
              <w:r w:rsidR="000A58BF" w:rsidRPr="005322C4">
                <w:rPr>
                  <w:rStyle w:val="Hyperlink"/>
                  <w:rFonts w:asciiTheme="minorHAnsi" w:hAnsiTheme="minorHAnsi" w:cs="Calibri"/>
                  <w:i/>
                  <w:iCs/>
                  <w:szCs w:val="24"/>
                </w:rPr>
                <w:t>0/28 (Rev.1)</w:t>
              </w:r>
            </w:hyperlink>
            <w:r w:rsidR="000A58BF" w:rsidRPr="005322C4">
              <w:rPr>
                <w:rFonts w:asciiTheme="minorHAnsi" w:hAnsiTheme="minorHAnsi" w:cs="Calibri"/>
                <w:i/>
                <w:iCs/>
                <w:szCs w:val="24"/>
              </w:rPr>
              <w:t xml:space="preserve">, </w:t>
            </w:r>
            <w:hyperlink r:id="rId11" w:history="1">
              <w:r w:rsidR="000A58BF" w:rsidRPr="005322C4">
                <w:rPr>
                  <w:rStyle w:val="Hyperlink"/>
                  <w:rFonts w:asciiTheme="minorHAnsi" w:hAnsiTheme="minorHAnsi" w:cs="Calibri"/>
                  <w:i/>
                  <w:iCs/>
                  <w:szCs w:val="24"/>
                </w:rPr>
                <w:t>C2</w:t>
              </w:r>
              <w:r w:rsidR="000A58BF" w:rsidRPr="005322C4">
                <w:rPr>
                  <w:rStyle w:val="Hyperlink"/>
                  <w:rFonts w:asciiTheme="minorHAnsi" w:hAnsiTheme="minorHAnsi" w:cs="Calibri"/>
                  <w:i/>
                  <w:iCs/>
                  <w:szCs w:val="24"/>
                </w:rPr>
                <w:t>0</w:t>
              </w:r>
              <w:r w:rsidR="000A58BF" w:rsidRPr="005322C4">
                <w:rPr>
                  <w:rStyle w:val="Hyperlink"/>
                  <w:rFonts w:asciiTheme="minorHAnsi" w:hAnsiTheme="minorHAnsi" w:cs="Calibri"/>
                  <w:i/>
                  <w:iCs/>
                  <w:szCs w:val="24"/>
                </w:rPr>
                <w:t>0</w:t>
              </w:r>
              <w:r w:rsidR="000A58BF" w:rsidRPr="005322C4">
                <w:rPr>
                  <w:rStyle w:val="Hyperlink"/>
                  <w:rFonts w:asciiTheme="minorHAnsi" w:hAnsiTheme="minorHAnsi" w:cs="Calibri"/>
                  <w:i/>
                  <w:iCs/>
                  <w:szCs w:val="24"/>
                </w:rPr>
                <w:t>1</w:t>
              </w:r>
              <w:r w:rsidR="000A58BF" w:rsidRPr="005322C4">
                <w:rPr>
                  <w:rStyle w:val="Hyperlink"/>
                  <w:rFonts w:asciiTheme="minorHAnsi" w:hAnsiTheme="minorHAnsi" w:cs="Calibri"/>
                  <w:i/>
                  <w:iCs/>
                  <w:szCs w:val="24"/>
                </w:rPr>
                <w:t>/26</w:t>
              </w:r>
            </w:hyperlink>
            <w:r w:rsidR="000A58BF" w:rsidRPr="005322C4">
              <w:rPr>
                <w:rFonts w:asciiTheme="minorHAnsi" w:hAnsiTheme="minorHAnsi" w:cs="Calibri"/>
                <w:i/>
                <w:iCs/>
                <w:szCs w:val="24"/>
              </w:rPr>
              <w:t xml:space="preserve">, </w:t>
            </w:r>
            <w:hyperlink r:id="rId12" w:history="1">
              <w:r w:rsidR="000A58BF" w:rsidRPr="005322C4">
                <w:rPr>
                  <w:rStyle w:val="Hyperlink"/>
                  <w:rFonts w:asciiTheme="minorHAnsi" w:hAnsiTheme="minorHAnsi" w:cs="Calibri"/>
                  <w:i/>
                  <w:iCs/>
                  <w:szCs w:val="24"/>
                </w:rPr>
                <w:t>C02/</w:t>
              </w:r>
              <w:r w:rsidR="000A58BF" w:rsidRPr="005322C4">
                <w:rPr>
                  <w:rStyle w:val="Hyperlink"/>
                  <w:rFonts w:asciiTheme="minorHAnsi" w:hAnsiTheme="minorHAnsi" w:cs="Calibri"/>
                  <w:i/>
                  <w:iCs/>
                  <w:szCs w:val="24"/>
                </w:rPr>
                <w:t>9</w:t>
              </w:r>
              <w:r w:rsidR="000A58BF" w:rsidRPr="005322C4">
                <w:rPr>
                  <w:rStyle w:val="Hyperlink"/>
                  <w:rFonts w:asciiTheme="minorHAnsi" w:hAnsiTheme="minorHAnsi" w:cs="Calibri"/>
                  <w:i/>
                  <w:iCs/>
                  <w:szCs w:val="24"/>
                </w:rPr>
                <w:t xml:space="preserve">4 </w:t>
              </w:r>
              <w:r w:rsidR="000A58BF" w:rsidRPr="005322C4">
                <w:rPr>
                  <w:rStyle w:val="Hyperlink"/>
                  <w:rFonts w:asciiTheme="minorHAnsi" w:hAnsiTheme="minorHAnsi" w:cs="Calibri"/>
                  <w:i/>
                  <w:iCs/>
                  <w:szCs w:val="24"/>
                </w:rPr>
                <w:t>(</w:t>
              </w:r>
              <w:r w:rsidR="000A58BF" w:rsidRPr="005322C4">
                <w:rPr>
                  <w:rStyle w:val="Hyperlink"/>
                  <w:rFonts w:asciiTheme="minorHAnsi" w:hAnsiTheme="minorHAnsi" w:cs="Calibri"/>
                  <w:i/>
                  <w:iCs/>
                  <w:szCs w:val="24"/>
                </w:rPr>
                <w:t>sección 2)</w:t>
              </w:r>
            </w:hyperlink>
            <w:r w:rsidR="000A58BF" w:rsidRPr="005322C4">
              <w:rPr>
                <w:rFonts w:asciiTheme="minorHAnsi" w:hAnsiTheme="minorHAnsi" w:cs="Calibri"/>
                <w:i/>
                <w:iCs/>
                <w:szCs w:val="24"/>
              </w:rPr>
              <w:t xml:space="preserve">, </w:t>
            </w:r>
            <w:hyperlink r:id="rId13" w:history="1">
              <w:r w:rsidR="000A58BF" w:rsidRPr="005322C4">
                <w:rPr>
                  <w:rStyle w:val="Hyperlink"/>
                  <w:rFonts w:asciiTheme="minorHAnsi" w:hAnsiTheme="minorHAnsi" w:cs="Calibri"/>
                  <w:i/>
                  <w:iCs/>
                  <w:szCs w:val="24"/>
                </w:rPr>
                <w:t>C</w:t>
              </w:r>
              <w:r w:rsidR="000A58BF" w:rsidRPr="005322C4">
                <w:rPr>
                  <w:rStyle w:val="Hyperlink"/>
                  <w:rFonts w:asciiTheme="minorHAnsi" w:hAnsiTheme="minorHAnsi" w:cs="Calibri"/>
                  <w:i/>
                  <w:iCs/>
                  <w:szCs w:val="24"/>
                </w:rPr>
                <w:t>0</w:t>
              </w:r>
              <w:r w:rsidR="000A58BF" w:rsidRPr="005322C4">
                <w:rPr>
                  <w:rStyle w:val="Hyperlink"/>
                  <w:rFonts w:asciiTheme="minorHAnsi" w:hAnsiTheme="minorHAnsi" w:cs="Calibri"/>
                  <w:i/>
                  <w:iCs/>
                  <w:szCs w:val="24"/>
                </w:rPr>
                <w:t>3</w:t>
              </w:r>
              <w:r w:rsidR="000A58BF" w:rsidRPr="005322C4">
                <w:rPr>
                  <w:rStyle w:val="Hyperlink"/>
                  <w:rFonts w:asciiTheme="minorHAnsi" w:hAnsiTheme="minorHAnsi" w:cs="Calibri"/>
                  <w:i/>
                  <w:iCs/>
                  <w:szCs w:val="24"/>
                </w:rPr>
                <w:t>/40 y Add.1</w:t>
              </w:r>
            </w:hyperlink>
            <w:r w:rsidR="000A58BF" w:rsidRPr="005322C4">
              <w:rPr>
                <w:rFonts w:asciiTheme="minorHAnsi" w:hAnsiTheme="minorHAnsi" w:cs="Calibri"/>
                <w:i/>
                <w:iCs/>
                <w:szCs w:val="24"/>
              </w:rPr>
              <w:t xml:space="preserve">, </w:t>
            </w:r>
            <w:hyperlink r:id="rId14" w:history="1">
              <w:r w:rsidR="000A58BF" w:rsidRPr="005322C4">
                <w:rPr>
                  <w:rStyle w:val="Hyperlink"/>
                  <w:rFonts w:asciiTheme="minorHAnsi" w:hAnsiTheme="minorHAnsi" w:cs="Calibri"/>
                  <w:i/>
                  <w:iCs/>
                  <w:szCs w:val="24"/>
                </w:rPr>
                <w:t>C03</w:t>
              </w:r>
              <w:r w:rsidR="000A58BF" w:rsidRPr="005322C4">
                <w:rPr>
                  <w:rStyle w:val="Hyperlink"/>
                  <w:rFonts w:asciiTheme="minorHAnsi" w:hAnsiTheme="minorHAnsi" w:cs="Calibri"/>
                  <w:i/>
                  <w:iCs/>
                  <w:szCs w:val="24"/>
                </w:rPr>
                <w:t>-</w:t>
              </w:r>
              <w:r w:rsidR="000A58BF" w:rsidRPr="005322C4">
                <w:rPr>
                  <w:rStyle w:val="Hyperlink"/>
                  <w:rFonts w:asciiTheme="minorHAnsi" w:hAnsiTheme="minorHAnsi" w:cs="Calibri"/>
                  <w:i/>
                  <w:iCs/>
                  <w:szCs w:val="24"/>
                </w:rPr>
                <w:t>A</w:t>
              </w:r>
              <w:r w:rsidR="000A58BF" w:rsidRPr="005322C4">
                <w:rPr>
                  <w:rStyle w:val="Hyperlink"/>
                  <w:rFonts w:asciiTheme="minorHAnsi" w:hAnsiTheme="minorHAnsi" w:cs="Calibri"/>
                  <w:i/>
                  <w:iCs/>
                  <w:szCs w:val="24"/>
                </w:rPr>
                <w:t>DD/3</w:t>
              </w:r>
            </w:hyperlink>
            <w:r w:rsidR="000A58BF" w:rsidRPr="005322C4">
              <w:rPr>
                <w:rFonts w:asciiTheme="minorHAnsi" w:hAnsiTheme="minorHAnsi" w:cs="Calibri"/>
                <w:i/>
                <w:iCs/>
                <w:szCs w:val="24"/>
              </w:rPr>
              <w:t xml:space="preserve">, </w:t>
            </w:r>
            <w:hyperlink r:id="rId15" w:history="1">
              <w:r w:rsidR="000A58BF" w:rsidRPr="005322C4">
                <w:rPr>
                  <w:rStyle w:val="Hyperlink"/>
                  <w:rFonts w:asciiTheme="minorHAnsi" w:hAnsiTheme="minorHAnsi" w:cs="Calibri"/>
                  <w:i/>
                  <w:iCs/>
                  <w:szCs w:val="24"/>
                </w:rPr>
                <w:t>C0</w:t>
              </w:r>
              <w:r w:rsidR="000A58BF" w:rsidRPr="005322C4">
                <w:rPr>
                  <w:rStyle w:val="Hyperlink"/>
                  <w:rFonts w:asciiTheme="minorHAnsi" w:hAnsiTheme="minorHAnsi" w:cs="Calibri"/>
                  <w:i/>
                  <w:iCs/>
                  <w:szCs w:val="24"/>
                </w:rPr>
                <w:t>5</w:t>
              </w:r>
              <w:r w:rsidR="000A58BF" w:rsidRPr="005322C4">
                <w:rPr>
                  <w:rStyle w:val="Hyperlink"/>
                  <w:rFonts w:asciiTheme="minorHAnsi" w:hAnsiTheme="minorHAnsi" w:cs="Calibri"/>
                  <w:i/>
                  <w:iCs/>
                  <w:szCs w:val="24"/>
                </w:rPr>
                <w:t>/</w:t>
              </w:r>
              <w:r w:rsidR="000A58BF" w:rsidRPr="005322C4">
                <w:rPr>
                  <w:rStyle w:val="Hyperlink"/>
                  <w:rFonts w:asciiTheme="minorHAnsi" w:hAnsiTheme="minorHAnsi" w:cs="Calibri"/>
                  <w:i/>
                  <w:iCs/>
                  <w:szCs w:val="24"/>
                </w:rPr>
                <w:t>40</w:t>
              </w:r>
            </w:hyperlink>
          </w:p>
        </w:tc>
      </w:tr>
    </w:tbl>
    <w:p w:rsidR="000A58BF" w:rsidRPr="005322C4" w:rsidRDefault="000A58BF" w:rsidP="002B2FD3">
      <w:pPr>
        <w:pStyle w:val="Headingb"/>
      </w:pPr>
      <w:r w:rsidRPr="005322C4">
        <w:t>Antecedentes</w:t>
      </w:r>
    </w:p>
    <w:p w:rsidR="000A58BF" w:rsidRPr="005322C4" w:rsidRDefault="000A58BF" w:rsidP="002B2FD3">
      <w:pPr>
        <w:rPr>
          <w:rFonts w:eastAsia="SimSun"/>
          <w:lang w:eastAsia="zh-CN"/>
        </w:rPr>
      </w:pPr>
      <w:r w:rsidRPr="005322C4">
        <w:t>1</w:t>
      </w:r>
      <w:r w:rsidRPr="005322C4">
        <w:tab/>
        <w:t xml:space="preserve">Tomando en consideración el aspecto de </w:t>
      </w:r>
      <w:r w:rsidR="005322C4">
        <w:t>"</w:t>
      </w:r>
      <w:r w:rsidRPr="005322C4">
        <w:t>reciprocidad</w:t>
      </w:r>
      <w:r w:rsidR="005322C4">
        <w:t>"</w:t>
      </w:r>
      <w:r w:rsidRPr="005322C4">
        <w:t>, el Consejo adoptó en su reunión de 2000 (Documento C2000/28</w:t>
      </w:r>
      <w:r w:rsidRPr="005322C4">
        <w:rPr>
          <w:caps/>
        </w:rPr>
        <w:t>(</w:t>
      </w:r>
      <w:r w:rsidRPr="005322C4">
        <w:t>Rev.</w:t>
      </w:r>
      <w:r w:rsidRPr="005322C4">
        <w:rPr>
          <w:caps/>
        </w:rPr>
        <w:t xml:space="preserve">1)) </w:t>
      </w:r>
      <w:r w:rsidRPr="005322C4">
        <w:t>los criterios y directrices aplicables a la concesión de exoneraciones. La exoneración del pago de contribuciones es concedida por el Consejo tras un análisis de los Sectores pertinentes y una recomendación del Secretario General. Los criterios principales son que la entidad sea una organización regional o internacional encargada de las telecomunicaciones/TIC, sin ánimo de lucro, y que proporcione beneficios recíprocos a la UIT</w:t>
      </w:r>
      <w:r w:rsidRPr="005322C4">
        <w:rPr>
          <w:rFonts w:eastAsia="SimSun"/>
          <w:lang w:eastAsia="zh-CN"/>
        </w:rPr>
        <w:t xml:space="preserve">. De aprobarse la exoneración, estas organizaciones se convierten en Miembros de Sector o Asociados en virtud del número 231 del Convenio. En la actualidad hay 117 organizaciones regionales e internacionales exoneradas de ese pago. </w:t>
      </w:r>
    </w:p>
    <w:p w:rsidR="000A58BF" w:rsidRPr="005322C4" w:rsidRDefault="000A58BF" w:rsidP="00EE45BD">
      <w:pPr>
        <w:keepLines/>
        <w:rPr>
          <w:rFonts w:eastAsia="SimSun"/>
          <w:szCs w:val="22"/>
          <w:lang w:eastAsia="zh-CN"/>
        </w:rPr>
      </w:pPr>
      <w:r w:rsidRPr="005322C4">
        <w:rPr>
          <w:rFonts w:asciiTheme="minorHAnsi" w:hAnsiTheme="minorHAnsi" w:cs="Calibri"/>
          <w:szCs w:val="24"/>
        </w:rPr>
        <w:lastRenderedPageBreak/>
        <w:t>2</w:t>
      </w:r>
      <w:r w:rsidRPr="005322C4">
        <w:rPr>
          <w:rFonts w:asciiTheme="minorHAnsi" w:hAnsiTheme="minorHAnsi" w:cs="Calibri"/>
          <w:szCs w:val="24"/>
        </w:rPr>
        <w:tab/>
        <w:t xml:space="preserve">En su Resolución 187 (Busán, 2014) la </w:t>
      </w:r>
      <w:r w:rsidRPr="005322C4">
        <w:rPr>
          <w:rFonts w:eastAsia="SimSun"/>
          <w:lang w:eastAsia="zh-CN"/>
        </w:rPr>
        <w:t xml:space="preserve">PP-14 encarga al Consejo </w:t>
      </w:r>
      <w:r w:rsidR="005322C4">
        <w:rPr>
          <w:rFonts w:eastAsia="SimSun"/>
          <w:lang w:eastAsia="zh-CN"/>
        </w:rPr>
        <w:t>"</w:t>
      </w:r>
      <w:r w:rsidRPr="005322C4">
        <w:rPr>
          <w:rFonts w:eastAsia="SimSun"/>
          <w:lang w:eastAsia="zh-CN"/>
        </w:rPr>
        <w:t>que examine la práctica y los criterios para exonerar a las entidades del pago de contribuciones y, de ser necesario, realice los cambios para hacer más estrictos los criterios de admisibilidad a fin de aportar mayor claridad, coherencia y equidad entre los miembros que pagan y que no pagan, y reducir el número total de entidades exoneradas.</w:t>
      </w:r>
      <w:r w:rsidR="005322C4">
        <w:rPr>
          <w:rFonts w:eastAsia="SimSun"/>
          <w:lang w:eastAsia="zh-CN"/>
        </w:rPr>
        <w:t>"</w:t>
      </w:r>
      <w:r w:rsidRPr="005322C4">
        <w:rPr>
          <w:rFonts w:eastAsia="SimSun"/>
          <w:lang w:eastAsia="zh-CN"/>
        </w:rPr>
        <w:t xml:space="preserve"> El GTC-RHF llevó a cabo un examen detallado tras el cual el Consejo, en su reunión de 2017, revisó los criterios, como se muestra en el Anexo. Los principales cambios residen en una definición más estricta de lo que son las organizaciones internacionales/regionales y del concepto de </w:t>
      </w:r>
      <w:r w:rsidR="005322C4">
        <w:rPr>
          <w:rFonts w:eastAsia="SimSun"/>
          <w:lang w:eastAsia="zh-CN"/>
        </w:rPr>
        <w:t>"</w:t>
      </w:r>
      <w:r w:rsidRPr="005322C4">
        <w:rPr>
          <w:rFonts w:eastAsia="SimSun"/>
          <w:lang w:eastAsia="zh-CN"/>
        </w:rPr>
        <w:t>reciprocidad</w:t>
      </w:r>
      <w:r w:rsidR="005322C4">
        <w:rPr>
          <w:rFonts w:eastAsia="SimSun"/>
          <w:lang w:eastAsia="zh-CN"/>
        </w:rPr>
        <w:t>"</w:t>
      </w:r>
      <w:r w:rsidRPr="005322C4">
        <w:rPr>
          <w:rFonts w:eastAsia="SimSun"/>
          <w:lang w:eastAsia="zh-CN"/>
        </w:rPr>
        <w:t xml:space="preserve">. Además, ya no se permite que las </w:t>
      </w:r>
      <w:r w:rsidR="005322C4">
        <w:rPr>
          <w:rFonts w:eastAsia="SimSun"/>
          <w:lang w:eastAsia="zh-CN"/>
        </w:rPr>
        <w:t>"</w:t>
      </w:r>
      <w:r w:rsidRPr="005322C4">
        <w:rPr>
          <w:rFonts w:eastAsia="SimSun"/>
          <w:lang w:eastAsia="zh-CN"/>
        </w:rPr>
        <w:t>asociaciones industriales</w:t>
      </w:r>
      <w:r w:rsidR="005322C4">
        <w:rPr>
          <w:rFonts w:eastAsia="SimSun"/>
          <w:lang w:eastAsia="zh-CN"/>
        </w:rPr>
        <w:t>"</w:t>
      </w:r>
      <w:r w:rsidRPr="005322C4">
        <w:rPr>
          <w:rFonts w:eastAsia="SimSun"/>
          <w:lang w:eastAsia="zh-CN"/>
        </w:rPr>
        <w:t xml:space="preserve"> con miembros con ánimo de lucro opten a la exoneración del pago de la contribución</w:t>
      </w:r>
      <w:r w:rsidRPr="005322C4">
        <w:rPr>
          <w:rFonts w:eastAsia="SimSun"/>
          <w:szCs w:val="22"/>
          <w:lang w:eastAsia="zh-CN"/>
        </w:rPr>
        <w:t xml:space="preserve">. </w:t>
      </w:r>
    </w:p>
    <w:p w:rsidR="000A58BF" w:rsidRPr="005322C4" w:rsidRDefault="000A58BF" w:rsidP="002B2FD3">
      <w:pPr>
        <w:rPr>
          <w:rFonts w:eastAsia="SimSun"/>
          <w:sz w:val="22"/>
          <w:lang w:eastAsia="zh-CN"/>
        </w:rPr>
      </w:pPr>
      <w:r w:rsidRPr="005322C4">
        <w:rPr>
          <w:rFonts w:eastAsia="SimSun"/>
          <w:lang w:eastAsia="zh-CN"/>
        </w:rPr>
        <w:t xml:space="preserve">Las solicitudes de exoneración que se presentan al Consejo en 2018 se han evaluado de acuerdo con los criterios revisados. </w:t>
      </w:r>
    </w:p>
    <w:p w:rsidR="000A58BF" w:rsidRPr="005322C4" w:rsidRDefault="000A58BF" w:rsidP="002B2FD3">
      <w:pPr>
        <w:pStyle w:val="Headingb"/>
      </w:pPr>
      <w:r w:rsidRPr="005322C4">
        <w:t>Recomendaciones</w:t>
      </w:r>
    </w:p>
    <w:p w:rsidR="000A58BF" w:rsidRPr="005322C4" w:rsidRDefault="000A58BF" w:rsidP="002B2FD3">
      <w:r w:rsidRPr="005322C4">
        <w:t>3</w:t>
      </w:r>
      <w:r w:rsidRPr="005322C4">
        <w:tab/>
        <w:t>Se han recibido las siguientes solicitudes, que se someten a la consideración del Consejo:</w:t>
      </w:r>
    </w:p>
    <w:p w:rsidR="000A58BF" w:rsidRPr="005322C4" w:rsidRDefault="000A58BF" w:rsidP="002B2FD3">
      <w:pPr>
        <w:spacing w:after="120"/>
        <w:rPr>
          <w:b/>
        </w:rPr>
      </w:pPr>
      <w:r w:rsidRPr="005322C4">
        <w:t>3.1</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552"/>
        <w:gridCol w:w="992"/>
        <w:gridCol w:w="2835"/>
        <w:gridCol w:w="2513"/>
        <w:gridCol w:w="1747"/>
      </w:tblGrid>
      <w:tr w:rsidR="000A58BF" w:rsidRPr="005322C4" w:rsidTr="0013651F">
        <w:trPr>
          <w:cantSplit/>
          <w:trHeight w:val="343"/>
          <w:jc w:val="center"/>
        </w:trPr>
        <w:tc>
          <w:tcPr>
            <w:tcW w:w="1552" w:type="dxa"/>
          </w:tcPr>
          <w:p w:rsidR="000A58BF" w:rsidRPr="005322C4" w:rsidRDefault="000A58BF" w:rsidP="002B2FD3">
            <w:pPr>
              <w:pStyle w:val="Tablehead"/>
            </w:pPr>
            <w:r w:rsidRPr="005322C4">
              <w:t>Organización</w:t>
            </w:r>
          </w:p>
        </w:tc>
        <w:tc>
          <w:tcPr>
            <w:tcW w:w="992" w:type="dxa"/>
          </w:tcPr>
          <w:p w:rsidR="000A58BF" w:rsidRPr="005322C4" w:rsidRDefault="000A58BF" w:rsidP="002B2FD3">
            <w:pPr>
              <w:pStyle w:val="Tablehead"/>
            </w:pPr>
            <w:r w:rsidRPr="005322C4">
              <w:t>Sector</w:t>
            </w:r>
          </w:p>
        </w:tc>
        <w:tc>
          <w:tcPr>
            <w:tcW w:w="2835" w:type="dxa"/>
          </w:tcPr>
          <w:p w:rsidR="000A58BF" w:rsidRPr="005322C4" w:rsidRDefault="000A58BF" w:rsidP="002B2FD3">
            <w:pPr>
              <w:pStyle w:val="Tablehead"/>
            </w:pPr>
            <w:r w:rsidRPr="005322C4">
              <w:t>Reúne los criterios de OI/OR</w:t>
            </w:r>
            <w:r w:rsidRPr="005322C4">
              <w:rPr>
                <w:rFonts w:cs="Calibri"/>
              </w:rPr>
              <w:t xml:space="preserve"> </w:t>
            </w:r>
          </w:p>
        </w:tc>
        <w:tc>
          <w:tcPr>
            <w:tcW w:w="2513" w:type="dxa"/>
          </w:tcPr>
          <w:p w:rsidR="000A58BF" w:rsidRPr="005322C4" w:rsidRDefault="000A58BF" w:rsidP="002B2FD3">
            <w:pPr>
              <w:pStyle w:val="Tablehead"/>
            </w:pPr>
            <w:r w:rsidRPr="005322C4">
              <w:rPr>
                <w:rFonts w:cs="Calibri"/>
              </w:rPr>
              <w:t>Reciprocidad/beneficios para la UIT</w:t>
            </w:r>
          </w:p>
        </w:tc>
        <w:tc>
          <w:tcPr>
            <w:tcW w:w="1747" w:type="dxa"/>
          </w:tcPr>
          <w:p w:rsidR="000A58BF" w:rsidRPr="005322C4" w:rsidRDefault="000A58BF" w:rsidP="002B2FD3">
            <w:pPr>
              <w:pStyle w:val="Tablehead"/>
            </w:pPr>
            <w:r w:rsidRPr="005322C4">
              <w:t>Recomendación del SG</w:t>
            </w:r>
          </w:p>
        </w:tc>
      </w:tr>
      <w:tr w:rsidR="000A58BF" w:rsidRPr="005322C4" w:rsidTr="0013651F">
        <w:trPr>
          <w:cantSplit/>
          <w:trHeight w:val="270"/>
          <w:jc w:val="center"/>
        </w:trPr>
        <w:tc>
          <w:tcPr>
            <w:tcW w:w="1552" w:type="dxa"/>
            <w:vAlign w:val="center"/>
          </w:tcPr>
          <w:p w:rsidR="000A58BF" w:rsidRPr="005322C4" w:rsidRDefault="000A58BF" w:rsidP="002B2FD3">
            <w:pPr>
              <w:pStyle w:val="Tabletext"/>
              <w:rPr>
                <w:b/>
                <w:bCs/>
                <w:iCs/>
              </w:rPr>
            </w:pPr>
            <w:r w:rsidRPr="005322C4">
              <w:rPr>
                <w:b/>
                <w:bCs/>
              </w:rPr>
              <w:t>ASECNA</w:t>
            </w:r>
          </w:p>
        </w:tc>
        <w:tc>
          <w:tcPr>
            <w:tcW w:w="992" w:type="dxa"/>
            <w:vAlign w:val="center"/>
          </w:tcPr>
          <w:p w:rsidR="000A58BF" w:rsidRPr="005322C4" w:rsidRDefault="000A58BF" w:rsidP="00EE45BD">
            <w:pPr>
              <w:pStyle w:val="Tabletext"/>
              <w:jc w:val="center"/>
            </w:pPr>
            <w:r w:rsidRPr="005322C4">
              <w:t>UIT-R</w:t>
            </w:r>
          </w:p>
        </w:tc>
        <w:tc>
          <w:tcPr>
            <w:tcW w:w="2835" w:type="dxa"/>
            <w:vAlign w:val="center"/>
          </w:tcPr>
          <w:p w:rsidR="000A58BF" w:rsidRPr="005322C4" w:rsidRDefault="000A58BF" w:rsidP="00EE45BD">
            <w:pPr>
              <w:pStyle w:val="Tabletext"/>
              <w:jc w:val="center"/>
            </w:pPr>
            <w:r w:rsidRPr="005322C4">
              <w:rPr>
                <w:rFonts w:cs="Calibri"/>
              </w:rPr>
              <w:t>SÍ</w:t>
            </w:r>
          </w:p>
        </w:tc>
        <w:tc>
          <w:tcPr>
            <w:tcW w:w="2513" w:type="dxa"/>
            <w:vAlign w:val="center"/>
          </w:tcPr>
          <w:p w:rsidR="000A58BF" w:rsidRPr="005322C4" w:rsidRDefault="000A58BF" w:rsidP="00EE45BD">
            <w:pPr>
              <w:pStyle w:val="Tabletext"/>
              <w:jc w:val="center"/>
            </w:pPr>
            <w:r w:rsidRPr="005322C4">
              <w:t>SÍ</w:t>
            </w:r>
          </w:p>
        </w:tc>
        <w:tc>
          <w:tcPr>
            <w:tcW w:w="1747" w:type="dxa"/>
            <w:vAlign w:val="center"/>
          </w:tcPr>
          <w:p w:rsidR="000A58BF" w:rsidRPr="005322C4" w:rsidRDefault="000A58BF" w:rsidP="00EE45BD">
            <w:pPr>
              <w:pStyle w:val="Tabletext"/>
              <w:jc w:val="center"/>
            </w:pPr>
            <w:r w:rsidRPr="005322C4">
              <w:t>SÍ</w:t>
            </w:r>
          </w:p>
        </w:tc>
      </w:tr>
    </w:tbl>
    <w:p w:rsidR="000A58BF" w:rsidRPr="005322C4" w:rsidRDefault="000A58BF" w:rsidP="006110BB">
      <w:pPr>
        <w:pStyle w:val="Normalaftertitle"/>
      </w:pPr>
      <w:r w:rsidRPr="005322C4">
        <w:rPr>
          <w:b/>
        </w:rPr>
        <w:t>Observaciones</w:t>
      </w:r>
      <w:r w:rsidRPr="005322C4">
        <w:t>: La Agencia para la Seguridad de la Navegación Aérea en África y Madagascar es una agencia de control del tráfico aéreo con sede en Dakar, Senegal</w:t>
      </w:r>
      <w:r w:rsidR="006110BB">
        <w:t>,</w:t>
      </w:r>
      <w:r w:rsidRPr="005322C4">
        <w:t xml:space="preserve"> que gestiona 16 millones de kilómetros cuadrados de espacio aéreo (1,5 veces la extensión de Europa), que abarcan seis zonas de información aérea. Sus países miembros son: Benín, Burkina Faso, Camerún, República Centroafricana, </w:t>
      </w:r>
      <w:r w:rsidR="006110BB">
        <w:t xml:space="preserve">República del </w:t>
      </w:r>
      <w:r w:rsidRPr="005322C4">
        <w:t xml:space="preserve">Congo, Côte d’Ivoire, Francia, Gabón, Guinea-Bissau, Guinea Ecuatorial, Madagascar, Malí, Mauritania, Níger, Senegal, Chad, Togo y la Unión de </w:t>
      </w:r>
      <w:r w:rsidR="006110BB">
        <w:t xml:space="preserve">las </w:t>
      </w:r>
      <w:r w:rsidRPr="005322C4">
        <w:t>Comoras. La Secretaría considera que ASECNA se ajusta a los criterios de definición de organización internacional/regional y de reciprocidad y beneficios para la UIT</w:t>
      </w:r>
      <w:r w:rsidRPr="005322C4">
        <w:rPr>
          <w:rFonts w:cs="Calibri"/>
        </w:rPr>
        <w:t>.</w:t>
      </w:r>
    </w:p>
    <w:p w:rsidR="000A58BF" w:rsidRPr="005322C4" w:rsidRDefault="000A58BF" w:rsidP="00EE45BD">
      <w:pPr>
        <w:spacing w:after="120"/>
      </w:pPr>
      <w:r w:rsidRPr="005322C4">
        <w:t>3.2</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552"/>
        <w:gridCol w:w="992"/>
        <w:gridCol w:w="2410"/>
        <w:gridCol w:w="2720"/>
        <w:gridCol w:w="1965"/>
      </w:tblGrid>
      <w:tr w:rsidR="000A58BF" w:rsidRPr="005322C4" w:rsidTr="0013651F">
        <w:trPr>
          <w:cantSplit/>
          <w:trHeight w:val="689"/>
          <w:jc w:val="center"/>
        </w:trPr>
        <w:tc>
          <w:tcPr>
            <w:tcW w:w="1552" w:type="dxa"/>
          </w:tcPr>
          <w:p w:rsidR="000A58BF" w:rsidRPr="005322C4" w:rsidRDefault="000A58BF" w:rsidP="00EE45BD">
            <w:pPr>
              <w:pStyle w:val="Tablehead"/>
            </w:pPr>
            <w:r w:rsidRPr="005322C4">
              <w:t>Organización</w:t>
            </w:r>
          </w:p>
        </w:tc>
        <w:tc>
          <w:tcPr>
            <w:tcW w:w="992" w:type="dxa"/>
          </w:tcPr>
          <w:p w:rsidR="000A58BF" w:rsidRPr="005322C4" w:rsidRDefault="000A58BF" w:rsidP="00EE45BD">
            <w:pPr>
              <w:pStyle w:val="Tablehead"/>
            </w:pPr>
            <w:r w:rsidRPr="005322C4">
              <w:t>Sector</w:t>
            </w:r>
          </w:p>
        </w:tc>
        <w:tc>
          <w:tcPr>
            <w:tcW w:w="2410" w:type="dxa"/>
          </w:tcPr>
          <w:p w:rsidR="000A58BF" w:rsidRPr="005322C4" w:rsidRDefault="000A58BF" w:rsidP="00EE45BD">
            <w:pPr>
              <w:pStyle w:val="Tablehead"/>
            </w:pPr>
            <w:r w:rsidRPr="005322C4">
              <w:t>Reúne los criterios de OI/OR</w:t>
            </w:r>
          </w:p>
        </w:tc>
        <w:tc>
          <w:tcPr>
            <w:tcW w:w="2720" w:type="dxa"/>
          </w:tcPr>
          <w:p w:rsidR="000A58BF" w:rsidRPr="005322C4" w:rsidRDefault="000A58BF" w:rsidP="00EE45BD">
            <w:pPr>
              <w:pStyle w:val="Tablehead"/>
            </w:pPr>
            <w:r w:rsidRPr="005322C4">
              <w:t>Reciprocidad/beneficios para la UIT</w:t>
            </w:r>
          </w:p>
        </w:tc>
        <w:tc>
          <w:tcPr>
            <w:tcW w:w="1965" w:type="dxa"/>
          </w:tcPr>
          <w:p w:rsidR="000A58BF" w:rsidRPr="005322C4" w:rsidRDefault="000A58BF" w:rsidP="00EE45BD">
            <w:pPr>
              <w:pStyle w:val="Tablehead"/>
            </w:pPr>
            <w:r w:rsidRPr="005322C4">
              <w:t>Recomendación del SG</w:t>
            </w:r>
          </w:p>
        </w:tc>
      </w:tr>
      <w:tr w:rsidR="000A58BF" w:rsidRPr="005322C4" w:rsidTr="0013651F">
        <w:trPr>
          <w:cantSplit/>
          <w:trHeight w:val="620"/>
          <w:jc w:val="center"/>
        </w:trPr>
        <w:tc>
          <w:tcPr>
            <w:tcW w:w="1552" w:type="dxa"/>
            <w:vAlign w:val="center"/>
          </w:tcPr>
          <w:p w:rsidR="000A58BF" w:rsidRPr="005322C4" w:rsidRDefault="000A58BF" w:rsidP="00EE45BD">
            <w:pPr>
              <w:pStyle w:val="Tabletext"/>
              <w:rPr>
                <w:b/>
                <w:bCs/>
              </w:rPr>
            </w:pPr>
            <w:r w:rsidRPr="005322C4">
              <w:rPr>
                <w:b/>
                <w:bCs/>
              </w:rPr>
              <w:t xml:space="preserve">COMESA </w:t>
            </w:r>
          </w:p>
        </w:tc>
        <w:tc>
          <w:tcPr>
            <w:tcW w:w="992" w:type="dxa"/>
            <w:vAlign w:val="center"/>
          </w:tcPr>
          <w:p w:rsidR="000A58BF" w:rsidRPr="005322C4" w:rsidRDefault="000A58BF" w:rsidP="00EE45BD">
            <w:pPr>
              <w:pStyle w:val="Tabletext"/>
              <w:jc w:val="center"/>
            </w:pPr>
            <w:r w:rsidRPr="005322C4">
              <w:t>UIT-R</w:t>
            </w:r>
            <w:r w:rsidRPr="005322C4">
              <w:br/>
              <w:t>UIT-T</w:t>
            </w:r>
            <w:r w:rsidRPr="005322C4">
              <w:br/>
              <w:t>UIT-D</w:t>
            </w:r>
          </w:p>
        </w:tc>
        <w:tc>
          <w:tcPr>
            <w:tcW w:w="2410" w:type="dxa"/>
            <w:vAlign w:val="center"/>
          </w:tcPr>
          <w:p w:rsidR="000A58BF" w:rsidRPr="005322C4" w:rsidRDefault="000A58BF" w:rsidP="00EE45BD">
            <w:pPr>
              <w:pStyle w:val="Tabletext"/>
              <w:jc w:val="center"/>
            </w:pPr>
            <w:r w:rsidRPr="005322C4">
              <w:t>SÍ</w:t>
            </w:r>
            <w:r w:rsidR="00EE45BD" w:rsidRPr="005322C4">
              <w:br/>
            </w:r>
            <w:r w:rsidRPr="005322C4">
              <w:t>SÍ</w:t>
            </w:r>
            <w:r w:rsidR="00EE45BD" w:rsidRPr="005322C4">
              <w:br/>
            </w:r>
            <w:r w:rsidRPr="005322C4">
              <w:t>SÍ</w:t>
            </w:r>
          </w:p>
        </w:tc>
        <w:tc>
          <w:tcPr>
            <w:tcW w:w="2720" w:type="dxa"/>
            <w:vAlign w:val="center"/>
          </w:tcPr>
          <w:p w:rsidR="000A58BF" w:rsidRPr="005322C4" w:rsidRDefault="000A58BF" w:rsidP="00EE45BD">
            <w:pPr>
              <w:pStyle w:val="Tabletext"/>
              <w:jc w:val="center"/>
            </w:pPr>
            <w:r w:rsidRPr="005322C4">
              <w:t>SÍ</w:t>
            </w:r>
            <w:r w:rsidR="00EE45BD" w:rsidRPr="005322C4">
              <w:br/>
            </w:r>
            <w:r w:rsidRPr="005322C4">
              <w:t>SÍ</w:t>
            </w:r>
            <w:r w:rsidR="00EE45BD" w:rsidRPr="005322C4">
              <w:br/>
            </w:r>
            <w:r w:rsidRPr="005322C4">
              <w:t>SÍ</w:t>
            </w:r>
          </w:p>
        </w:tc>
        <w:tc>
          <w:tcPr>
            <w:tcW w:w="1965" w:type="dxa"/>
            <w:vAlign w:val="center"/>
          </w:tcPr>
          <w:p w:rsidR="000A58BF" w:rsidRPr="005322C4" w:rsidRDefault="000A58BF" w:rsidP="00EE45BD">
            <w:pPr>
              <w:pStyle w:val="Tabletext"/>
              <w:jc w:val="center"/>
            </w:pPr>
            <w:r w:rsidRPr="005322C4">
              <w:t>SÍ</w:t>
            </w:r>
            <w:r w:rsidR="00EE45BD" w:rsidRPr="005322C4">
              <w:br/>
            </w:r>
            <w:r w:rsidRPr="005322C4">
              <w:t>SÍ</w:t>
            </w:r>
            <w:r w:rsidR="00EE45BD" w:rsidRPr="005322C4">
              <w:br/>
            </w:r>
            <w:r w:rsidRPr="005322C4">
              <w:t>SÍ</w:t>
            </w:r>
          </w:p>
        </w:tc>
      </w:tr>
    </w:tbl>
    <w:p w:rsidR="000A58BF" w:rsidRPr="005322C4" w:rsidRDefault="000A58BF" w:rsidP="00EE45BD">
      <w:pPr>
        <w:pStyle w:val="Normalaftertitle"/>
        <w:rPr>
          <w:highlight w:val="yellow"/>
        </w:rPr>
      </w:pPr>
      <w:r w:rsidRPr="005322C4">
        <w:rPr>
          <w:b/>
        </w:rPr>
        <w:t>Observaciones:</w:t>
      </w:r>
      <w:r w:rsidRPr="005322C4">
        <w:t xml:space="preserve"> El Mercado Común del África Oriental y Meridional (COMESA) es una zona de libre comercio formada por 19 Estados miembros, desde Libia hasta Swazilandia. COMESA se creó en diciembre de 1994 en sustitución de una Zona de Comercio Preferente, existente desde 1981. Nueve de los Estados miembros formaron una zona de libre comercio en 2000 (Djibouti, Egipto, Kenya, Madagascar, Malawi, Mauricio, Sudán, Zambia y Zimbabwe) a la que se sumaron en 2004 Rwanda y Burundi, en 2006 Comoras y Libia y, por último Seychelles en 2009. COMESA es uno de los pilares de la Comunidad Económica Africana. La Secretaría considera que COMESA se </w:t>
      </w:r>
      <w:r w:rsidRPr="005322C4">
        <w:rPr>
          <w:rFonts w:cstheme="minorHAnsi"/>
          <w:szCs w:val="24"/>
        </w:rPr>
        <w:t>ajusta a los criterios de definición de organización internacional/regional y de reciprocidad y beneficios para la UIT</w:t>
      </w:r>
      <w:r w:rsidRPr="005322C4">
        <w:t xml:space="preserve">. </w:t>
      </w:r>
    </w:p>
    <w:p w:rsidR="000A58BF" w:rsidRPr="005322C4" w:rsidRDefault="000A58BF" w:rsidP="00EE45BD">
      <w:pPr>
        <w:spacing w:after="120"/>
      </w:pPr>
      <w:r w:rsidRPr="005322C4">
        <w:lastRenderedPageBreak/>
        <w:t>3.3</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686"/>
        <w:gridCol w:w="850"/>
        <w:gridCol w:w="1843"/>
        <w:gridCol w:w="2366"/>
        <w:gridCol w:w="1894"/>
      </w:tblGrid>
      <w:tr w:rsidR="000A58BF" w:rsidRPr="005322C4" w:rsidTr="00A45B9F">
        <w:trPr>
          <w:cantSplit/>
          <w:trHeight w:val="737"/>
          <w:jc w:val="center"/>
        </w:trPr>
        <w:tc>
          <w:tcPr>
            <w:tcW w:w="2686" w:type="dxa"/>
          </w:tcPr>
          <w:p w:rsidR="000A58BF" w:rsidRPr="005322C4" w:rsidRDefault="000A58BF" w:rsidP="00EE45BD">
            <w:pPr>
              <w:pStyle w:val="Tablehead"/>
            </w:pPr>
            <w:r w:rsidRPr="005322C4">
              <w:t>Organización</w:t>
            </w:r>
          </w:p>
        </w:tc>
        <w:tc>
          <w:tcPr>
            <w:tcW w:w="850" w:type="dxa"/>
          </w:tcPr>
          <w:p w:rsidR="000A58BF" w:rsidRPr="005322C4" w:rsidRDefault="000A58BF" w:rsidP="00EE45BD">
            <w:pPr>
              <w:pStyle w:val="Tablehead"/>
            </w:pPr>
            <w:r w:rsidRPr="005322C4">
              <w:t>Sector</w:t>
            </w:r>
          </w:p>
        </w:tc>
        <w:tc>
          <w:tcPr>
            <w:tcW w:w="1843" w:type="dxa"/>
          </w:tcPr>
          <w:p w:rsidR="000A58BF" w:rsidRPr="005322C4" w:rsidRDefault="000A58BF" w:rsidP="00EE45BD">
            <w:pPr>
              <w:pStyle w:val="Tablehead"/>
            </w:pPr>
            <w:r w:rsidRPr="005322C4">
              <w:t>Reúne los criterios de OI/OR</w:t>
            </w:r>
          </w:p>
        </w:tc>
        <w:tc>
          <w:tcPr>
            <w:tcW w:w="2366" w:type="dxa"/>
          </w:tcPr>
          <w:p w:rsidR="000A58BF" w:rsidRPr="005322C4" w:rsidRDefault="000A58BF" w:rsidP="00EE45BD">
            <w:pPr>
              <w:pStyle w:val="Tablehead"/>
            </w:pPr>
            <w:r w:rsidRPr="005322C4">
              <w:t>Reciprocidad/beneficios para la UIT</w:t>
            </w:r>
          </w:p>
        </w:tc>
        <w:tc>
          <w:tcPr>
            <w:tcW w:w="1894" w:type="dxa"/>
          </w:tcPr>
          <w:p w:rsidR="000A58BF" w:rsidRPr="005322C4" w:rsidRDefault="000A58BF" w:rsidP="00EE45BD">
            <w:pPr>
              <w:pStyle w:val="Tablehead"/>
            </w:pPr>
            <w:r w:rsidRPr="005322C4">
              <w:t>Recomendación del SG</w:t>
            </w:r>
          </w:p>
        </w:tc>
      </w:tr>
      <w:tr w:rsidR="000A58BF" w:rsidRPr="005322C4" w:rsidTr="00A45B9F">
        <w:trPr>
          <w:cantSplit/>
          <w:trHeight w:val="195"/>
          <w:jc w:val="center"/>
        </w:trPr>
        <w:tc>
          <w:tcPr>
            <w:tcW w:w="2686" w:type="dxa"/>
            <w:vAlign w:val="center"/>
          </w:tcPr>
          <w:p w:rsidR="000A58BF" w:rsidRPr="005322C4" w:rsidRDefault="000A58BF" w:rsidP="00EE45BD">
            <w:pPr>
              <w:pStyle w:val="Tabletext"/>
              <w:rPr>
                <w:b/>
                <w:bCs/>
              </w:rPr>
            </w:pPr>
            <w:r w:rsidRPr="005322C4">
              <w:rPr>
                <w:b/>
                <w:bCs/>
              </w:rPr>
              <w:t xml:space="preserve">CSEND </w:t>
            </w:r>
            <w:r w:rsidRPr="005322C4">
              <w:t xml:space="preserve">– Centro para el Desarrollo Socioeconómico </w:t>
            </w:r>
          </w:p>
        </w:tc>
        <w:tc>
          <w:tcPr>
            <w:tcW w:w="850" w:type="dxa"/>
            <w:vAlign w:val="center"/>
          </w:tcPr>
          <w:p w:rsidR="000A58BF" w:rsidRPr="005322C4" w:rsidRDefault="000A58BF" w:rsidP="00EE45BD">
            <w:pPr>
              <w:pStyle w:val="Tabletext"/>
              <w:jc w:val="center"/>
            </w:pPr>
            <w:r w:rsidRPr="005322C4">
              <w:t>UIT-D</w:t>
            </w:r>
          </w:p>
        </w:tc>
        <w:tc>
          <w:tcPr>
            <w:tcW w:w="1843" w:type="dxa"/>
            <w:vAlign w:val="center"/>
          </w:tcPr>
          <w:p w:rsidR="000A58BF" w:rsidRPr="005322C4" w:rsidRDefault="000A58BF" w:rsidP="00EE45BD">
            <w:pPr>
              <w:pStyle w:val="Tabletext"/>
              <w:jc w:val="center"/>
            </w:pPr>
            <w:r w:rsidRPr="005322C4">
              <w:t>NO</w:t>
            </w:r>
          </w:p>
        </w:tc>
        <w:tc>
          <w:tcPr>
            <w:tcW w:w="2366" w:type="dxa"/>
            <w:vAlign w:val="center"/>
          </w:tcPr>
          <w:p w:rsidR="000A58BF" w:rsidRPr="005322C4" w:rsidRDefault="000A58BF" w:rsidP="00EE45BD">
            <w:pPr>
              <w:pStyle w:val="Tabletext"/>
              <w:jc w:val="center"/>
            </w:pPr>
            <w:r w:rsidRPr="005322C4">
              <w:t>--</w:t>
            </w:r>
          </w:p>
        </w:tc>
        <w:tc>
          <w:tcPr>
            <w:tcW w:w="1894" w:type="dxa"/>
            <w:vAlign w:val="center"/>
          </w:tcPr>
          <w:p w:rsidR="000A58BF" w:rsidRPr="005322C4" w:rsidRDefault="000A58BF" w:rsidP="00EE45BD">
            <w:pPr>
              <w:pStyle w:val="Tabletext"/>
              <w:jc w:val="center"/>
            </w:pPr>
            <w:r w:rsidRPr="005322C4">
              <w:t>NO</w:t>
            </w:r>
          </w:p>
        </w:tc>
      </w:tr>
    </w:tbl>
    <w:p w:rsidR="000A58BF" w:rsidRPr="005322C4" w:rsidRDefault="000A58BF" w:rsidP="00EE45BD">
      <w:pPr>
        <w:pStyle w:val="Normalaftertitle"/>
      </w:pPr>
      <w:r w:rsidRPr="005322C4">
        <w:rPr>
          <w:b/>
        </w:rPr>
        <w:t>Observaciones</w:t>
      </w:r>
      <w:r w:rsidRPr="005322C4">
        <w:t xml:space="preserve">: El Centro para el Desarrollo Socioeconómico (CSEND) fomenta el desarrollo inclusivo, equitativo, sostenible e integrado mediante el diálogo y el aprendizaje institucional. El CSEND ofrece servicios de investigación política, capacitación y consultoría en materia de desarrollo institucional y procesos transformadores, en particular en la esfera del fortalecimiento institucional. La Secretaría considera que el CSEND no se ajusta a los criterios del Consejo para la definición de organización internacional/regional al no contar con miembros de diversos países. </w:t>
      </w:r>
    </w:p>
    <w:p w:rsidR="000A58BF" w:rsidRPr="005322C4" w:rsidRDefault="000A58BF" w:rsidP="00EE45BD">
      <w:pPr>
        <w:spacing w:after="120"/>
      </w:pPr>
      <w:r w:rsidRPr="005322C4">
        <w:t>3.4</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19"/>
        <w:gridCol w:w="992"/>
        <w:gridCol w:w="2126"/>
        <w:gridCol w:w="2456"/>
        <w:gridCol w:w="1946"/>
      </w:tblGrid>
      <w:tr w:rsidR="000A58BF" w:rsidRPr="005322C4" w:rsidTr="00A45B9F">
        <w:trPr>
          <w:cantSplit/>
          <w:trHeight w:val="666"/>
          <w:jc w:val="center"/>
        </w:trPr>
        <w:tc>
          <w:tcPr>
            <w:tcW w:w="2119" w:type="dxa"/>
          </w:tcPr>
          <w:p w:rsidR="000A58BF" w:rsidRPr="005322C4" w:rsidRDefault="000A58BF" w:rsidP="00EE45BD">
            <w:pPr>
              <w:pStyle w:val="Tablehead"/>
            </w:pPr>
            <w:r w:rsidRPr="005322C4">
              <w:t>Organización</w:t>
            </w:r>
          </w:p>
        </w:tc>
        <w:tc>
          <w:tcPr>
            <w:tcW w:w="992" w:type="dxa"/>
          </w:tcPr>
          <w:p w:rsidR="000A58BF" w:rsidRPr="005322C4" w:rsidRDefault="000A58BF" w:rsidP="00EE45BD">
            <w:pPr>
              <w:pStyle w:val="Tablehead"/>
            </w:pPr>
            <w:r w:rsidRPr="005322C4">
              <w:t>Sector</w:t>
            </w:r>
          </w:p>
        </w:tc>
        <w:tc>
          <w:tcPr>
            <w:tcW w:w="2126" w:type="dxa"/>
          </w:tcPr>
          <w:p w:rsidR="000A58BF" w:rsidRPr="005322C4" w:rsidRDefault="000A58BF" w:rsidP="00EE45BD">
            <w:pPr>
              <w:pStyle w:val="Tablehead"/>
            </w:pPr>
            <w:r w:rsidRPr="005322C4">
              <w:t>Reúne los criterios de OI/OR</w:t>
            </w:r>
          </w:p>
        </w:tc>
        <w:tc>
          <w:tcPr>
            <w:tcW w:w="2456" w:type="dxa"/>
          </w:tcPr>
          <w:p w:rsidR="000A58BF" w:rsidRPr="005322C4" w:rsidRDefault="000A58BF" w:rsidP="00EE45BD">
            <w:pPr>
              <w:pStyle w:val="Tablehead"/>
            </w:pPr>
            <w:r w:rsidRPr="005322C4">
              <w:t>Reciprocidad/beneficios para la UIT</w:t>
            </w:r>
          </w:p>
        </w:tc>
        <w:tc>
          <w:tcPr>
            <w:tcW w:w="1946" w:type="dxa"/>
          </w:tcPr>
          <w:p w:rsidR="000A58BF" w:rsidRPr="005322C4" w:rsidRDefault="000A58BF" w:rsidP="00EE45BD">
            <w:pPr>
              <w:pStyle w:val="Tablehead"/>
            </w:pPr>
            <w:r w:rsidRPr="005322C4">
              <w:t>Recomendación del SG</w:t>
            </w:r>
          </w:p>
        </w:tc>
      </w:tr>
      <w:tr w:rsidR="000A58BF" w:rsidRPr="005322C4" w:rsidTr="00A45B9F">
        <w:trPr>
          <w:cantSplit/>
          <w:trHeight w:val="45"/>
          <w:jc w:val="center"/>
        </w:trPr>
        <w:tc>
          <w:tcPr>
            <w:tcW w:w="2119" w:type="dxa"/>
            <w:vAlign w:val="center"/>
          </w:tcPr>
          <w:p w:rsidR="000A58BF" w:rsidRPr="005322C4" w:rsidRDefault="000A58BF" w:rsidP="00EE45BD">
            <w:pPr>
              <w:pStyle w:val="Tabletext"/>
              <w:rPr>
                <w:b/>
                <w:bCs/>
              </w:rPr>
            </w:pPr>
            <w:r w:rsidRPr="005322C4">
              <w:rPr>
                <w:b/>
                <w:bCs/>
              </w:rPr>
              <w:t>ECPAT International</w:t>
            </w:r>
          </w:p>
        </w:tc>
        <w:tc>
          <w:tcPr>
            <w:tcW w:w="992" w:type="dxa"/>
            <w:vAlign w:val="center"/>
          </w:tcPr>
          <w:p w:rsidR="000A58BF" w:rsidRPr="005322C4" w:rsidRDefault="000A58BF" w:rsidP="00EE45BD">
            <w:pPr>
              <w:pStyle w:val="Tabletext"/>
              <w:jc w:val="center"/>
            </w:pPr>
            <w:r w:rsidRPr="005322C4">
              <w:t>UIT-D</w:t>
            </w:r>
          </w:p>
        </w:tc>
        <w:tc>
          <w:tcPr>
            <w:tcW w:w="2126" w:type="dxa"/>
            <w:vAlign w:val="center"/>
          </w:tcPr>
          <w:p w:rsidR="000A58BF" w:rsidRPr="005322C4" w:rsidRDefault="000A58BF" w:rsidP="00EE45BD">
            <w:pPr>
              <w:pStyle w:val="Tabletext"/>
              <w:jc w:val="center"/>
            </w:pPr>
            <w:r w:rsidRPr="005322C4">
              <w:t>SÍ</w:t>
            </w:r>
          </w:p>
        </w:tc>
        <w:tc>
          <w:tcPr>
            <w:tcW w:w="2456" w:type="dxa"/>
            <w:vAlign w:val="center"/>
          </w:tcPr>
          <w:p w:rsidR="000A58BF" w:rsidRPr="005322C4" w:rsidRDefault="000A58BF" w:rsidP="00EE45BD">
            <w:pPr>
              <w:pStyle w:val="Tabletext"/>
              <w:jc w:val="center"/>
            </w:pPr>
            <w:r w:rsidRPr="005322C4">
              <w:t>SÍ</w:t>
            </w:r>
          </w:p>
        </w:tc>
        <w:tc>
          <w:tcPr>
            <w:tcW w:w="1946" w:type="dxa"/>
            <w:vAlign w:val="center"/>
          </w:tcPr>
          <w:p w:rsidR="000A58BF" w:rsidRPr="005322C4" w:rsidRDefault="000A58BF" w:rsidP="00EE45BD">
            <w:pPr>
              <w:pStyle w:val="Tabletext"/>
              <w:jc w:val="center"/>
            </w:pPr>
            <w:r w:rsidRPr="005322C4">
              <w:t>SÍ</w:t>
            </w:r>
          </w:p>
        </w:tc>
      </w:tr>
    </w:tbl>
    <w:p w:rsidR="000A58BF" w:rsidRPr="005322C4" w:rsidRDefault="000A58BF" w:rsidP="00EE45BD">
      <w:pPr>
        <w:pStyle w:val="Normalaftertitle"/>
      </w:pPr>
      <w:r w:rsidRPr="005322C4">
        <w:rPr>
          <w:rFonts w:asciiTheme="minorHAnsi" w:hAnsiTheme="minorHAnsi"/>
          <w:b/>
        </w:rPr>
        <w:t>Observaciones</w:t>
      </w:r>
      <w:r w:rsidRPr="005322C4">
        <w:rPr>
          <w:rFonts w:asciiTheme="minorHAnsi" w:hAnsiTheme="minorHAnsi"/>
        </w:rPr>
        <w:t xml:space="preserve">: </w:t>
      </w:r>
      <w:r w:rsidRPr="005322C4">
        <w:rPr>
          <w:bCs/>
        </w:rPr>
        <w:t>ECPAT International</w:t>
      </w:r>
      <w:r w:rsidRPr="005322C4">
        <w:t xml:space="preserve"> es una red mundial de organizaciones de la sociedad civil destinada a terminar con la explotación sexual infantil en línea. Está formada por 102 organizaciones miembros de 93 países y su secretaría tiene sede en Bangkok, Tailandia. La Oficina Regional de la UIT ha explorado la posibilidad de colaborar con ECPAT en iniciativas de Protección de la Infancia en Línea y está previsto que la UIT participe en los próximos eventos de ECPAT. ECPAT está considerada como una organización comprometida con una amplia red en este campo. Un estrechamiento de la cooperación se considera conveniente. La Secretaría opina que ECPAT </w:t>
      </w:r>
      <w:r w:rsidRPr="005322C4">
        <w:rPr>
          <w:rFonts w:asciiTheme="minorHAnsi" w:hAnsiTheme="minorHAnsi"/>
        </w:rPr>
        <w:t xml:space="preserve">se </w:t>
      </w:r>
      <w:r w:rsidRPr="005322C4">
        <w:rPr>
          <w:rFonts w:asciiTheme="minorHAnsi" w:hAnsiTheme="minorHAnsi" w:cstheme="minorHAnsi"/>
          <w:szCs w:val="24"/>
        </w:rPr>
        <w:t>ajusta a los criterios del Consejo para la definición de organización internacional/regional y de reciprocidad y beneficios para la UIT</w:t>
      </w:r>
      <w:r w:rsidRPr="005322C4">
        <w:t>.</w:t>
      </w:r>
    </w:p>
    <w:p w:rsidR="000A58BF" w:rsidRPr="005322C4" w:rsidRDefault="000A58BF" w:rsidP="00EE45BD">
      <w:pPr>
        <w:spacing w:after="120"/>
      </w:pPr>
      <w:r w:rsidRPr="005322C4">
        <w:t>3.5</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827"/>
        <w:gridCol w:w="851"/>
        <w:gridCol w:w="1843"/>
        <w:gridCol w:w="2409"/>
        <w:gridCol w:w="1709"/>
      </w:tblGrid>
      <w:tr w:rsidR="000A58BF" w:rsidRPr="005322C4" w:rsidTr="00A45B9F">
        <w:trPr>
          <w:cantSplit/>
          <w:trHeight w:val="745"/>
          <w:jc w:val="center"/>
        </w:trPr>
        <w:tc>
          <w:tcPr>
            <w:tcW w:w="2827" w:type="dxa"/>
          </w:tcPr>
          <w:p w:rsidR="000A58BF" w:rsidRPr="005322C4" w:rsidRDefault="000A58BF" w:rsidP="00EE45BD">
            <w:pPr>
              <w:pStyle w:val="Tablehead"/>
            </w:pPr>
            <w:r w:rsidRPr="005322C4">
              <w:t>Organización</w:t>
            </w:r>
          </w:p>
        </w:tc>
        <w:tc>
          <w:tcPr>
            <w:tcW w:w="851" w:type="dxa"/>
          </w:tcPr>
          <w:p w:rsidR="000A58BF" w:rsidRPr="005322C4" w:rsidRDefault="000A58BF" w:rsidP="00EE45BD">
            <w:pPr>
              <w:pStyle w:val="Tablehead"/>
            </w:pPr>
            <w:r w:rsidRPr="005322C4">
              <w:t>Sector</w:t>
            </w:r>
          </w:p>
        </w:tc>
        <w:tc>
          <w:tcPr>
            <w:tcW w:w="1843" w:type="dxa"/>
          </w:tcPr>
          <w:p w:rsidR="000A58BF" w:rsidRPr="005322C4" w:rsidRDefault="000A58BF" w:rsidP="00EE45BD">
            <w:pPr>
              <w:pStyle w:val="Tablehead"/>
            </w:pPr>
            <w:r w:rsidRPr="005322C4">
              <w:t>Reúne los criterios de OI/OR</w:t>
            </w:r>
          </w:p>
        </w:tc>
        <w:tc>
          <w:tcPr>
            <w:tcW w:w="2409" w:type="dxa"/>
          </w:tcPr>
          <w:p w:rsidR="000A58BF" w:rsidRPr="005322C4" w:rsidRDefault="000A58BF" w:rsidP="00EE45BD">
            <w:pPr>
              <w:pStyle w:val="Tablehead"/>
            </w:pPr>
            <w:r w:rsidRPr="005322C4">
              <w:t>Reciprocidad/beneficios para la UIT</w:t>
            </w:r>
          </w:p>
        </w:tc>
        <w:tc>
          <w:tcPr>
            <w:tcW w:w="1709" w:type="dxa"/>
          </w:tcPr>
          <w:p w:rsidR="000A58BF" w:rsidRPr="005322C4" w:rsidRDefault="000A58BF" w:rsidP="00EE45BD">
            <w:pPr>
              <w:pStyle w:val="Tablehead"/>
            </w:pPr>
            <w:r w:rsidRPr="005322C4">
              <w:t>Recomendación del SG</w:t>
            </w:r>
          </w:p>
        </w:tc>
      </w:tr>
      <w:tr w:rsidR="000A58BF" w:rsidRPr="005322C4" w:rsidTr="00A45B9F">
        <w:trPr>
          <w:cantSplit/>
          <w:trHeight w:val="875"/>
          <w:jc w:val="center"/>
        </w:trPr>
        <w:tc>
          <w:tcPr>
            <w:tcW w:w="2827" w:type="dxa"/>
            <w:vAlign w:val="center"/>
          </w:tcPr>
          <w:p w:rsidR="000A58BF" w:rsidRPr="005322C4" w:rsidRDefault="000A58BF" w:rsidP="00EE45BD">
            <w:pPr>
              <w:pStyle w:val="Tabletext"/>
              <w:rPr>
                <w:rFonts w:cs="Calibri"/>
                <w:szCs w:val="24"/>
                <w:lang w:eastAsia="zh-CN"/>
              </w:rPr>
            </w:pPr>
            <w:r w:rsidRPr="005322C4">
              <w:rPr>
                <w:rFonts w:asciiTheme="minorHAnsi" w:hAnsiTheme="minorHAnsi" w:cstheme="minorHAnsi"/>
                <w:b/>
                <w:iCs/>
                <w:szCs w:val="24"/>
              </w:rPr>
              <w:t xml:space="preserve">EURAO – </w:t>
            </w:r>
            <w:r w:rsidRPr="005322C4">
              <w:rPr>
                <w:rFonts w:cs="Calibri"/>
                <w:szCs w:val="24"/>
                <w:lang w:eastAsia="zh-CN"/>
              </w:rPr>
              <w:t>Organización Europea de Radioaficionados</w:t>
            </w:r>
            <w:r w:rsidRPr="005322C4">
              <w:rPr>
                <w:rFonts w:asciiTheme="minorHAnsi" w:hAnsiTheme="minorHAnsi" w:cstheme="minorHAnsi"/>
                <w:b/>
                <w:iCs/>
                <w:szCs w:val="24"/>
              </w:rPr>
              <w:t xml:space="preserve"> </w:t>
            </w:r>
          </w:p>
        </w:tc>
        <w:tc>
          <w:tcPr>
            <w:tcW w:w="851" w:type="dxa"/>
            <w:vAlign w:val="center"/>
          </w:tcPr>
          <w:p w:rsidR="000A58BF" w:rsidRPr="005322C4" w:rsidRDefault="000A58BF" w:rsidP="00EE45BD">
            <w:pPr>
              <w:pStyle w:val="Tabletext"/>
              <w:jc w:val="center"/>
            </w:pPr>
            <w:r w:rsidRPr="005322C4">
              <w:t>UIT-R</w:t>
            </w:r>
          </w:p>
        </w:tc>
        <w:tc>
          <w:tcPr>
            <w:tcW w:w="1843" w:type="dxa"/>
            <w:vAlign w:val="center"/>
          </w:tcPr>
          <w:p w:rsidR="000A58BF" w:rsidRPr="005322C4" w:rsidRDefault="000A58BF" w:rsidP="00EE45BD">
            <w:pPr>
              <w:pStyle w:val="Tabletext"/>
              <w:jc w:val="center"/>
            </w:pPr>
            <w:r w:rsidRPr="005322C4">
              <w:t>SÍ</w:t>
            </w:r>
          </w:p>
        </w:tc>
        <w:tc>
          <w:tcPr>
            <w:tcW w:w="2409" w:type="dxa"/>
            <w:vAlign w:val="center"/>
          </w:tcPr>
          <w:p w:rsidR="000A58BF" w:rsidRPr="005322C4" w:rsidRDefault="000A58BF" w:rsidP="00EE45BD">
            <w:pPr>
              <w:pStyle w:val="Tabletext"/>
              <w:jc w:val="center"/>
            </w:pPr>
            <w:r w:rsidRPr="005322C4">
              <w:t>NO</w:t>
            </w:r>
          </w:p>
        </w:tc>
        <w:tc>
          <w:tcPr>
            <w:tcW w:w="1709" w:type="dxa"/>
            <w:vAlign w:val="center"/>
          </w:tcPr>
          <w:p w:rsidR="000A58BF" w:rsidRPr="005322C4" w:rsidRDefault="000A58BF" w:rsidP="00EE45BD">
            <w:pPr>
              <w:pStyle w:val="Tabletext"/>
              <w:jc w:val="center"/>
            </w:pPr>
            <w:r w:rsidRPr="005322C4">
              <w:t>NO</w:t>
            </w:r>
          </w:p>
        </w:tc>
      </w:tr>
    </w:tbl>
    <w:p w:rsidR="000A58BF" w:rsidRPr="005322C4" w:rsidRDefault="000A58BF" w:rsidP="006110BB">
      <w:pPr>
        <w:pStyle w:val="Normalaftertitle"/>
        <w:rPr>
          <w:rFonts w:cs="Calibri"/>
        </w:rPr>
      </w:pPr>
      <w:r w:rsidRPr="005322C4">
        <w:rPr>
          <w:b/>
        </w:rPr>
        <w:t>Observaciones</w:t>
      </w:r>
      <w:r w:rsidRPr="005322C4">
        <w:t xml:space="preserve">: Creada en 2005, la Organización Europea de Radioaficionados es el punto de encuentro de las asociaciones de radioaficionados independientes de todo el mundo, principalmente de Europa, interesadas en compartir actividades y experiencias y en colaborar en </w:t>
      </w:r>
      <w:proofErr w:type="gramStart"/>
      <w:r w:rsidRPr="005322C4">
        <w:t>nuevos</w:t>
      </w:r>
      <w:proofErr w:type="gramEnd"/>
      <w:r w:rsidRPr="005322C4">
        <w:t xml:space="preserve"> proyectos. Aunque la Secretaría considera que</w:t>
      </w:r>
      <w:r w:rsidRPr="005322C4">
        <w:rPr>
          <w:rFonts w:cs="Calibri"/>
        </w:rPr>
        <w:t xml:space="preserve"> EURAO se ajusta a los criterios del Consejo para la definición de organización internacional/regional, no cumple suficientemente los criterios relativos a la reciprocidad y los beneficios para la </w:t>
      </w:r>
      <w:r w:rsidR="006110BB">
        <w:rPr>
          <w:rFonts w:cs="Calibri"/>
        </w:rPr>
        <w:t>UIT</w:t>
      </w:r>
      <w:r w:rsidRPr="005322C4">
        <w:rPr>
          <w:rFonts w:cs="Calibri"/>
        </w:rPr>
        <w:t>.</w:t>
      </w:r>
    </w:p>
    <w:p w:rsidR="000A58BF" w:rsidRPr="005322C4" w:rsidRDefault="000A58BF" w:rsidP="00EE45BD">
      <w:pPr>
        <w:keepNext/>
        <w:spacing w:after="120"/>
      </w:pPr>
      <w:r w:rsidRPr="005322C4">
        <w:lastRenderedPageBreak/>
        <w:t>3.6</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111"/>
        <w:gridCol w:w="850"/>
        <w:gridCol w:w="1276"/>
        <w:gridCol w:w="2636"/>
        <w:gridCol w:w="1766"/>
      </w:tblGrid>
      <w:tr w:rsidR="000A58BF" w:rsidRPr="005322C4" w:rsidTr="00A45B9F">
        <w:trPr>
          <w:cantSplit/>
          <w:trHeight w:val="700"/>
          <w:jc w:val="center"/>
        </w:trPr>
        <w:tc>
          <w:tcPr>
            <w:tcW w:w="3111" w:type="dxa"/>
          </w:tcPr>
          <w:p w:rsidR="000A58BF" w:rsidRPr="005322C4" w:rsidRDefault="000A58BF" w:rsidP="00A45B9F">
            <w:pPr>
              <w:pStyle w:val="TableHead0"/>
              <w:keepLines/>
              <w:spacing w:before="60" w:after="60"/>
              <w:rPr>
                <w:rFonts w:asciiTheme="minorHAnsi" w:hAnsiTheme="minorHAnsi" w:cs="Calibri"/>
                <w:szCs w:val="24"/>
                <w:lang w:val="es-ES_tradnl"/>
              </w:rPr>
            </w:pPr>
            <w:r w:rsidRPr="005322C4">
              <w:rPr>
                <w:rFonts w:asciiTheme="minorHAnsi" w:hAnsiTheme="minorHAnsi" w:cs="Calibri"/>
                <w:szCs w:val="24"/>
                <w:lang w:val="es-ES_tradnl"/>
              </w:rPr>
              <w:t>Organización</w:t>
            </w:r>
          </w:p>
        </w:tc>
        <w:tc>
          <w:tcPr>
            <w:tcW w:w="850" w:type="dxa"/>
          </w:tcPr>
          <w:p w:rsidR="000A58BF" w:rsidRPr="005322C4" w:rsidRDefault="000A58BF" w:rsidP="004A590E">
            <w:pPr>
              <w:pStyle w:val="TableHead0"/>
              <w:keepLines/>
              <w:spacing w:before="50" w:after="50"/>
              <w:rPr>
                <w:rFonts w:asciiTheme="minorHAnsi" w:hAnsiTheme="minorHAnsi" w:cs="Calibri"/>
                <w:szCs w:val="24"/>
                <w:lang w:val="es-ES_tradnl"/>
              </w:rPr>
            </w:pPr>
            <w:r w:rsidRPr="005322C4">
              <w:rPr>
                <w:rFonts w:asciiTheme="minorHAnsi" w:hAnsiTheme="minorHAnsi" w:cs="Calibri"/>
                <w:szCs w:val="24"/>
                <w:lang w:val="es-ES_tradnl"/>
              </w:rPr>
              <w:t>Sector</w:t>
            </w:r>
          </w:p>
        </w:tc>
        <w:tc>
          <w:tcPr>
            <w:tcW w:w="1276" w:type="dxa"/>
          </w:tcPr>
          <w:p w:rsidR="000A58BF" w:rsidRPr="005322C4" w:rsidRDefault="000A58BF" w:rsidP="004A590E">
            <w:pPr>
              <w:pStyle w:val="TableHead0"/>
              <w:keepLines/>
              <w:spacing w:before="50" w:after="50"/>
              <w:rPr>
                <w:rFonts w:asciiTheme="minorHAnsi" w:hAnsiTheme="minorHAnsi" w:cs="Calibri"/>
                <w:szCs w:val="24"/>
                <w:lang w:val="es-ES_tradnl"/>
              </w:rPr>
            </w:pPr>
            <w:r w:rsidRPr="005322C4">
              <w:rPr>
                <w:rFonts w:asciiTheme="minorHAnsi" w:hAnsiTheme="minorHAnsi" w:cs="Calibri"/>
                <w:szCs w:val="24"/>
                <w:lang w:val="es-ES_tradnl"/>
              </w:rPr>
              <w:t>Reúne los criterios de OI/OR</w:t>
            </w:r>
          </w:p>
        </w:tc>
        <w:tc>
          <w:tcPr>
            <w:tcW w:w="2636" w:type="dxa"/>
          </w:tcPr>
          <w:p w:rsidR="000A58BF" w:rsidRPr="005322C4" w:rsidRDefault="000A58BF" w:rsidP="004A590E">
            <w:pPr>
              <w:pStyle w:val="TableHead0"/>
              <w:keepLines/>
              <w:spacing w:before="50" w:after="50"/>
              <w:rPr>
                <w:rFonts w:asciiTheme="minorHAnsi" w:hAnsiTheme="minorHAnsi" w:cs="Calibri"/>
                <w:szCs w:val="24"/>
                <w:lang w:val="es-ES_tradnl"/>
              </w:rPr>
            </w:pPr>
            <w:r w:rsidRPr="005322C4">
              <w:rPr>
                <w:rFonts w:asciiTheme="minorHAnsi" w:hAnsiTheme="minorHAnsi" w:cs="Calibri"/>
                <w:szCs w:val="24"/>
                <w:lang w:val="es-ES_tradnl"/>
              </w:rPr>
              <w:t>Reciprocidad/beneficios para la UIT</w:t>
            </w:r>
          </w:p>
        </w:tc>
        <w:tc>
          <w:tcPr>
            <w:tcW w:w="1766" w:type="dxa"/>
          </w:tcPr>
          <w:p w:rsidR="000A58BF" w:rsidRPr="005322C4" w:rsidRDefault="000A58BF" w:rsidP="004A590E">
            <w:pPr>
              <w:pStyle w:val="TableHead0"/>
              <w:keepLines/>
              <w:spacing w:before="50" w:after="50"/>
              <w:rPr>
                <w:rFonts w:asciiTheme="minorHAnsi" w:hAnsiTheme="minorHAnsi" w:cs="Calibri"/>
                <w:szCs w:val="24"/>
                <w:lang w:val="es-ES_tradnl"/>
              </w:rPr>
            </w:pPr>
            <w:r w:rsidRPr="005322C4">
              <w:rPr>
                <w:rFonts w:asciiTheme="minorHAnsi" w:hAnsiTheme="minorHAnsi" w:cs="Calibri"/>
                <w:szCs w:val="24"/>
                <w:lang w:val="es-ES_tradnl"/>
              </w:rPr>
              <w:t>Recomendación del SG</w:t>
            </w:r>
          </w:p>
        </w:tc>
      </w:tr>
      <w:tr w:rsidR="000A58BF" w:rsidRPr="005322C4" w:rsidTr="00A45B9F">
        <w:trPr>
          <w:cantSplit/>
          <w:trHeight w:val="708"/>
          <w:jc w:val="center"/>
        </w:trPr>
        <w:tc>
          <w:tcPr>
            <w:tcW w:w="3111" w:type="dxa"/>
            <w:vAlign w:val="center"/>
          </w:tcPr>
          <w:p w:rsidR="000A58BF" w:rsidRPr="005322C4" w:rsidRDefault="000A58BF" w:rsidP="006110BB">
            <w:pPr>
              <w:pStyle w:val="Tabletext"/>
              <w:rPr>
                <w:rFonts w:asciiTheme="minorHAnsi" w:hAnsiTheme="minorHAnsi" w:cs="Calibri"/>
                <w:b/>
                <w:bCs/>
                <w:iCs/>
                <w:szCs w:val="24"/>
              </w:rPr>
            </w:pPr>
            <w:r w:rsidRPr="005322C4">
              <w:rPr>
                <w:rFonts w:asciiTheme="minorHAnsi" w:hAnsiTheme="minorHAnsi" w:cs="Calibri"/>
                <w:b/>
                <w:bCs/>
                <w:szCs w:val="24"/>
              </w:rPr>
              <w:t>G3ict</w:t>
            </w:r>
            <w:r w:rsidRPr="005322C4">
              <w:rPr>
                <w:rFonts w:asciiTheme="minorHAnsi" w:hAnsiTheme="minorHAnsi" w:cs="Calibri"/>
                <w:szCs w:val="24"/>
              </w:rPr>
              <w:t xml:space="preserve"> – </w:t>
            </w:r>
            <w:r w:rsidRPr="005322C4">
              <w:rPr>
                <w:rFonts w:cs="Calibri"/>
                <w:szCs w:val="24"/>
                <w:lang w:eastAsia="zh-CN"/>
              </w:rPr>
              <w:t>Iniciativa</w:t>
            </w:r>
            <w:r w:rsidRPr="005322C4">
              <w:rPr>
                <w:rFonts w:asciiTheme="minorHAnsi" w:hAnsiTheme="minorHAnsi" w:cs="Calibri"/>
                <w:szCs w:val="24"/>
              </w:rPr>
              <w:t xml:space="preserve"> Global para las Tecnologías de la Información y la </w:t>
            </w:r>
            <w:r w:rsidR="006110BB">
              <w:rPr>
                <w:rFonts w:asciiTheme="minorHAnsi" w:hAnsiTheme="minorHAnsi" w:cs="Calibri"/>
                <w:szCs w:val="24"/>
              </w:rPr>
              <w:t>Comunicación</w:t>
            </w:r>
            <w:r w:rsidRPr="005322C4">
              <w:rPr>
                <w:rFonts w:asciiTheme="minorHAnsi" w:hAnsiTheme="minorHAnsi" w:cs="Calibri"/>
                <w:szCs w:val="24"/>
              </w:rPr>
              <w:t xml:space="preserve"> Inclusivas</w:t>
            </w:r>
          </w:p>
        </w:tc>
        <w:tc>
          <w:tcPr>
            <w:tcW w:w="850" w:type="dxa"/>
            <w:vAlign w:val="center"/>
          </w:tcPr>
          <w:p w:rsidR="000A58BF" w:rsidRPr="005322C4" w:rsidRDefault="000A58BF" w:rsidP="004A590E">
            <w:pPr>
              <w:pStyle w:val="Tabletext"/>
              <w:spacing w:before="50" w:after="50"/>
              <w:jc w:val="center"/>
            </w:pPr>
            <w:r w:rsidRPr="005322C4">
              <w:t>UIT-R</w:t>
            </w:r>
          </w:p>
        </w:tc>
        <w:tc>
          <w:tcPr>
            <w:tcW w:w="1276" w:type="dxa"/>
            <w:vAlign w:val="center"/>
          </w:tcPr>
          <w:p w:rsidR="000A58BF" w:rsidRPr="005322C4" w:rsidRDefault="000A58BF" w:rsidP="004A590E">
            <w:pPr>
              <w:pStyle w:val="Tabletext"/>
              <w:spacing w:before="50" w:after="50"/>
              <w:jc w:val="center"/>
            </w:pPr>
            <w:r w:rsidRPr="005322C4">
              <w:t>SÍ</w:t>
            </w:r>
          </w:p>
        </w:tc>
        <w:tc>
          <w:tcPr>
            <w:tcW w:w="2636" w:type="dxa"/>
            <w:vAlign w:val="center"/>
          </w:tcPr>
          <w:p w:rsidR="000A58BF" w:rsidRPr="005322C4" w:rsidRDefault="000A58BF" w:rsidP="004A590E">
            <w:pPr>
              <w:pStyle w:val="Tabletext"/>
              <w:spacing w:before="50" w:after="50"/>
              <w:jc w:val="center"/>
            </w:pPr>
            <w:r w:rsidRPr="005322C4">
              <w:t>SÍ</w:t>
            </w:r>
          </w:p>
        </w:tc>
        <w:tc>
          <w:tcPr>
            <w:tcW w:w="1766" w:type="dxa"/>
            <w:vAlign w:val="center"/>
          </w:tcPr>
          <w:p w:rsidR="000A58BF" w:rsidRPr="005322C4" w:rsidRDefault="000A58BF" w:rsidP="004A590E">
            <w:pPr>
              <w:pStyle w:val="Tabletext"/>
              <w:spacing w:before="50" w:after="50"/>
              <w:jc w:val="center"/>
            </w:pPr>
            <w:r w:rsidRPr="005322C4">
              <w:t>SÍ</w:t>
            </w:r>
          </w:p>
        </w:tc>
      </w:tr>
    </w:tbl>
    <w:p w:rsidR="000A58BF" w:rsidRPr="005322C4" w:rsidRDefault="000A58BF" w:rsidP="00A45B9F">
      <w:pPr>
        <w:pStyle w:val="Normalaftertitle"/>
      </w:pPr>
      <w:r w:rsidRPr="005322C4">
        <w:rPr>
          <w:b/>
        </w:rPr>
        <w:t>Observaciones</w:t>
      </w:r>
      <w:r w:rsidRPr="005322C4">
        <w:t>:</w:t>
      </w:r>
      <w:r w:rsidRPr="005322C4">
        <w:rPr>
          <w:rFonts w:cstheme="minorHAnsi"/>
        </w:rPr>
        <w:t xml:space="preserve"> </w:t>
      </w:r>
      <w:r w:rsidRPr="00A45B9F">
        <w:t xml:space="preserve">La </w:t>
      </w:r>
      <w:r w:rsidRPr="005322C4">
        <w:rPr>
          <w:rFonts w:cstheme="minorHAnsi"/>
        </w:rPr>
        <w:t xml:space="preserve">misión de </w:t>
      </w:r>
      <w:r w:rsidRPr="005322C4">
        <w:t xml:space="preserve">G3ict es fomentar la plena aplicación de la Convención sobre las personas con discapacidad en materia de accesibilidad a las TIC. Entre los principales miembros de </w:t>
      </w:r>
      <w:r w:rsidRPr="005322C4">
        <w:rPr>
          <w:bCs/>
        </w:rPr>
        <w:t>G3ict se cuentan políticos e instituciones del sector público, industrias de TIC y del sector privado, organizaciones internacionales de normalización, asociaciones de personas con discapacidad y miembros de la comunidad académica. En la actualidad G3ict está exonerada del pago de tasas en el UIT-T y el UIT-D, Sectores en los que ha participado activamente. La Secretaría considera que</w:t>
      </w:r>
      <w:r w:rsidRPr="005322C4">
        <w:t xml:space="preserve"> G3ict se ajusta a los criterios del Consejo para la definición de organización internacional/regional, así como de reciprocidad y beneficios para la UIT.</w:t>
      </w:r>
    </w:p>
    <w:p w:rsidR="000A58BF" w:rsidRPr="005322C4" w:rsidRDefault="000A58BF" w:rsidP="00EE45BD">
      <w:pPr>
        <w:spacing w:after="120"/>
      </w:pPr>
      <w:r w:rsidRPr="005322C4">
        <w:t>3.7</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835"/>
        <w:gridCol w:w="1134"/>
        <w:gridCol w:w="2126"/>
        <w:gridCol w:w="2697"/>
        <w:gridCol w:w="1847"/>
      </w:tblGrid>
      <w:tr w:rsidR="000A58BF" w:rsidRPr="005322C4" w:rsidTr="00A45B9F">
        <w:trPr>
          <w:cantSplit/>
          <w:trHeight w:val="559"/>
          <w:jc w:val="center"/>
        </w:trPr>
        <w:tc>
          <w:tcPr>
            <w:tcW w:w="1835" w:type="dxa"/>
          </w:tcPr>
          <w:p w:rsidR="000A58BF" w:rsidRPr="005322C4" w:rsidRDefault="000A58BF" w:rsidP="00A45B9F">
            <w:pPr>
              <w:pStyle w:val="TableHead0"/>
              <w:keepLines/>
              <w:spacing w:before="60" w:after="60"/>
              <w:rPr>
                <w:rFonts w:asciiTheme="minorHAnsi" w:hAnsiTheme="minorHAnsi" w:cs="Calibri"/>
                <w:szCs w:val="24"/>
                <w:lang w:val="es-ES_tradnl"/>
              </w:rPr>
            </w:pPr>
            <w:r w:rsidRPr="005322C4">
              <w:rPr>
                <w:rFonts w:asciiTheme="minorHAnsi" w:hAnsiTheme="minorHAnsi" w:cs="Calibri"/>
                <w:szCs w:val="24"/>
                <w:lang w:val="es-ES_tradnl"/>
              </w:rPr>
              <w:t>Organización</w:t>
            </w:r>
          </w:p>
        </w:tc>
        <w:tc>
          <w:tcPr>
            <w:tcW w:w="1134" w:type="dxa"/>
          </w:tcPr>
          <w:p w:rsidR="000A58BF" w:rsidRPr="005322C4" w:rsidRDefault="000A58BF" w:rsidP="004A590E">
            <w:pPr>
              <w:pStyle w:val="TableHead0"/>
              <w:keepLines/>
              <w:spacing w:before="50" w:after="50"/>
              <w:rPr>
                <w:rFonts w:asciiTheme="minorHAnsi" w:hAnsiTheme="minorHAnsi" w:cs="Calibri"/>
                <w:szCs w:val="24"/>
                <w:lang w:val="es-ES_tradnl"/>
              </w:rPr>
            </w:pPr>
            <w:r w:rsidRPr="005322C4">
              <w:rPr>
                <w:rFonts w:asciiTheme="minorHAnsi" w:hAnsiTheme="minorHAnsi" w:cs="Calibri"/>
                <w:szCs w:val="24"/>
                <w:lang w:val="es-ES_tradnl"/>
              </w:rPr>
              <w:t>Sector</w:t>
            </w:r>
          </w:p>
        </w:tc>
        <w:tc>
          <w:tcPr>
            <w:tcW w:w="2126" w:type="dxa"/>
          </w:tcPr>
          <w:p w:rsidR="000A58BF" w:rsidRPr="005322C4" w:rsidRDefault="000A58BF" w:rsidP="004A590E">
            <w:pPr>
              <w:pStyle w:val="TableHead0"/>
              <w:keepLines/>
              <w:spacing w:before="50" w:after="50"/>
              <w:rPr>
                <w:rFonts w:asciiTheme="minorHAnsi" w:hAnsiTheme="minorHAnsi" w:cs="Calibri"/>
                <w:szCs w:val="24"/>
                <w:lang w:val="es-ES_tradnl"/>
              </w:rPr>
            </w:pPr>
            <w:r w:rsidRPr="005322C4">
              <w:rPr>
                <w:rFonts w:asciiTheme="minorHAnsi" w:hAnsiTheme="minorHAnsi" w:cs="Calibri"/>
                <w:szCs w:val="24"/>
                <w:lang w:val="es-ES_tradnl"/>
              </w:rPr>
              <w:t>Reúne los criterios de OI/OR</w:t>
            </w:r>
          </w:p>
        </w:tc>
        <w:tc>
          <w:tcPr>
            <w:tcW w:w="2697" w:type="dxa"/>
          </w:tcPr>
          <w:p w:rsidR="000A58BF" w:rsidRPr="005322C4" w:rsidRDefault="000A58BF" w:rsidP="004A590E">
            <w:pPr>
              <w:pStyle w:val="TableHead0"/>
              <w:keepLines/>
              <w:spacing w:before="50" w:after="50"/>
              <w:rPr>
                <w:rFonts w:asciiTheme="minorHAnsi" w:hAnsiTheme="minorHAnsi" w:cs="Calibri"/>
                <w:szCs w:val="24"/>
                <w:lang w:val="es-ES_tradnl"/>
              </w:rPr>
            </w:pPr>
            <w:r w:rsidRPr="005322C4">
              <w:rPr>
                <w:rFonts w:asciiTheme="minorHAnsi" w:hAnsiTheme="minorHAnsi" w:cs="Calibri"/>
                <w:szCs w:val="24"/>
                <w:lang w:val="es-ES_tradnl"/>
              </w:rPr>
              <w:t>Reciprocidad/beneficios para la UIT</w:t>
            </w:r>
          </w:p>
        </w:tc>
        <w:tc>
          <w:tcPr>
            <w:tcW w:w="1847" w:type="dxa"/>
          </w:tcPr>
          <w:p w:rsidR="000A58BF" w:rsidRPr="005322C4" w:rsidRDefault="000A58BF" w:rsidP="004A590E">
            <w:pPr>
              <w:pStyle w:val="TableHead0"/>
              <w:keepLines/>
              <w:spacing w:before="50" w:after="50"/>
              <w:rPr>
                <w:rFonts w:asciiTheme="minorHAnsi" w:hAnsiTheme="minorHAnsi" w:cs="Calibri"/>
                <w:szCs w:val="24"/>
                <w:lang w:val="es-ES_tradnl"/>
              </w:rPr>
            </w:pPr>
            <w:r w:rsidRPr="005322C4">
              <w:rPr>
                <w:rFonts w:asciiTheme="minorHAnsi" w:hAnsiTheme="minorHAnsi" w:cs="Calibri"/>
                <w:szCs w:val="24"/>
                <w:lang w:val="es-ES_tradnl"/>
              </w:rPr>
              <w:t>Recomendación del SG</w:t>
            </w:r>
          </w:p>
        </w:tc>
      </w:tr>
      <w:tr w:rsidR="000A58BF" w:rsidRPr="005322C4" w:rsidTr="00A45B9F">
        <w:trPr>
          <w:cantSplit/>
          <w:trHeight w:val="545"/>
          <w:jc w:val="center"/>
        </w:trPr>
        <w:tc>
          <w:tcPr>
            <w:tcW w:w="1835" w:type="dxa"/>
            <w:vAlign w:val="center"/>
          </w:tcPr>
          <w:p w:rsidR="000A58BF" w:rsidRPr="005322C4" w:rsidRDefault="000A58BF" w:rsidP="00A45B9F">
            <w:pPr>
              <w:pStyle w:val="Tabletext"/>
              <w:rPr>
                <w:rFonts w:cs="Calibri"/>
                <w:b/>
                <w:bCs/>
                <w:szCs w:val="24"/>
                <w:lang w:eastAsia="zh-CN"/>
              </w:rPr>
            </w:pPr>
            <w:r w:rsidRPr="005322C4">
              <w:rPr>
                <w:rFonts w:cs="Calibri"/>
                <w:b/>
                <w:bCs/>
                <w:szCs w:val="24"/>
                <w:lang w:eastAsia="zh-CN"/>
              </w:rPr>
              <w:t>Asociación de TIC de Zimbabwe</w:t>
            </w:r>
          </w:p>
        </w:tc>
        <w:tc>
          <w:tcPr>
            <w:tcW w:w="1134" w:type="dxa"/>
            <w:vAlign w:val="center"/>
          </w:tcPr>
          <w:p w:rsidR="000A58BF" w:rsidRPr="005322C4" w:rsidRDefault="000A58BF" w:rsidP="004A590E">
            <w:pPr>
              <w:pStyle w:val="Tabletext"/>
              <w:spacing w:before="50" w:after="50"/>
              <w:jc w:val="center"/>
            </w:pPr>
            <w:r w:rsidRPr="005322C4">
              <w:t>UIT-D</w:t>
            </w:r>
          </w:p>
        </w:tc>
        <w:tc>
          <w:tcPr>
            <w:tcW w:w="2126" w:type="dxa"/>
            <w:vAlign w:val="center"/>
          </w:tcPr>
          <w:p w:rsidR="000A58BF" w:rsidRPr="005322C4" w:rsidRDefault="000A58BF" w:rsidP="004A590E">
            <w:pPr>
              <w:pStyle w:val="Tabletext"/>
              <w:spacing w:before="50" w:after="50"/>
              <w:jc w:val="center"/>
            </w:pPr>
            <w:r w:rsidRPr="005322C4">
              <w:t>NO</w:t>
            </w:r>
          </w:p>
        </w:tc>
        <w:tc>
          <w:tcPr>
            <w:tcW w:w="2697" w:type="dxa"/>
            <w:vAlign w:val="center"/>
          </w:tcPr>
          <w:p w:rsidR="000A58BF" w:rsidRPr="005322C4" w:rsidRDefault="000A58BF" w:rsidP="004A590E">
            <w:pPr>
              <w:pStyle w:val="Tabletext"/>
              <w:spacing w:before="50" w:after="50"/>
              <w:jc w:val="center"/>
            </w:pPr>
            <w:r w:rsidRPr="005322C4">
              <w:t>--</w:t>
            </w:r>
          </w:p>
        </w:tc>
        <w:tc>
          <w:tcPr>
            <w:tcW w:w="1847" w:type="dxa"/>
            <w:vAlign w:val="center"/>
          </w:tcPr>
          <w:p w:rsidR="000A58BF" w:rsidRPr="005322C4" w:rsidRDefault="000A58BF" w:rsidP="004A590E">
            <w:pPr>
              <w:pStyle w:val="Tabletext"/>
              <w:spacing w:before="50" w:after="50"/>
              <w:jc w:val="center"/>
            </w:pPr>
            <w:r w:rsidRPr="005322C4">
              <w:t>NO</w:t>
            </w:r>
          </w:p>
        </w:tc>
      </w:tr>
    </w:tbl>
    <w:p w:rsidR="000A58BF" w:rsidRPr="005322C4" w:rsidRDefault="000A58BF" w:rsidP="00A45B9F">
      <w:pPr>
        <w:pStyle w:val="Normalaftertitle"/>
        <w:rPr>
          <w:rFonts w:asciiTheme="minorHAnsi" w:hAnsiTheme="minorHAnsi"/>
        </w:rPr>
      </w:pPr>
      <w:r w:rsidRPr="005322C4">
        <w:rPr>
          <w:rFonts w:asciiTheme="minorHAnsi" w:hAnsiTheme="minorHAnsi" w:cstheme="minorHAnsi"/>
          <w:b/>
        </w:rPr>
        <w:t>Observaciones</w:t>
      </w:r>
      <w:r w:rsidRPr="005322C4">
        <w:rPr>
          <w:rFonts w:asciiTheme="minorHAnsi" w:hAnsiTheme="minorHAnsi" w:cstheme="minorHAnsi"/>
        </w:rPr>
        <w:t>: La Asociación de Tecnologías de la Información y la Comunicación de</w:t>
      </w:r>
      <w:r w:rsidRPr="005322C4">
        <w:rPr>
          <w:lang w:eastAsia="zh-CN"/>
        </w:rPr>
        <w:t xml:space="preserve"> Zimbabwe (ICTAZ) es una comunidad de TIC cuya misión es empoderar a sus miembros y comunidades mediante la creación de una red de organizaciones y profesionales que desean desarrollar su potencial mediante eventos, creación de relaciones profesionales y sociales y patrocinios para el desarrollo sostenible de las TIC a escala nacional. La Secretaría considera que esta entidad no se ajusta a los criterios del Consejo para la definición de organización internacional/regional, pues se centra en un solo país.</w:t>
      </w:r>
    </w:p>
    <w:p w:rsidR="000A58BF" w:rsidRPr="005322C4" w:rsidRDefault="000A58BF" w:rsidP="00EE45BD">
      <w:pPr>
        <w:spacing w:after="120"/>
      </w:pPr>
      <w:r w:rsidRPr="005322C4">
        <w:t>3.8</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77"/>
        <w:gridCol w:w="992"/>
        <w:gridCol w:w="2126"/>
        <w:gridCol w:w="2697"/>
        <w:gridCol w:w="1847"/>
      </w:tblGrid>
      <w:tr w:rsidR="000A58BF" w:rsidRPr="005322C4" w:rsidTr="00A45B9F">
        <w:trPr>
          <w:cantSplit/>
          <w:trHeight w:val="865"/>
          <w:jc w:val="center"/>
        </w:trPr>
        <w:tc>
          <w:tcPr>
            <w:tcW w:w="1977" w:type="dxa"/>
          </w:tcPr>
          <w:p w:rsidR="000A58BF" w:rsidRPr="005322C4" w:rsidRDefault="000A58BF" w:rsidP="00A45B9F">
            <w:pPr>
              <w:pStyle w:val="TableHead0"/>
              <w:keepLines/>
              <w:spacing w:before="60" w:after="60"/>
              <w:rPr>
                <w:rFonts w:asciiTheme="minorHAnsi" w:hAnsiTheme="minorHAnsi" w:cs="Calibri"/>
                <w:szCs w:val="24"/>
                <w:lang w:val="es-ES_tradnl"/>
              </w:rPr>
            </w:pPr>
            <w:r w:rsidRPr="005322C4">
              <w:rPr>
                <w:rFonts w:asciiTheme="minorHAnsi" w:hAnsiTheme="minorHAnsi" w:cs="Calibri"/>
                <w:szCs w:val="24"/>
                <w:lang w:val="es-ES_tradnl"/>
              </w:rPr>
              <w:t>Organización</w:t>
            </w:r>
          </w:p>
        </w:tc>
        <w:tc>
          <w:tcPr>
            <w:tcW w:w="992" w:type="dxa"/>
          </w:tcPr>
          <w:p w:rsidR="000A58BF" w:rsidRPr="005322C4" w:rsidRDefault="000A58BF" w:rsidP="004A590E">
            <w:pPr>
              <w:pStyle w:val="TableHead0"/>
              <w:keepLines/>
              <w:spacing w:before="50" w:after="50"/>
              <w:rPr>
                <w:rFonts w:asciiTheme="minorHAnsi" w:hAnsiTheme="minorHAnsi" w:cs="Calibri"/>
                <w:szCs w:val="24"/>
                <w:lang w:val="es-ES_tradnl"/>
              </w:rPr>
            </w:pPr>
            <w:r w:rsidRPr="005322C4">
              <w:rPr>
                <w:rFonts w:asciiTheme="minorHAnsi" w:hAnsiTheme="minorHAnsi" w:cs="Calibri"/>
                <w:szCs w:val="24"/>
                <w:lang w:val="es-ES_tradnl"/>
              </w:rPr>
              <w:t>Sector</w:t>
            </w:r>
          </w:p>
        </w:tc>
        <w:tc>
          <w:tcPr>
            <w:tcW w:w="2126" w:type="dxa"/>
          </w:tcPr>
          <w:p w:rsidR="000A58BF" w:rsidRPr="005322C4" w:rsidRDefault="000A58BF" w:rsidP="004A590E">
            <w:pPr>
              <w:pStyle w:val="TableHead0"/>
              <w:keepLines/>
              <w:spacing w:before="50" w:after="50"/>
              <w:rPr>
                <w:rFonts w:asciiTheme="minorHAnsi" w:hAnsiTheme="minorHAnsi" w:cs="Calibri"/>
                <w:szCs w:val="24"/>
                <w:lang w:val="es-ES_tradnl"/>
              </w:rPr>
            </w:pPr>
            <w:r w:rsidRPr="005322C4">
              <w:rPr>
                <w:rFonts w:asciiTheme="minorHAnsi" w:hAnsiTheme="minorHAnsi" w:cs="Calibri"/>
                <w:szCs w:val="24"/>
                <w:lang w:val="es-ES_tradnl"/>
              </w:rPr>
              <w:t>Reúne los criterios de OI/OR</w:t>
            </w:r>
          </w:p>
        </w:tc>
        <w:tc>
          <w:tcPr>
            <w:tcW w:w="2697" w:type="dxa"/>
          </w:tcPr>
          <w:p w:rsidR="000A58BF" w:rsidRPr="005322C4" w:rsidRDefault="000A58BF" w:rsidP="004A590E">
            <w:pPr>
              <w:pStyle w:val="TableHead0"/>
              <w:keepLines/>
              <w:spacing w:before="50" w:after="50"/>
              <w:rPr>
                <w:rFonts w:asciiTheme="minorHAnsi" w:hAnsiTheme="minorHAnsi" w:cs="Calibri"/>
                <w:szCs w:val="24"/>
                <w:lang w:val="es-ES_tradnl"/>
              </w:rPr>
            </w:pPr>
            <w:r w:rsidRPr="005322C4">
              <w:rPr>
                <w:rFonts w:asciiTheme="minorHAnsi" w:hAnsiTheme="minorHAnsi" w:cs="Calibri"/>
                <w:szCs w:val="24"/>
                <w:lang w:val="es-ES_tradnl"/>
              </w:rPr>
              <w:t>Reciprocidad/beneficios para la UIT</w:t>
            </w:r>
          </w:p>
        </w:tc>
        <w:tc>
          <w:tcPr>
            <w:tcW w:w="1847" w:type="dxa"/>
          </w:tcPr>
          <w:p w:rsidR="000A58BF" w:rsidRPr="005322C4" w:rsidRDefault="000A58BF" w:rsidP="004A590E">
            <w:pPr>
              <w:pStyle w:val="TableHead0"/>
              <w:keepLines/>
              <w:spacing w:before="50" w:after="50"/>
              <w:rPr>
                <w:rFonts w:asciiTheme="minorHAnsi" w:hAnsiTheme="minorHAnsi" w:cs="Calibri"/>
                <w:szCs w:val="24"/>
                <w:lang w:val="es-ES_tradnl"/>
              </w:rPr>
            </w:pPr>
            <w:r w:rsidRPr="005322C4">
              <w:rPr>
                <w:rFonts w:asciiTheme="minorHAnsi" w:hAnsiTheme="minorHAnsi" w:cs="Calibri"/>
                <w:szCs w:val="24"/>
                <w:lang w:val="es-ES_tradnl"/>
              </w:rPr>
              <w:t>Recomendación del SG</w:t>
            </w:r>
          </w:p>
        </w:tc>
      </w:tr>
      <w:tr w:rsidR="000A58BF" w:rsidRPr="005322C4" w:rsidTr="00A45B9F">
        <w:trPr>
          <w:cantSplit/>
          <w:trHeight w:val="142"/>
          <w:jc w:val="center"/>
        </w:trPr>
        <w:tc>
          <w:tcPr>
            <w:tcW w:w="1977" w:type="dxa"/>
            <w:vAlign w:val="center"/>
          </w:tcPr>
          <w:p w:rsidR="000A58BF" w:rsidRPr="005322C4" w:rsidRDefault="000A58BF" w:rsidP="00A45B9F">
            <w:pPr>
              <w:pStyle w:val="Tabletext"/>
              <w:rPr>
                <w:rFonts w:asciiTheme="minorHAnsi" w:hAnsiTheme="minorHAnsi" w:cs="Calibri"/>
                <w:b/>
                <w:bCs/>
                <w:iCs/>
                <w:szCs w:val="24"/>
              </w:rPr>
            </w:pPr>
            <w:r w:rsidRPr="005322C4">
              <w:rPr>
                <w:rFonts w:asciiTheme="minorHAnsi" w:hAnsiTheme="minorHAnsi" w:cs="Calibri"/>
                <w:b/>
                <w:bCs/>
                <w:szCs w:val="24"/>
              </w:rPr>
              <w:t>WEB Foundation</w:t>
            </w:r>
          </w:p>
        </w:tc>
        <w:tc>
          <w:tcPr>
            <w:tcW w:w="992" w:type="dxa"/>
            <w:vAlign w:val="center"/>
          </w:tcPr>
          <w:p w:rsidR="000A58BF" w:rsidRPr="005322C4" w:rsidRDefault="000A58BF" w:rsidP="004A590E">
            <w:pPr>
              <w:pStyle w:val="Tabletext"/>
              <w:spacing w:before="50" w:after="50"/>
              <w:jc w:val="center"/>
            </w:pPr>
            <w:r w:rsidRPr="005322C4">
              <w:t>UIT-D</w:t>
            </w:r>
          </w:p>
        </w:tc>
        <w:tc>
          <w:tcPr>
            <w:tcW w:w="2126" w:type="dxa"/>
            <w:vAlign w:val="center"/>
          </w:tcPr>
          <w:p w:rsidR="000A58BF" w:rsidRPr="005322C4" w:rsidRDefault="000A58BF" w:rsidP="004A590E">
            <w:pPr>
              <w:pStyle w:val="Tabletext"/>
              <w:spacing w:before="50" w:after="50"/>
              <w:jc w:val="center"/>
            </w:pPr>
            <w:r w:rsidRPr="005322C4">
              <w:t>SÍ</w:t>
            </w:r>
          </w:p>
        </w:tc>
        <w:tc>
          <w:tcPr>
            <w:tcW w:w="2697" w:type="dxa"/>
            <w:shd w:val="clear" w:color="auto" w:fill="auto"/>
            <w:vAlign w:val="center"/>
          </w:tcPr>
          <w:p w:rsidR="000A58BF" w:rsidRPr="005322C4" w:rsidRDefault="000A58BF" w:rsidP="004A590E">
            <w:pPr>
              <w:pStyle w:val="Tabletext"/>
              <w:spacing w:before="50" w:after="50"/>
              <w:jc w:val="center"/>
            </w:pPr>
            <w:r w:rsidRPr="005322C4">
              <w:t>SÍ</w:t>
            </w:r>
          </w:p>
        </w:tc>
        <w:tc>
          <w:tcPr>
            <w:tcW w:w="1847" w:type="dxa"/>
            <w:shd w:val="clear" w:color="auto" w:fill="auto"/>
            <w:vAlign w:val="center"/>
          </w:tcPr>
          <w:p w:rsidR="000A58BF" w:rsidRPr="005322C4" w:rsidRDefault="000A58BF" w:rsidP="004A590E">
            <w:pPr>
              <w:pStyle w:val="Tabletext"/>
              <w:spacing w:before="50" w:after="50"/>
              <w:jc w:val="center"/>
            </w:pPr>
            <w:r w:rsidRPr="005322C4">
              <w:t>SÍ</w:t>
            </w:r>
          </w:p>
        </w:tc>
      </w:tr>
    </w:tbl>
    <w:p w:rsidR="004A590E" w:rsidRPr="005322C4" w:rsidRDefault="000A58BF" w:rsidP="00A45B9F">
      <w:pPr>
        <w:pStyle w:val="Normalaftertitle"/>
        <w:rPr>
          <w:rFonts w:asciiTheme="minorHAnsi" w:hAnsiTheme="minorHAnsi" w:cs="Calibri"/>
        </w:rPr>
      </w:pPr>
      <w:r w:rsidRPr="005322C4">
        <w:rPr>
          <w:b/>
        </w:rPr>
        <w:t>Observaciones</w:t>
      </w:r>
      <w:r w:rsidRPr="005322C4">
        <w:t>: La World Wide Web Foundation (también denominada Web Foundation) es una organización dedicada a la mejora y disponibilidad de la World Wide Web. Es una red que cuenta con 160 organizaciones asociadas de 70 países. Su misión es lograr que la web abierta sea un bien público y un derecho básico a nivel mundial y garantizar que todas las personas pueden acceder a ella y utilizarla libremente. La Secretaría considera que la Web Foundation se ajusta a los criterios del Consejo para la definición de organización internacional/regional, así como de reciprocidad y beneficios para la UIT.</w:t>
      </w:r>
      <w:r w:rsidR="004A590E" w:rsidRPr="005322C4">
        <w:rPr>
          <w:rFonts w:asciiTheme="minorHAnsi" w:hAnsiTheme="minorHAnsi" w:cs="Calibri"/>
        </w:rPr>
        <w:br w:type="page"/>
      </w:r>
    </w:p>
    <w:p w:rsidR="000A58BF" w:rsidRPr="005322C4" w:rsidRDefault="000A58BF" w:rsidP="000A58BF">
      <w:pPr>
        <w:pStyle w:val="AnnexNo"/>
      </w:pPr>
      <w:r w:rsidRPr="005322C4">
        <w:lastRenderedPageBreak/>
        <w:t xml:space="preserve">AnexO </w:t>
      </w:r>
    </w:p>
    <w:p w:rsidR="000A58BF" w:rsidRPr="005322C4" w:rsidRDefault="004A590E" w:rsidP="004A590E">
      <w:pPr>
        <w:pStyle w:val="Annextitle"/>
      </w:pPr>
      <w:r w:rsidRPr="005322C4">
        <w:t>Exoneración de pago de la cuota de afiliación</w:t>
      </w:r>
      <w:r w:rsidRPr="005322C4">
        <w:br/>
        <w:t>para las organizaciones de carácter internacional</w:t>
      </w:r>
    </w:p>
    <w:p w:rsidR="000A58BF" w:rsidRPr="005322C4" w:rsidRDefault="000A58BF" w:rsidP="004A590E">
      <w:pPr>
        <w:pStyle w:val="Normalaftertitle"/>
      </w:pPr>
      <w:r w:rsidRPr="005322C4">
        <w:t>A lo largo de los años el Consejo ha exonerado a ciertas organizaciones de carácter internacional de sus obligaciones financieras para sufragar los gastos inherentes a las conferencias y reuniones de la UIT.</w:t>
      </w:r>
    </w:p>
    <w:p w:rsidR="000A58BF" w:rsidRPr="005322C4" w:rsidRDefault="000A58BF" w:rsidP="004A590E">
      <w:pPr>
        <w:pStyle w:val="Heading1"/>
      </w:pPr>
      <w:r w:rsidRPr="005322C4">
        <w:t>1</w:t>
      </w:r>
      <w:r w:rsidRPr="005322C4">
        <w:tab/>
        <w:t>Criterios y directrices</w:t>
      </w:r>
    </w:p>
    <w:p w:rsidR="000A58BF" w:rsidRPr="005322C4" w:rsidRDefault="000A58BF" w:rsidP="004A590E">
      <w:r w:rsidRPr="005322C4">
        <w:t>1.1</w:t>
      </w:r>
      <w:r w:rsidRPr="005322C4">
        <w:tab/>
        <w:t xml:space="preserve">De conformidad con el número 476 del Convenio, el Consejo podría exonerar del pago de la cuota de afiliación a las organizaciones de carácter internacional, con sujeción a la </w:t>
      </w:r>
      <w:r w:rsidR="005322C4">
        <w:t>"</w:t>
      </w:r>
      <w:r w:rsidRPr="005322C4">
        <w:t>reciprocidad</w:t>
      </w:r>
      <w:r w:rsidR="005322C4">
        <w:t>"</w:t>
      </w:r>
      <w:r w:rsidRPr="005322C4">
        <w:t xml:space="preserve">. Se entiende por </w:t>
      </w:r>
      <w:r w:rsidR="005322C4">
        <w:t>"</w:t>
      </w:r>
      <w:r w:rsidRPr="005322C4">
        <w:t>reciprocidad</w:t>
      </w:r>
      <w:r w:rsidR="005322C4">
        <w:t>"</w:t>
      </w:r>
      <w:r w:rsidRPr="005322C4">
        <w:t xml:space="preserve"> los beneficios mutuos y similares que podría suponer tanto para la UIT como para la organización interesada el hecho de que esta última participe en las actividades pertinentes de la UIT.</w:t>
      </w:r>
    </w:p>
    <w:p w:rsidR="000A58BF" w:rsidRPr="005322C4" w:rsidRDefault="000A58BF" w:rsidP="004A590E">
      <w:r w:rsidRPr="005322C4">
        <w:t>1.2</w:t>
      </w:r>
      <w:r w:rsidRPr="005322C4">
        <w:tab/>
      </w:r>
      <w:r w:rsidR="006110BB" w:rsidRPr="005322C4">
        <w:t xml:space="preserve">Para </w:t>
      </w:r>
      <w:r w:rsidRPr="005322C4">
        <w:t xml:space="preserve">cumplir las condiciones que conducen a la concertación de este tipo de acuerdo recíproco, la organización interesada deberá cumplir </w:t>
      </w:r>
      <w:r w:rsidRPr="005322C4">
        <w:rPr>
          <w:i/>
          <w:iCs/>
        </w:rPr>
        <w:t>todos</w:t>
      </w:r>
      <w:r w:rsidRPr="005322C4">
        <w:t xml:space="preserve"> los criterios siguientes:</w:t>
      </w:r>
    </w:p>
    <w:p w:rsidR="000A58BF" w:rsidRPr="005322C4" w:rsidRDefault="000A58BF" w:rsidP="004A590E">
      <w:pPr>
        <w:pStyle w:val="enumlev1"/>
      </w:pPr>
      <w:r w:rsidRPr="005322C4">
        <w:t>–</w:t>
      </w:r>
      <w:r w:rsidRPr="005322C4">
        <w:tab/>
        <w:t>ser una organización de carácter internacional dedicada a las telecomunicaciones;</w:t>
      </w:r>
    </w:p>
    <w:p w:rsidR="000A58BF" w:rsidRPr="005322C4" w:rsidRDefault="000A58BF" w:rsidP="004A590E">
      <w:pPr>
        <w:pStyle w:val="enumlev1"/>
      </w:pPr>
      <w:r w:rsidRPr="005322C4">
        <w:t>–</w:t>
      </w:r>
      <w:r w:rsidRPr="005322C4">
        <w:tab/>
        <w:t>ser una organización sin fines lucrativos legalmente reconocida, que representa a miembros que también actúan sin fines lucrativos;</w:t>
      </w:r>
    </w:p>
    <w:p w:rsidR="000A58BF" w:rsidRPr="005322C4" w:rsidRDefault="000A58BF" w:rsidP="006110BB">
      <w:pPr>
        <w:pStyle w:val="enumlev1"/>
      </w:pPr>
      <w:r w:rsidRPr="005322C4">
        <w:t>–</w:t>
      </w:r>
      <w:r w:rsidRPr="005322C4">
        <w:tab/>
        <w:t>cont</w:t>
      </w:r>
      <w:r w:rsidR="006110BB">
        <w:t>ar</w:t>
      </w:r>
      <w:r w:rsidRPr="005322C4">
        <w:t xml:space="preserve"> con miembros con una presencia y actividades significativas en varios Estados Miembros cuya participación en las actividades de la UIT redundaría en beneficio de los objetivos de la Unión;</w:t>
      </w:r>
    </w:p>
    <w:p w:rsidR="000A58BF" w:rsidRPr="005322C4" w:rsidRDefault="000A58BF" w:rsidP="004A590E">
      <w:pPr>
        <w:pStyle w:val="enumlev1"/>
      </w:pPr>
      <w:r w:rsidRPr="005322C4">
        <w:t>–</w:t>
      </w:r>
      <w:r w:rsidRPr="005322C4">
        <w:tab/>
        <w:t>permitir que la UIT esté representada y participe en las reuniones de la organización a título gratuito y con los derechos y beneficios concedidos a sus miembros;</w:t>
      </w:r>
    </w:p>
    <w:p w:rsidR="000A58BF" w:rsidRPr="005322C4" w:rsidRDefault="000A58BF" w:rsidP="004A590E">
      <w:pPr>
        <w:pStyle w:val="enumlev1"/>
      </w:pPr>
      <w:r w:rsidRPr="005322C4">
        <w:t>–</w:t>
      </w:r>
      <w:r w:rsidRPr="005322C4">
        <w:tab/>
        <w:t>ofrecer a la UIT acceso a la documentación pertinente, incluida la información disponible sólo para los miembros</w:t>
      </w:r>
      <w:r w:rsidR="004A590E" w:rsidRPr="005322C4">
        <w:rPr>
          <w:rStyle w:val="FootnoteReference"/>
        </w:rPr>
        <w:footnoteReference w:id="1"/>
      </w:r>
      <w:r w:rsidRPr="005322C4">
        <w:t>.</w:t>
      </w:r>
    </w:p>
    <w:p w:rsidR="000A58BF" w:rsidRPr="005322C4" w:rsidRDefault="000A58BF" w:rsidP="004A590E">
      <w:r w:rsidRPr="005322C4">
        <w:t>1.3</w:t>
      </w:r>
      <w:r w:rsidRPr="005322C4">
        <w:tab/>
        <w:t>Para tomar una decisión encaminada a la concesión de la exoneración, el Consejo tendrá en cuenta las opiniones expresadas por el Secretario General, en el marco de las cuales se deberán determinar:</w:t>
      </w:r>
    </w:p>
    <w:p w:rsidR="000A58BF" w:rsidRPr="005322C4" w:rsidRDefault="000A58BF" w:rsidP="000A58BF">
      <w:pPr>
        <w:pStyle w:val="enumlev1"/>
      </w:pPr>
      <w:r w:rsidRPr="005322C4">
        <w:t>–</w:t>
      </w:r>
      <w:r w:rsidRPr="005322C4">
        <w:tab/>
        <w:t>las ventajas que supondría para la UIT que la organización participara en sus actividades;</w:t>
      </w:r>
    </w:p>
    <w:p w:rsidR="000A58BF" w:rsidRPr="005322C4" w:rsidRDefault="000A58BF" w:rsidP="004A590E">
      <w:pPr>
        <w:pStyle w:val="enumlev1"/>
      </w:pPr>
      <w:r w:rsidRPr="005322C4">
        <w:t>–</w:t>
      </w:r>
      <w:r w:rsidRPr="005322C4">
        <w:tab/>
        <w:t>los beneficios dimanantes de la participación de la UIT en las actividades de la organización.</w:t>
      </w:r>
    </w:p>
    <w:p w:rsidR="000A58BF" w:rsidRPr="005322C4" w:rsidRDefault="000A58BF" w:rsidP="000A58BF">
      <w:pPr>
        <w:pStyle w:val="Heading1"/>
        <w:rPr>
          <w:sz w:val="24"/>
          <w:szCs w:val="18"/>
        </w:rPr>
      </w:pPr>
      <w:r w:rsidRPr="005322C4">
        <w:t>2</w:t>
      </w:r>
      <w:r w:rsidRPr="005322C4">
        <w:tab/>
      </w:r>
      <w:r w:rsidRPr="005322C4">
        <w:rPr>
          <w:sz w:val="24"/>
          <w:szCs w:val="18"/>
        </w:rPr>
        <w:t>Procedimiento</w:t>
      </w:r>
    </w:p>
    <w:p w:rsidR="000A58BF" w:rsidRPr="005322C4" w:rsidRDefault="000A58BF" w:rsidP="004A590E">
      <w:r w:rsidRPr="005322C4">
        <w:t>2.1</w:t>
      </w:r>
      <w:r w:rsidRPr="005322C4">
        <w:tab/>
        <w:t>Toda solicitud de exoneración se presentará por escrito al Secretario General. Ésta se someterá a la consideración del Consejo, acompañada de pruebas justificativas de la solicitud (§ 1.2) y de los comentarios del Secretario General (§ 1.3).</w:t>
      </w:r>
    </w:p>
    <w:p w:rsidR="000A58BF" w:rsidRPr="005322C4" w:rsidRDefault="000A58BF" w:rsidP="004A590E">
      <w:r w:rsidRPr="005322C4">
        <w:lastRenderedPageBreak/>
        <w:t>2.2</w:t>
      </w:r>
      <w:r w:rsidRPr="005322C4">
        <w:tab/>
        <w:t>El Secretario General examinará la solicitud de exoneración de conformidad con los criterios estipulados en los anteriores § 1.2 y 1.3 y comunicará sus conclusiones a la siguiente reunión del Consejo, según proceda.</w:t>
      </w:r>
    </w:p>
    <w:p w:rsidR="000A58BF" w:rsidRPr="005322C4" w:rsidRDefault="000A58BF" w:rsidP="004A590E">
      <w:r w:rsidRPr="005322C4">
        <w:t>2.3</w:t>
      </w:r>
      <w:r w:rsidRPr="005322C4">
        <w:tab/>
        <w:t>Si el Consejo aprueba la solicitud de exoneración, ésta entrará inmediatamente en vigor a partir de la fecha de la Sesión Plenaria en la cual se adopte la decisión. A menos que lo decida el Consejo en casos excepcionales, la exoneración no podrá tener carácter retroactivo. Las entidades exoneradas por el Consejo seguirán siendo responsables de toda cuantía adeudada antes de la fecha efectiva de la exoneración.</w:t>
      </w:r>
    </w:p>
    <w:p w:rsidR="000A58BF" w:rsidRPr="005322C4" w:rsidRDefault="000A58BF" w:rsidP="004A590E">
      <w:r w:rsidRPr="005322C4">
        <w:t>2.4</w:t>
      </w:r>
      <w:r w:rsidRPr="005322C4">
        <w:tab/>
      </w:r>
      <w:r w:rsidR="006110BB" w:rsidRPr="005322C4">
        <w:t xml:space="preserve">La </w:t>
      </w:r>
      <w:r w:rsidRPr="005322C4">
        <w:t>exoneración será válida hasta la siguiente Conferencia de Plenipotenciarios, aunque el Consejo puede en cualquier momento decidir revocar la situación de exoneración de pago de toda entidad que ya no cumpla los criterios indicados anteriormente. En cada Conferencia de Plenipotenciarios se examinará la lista de instituciones con exoneración de pago existentes y se decidirá cuáles seguirán beneficiándose de dicha exoneración.</w:t>
      </w:r>
    </w:p>
    <w:p w:rsidR="000A58BF" w:rsidRPr="005322C4" w:rsidRDefault="000A58BF" w:rsidP="004A590E">
      <w:r w:rsidRPr="005322C4">
        <w:t>2.5</w:t>
      </w:r>
      <w:r w:rsidRPr="005322C4">
        <w:tab/>
        <w:t>La lista de entidades exoneradas se po</w:t>
      </w:r>
      <w:r w:rsidR="006110BB">
        <w:t>n</w:t>
      </w:r>
      <w:bookmarkStart w:id="9" w:name="_GoBack"/>
      <w:bookmarkEnd w:id="9"/>
      <w:r w:rsidRPr="005322C4">
        <w:t>drá a disposición pública en el sitio web de la UIT.</w:t>
      </w:r>
    </w:p>
    <w:p w:rsidR="004A590E" w:rsidRPr="005322C4" w:rsidRDefault="004A590E" w:rsidP="0032202E">
      <w:pPr>
        <w:pStyle w:val="Reasons"/>
      </w:pPr>
    </w:p>
    <w:p w:rsidR="004A590E" w:rsidRPr="005322C4" w:rsidRDefault="004A590E">
      <w:pPr>
        <w:jc w:val="center"/>
      </w:pPr>
      <w:r w:rsidRPr="005322C4">
        <w:t>______________</w:t>
      </w:r>
    </w:p>
    <w:sectPr w:rsidR="004A590E" w:rsidRPr="005322C4" w:rsidSect="006710F6">
      <w:headerReference w:type="default" r:id="rId16"/>
      <w:footerReference w:type="default" r:id="rId17"/>
      <w:footerReference w:type="first" r:id="rId1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9F5" w:rsidRDefault="000479F5">
      <w:r>
        <w:separator/>
      </w:r>
    </w:p>
  </w:endnote>
  <w:endnote w:type="continuationSeparator" w:id="0">
    <w:p w:rsidR="000479F5" w:rsidRDefault="0004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Pr="002B2FD3" w:rsidRDefault="002B2FD3" w:rsidP="002B2FD3">
    <w:pPr>
      <w:pStyle w:val="Footer"/>
      <w:rPr>
        <w:lang w:val="fr-CH"/>
      </w:rPr>
    </w:pPr>
    <w:r>
      <w:fldChar w:fldCharType="begin"/>
    </w:r>
    <w:r w:rsidRPr="002B2FD3">
      <w:rPr>
        <w:lang w:val="fr-CH"/>
      </w:rPr>
      <w:instrText xml:space="preserve"> FILENAME \p  \* MERGEFORMAT </w:instrText>
    </w:r>
    <w:r>
      <w:fldChar w:fldCharType="separate"/>
    </w:r>
    <w:r w:rsidR="0013651F">
      <w:rPr>
        <w:lang w:val="fr-CH"/>
      </w:rPr>
      <w:t>P:\ESP\SG\CONSEIL\C18\000\072S.docx</w:t>
    </w:r>
    <w:r>
      <w:fldChar w:fldCharType="end"/>
    </w:r>
    <w:r w:rsidRPr="002B2FD3">
      <w:rPr>
        <w:lang w:val="fr-CH"/>
      </w:rPr>
      <w:t xml:space="preserve"> (</w:t>
    </w:r>
    <w:r>
      <w:rPr>
        <w:lang w:val="fr-CH"/>
      </w:rPr>
      <w:t>433532</w:t>
    </w:r>
    <w:r w:rsidRPr="002B2FD3">
      <w:rPr>
        <w:lang w:val="fr-CH"/>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9F5" w:rsidRDefault="000479F5">
      <w:r>
        <w:t>____________________</w:t>
      </w:r>
    </w:p>
  </w:footnote>
  <w:footnote w:type="continuationSeparator" w:id="0">
    <w:p w:rsidR="000479F5" w:rsidRDefault="000479F5">
      <w:r>
        <w:continuationSeparator/>
      </w:r>
    </w:p>
  </w:footnote>
  <w:footnote w:id="1">
    <w:p w:rsidR="004A590E" w:rsidRPr="004A590E" w:rsidRDefault="004A590E" w:rsidP="004A590E">
      <w:pPr>
        <w:pStyle w:val="FootnoteText"/>
        <w:rPr>
          <w:lang w:val="es-ES"/>
        </w:rPr>
      </w:pPr>
      <w:r>
        <w:rPr>
          <w:rStyle w:val="FootnoteReference"/>
        </w:rPr>
        <w:footnoteRef/>
      </w:r>
      <w:r>
        <w:tab/>
      </w:r>
      <w:r w:rsidRPr="004A590E">
        <w:t xml:space="preserve">Significa facilitar un acceso recíproco a la información y la documentación de manera similar al acceso ofrecido por la UIT a sus </w:t>
      </w:r>
      <w:r w:rsidR="006110BB" w:rsidRPr="004A590E">
        <w:t xml:space="preserve">miembros </w:t>
      </w:r>
      <w:r w:rsidRPr="004A590E">
        <w:t>mediante el sistema de acceso restringido 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0B7C15" w:rsidP="007657F0">
    <w:pPr>
      <w:pStyle w:val="Header"/>
    </w:pPr>
    <w:r>
      <w:fldChar w:fldCharType="begin"/>
    </w:r>
    <w:r>
      <w:instrText>PAGE</w:instrText>
    </w:r>
    <w:r>
      <w:fldChar w:fldCharType="separate"/>
    </w:r>
    <w:r w:rsidR="006110BB">
      <w:rPr>
        <w:noProof/>
      </w:rPr>
      <w:t>5</w:t>
    </w:r>
    <w:r>
      <w:rPr>
        <w:noProof/>
      </w:rPr>
      <w:fldChar w:fldCharType="end"/>
    </w:r>
  </w:p>
  <w:p w:rsidR="00760F1C" w:rsidRDefault="00760F1C" w:rsidP="002B2FD3">
    <w:pPr>
      <w:pStyle w:val="Header"/>
    </w:pPr>
    <w:r>
      <w:t>C</w:t>
    </w:r>
    <w:r w:rsidR="007F350B">
      <w:t>1</w:t>
    </w:r>
    <w:r w:rsidR="009F4811">
      <w:t>8</w:t>
    </w:r>
    <w:r>
      <w:t>/</w:t>
    </w:r>
    <w:r w:rsidR="002B2FD3">
      <w:t>72</w:t>
    </w:r>
    <w: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F5"/>
    <w:rsid w:val="000479F5"/>
    <w:rsid w:val="00093EEB"/>
    <w:rsid w:val="000A58BF"/>
    <w:rsid w:val="000B0D00"/>
    <w:rsid w:val="000B7C15"/>
    <w:rsid w:val="000D1D0F"/>
    <w:rsid w:val="000F5290"/>
    <w:rsid w:val="0010165C"/>
    <w:rsid w:val="0013651F"/>
    <w:rsid w:val="00146BFB"/>
    <w:rsid w:val="001F14A2"/>
    <w:rsid w:val="002801AA"/>
    <w:rsid w:val="002B2FD3"/>
    <w:rsid w:val="002C4676"/>
    <w:rsid w:val="002C70B0"/>
    <w:rsid w:val="002F3CC4"/>
    <w:rsid w:val="004A590E"/>
    <w:rsid w:val="00513630"/>
    <w:rsid w:val="005322C4"/>
    <w:rsid w:val="00560125"/>
    <w:rsid w:val="00585553"/>
    <w:rsid w:val="005B34D9"/>
    <w:rsid w:val="005D0CCF"/>
    <w:rsid w:val="005F3BCB"/>
    <w:rsid w:val="005F410F"/>
    <w:rsid w:val="0060149A"/>
    <w:rsid w:val="00601924"/>
    <w:rsid w:val="006110BB"/>
    <w:rsid w:val="006447EA"/>
    <w:rsid w:val="0064731F"/>
    <w:rsid w:val="006710F6"/>
    <w:rsid w:val="006C1B56"/>
    <w:rsid w:val="006D4761"/>
    <w:rsid w:val="00726872"/>
    <w:rsid w:val="00760F1C"/>
    <w:rsid w:val="007657F0"/>
    <w:rsid w:val="0077252D"/>
    <w:rsid w:val="007E5DD3"/>
    <w:rsid w:val="007F350B"/>
    <w:rsid w:val="00820BE4"/>
    <w:rsid w:val="008451E8"/>
    <w:rsid w:val="00913B9C"/>
    <w:rsid w:val="00956E77"/>
    <w:rsid w:val="009F4811"/>
    <w:rsid w:val="00A45B9F"/>
    <w:rsid w:val="00AA390C"/>
    <w:rsid w:val="00B0200A"/>
    <w:rsid w:val="00B574DB"/>
    <w:rsid w:val="00B826C2"/>
    <w:rsid w:val="00B8298E"/>
    <w:rsid w:val="00BD0723"/>
    <w:rsid w:val="00BD2518"/>
    <w:rsid w:val="00BE0234"/>
    <w:rsid w:val="00BF1D1C"/>
    <w:rsid w:val="00C20C59"/>
    <w:rsid w:val="00C55B1F"/>
    <w:rsid w:val="00CF1A67"/>
    <w:rsid w:val="00D2750E"/>
    <w:rsid w:val="00D62446"/>
    <w:rsid w:val="00DA4EA2"/>
    <w:rsid w:val="00DC3D3E"/>
    <w:rsid w:val="00DE2C90"/>
    <w:rsid w:val="00DE3B24"/>
    <w:rsid w:val="00E06947"/>
    <w:rsid w:val="00E3592D"/>
    <w:rsid w:val="00E92DE8"/>
    <w:rsid w:val="00EB1212"/>
    <w:rsid w:val="00ED65AB"/>
    <w:rsid w:val="00EE45BD"/>
    <w:rsid w:val="00F12850"/>
    <w:rsid w:val="00F33BF4"/>
    <w:rsid w:val="00F7105E"/>
    <w:rsid w:val="00F75F57"/>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64D0B18-A68E-405D-A9CB-D79B351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link w:val="Heading1Char"/>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link w:val="enumlev1Char"/>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TableHead0">
    <w:name w:val="Table_Head"/>
    <w:basedOn w:val="Normal"/>
    <w:rsid w:val="000A58BF"/>
    <w:pPr>
      <w:keepNext/>
      <w:tabs>
        <w:tab w:val="left" w:pos="284"/>
        <w:tab w:val="left" w:pos="851"/>
        <w:tab w:val="left" w:pos="1418"/>
        <w:tab w:val="left" w:pos="2552"/>
        <w:tab w:val="left" w:pos="3119"/>
        <w:tab w:val="left" w:pos="3402"/>
        <w:tab w:val="left" w:pos="3686"/>
        <w:tab w:val="left" w:pos="3969"/>
      </w:tabs>
      <w:spacing w:before="80" w:after="80"/>
      <w:jc w:val="center"/>
    </w:pPr>
    <w:rPr>
      <w:b/>
      <w:lang w:val="en-GB"/>
    </w:rPr>
  </w:style>
  <w:style w:type="paragraph" w:customStyle="1" w:styleId="TableText0">
    <w:name w:val="Table_Text"/>
    <w:basedOn w:val="Normal"/>
    <w:rsid w:val="000A58BF"/>
    <w:pPr>
      <w:tabs>
        <w:tab w:val="left" w:pos="284"/>
        <w:tab w:val="left" w:pos="851"/>
        <w:tab w:val="left" w:pos="1418"/>
        <w:tab w:val="left" w:pos="2552"/>
        <w:tab w:val="left" w:pos="3119"/>
        <w:tab w:val="left" w:pos="3402"/>
        <w:tab w:val="left" w:pos="3686"/>
        <w:tab w:val="left" w:pos="3969"/>
      </w:tabs>
      <w:spacing w:before="40" w:after="40"/>
    </w:pPr>
    <w:rPr>
      <w:lang w:val="en-GB"/>
    </w:rPr>
  </w:style>
  <w:style w:type="paragraph" w:styleId="NormalWeb">
    <w:name w:val="Normal (Web)"/>
    <w:basedOn w:val="Normal"/>
    <w:uiPriority w:val="99"/>
    <w:semiHidden/>
    <w:unhideWhenUsed/>
    <w:rsid w:val="000A58BF"/>
    <w:pPr>
      <w:overflowPunct/>
      <w:autoSpaceDE/>
      <w:autoSpaceDN/>
      <w:adjustRightInd/>
      <w:spacing w:before="100" w:beforeAutospacing="1" w:after="100" w:afterAutospacing="1"/>
      <w:textAlignment w:val="auto"/>
    </w:pPr>
    <w:rPr>
      <w:szCs w:val="24"/>
      <w:lang w:val="en-US"/>
    </w:rPr>
  </w:style>
  <w:style w:type="character" w:customStyle="1" w:styleId="enumlev1Char">
    <w:name w:val="enumlev1 Char"/>
    <w:basedOn w:val="DefaultParagraphFont"/>
    <w:link w:val="enumlev1"/>
    <w:rsid w:val="000A58BF"/>
    <w:rPr>
      <w:rFonts w:ascii="Calibri" w:hAnsi="Calibri"/>
      <w:sz w:val="24"/>
      <w:lang w:val="es-ES_tradnl" w:eastAsia="en-US"/>
    </w:rPr>
  </w:style>
  <w:style w:type="character" w:customStyle="1" w:styleId="Heading1Char">
    <w:name w:val="Heading 1 Char"/>
    <w:basedOn w:val="DefaultParagraphFont"/>
    <w:link w:val="Heading1"/>
    <w:rsid w:val="000A58BF"/>
    <w:rPr>
      <w:rFonts w:ascii="Calibri" w:hAnsi="Calibri"/>
      <w:b/>
      <w:sz w:val="2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council/pd/convention.doc" TargetMode="External"/><Relationship Id="rId13" Type="http://schemas.openxmlformats.org/officeDocument/2006/relationships/hyperlink" Target="https://www.itu.int/md/S03-CL-C-0040/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tu.int/md/S02-CL-C-0094/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itudoc/gs/council/c01/docs/026-es.html" TargetMode="External"/><Relationship Id="rId5" Type="http://schemas.openxmlformats.org/officeDocument/2006/relationships/footnotes" Target="footnotes.xml"/><Relationship Id="rId15" Type="http://schemas.openxmlformats.org/officeDocument/2006/relationships/hyperlink" Target="https://www.itu.int/md/S05-CL-C-0040/es" TargetMode="External"/><Relationship Id="rId10" Type="http://schemas.openxmlformats.org/officeDocument/2006/relationships/hyperlink" Target="https://www.itu.int/itudoc/gs/council/c00/docs/28rev1-e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u.int/council/pd/basic-dec-res-rec.doc" TargetMode="External"/><Relationship Id="rId14" Type="http://schemas.openxmlformats.org/officeDocument/2006/relationships/hyperlink" Target="https://www.itu.int/md/S03-ADCL-C-0003/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OOL%20S%20-%20ITU\PS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6AF0A-9BFC-4EB2-9D4A-8EDEDE78A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PS_C18.dotx</Template>
  <TotalTime>59</TotalTime>
  <Pages>6</Pages>
  <Words>2022</Words>
  <Characters>11528</Characters>
  <Application>Microsoft Office Word</Application>
  <DocSecurity>0</DocSecurity>
  <Lines>96</Lines>
  <Paragraphs>27</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13523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2018</dc:subject>
  <dc:creator>Spanish</dc:creator>
  <cp:keywords>C2018, C18</cp:keywords>
  <dc:description/>
  <cp:lastModifiedBy>Soriano, Manuel</cp:lastModifiedBy>
  <cp:revision>8</cp:revision>
  <cp:lastPrinted>2018-04-11T06:52:00Z</cp:lastPrinted>
  <dcterms:created xsi:type="dcterms:W3CDTF">2018-04-10T06:40:00Z</dcterms:created>
  <dcterms:modified xsi:type="dcterms:W3CDTF">2018-04-11T08:45:00Z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