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DF71DC">
        <w:trPr>
          <w:cantSplit/>
        </w:trPr>
        <w:tc>
          <w:tcPr>
            <w:tcW w:w="6912" w:type="dxa"/>
          </w:tcPr>
          <w:p w:rsidR="00520F36" w:rsidRPr="00DF71DC" w:rsidRDefault="00520F36" w:rsidP="00CE2EEC">
            <w:pPr>
              <w:spacing w:before="360"/>
              <w:rPr>
                <w:lang w:val="fr-CH"/>
              </w:rPr>
            </w:pPr>
            <w:bookmarkStart w:id="0" w:name="dc06"/>
            <w:bookmarkEnd w:id="0"/>
            <w:r w:rsidRPr="00DF71DC">
              <w:rPr>
                <w:b/>
                <w:bCs/>
                <w:sz w:val="30"/>
                <w:szCs w:val="30"/>
                <w:lang w:val="fr-CH"/>
              </w:rPr>
              <w:t>Conseil 201</w:t>
            </w:r>
            <w:r w:rsidR="003C3FAE" w:rsidRPr="00DF71DC">
              <w:rPr>
                <w:b/>
                <w:bCs/>
                <w:sz w:val="30"/>
                <w:szCs w:val="30"/>
                <w:lang w:val="fr-CH"/>
              </w:rPr>
              <w:t>8</w:t>
            </w:r>
            <w:r w:rsidRPr="00DF71DC">
              <w:rPr>
                <w:rFonts w:ascii="Verdana" w:hAnsi="Verdana"/>
                <w:b/>
                <w:bCs/>
                <w:sz w:val="26"/>
                <w:szCs w:val="26"/>
                <w:lang w:val="fr-CH"/>
              </w:rPr>
              <w:br/>
            </w:r>
            <w:r w:rsidRPr="00DF71DC">
              <w:rPr>
                <w:b/>
                <w:bCs/>
                <w:szCs w:val="24"/>
                <w:lang w:val="fr-CH"/>
              </w:rPr>
              <w:t>Genève, 1</w:t>
            </w:r>
            <w:r w:rsidR="003C3FAE" w:rsidRPr="00DF71DC">
              <w:rPr>
                <w:b/>
                <w:bCs/>
                <w:szCs w:val="24"/>
                <w:lang w:val="fr-CH"/>
              </w:rPr>
              <w:t>7</w:t>
            </w:r>
            <w:r w:rsidRPr="00DF71DC">
              <w:rPr>
                <w:b/>
                <w:bCs/>
                <w:szCs w:val="24"/>
                <w:lang w:val="fr-CH"/>
              </w:rPr>
              <w:t>-2</w:t>
            </w:r>
            <w:r w:rsidR="003C3FAE" w:rsidRPr="00DF71DC">
              <w:rPr>
                <w:b/>
                <w:bCs/>
                <w:szCs w:val="24"/>
                <w:lang w:val="fr-CH"/>
              </w:rPr>
              <w:t>7</w:t>
            </w:r>
            <w:r w:rsidRPr="00DF71DC">
              <w:rPr>
                <w:b/>
                <w:bCs/>
                <w:szCs w:val="24"/>
                <w:lang w:val="fr-CH"/>
              </w:rPr>
              <w:t xml:space="preserve"> </w:t>
            </w:r>
            <w:r w:rsidR="003C3FAE" w:rsidRPr="00DF71DC">
              <w:rPr>
                <w:b/>
                <w:bCs/>
                <w:szCs w:val="24"/>
                <w:lang w:val="fr-CH"/>
              </w:rPr>
              <w:t>avril</w:t>
            </w:r>
            <w:r w:rsidRPr="00DF71DC">
              <w:rPr>
                <w:b/>
                <w:bCs/>
                <w:szCs w:val="24"/>
                <w:lang w:val="fr-CH"/>
              </w:rPr>
              <w:t xml:space="preserve"> 201</w:t>
            </w:r>
            <w:r w:rsidR="003C3FAE" w:rsidRPr="00DF71DC">
              <w:rPr>
                <w:b/>
                <w:bCs/>
                <w:szCs w:val="24"/>
                <w:lang w:val="fr-CH"/>
              </w:rPr>
              <w:t>8</w:t>
            </w:r>
          </w:p>
        </w:tc>
        <w:tc>
          <w:tcPr>
            <w:tcW w:w="3261" w:type="dxa"/>
          </w:tcPr>
          <w:p w:rsidR="00520F36" w:rsidRPr="00DF71DC" w:rsidRDefault="00520F36" w:rsidP="00CE2EEC">
            <w:pPr>
              <w:spacing w:before="0"/>
              <w:jc w:val="right"/>
              <w:rPr>
                <w:lang w:val="fr-CH"/>
              </w:rPr>
            </w:pPr>
            <w:bookmarkStart w:id="1" w:name="ditulogo"/>
            <w:bookmarkEnd w:id="1"/>
            <w:r w:rsidRPr="00DF71DC">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DF71DC" w:rsidTr="00EF41DD">
        <w:trPr>
          <w:cantSplit/>
          <w:trHeight w:val="20"/>
        </w:trPr>
        <w:tc>
          <w:tcPr>
            <w:tcW w:w="6912" w:type="dxa"/>
            <w:tcBorders>
              <w:bottom w:val="single" w:sz="12" w:space="0" w:color="auto"/>
            </w:tcBorders>
            <w:vAlign w:val="center"/>
          </w:tcPr>
          <w:p w:rsidR="00520F36" w:rsidRPr="00DF71DC" w:rsidRDefault="00520F36" w:rsidP="00CE2EEC">
            <w:pPr>
              <w:spacing w:before="0"/>
              <w:rPr>
                <w:b/>
                <w:bCs/>
                <w:sz w:val="26"/>
                <w:szCs w:val="26"/>
                <w:lang w:val="fr-CH"/>
              </w:rPr>
            </w:pPr>
          </w:p>
        </w:tc>
        <w:tc>
          <w:tcPr>
            <w:tcW w:w="3261" w:type="dxa"/>
            <w:tcBorders>
              <w:bottom w:val="single" w:sz="12" w:space="0" w:color="auto"/>
            </w:tcBorders>
          </w:tcPr>
          <w:p w:rsidR="00520F36" w:rsidRPr="00DF71DC" w:rsidRDefault="00520F36" w:rsidP="00CE2EEC">
            <w:pPr>
              <w:spacing w:before="0"/>
              <w:rPr>
                <w:b/>
                <w:bCs/>
                <w:lang w:val="fr-CH"/>
              </w:rPr>
            </w:pPr>
          </w:p>
        </w:tc>
      </w:tr>
      <w:tr w:rsidR="00520F36" w:rsidRPr="00DF71DC">
        <w:trPr>
          <w:cantSplit/>
          <w:trHeight w:val="20"/>
        </w:trPr>
        <w:tc>
          <w:tcPr>
            <w:tcW w:w="6912" w:type="dxa"/>
            <w:tcBorders>
              <w:top w:val="single" w:sz="12" w:space="0" w:color="auto"/>
            </w:tcBorders>
          </w:tcPr>
          <w:p w:rsidR="00520F36" w:rsidRPr="00DF71DC" w:rsidRDefault="00520F36" w:rsidP="00CE2EEC">
            <w:pPr>
              <w:spacing w:before="0"/>
              <w:rPr>
                <w:smallCaps/>
                <w:sz w:val="22"/>
                <w:lang w:val="fr-CH"/>
              </w:rPr>
            </w:pPr>
          </w:p>
        </w:tc>
        <w:tc>
          <w:tcPr>
            <w:tcW w:w="3261" w:type="dxa"/>
            <w:tcBorders>
              <w:top w:val="single" w:sz="12" w:space="0" w:color="auto"/>
            </w:tcBorders>
          </w:tcPr>
          <w:p w:rsidR="00520F36" w:rsidRPr="00DF71DC" w:rsidRDefault="00520F36" w:rsidP="00CE2EEC">
            <w:pPr>
              <w:spacing w:before="0"/>
              <w:rPr>
                <w:b/>
                <w:bCs/>
                <w:lang w:val="fr-CH"/>
              </w:rPr>
            </w:pPr>
          </w:p>
        </w:tc>
      </w:tr>
      <w:tr w:rsidR="00520F36" w:rsidRPr="00DF71DC">
        <w:trPr>
          <w:cantSplit/>
          <w:trHeight w:val="20"/>
        </w:trPr>
        <w:tc>
          <w:tcPr>
            <w:tcW w:w="6912" w:type="dxa"/>
            <w:vMerge w:val="restart"/>
          </w:tcPr>
          <w:p w:rsidR="00520F36" w:rsidRPr="00DF71DC" w:rsidRDefault="00CF29D3" w:rsidP="00CE2EEC">
            <w:pPr>
              <w:spacing w:before="0"/>
              <w:rPr>
                <w:rFonts w:cs="Times"/>
                <w:b/>
                <w:bCs/>
                <w:szCs w:val="24"/>
                <w:lang w:val="fr-CH"/>
              </w:rPr>
            </w:pPr>
            <w:bookmarkStart w:id="2" w:name="dnum" w:colFirst="1" w:colLast="1"/>
            <w:bookmarkStart w:id="3" w:name="dmeeting" w:colFirst="0" w:colLast="0"/>
            <w:r w:rsidRPr="00DF71DC">
              <w:rPr>
                <w:rFonts w:cs="Times"/>
                <w:b/>
                <w:bCs/>
                <w:szCs w:val="24"/>
                <w:lang w:val="fr-CH"/>
              </w:rPr>
              <w:t>Point de l'ordre du jour: ADM 22</w:t>
            </w:r>
          </w:p>
        </w:tc>
        <w:tc>
          <w:tcPr>
            <w:tcW w:w="3261" w:type="dxa"/>
          </w:tcPr>
          <w:p w:rsidR="00520F36" w:rsidRPr="00DF71DC" w:rsidRDefault="00520F36" w:rsidP="00CE2EEC">
            <w:pPr>
              <w:spacing w:before="0"/>
              <w:rPr>
                <w:b/>
                <w:bCs/>
                <w:lang w:val="fr-CH"/>
              </w:rPr>
            </w:pPr>
            <w:r w:rsidRPr="00DF71DC">
              <w:rPr>
                <w:b/>
                <w:bCs/>
                <w:lang w:val="fr-CH"/>
              </w:rPr>
              <w:t>Document C1</w:t>
            </w:r>
            <w:r w:rsidR="003C3FAE" w:rsidRPr="00DF71DC">
              <w:rPr>
                <w:b/>
                <w:bCs/>
                <w:lang w:val="fr-CH"/>
              </w:rPr>
              <w:t>8</w:t>
            </w:r>
            <w:r w:rsidRPr="00DF71DC">
              <w:rPr>
                <w:b/>
                <w:bCs/>
                <w:lang w:val="fr-CH"/>
              </w:rPr>
              <w:t>/</w:t>
            </w:r>
            <w:r w:rsidR="00CF29D3" w:rsidRPr="00DF71DC">
              <w:rPr>
                <w:b/>
                <w:bCs/>
                <w:lang w:val="fr-CH"/>
              </w:rPr>
              <w:t>65</w:t>
            </w:r>
            <w:r w:rsidRPr="00DF71DC">
              <w:rPr>
                <w:b/>
                <w:bCs/>
                <w:lang w:val="fr-CH"/>
              </w:rPr>
              <w:t>-F</w:t>
            </w:r>
          </w:p>
        </w:tc>
      </w:tr>
      <w:tr w:rsidR="00520F36" w:rsidRPr="00DF71DC">
        <w:trPr>
          <w:cantSplit/>
          <w:trHeight w:val="20"/>
        </w:trPr>
        <w:tc>
          <w:tcPr>
            <w:tcW w:w="6912" w:type="dxa"/>
            <w:vMerge/>
          </w:tcPr>
          <w:p w:rsidR="00520F36" w:rsidRPr="00DF71DC" w:rsidRDefault="00520F36" w:rsidP="00CE2EEC">
            <w:pPr>
              <w:shd w:val="solid" w:color="FFFFFF" w:fill="FFFFFF"/>
              <w:spacing w:before="180"/>
              <w:rPr>
                <w:smallCaps/>
                <w:lang w:val="fr-CH"/>
              </w:rPr>
            </w:pPr>
            <w:bookmarkStart w:id="4" w:name="ddate" w:colFirst="1" w:colLast="1"/>
            <w:bookmarkEnd w:id="2"/>
            <w:bookmarkEnd w:id="3"/>
          </w:p>
        </w:tc>
        <w:tc>
          <w:tcPr>
            <w:tcW w:w="3261" w:type="dxa"/>
          </w:tcPr>
          <w:p w:rsidR="00520F36" w:rsidRPr="00DF71DC" w:rsidRDefault="00CF29D3" w:rsidP="00CE2EEC">
            <w:pPr>
              <w:spacing w:before="0"/>
              <w:rPr>
                <w:b/>
                <w:bCs/>
                <w:lang w:val="fr-CH"/>
              </w:rPr>
            </w:pPr>
            <w:r w:rsidRPr="00DF71DC">
              <w:rPr>
                <w:b/>
                <w:bCs/>
                <w:lang w:val="fr-CH"/>
              </w:rPr>
              <w:t>8 février</w:t>
            </w:r>
            <w:r w:rsidR="00520F36" w:rsidRPr="00DF71DC">
              <w:rPr>
                <w:b/>
                <w:bCs/>
                <w:lang w:val="fr-CH"/>
              </w:rPr>
              <w:t xml:space="preserve"> 201</w:t>
            </w:r>
            <w:r w:rsidR="003C3FAE" w:rsidRPr="00DF71DC">
              <w:rPr>
                <w:b/>
                <w:bCs/>
                <w:lang w:val="fr-CH"/>
              </w:rPr>
              <w:t>8</w:t>
            </w:r>
          </w:p>
        </w:tc>
      </w:tr>
      <w:tr w:rsidR="00520F36" w:rsidRPr="00DF71DC">
        <w:trPr>
          <w:cantSplit/>
          <w:trHeight w:val="20"/>
        </w:trPr>
        <w:tc>
          <w:tcPr>
            <w:tcW w:w="6912" w:type="dxa"/>
            <w:vMerge/>
          </w:tcPr>
          <w:p w:rsidR="00520F36" w:rsidRPr="00DF71DC" w:rsidRDefault="00520F36" w:rsidP="00CE2EEC">
            <w:pPr>
              <w:shd w:val="solid" w:color="FFFFFF" w:fill="FFFFFF"/>
              <w:spacing w:before="180"/>
              <w:rPr>
                <w:smallCaps/>
                <w:lang w:val="fr-CH"/>
              </w:rPr>
            </w:pPr>
            <w:bookmarkStart w:id="5" w:name="dorlang" w:colFirst="1" w:colLast="1"/>
            <w:bookmarkEnd w:id="4"/>
          </w:p>
        </w:tc>
        <w:tc>
          <w:tcPr>
            <w:tcW w:w="3261" w:type="dxa"/>
          </w:tcPr>
          <w:p w:rsidR="00520F36" w:rsidRPr="00DF71DC" w:rsidRDefault="00520F36" w:rsidP="00CE2EEC">
            <w:pPr>
              <w:spacing w:before="0"/>
              <w:rPr>
                <w:b/>
                <w:bCs/>
                <w:lang w:val="fr-CH"/>
              </w:rPr>
            </w:pPr>
            <w:r w:rsidRPr="00DF71DC">
              <w:rPr>
                <w:b/>
                <w:bCs/>
                <w:lang w:val="fr-CH"/>
              </w:rPr>
              <w:t>Original: anglais</w:t>
            </w:r>
          </w:p>
        </w:tc>
      </w:tr>
      <w:tr w:rsidR="00520F36" w:rsidRPr="00DF71DC">
        <w:trPr>
          <w:cantSplit/>
        </w:trPr>
        <w:tc>
          <w:tcPr>
            <w:tcW w:w="10173" w:type="dxa"/>
            <w:gridSpan w:val="2"/>
          </w:tcPr>
          <w:p w:rsidR="00520F36" w:rsidRPr="00DF71DC" w:rsidRDefault="00CF29D3" w:rsidP="00CE2EEC">
            <w:pPr>
              <w:pStyle w:val="Source"/>
              <w:rPr>
                <w:lang w:val="fr-CH"/>
              </w:rPr>
            </w:pPr>
            <w:bookmarkStart w:id="6" w:name="dsource" w:colFirst="0" w:colLast="0"/>
            <w:bookmarkEnd w:id="5"/>
            <w:r w:rsidRPr="00DF71DC">
              <w:rPr>
                <w:lang w:val="fr-CH"/>
              </w:rPr>
              <w:t>Rapport du Secrétaire général</w:t>
            </w:r>
          </w:p>
        </w:tc>
      </w:tr>
      <w:tr w:rsidR="00520F36" w:rsidRPr="00DF71DC">
        <w:trPr>
          <w:cantSplit/>
        </w:trPr>
        <w:tc>
          <w:tcPr>
            <w:tcW w:w="10173" w:type="dxa"/>
            <w:gridSpan w:val="2"/>
          </w:tcPr>
          <w:p w:rsidR="00520F36" w:rsidRPr="00DF71DC" w:rsidRDefault="002C4E80" w:rsidP="00CE2EEC">
            <w:pPr>
              <w:pStyle w:val="Title1"/>
              <w:rPr>
                <w:lang w:val="fr-CH"/>
              </w:rPr>
            </w:pPr>
            <w:bookmarkStart w:id="7" w:name="dtitle1" w:colFirst="0" w:colLast="0"/>
            <w:bookmarkEnd w:id="6"/>
            <w:r w:rsidRPr="00DF71DC">
              <w:rPr>
                <w:lang w:val="fr-CH"/>
              </w:rPr>
              <w:t>TRANSFORMATION DU BUREAU DE ZONE DE MOSCOU</w:t>
            </w:r>
            <w:r w:rsidR="00CF29D3" w:rsidRPr="00DF71DC">
              <w:rPr>
                <w:lang w:val="fr-CH"/>
              </w:rPr>
              <w:t xml:space="preserve"> </w:t>
            </w:r>
            <w:r w:rsidR="00CF29D3" w:rsidRPr="00DF71DC">
              <w:rPr>
                <w:lang w:val="fr-CH"/>
              </w:rPr>
              <w:br/>
            </w:r>
            <w:r w:rsidRPr="00DF71DC">
              <w:rPr>
                <w:lang w:val="fr-CH"/>
              </w:rPr>
              <w:t>EN BUREAU RéGIONAL DE L'uit POUR LA CEI</w:t>
            </w:r>
          </w:p>
        </w:tc>
      </w:tr>
      <w:bookmarkEnd w:id="7"/>
    </w:tbl>
    <w:p w:rsidR="00520F36" w:rsidRPr="00DF71DC" w:rsidRDefault="00520F36" w:rsidP="00CE2EEC">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DF71DC">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DF71DC" w:rsidRDefault="00520F36" w:rsidP="00CE2EEC">
            <w:pPr>
              <w:pStyle w:val="Headingb"/>
              <w:rPr>
                <w:lang w:val="fr-CH"/>
              </w:rPr>
            </w:pPr>
            <w:r w:rsidRPr="00DF71DC">
              <w:rPr>
                <w:lang w:val="fr-CH"/>
              </w:rPr>
              <w:t>Résumé</w:t>
            </w:r>
          </w:p>
          <w:p w:rsidR="00520F36" w:rsidRPr="00DF71DC" w:rsidRDefault="002C4E80" w:rsidP="00CE2EEC">
            <w:pPr>
              <w:rPr>
                <w:lang w:val="fr-CH"/>
              </w:rPr>
            </w:pPr>
            <w:r w:rsidRPr="00DF71DC">
              <w:rPr>
                <w:lang w:val="fr-CH"/>
              </w:rPr>
              <w:t>A sa session de 2017, le</w:t>
            </w:r>
            <w:r w:rsidR="00CF29D3" w:rsidRPr="00DF71DC">
              <w:rPr>
                <w:lang w:val="fr-CH"/>
              </w:rPr>
              <w:t xml:space="preserve"> Conseil</w:t>
            </w:r>
            <w:r w:rsidRPr="00DF71DC">
              <w:rPr>
                <w:lang w:val="fr-CH"/>
              </w:rPr>
              <w:t xml:space="preserve"> a</w:t>
            </w:r>
            <w:r w:rsidR="00CF29D3" w:rsidRPr="00DF71DC">
              <w:rPr>
                <w:lang w:val="fr-CH"/>
              </w:rPr>
              <w:t xml:space="preserve"> décid</w:t>
            </w:r>
            <w:r w:rsidRPr="00DF71DC">
              <w:rPr>
                <w:lang w:val="fr-CH"/>
              </w:rPr>
              <w:t>é</w:t>
            </w:r>
            <w:r w:rsidR="00CF29D3" w:rsidRPr="00DF71DC">
              <w:rPr>
                <w:lang w:val="fr-CH"/>
              </w:rPr>
              <w:t xml:space="preserve"> d'approuver en principe le passage du Bureau de zone de l'UIT pour la CEI à Moscou au statut de Bureau régional et de demander au Secrétaire général</w:t>
            </w:r>
            <w:r w:rsidRPr="00DF71DC">
              <w:rPr>
                <w:lang w:val="fr-CH"/>
              </w:rPr>
              <w:t xml:space="preserve"> </w:t>
            </w:r>
            <w:r w:rsidR="00CF29D3" w:rsidRPr="00DF71DC">
              <w:rPr>
                <w:lang w:val="fr-CH"/>
              </w:rPr>
              <w:t>un mandat spécifique pour un Bureau régional de l'UIT pour la CEI, définissant sa structure et son budget afin de parvenir à un accord final.</w:t>
            </w:r>
          </w:p>
          <w:p w:rsidR="00CF29D3" w:rsidRPr="00DF71DC" w:rsidRDefault="002C4E80" w:rsidP="00AD5EAB">
            <w:pPr>
              <w:rPr>
                <w:lang w:val="fr-CH"/>
              </w:rPr>
            </w:pPr>
            <w:bookmarkStart w:id="8" w:name="lt_pId015"/>
            <w:r w:rsidRPr="00DF71DC">
              <w:rPr>
                <w:rFonts w:cstheme="minorHAnsi"/>
                <w:szCs w:val="24"/>
                <w:lang w:val="fr-CH"/>
              </w:rPr>
              <w:t xml:space="preserve">On trouvera dans le présent document un aperçu </w:t>
            </w:r>
            <w:r w:rsidR="00AD5EAB" w:rsidRPr="00DF71DC">
              <w:rPr>
                <w:rFonts w:cstheme="minorHAnsi"/>
                <w:szCs w:val="24"/>
                <w:lang w:val="fr-CH"/>
              </w:rPr>
              <w:t xml:space="preserve">général </w:t>
            </w:r>
            <w:r w:rsidRPr="00DF71DC">
              <w:rPr>
                <w:rFonts w:cstheme="minorHAnsi"/>
                <w:szCs w:val="24"/>
                <w:lang w:val="fr-CH"/>
              </w:rPr>
              <w:t>des bureaux hors si</w:t>
            </w:r>
            <w:r w:rsidR="00AD5EAB" w:rsidRPr="00DF71DC">
              <w:rPr>
                <w:rFonts w:cstheme="minorHAnsi"/>
                <w:szCs w:val="24"/>
                <w:lang w:val="fr-CH"/>
              </w:rPr>
              <w:t>ège de l'UIT, une proposition concernant la</w:t>
            </w:r>
            <w:r w:rsidRPr="00DF71DC">
              <w:rPr>
                <w:rFonts w:cstheme="minorHAnsi"/>
                <w:szCs w:val="24"/>
                <w:lang w:val="fr-CH"/>
              </w:rPr>
              <w:t xml:space="preserve"> structure, une présentation des incidences budgétaires </w:t>
            </w:r>
            <w:r w:rsidR="00AD5EAB" w:rsidRPr="00DF71DC">
              <w:rPr>
                <w:rFonts w:cstheme="minorHAnsi"/>
                <w:szCs w:val="24"/>
                <w:lang w:val="fr-CH"/>
              </w:rPr>
              <w:t>du</w:t>
            </w:r>
            <w:r w:rsidRPr="00DF71DC">
              <w:rPr>
                <w:rFonts w:cstheme="minorHAnsi"/>
                <w:szCs w:val="24"/>
                <w:lang w:val="fr-CH"/>
              </w:rPr>
              <w:t xml:space="preserve"> Bureau régional de l'U</w:t>
            </w:r>
            <w:r w:rsidR="00AD5EAB" w:rsidRPr="00DF71DC">
              <w:rPr>
                <w:rFonts w:cstheme="minorHAnsi"/>
                <w:szCs w:val="24"/>
                <w:lang w:val="fr-CH"/>
              </w:rPr>
              <w:t>IT pour la CEI et un projet de D</w:t>
            </w:r>
            <w:r w:rsidRPr="00DF71DC">
              <w:rPr>
                <w:rFonts w:cstheme="minorHAnsi"/>
                <w:szCs w:val="24"/>
                <w:lang w:val="fr-CH"/>
              </w:rPr>
              <w:t xml:space="preserve">écision </w:t>
            </w:r>
            <w:r w:rsidR="00AD5EAB" w:rsidRPr="00DF71DC">
              <w:rPr>
                <w:rFonts w:cstheme="minorHAnsi"/>
                <w:szCs w:val="24"/>
                <w:lang w:val="fr-CH"/>
              </w:rPr>
              <w:t>portant</w:t>
            </w:r>
            <w:r w:rsidRPr="00DF71DC">
              <w:rPr>
                <w:rFonts w:cstheme="minorHAnsi"/>
                <w:szCs w:val="24"/>
                <w:lang w:val="fr-CH"/>
              </w:rPr>
              <w:t xml:space="preserve"> création d'un poste D1.</w:t>
            </w:r>
            <w:bookmarkEnd w:id="8"/>
          </w:p>
          <w:p w:rsidR="00520F36" w:rsidRPr="00DF71DC" w:rsidRDefault="00520F36" w:rsidP="00CE2EEC">
            <w:pPr>
              <w:pStyle w:val="Headingb"/>
              <w:rPr>
                <w:lang w:val="fr-CH"/>
              </w:rPr>
            </w:pPr>
            <w:r w:rsidRPr="00DF71DC">
              <w:rPr>
                <w:lang w:val="fr-CH"/>
              </w:rPr>
              <w:t>Suite à donner</w:t>
            </w:r>
          </w:p>
          <w:p w:rsidR="00520F36" w:rsidRPr="00DF71DC" w:rsidRDefault="002C4E80" w:rsidP="00C2670B">
            <w:pPr>
              <w:rPr>
                <w:lang w:val="fr-CH"/>
              </w:rPr>
            </w:pPr>
            <w:bookmarkStart w:id="9" w:name="lt_pId017"/>
            <w:r w:rsidRPr="00DF71DC">
              <w:rPr>
                <w:szCs w:val="24"/>
                <w:lang w:val="fr-CH"/>
              </w:rPr>
              <w:t xml:space="preserve">Le Conseil est invité à </w:t>
            </w:r>
            <w:r w:rsidRPr="00DF71DC">
              <w:rPr>
                <w:b/>
                <w:bCs/>
                <w:szCs w:val="24"/>
                <w:lang w:val="fr-CH"/>
              </w:rPr>
              <w:t>approuver</w:t>
            </w:r>
            <w:r w:rsidRPr="00DF71DC">
              <w:rPr>
                <w:szCs w:val="24"/>
                <w:lang w:val="fr-CH"/>
              </w:rPr>
              <w:t xml:space="preserve"> la nouvelle structure proposée pour le Bureau régional de l'UIT pour la CEI et à </w:t>
            </w:r>
            <w:r w:rsidRPr="00DF71DC">
              <w:rPr>
                <w:b/>
                <w:bCs/>
                <w:szCs w:val="24"/>
                <w:lang w:val="fr-CH"/>
              </w:rPr>
              <w:t>approuver</w:t>
            </w:r>
            <w:r w:rsidRPr="00DF71DC">
              <w:rPr>
                <w:szCs w:val="24"/>
                <w:lang w:val="fr-CH"/>
              </w:rPr>
              <w:t xml:space="preserve"> le projet de Décision relatif à la création d'un poste D1 de Directeur régional du Bureau régional de l'UIT pour la</w:t>
            </w:r>
            <w:r w:rsidR="00C2670B">
              <w:rPr>
                <w:szCs w:val="24"/>
                <w:lang w:val="fr-CH"/>
              </w:rPr>
              <w:t> </w:t>
            </w:r>
            <w:r w:rsidRPr="00DF71DC">
              <w:rPr>
                <w:szCs w:val="24"/>
                <w:lang w:val="fr-CH"/>
              </w:rPr>
              <w:t xml:space="preserve">CEI </w:t>
            </w:r>
            <w:r w:rsidR="00AD5EAB" w:rsidRPr="00DF71DC">
              <w:rPr>
                <w:szCs w:val="24"/>
                <w:lang w:val="fr-CH"/>
              </w:rPr>
              <w:t>figurant</w:t>
            </w:r>
            <w:r w:rsidRPr="00DF71DC">
              <w:rPr>
                <w:szCs w:val="24"/>
                <w:lang w:val="fr-CH"/>
              </w:rPr>
              <w:t xml:space="preserve"> dans l'</w:t>
            </w:r>
            <w:r w:rsidRPr="00DF71DC">
              <w:rPr>
                <w:b/>
                <w:bCs/>
                <w:szCs w:val="24"/>
                <w:lang w:val="fr-CH"/>
              </w:rPr>
              <w:t>Annexe 1</w:t>
            </w:r>
            <w:r w:rsidRPr="00DF71DC">
              <w:rPr>
                <w:szCs w:val="24"/>
                <w:lang w:val="fr-CH"/>
              </w:rPr>
              <w:t xml:space="preserve"> du présent document.</w:t>
            </w:r>
            <w:bookmarkEnd w:id="9"/>
          </w:p>
          <w:p w:rsidR="00520F36" w:rsidRPr="00DF71DC" w:rsidRDefault="00520F36" w:rsidP="00CE2EEC">
            <w:pPr>
              <w:pStyle w:val="Table"/>
              <w:keepNext w:val="0"/>
              <w:spacing w:before="0" w:after="0"/>
              <w:rPr>
                <w:rFonts w:ascii="Calibri" w:hAnsi="Calibri"/>
                <w:caps w:val="0"/>
                <w:sz w:val="22"/>
                <w:lang w:val="fr-CH"/>
              </w:rPr>
            </w:pPr>
            <w:r w:rsidRPr="00DF71DC">
              <w:rPr>
                <w:rFonts w:ascii="Calibri" w:hAnsi="Calibri"/>
                <w:caps w:val="0"/>
                <w:sz w:val="22"/>
                <w:lang w:val="fr-CH"/>
              </w:rPr>
              <w:t>____________</w:t>
            </w:r>
          </w:p>
          <w:p w:rsidR="00520F36" w:rsidRPr="00DF71DC" w:rsidRDefault="00520F36" w:rsidP="00CE2EEC">
            <w:pPr>
              <w:pStyle w:val="Headingb"/>
              <w:rPr>
                <w:lang w:val="fr-CH"/>
              </w:rPr>
            </w:pPr>
            <w:r w:rsidRPr="00DF71DC">
              <w:rPr>
                <w:lang w:val="fr-CH"/>
              </w:rPr>
              <w:t>Références</w:t>
            </w:r>
          </w:p>
          <w:p w:rsidR="00520F36" w:rsidRPr="0034136E" w:rsidRDefault="000E5773" w:rsidP="00CE2EEC">
            <w:pPr>
              <w:spacing w:after="120"/>
              <w:rPr>
                <w:i/>
                <w:iCs/>
                <w:lang w:val="fr-CH"/>
              </w:rPr>
            </w:pPr>
            <w:hyperlink r:id="rId8" w:history="1">
              <w:r w:rsidR="00C2670B">
                <w:rPr>
                  <w:rStyle w:val="Hyperlink"/>
                  <w:i/>
                  <w:iCs/>
                  <w:lang w:val="fr-CH"/>
                </w:rPr>
                <w:t>Numéros</w:t>
              </w:r>
              <w:r w:rsidR="00CF29D3" w:rsidRPr="0034136E">
                <w:rPr>
                  <w:rStyle w:val="Hyperlink"/>
                  <w:i/>
                  <w:iCs/>
                  <w:lang w:val="fr-CH"/>
                </w:rPr>
                <w:t xml:space="preserve"> 70 et 71 de la Convention de l'UIT</w:t>
              </w:r>
            </w:hyperlink>
            <w:r w:rsidR="00CF29D3" w:rsidRPr="0034136E">
              <w:rPr>
                <w:i/>
                <w:iCs/>
                <w:lang w:val="fr-CH"/>
              </w:rPr>
              <w:t xml:space="preserve">, </w:t>
            </w:r>
            <w:hyperlink r:id="rId9" w:history="1">
              <w:r w:rsidR="00CF29D3" w:rsidRPr="0034136E">
                <w:rPr>
                  <w:rStyle w:val="Hyperlink"/>
                  <w:i/>
                  <w:iCs/>
                  <w:lang w:val="fr-CH"/>
                </w:rPr>
                <w:t>Résolution 25 (Rév. Busan, 2014)</w:t>
              </w:r>
            </w:hyperlink>
            <w:r w:rsidR="00AD5EAB" w:rsidRPr="0034136E">
              <w:rPr>
                <w:rStyle w:val="Hyperlink"/>
                <w:i/>
                <w:iCs/>
                <w:lang w:val="fr-CH"/>
              </w:rPr>
              <w:t xml:space="preserve"> de la Conférence de plénipotentiaires</w:t>
            </w:r>
            <w:r w:rsidR="00CF29D3" w:rsidRPr="0034136E">
              <w:rPr>
                <w:i/>
                <w:iCs/>
                <w:lang w:val="fr-CH"/>
              </w:rPr>
              <w:t xml:space="preserve">, Documents </w:t>
            </w:r>
            <w:hyperlink r:id="rId10" w:history="1">
              <w:r w:rsidR="00CF29D3" w:rsidRPr="0034136E">
                <w:rPr>
                  <w:rStyle w:val="Hyperlink"/>
                  <w:i/>
                  <w:iCs/>
                  <w:szCs w:val="24"/>
                  <w:lang w:val="fr-CH"/>
                </w:rPr>
                <w:t>C17/98(Rév.1)</w:t>
              </w:r>
            </w:hyperlink>
            <w:r w:rsidR="00CF29D3" w:rsidRPr="0034136E">
              <w:rPr>
                <w:i/>
                <w:iCs/>
                <w:szCs w:val="24"/>
                <w:lang w:val="fr-CH"/>
              </w:rPr>
              <w:t xml:space="preserve">, </w:t>
            </w:r>
            <w:hyperlink r:id="rId11" w:history="1">
              <w:r w:rsidR="00CF29D3" w:rsidRPr="0034136E">
                <w:rPr>
                  <w:rStyle w:val="Hyperlink"/>
                  <w:i/>
                  <w:iCs/>
                  <w:szCs w:val="24"/>
                  <w:lang w:val="fr-CH"/>
                </w:rPr>
                <w:t>C/17/130(Rév.1)</w:t>
              </w:r>
            </w:hyperlink>
            <w:r w:rsidR="00CF29D3" w:rsidRPr="0034136E">
              <w:rPr>
                <w:i/>
                <w:iCs/>
                <w:szCs w:val="24"/>
                <w:lang w:val="fr-CH"/>
              </w:rPr>
              <w:t xml:space="preserve"> et</w:t>
            </w:r>
            <w:r w:rsidR="00C2670B">
              <w:rPr>
                <w:i/>
                <w:iCs/>
                <w:szCs w:val="24"/>
                <w:lang w:val="fr-CH"/>
              </w:rPr>
              <w:t xml:space="preserve"> </w:t>
            </w:r>
            <w:hyperlink r:id="rId12" w:history="1">
              <w:r w:rsidR="00CF29D3" w:rsidRPr="0034136E">
                <w:rPr>
                  <w:rStyle w:val="Hyperlink"/>
                  <w:i/>
                  <w:iCs/>
                  <w:lang w:val="fr-CH"/>
                </w:rPr>
                <w:t>C17/DL/3(Rév.1)</w:t>
              </w:r>
            </w:hyperlink>
            <w:r w:rsidR="00CF29D3" w:rsidRPr="0034136E">
              <w:rPr>
                <w:i/>
                <w:iCs/>
                <w:lang w:val="fr-CH"/>
              </w:rPr>
              <w:t xml:space="preserve"> du Conseil</w:t>
            </w:r>
          </w:p>
        </w:tc>
      </w:tr>
    </w:tbl>
    <w:p w:rsidR="00CF29D3" w:rsidRPr="00DF71DC" w:rsidRDefault="00CF29D3" w:rsidP="00CE2EEC">
      <w:pPr>
        <w:tabs>
          <w:tab w:val="clear" w:pos="567"/>
          <w:tab w:val="clear" w:pos="1134"/>
          <w:tab w:val="clear" w:pos="1701"/>
          <w:tab w:val="clear" w:pos="2268"/>
          <w:tab w:val="clear" w:pos="2835"/>
        </w:tabs>
        <w:overflowPunct/>
        <w:autoSpaceDE/>
        <w:autoSpaceDN/>
        <w:adjustRightInd/>
        <w:spacing w:before="0"/>
        <w:textAlignment w:val="auto"/>
        <w:rPr>
          <w:lang w:val="fr-CH"/>
        </w:rPr>
      </w:pPr>
    </w:p>
    <w:p w:rsidR="00CF29D3" w:rsidRPr="00DF71DC" w:rsidRDefault="00CF29D3" w:rsidP="00CE2EEC">
      <w:pPr>
        <w:tabs>
          <w:tab w:val="clear" w:pos="567"/>
          <w:tab w:val="clear" w:pos="1134"/>
          <w:tab w:val="clear" w:pos="1701"/>
          <w:tab w:val="clear" w:pos="2268"/>
          <w:tab w:val="clear" w:pos="2835"/>
        </w:tabs>
        <w:overflowPunct/>
        <w:autoSpaceDE/>
        <w:autoSpaceDN/>
        <w:adjustRightInd/>
        <w:spacing w:before="0"/>
        <w:textAlignment w:val="auto"/>
        <w:rPr>
          <w:lang w:val="fr-CH"/>
        </w:rPr>
      </w:pPr>
      <w:r w:rsidRPr="00DF71DC">
        <w:rPr>
          <w:lang w:val="fr-CH"/>
        </w:rPr>
        <w:br w:type="page"/>
      </w:r>
    </w:p>
    <w:p w:rsidR="00520F36" w:rsidRPr="00DF71DC" w:rsidRDefault="00CF29D3" w:rsidP="00CE2EEC">
      <w:pPr>
        <w:pStyle w:val="Heading1"/>
        <w:rPr>
          <w:lang w:val="fr-CH"/>
        </w:rPr>
      </w:pPr>
      <w:r w:rsidRPr="00DF71DC">
        <w:rPr>
          <w:lang w:val="fr-CH"/>
        </w:rPr>
        <w:lastRenderedPageBreak/>
        <w:t>1</w:t>
      </w:r>
      <w:r w:rsidRPr="00DF71DC">
        <w:rPr>
          <w:lang w:val="fr-CH"/>
        </w:rPr>
        <w:tab/>
        <w:t>Introduction</w:t>
      </w:r>
    </w:p>
    <w:p w:rsidR="002C4E80" w:rsidRPr="00DF71DC" w:rsidRDefault="002C4E80" w:rsidP="00B777CC">
      <w:pPr>
        <w:rPr>
          <w:szCs w:val="24"/>
          <w:lang w:val="fr-CH"/>
        </w:rPr>
      </w:pPr>
      <w:r w:rsidRPr="00DF71DC">
        <w:rPr>
          <w:lang w:val="fr-CH"/>
        </w:rPr>
        <w:t xml:space="preserve">Dans le </w:t>
      </w:r>
      <w:r w:rsidR="00CF29D3" w:rsidRPr="00DF71DC">
        <w:rPr>
          <w:lang w:val="fr-CH"/>
        </w:rPr>
        <w:t xml:space="preserve">Document </w:t>
      </w:r>
      <w:hyperlink r:id="rId13" w:history="1">
        <w:r w:rsidR="00CF29D3" w:rsidRPr="00DF71DC">
          <w:rPr>
            <w:rStyle w:val="Hyperlink"/>
            <w:szCs w:val="24"/>
            <w:lang w:val="fr-CH"/>
          </w:rPr>
          <w:t>C17/98(Rév.1)</w:t>
        </w:r>
      </w:hyperlink>
      <w:r w:rsidR="00CF29D3" w:rsidRPr="00DF71DC">
        <w:rPr>
          <w:szCs w:val="24"/>
          <w:lang w:val="fr-CH"/>
        </w:rPr>
        <w:t xml:space="preserve"> </w:t>
      </w:r>
      <w:r w:rsidRPr="00DF71DC">
        <w:rPr>
          <w:szCs w:val="24"/>
          <w:lang w:val="fr-CH"/>
        </w:rPr>
        <w:t>relatif au</w:t>
      </w:r>
      <w:r w:rsidR="00CF29D3" w:rsidRPr="00DF71DC">
        <w:rPr>
          <w:szCs w:val="24"/>
          <w:lang w:val="fr-CH"/>
        </w:rPr>
        <w:t xml:space="preserve"> "</w:t>
      </w:r>
      <w:r w:rsidR="00CF29D3" w:rsidRPr="00DF71DC">
        <w:rPr>
          <w:lang w:val="fr-CH"/>
        </w:rPr>
        <w:t>R</w:t>
      </w:r>
      <w:r w:rsidR="00CF29D3" w:rsidRPr="00DF71DC">
        <w:rPr>
          <w:szCs w:val="24"/>
          <w:lang w:val="fr-CH"/>
        </w:rPr>
        <w:t xml:space="preserve">enforcement de la présence régionale de l'UIT dans la région de la CEI", </w:t>
      </w:r>
      <w:r w:rsidRPr="00DF71DC">
        <w:rPr>
          <w:szCs w:val="24"/>
          <w:lang w:val="fr-CH"/>
        </w:rPr>
        <w:t xml:space="preserve">soumis au Conseil à sa session de 2017 </w:t>
      </w:r>
      <w:r w:rsidR="00B777CC" w:rsidRPr="00DF71DC">
        <w:rPr>
          <w:szCs w:val="24"/>
          <w:lang w:val="fr-CH"/>
        </w:rPr>
        <w:t>(15-</w:t>
      </w:r>
      <w:r w:rsidRPr="00DF71DC">
        <w:rPr>
          <w:szCs w:val="24"/>
          <w:lang w:val="fr-CH"/>
        </w:rPr>
        <w:t>25 mai 2017</w:t>
      </w:r>
      <w:r w:rsidR="00B777CC" w:rsidRPr="00DF71DC">
        <w:rPr>
          <w:szCs w:val="24"/>
          <w:lang w:val="fr-CH"/>
        </w:rPr>
        <w:t>)</w:t>
      </w:r>
      <w:r w:rsidRPr="00DF71DC">
        <w:rPr>
          <w:szCs w:val="24"/>
          <w:lang w:val="fr-CH"/>
        </w:rPr>
        <w:t xml:space="preserve">, il </w:t>
      </w:r>
      <w:r w:rsidR="00B777CC" w:rsidRPr="00DF71DC">
        <w:rPr>
          <w:szCs w:val="24"/>
          <w:lang w:val="fr-CH"/>
        </w:rPr>
        <w:t>était</w:t>
      </w:r>
      <w:r w:rsidRPr="00DF71DC">
        <w:rPr>
          <w:szCs w:val="24"/>
          <w:lang w:val="fr-CH"/>
        </w:rPr>
        <w:t xml:space="preserve"> proposé de donner au Bureau de zone de l'UIT pour la CEI à Moscou</w:t>
      </w:r>
      <w:r w:rsidR="00B777CC" w:rsidRPr="00DF71DC">
        <w:rPr>
          <w:szCs w:val="24"/>
          <w:lang w:val="fr-CH"/>
        </w:rPr>
        <w:t xml:space="preserve"> (Fédération de Russie)</w:t>
      </w:r>
      <w:r w:rsidRPr="00DF71DC">
        <w:rPr>
          <w:szCs w:val="24"/>
          <w:lang w:val="fr-CH"/>
        </w:rPr>
        <w:t xml:space="preserve"> le statut d</w:t>
      </w:r>
      <w:r w:rsidR="00B777CC" w:rsidRPr="00DF71DC">
        <w:rPr>
          <w:szCs w:val="24"/>
          <w:lang w:val="fr-CH"/>
        </w:rPr>
        <w:t>e</w:t>
      </w:r>
      <w:r w:rsidRPr="00DF71DC">
        <w:rPr>
          <w:szCs w:val="24"/>
          <w:lang w:val="fr-CH"/>
        </w:rPr>
        <w:t xml:space="preserve"> Bureau régional (à compter du 1er janvier 2019).</w:t>
      </w:r>
    </w:p>
    <w:p w:rsidR="00CF29D3" w:rsidRPr="00DF71DC" w:rsidRDefault="002C4E80" w:rsidP="00CE2EEC">
      <w:pPr>
        <w:rPr>
          <w:lang w:val="fr-CH"/>
        </w:rPr>
      </w:pPr>
      <w:r w:rsidRPr="00DF71DC">
        <w:rPr>
          <w:szCs w:val="24"/>
          <w:lang w:val="fr-CH"/>
        </w:rPr>
        <w:t>Après avoir examiné le</w:t>
      </w:r>
      <w:r w:rsidR="00CF29D3" w:rsidRPr="00DF71DC">
        <w:rPr>
          <w:szCs w:val="24"/>
          <w:lang w:val="fr-CH"/>
        </w:rPr>
        <w:t xml:space="preserve"> Document C17/98(Rév.1), </w:t>
      </w:r>
      <w:r w:rsidRPr="00DF71DC">
        <w:rPr>
          <w:szCs w:val="24"/>
          <w:lang w:val="fr-CH"/>
        </w:rPr>
        <w:t>le Conseil, à sa session de 2017, a décidé</w:t>
      </w:r>
      <w:r w:rsidR="002976E1">
        <w:rPr>
          <w:szCs w:val="24"/>
          <w:lang w:val="fr-CH"/>
        </w:rPr>
        <w:t xml:space="preserve"> "</w:t>
      </w:r>
      <w:r w:rsidR="00CF29D3" w:rsidRPr="00DF71DC">
        <w:rPr>
          <w:szCs w:val="24"/>
          <w:lang w:val="fr-CH"/>
        </w:rPr>
        <w:t>d'approuver en principe le passage du Bureau de zone de l'UIT pour la CEI à Moscou au statut de Bureau régional et de demander au Secrétaire général, en collaboration avec le Directeur du BDT et avec la participation des Directeurs du BR et du TSB, de soume</w:t>
      </w:r>
      <w:r w:rsidR="00C2670B">
        <w:rPr>
          <w:szCs w:val="24"/>
          <w:lang w:val="fr-CH"/>
        </w:rPr>
        <w:t>ttre au Conseil à sa session de </w:t>
      </w:r>
      <w:r w:rsidR="00CF29D3" w:rsidRPr="00DF71DC">
        <w:rPr>
          <w:szCs w:val="24"/>
          <w:lang w:val="fr-CH"/>
        </w:rPr>
        <w:t>2018 un mandat spécifique pour un Bureau régional de l'UIT pour la CEI, définissant sa structure et son budget afin de parvenir à un accord final et d'achever la transition dudit bureau en un Bureau régional pour la CEI pleinement opérationnel"</w:t>
      </w:r>
      <w:r w:rsidRPr="00DF71DC">
        <w:rPr>
          <w:szCs w:val="24"/>
          <w:lang w:val="fr-CH"/>
        </w:rPr>
        <w:t xml:space="preserve"> (Document </w:t>
      </w:r>
      <w:hyperlink r:id="rId14" w:history="1">
        <w:r w:rsidRPr="00DF71DC">
          <w:rPr>
            <w:rStyle w:val="Hyperlink"/>
            <w:szCs w:val="24"/>
            <w:lang w:val="fr-CH"/>
          </w:rPr>
          <w:t>C17/130 (Rév.1)</w:t>
        </w:r>
      </w:hyperlink>
      <w:r w:rsidRPr="00DF71DC">
        <w:rPr>
          <w:szCs w:val="24"/>
          <w:lang w:val="fr-CH"/>
        </w:rPr>
        <w:t>)</w:t>
      </w:r>
      <w:r w:rsidR="00CF29D3" w:rsidRPr="00DF71DC">
        <w:rPr>
          <w:szCs w:val="24"/>
          <w:lang w:val="fr-CH"/>
        </w:rPr>
        <w:t>.</w:t>
      </w:r>
    </w:p>
    <w:p w:rsidR="00CF29D3" w:rsidRPr="00DF71DC" w:rsidRDefault="00CF29D3" w:rsidP="00CE2EEC">
      <w:pPr>
        <w:pStyle w:val="Heading1"/>
        <w:rPr>
          <w:lang w:val="fr-CH"/>
        </w:rPr>
      </w:pPr>
      <w:r w:rsidRPr="00DF71DC">
        <w:rPr>
          <w:lang w:val="fr-CH"/>
        </w:rPr>
        <w:t>2</w:t>
      </w:r>
      <w:r w:rsidRPr="00DF71DC">
        <w:rPr>
          <w:lang w:val="fr-CH"/>
        </w:rPr>
        <w:tab/>
      </w:r>
      <w:r w:rsidR="002C4E80" w:rsidRPr="00DF71DC">
        <w:rPr>
          <w:lang w:val="fr-CH"/>
        </w:rPr>
        <w:t xml:space="preserve">Aperçu </w:t>
      </w:r>
      <w:r w:rsidR="00B777CC" w:rsidRPr="00DF71DC">
        <w:rPr>
          <w:lang w:val="fr-CH"/>
        </w:rPr>
        <w:t xml:space="preserve">général </w:t>
      </w:r>
      <w:r w:rsidR="002C4E80" w:rsidRPr="00DF71DC">
        <w:rPr>
          <w:lang w:val="fr-CH"/>
        </w:rPr>
        <w:t>des bureaux hors siège de l'UIT</w:t>
      </w:r>
    </w:p>
    <w:p w:rsidR="002C4E80" w:rsidRPr="00DF71DC" w:rsidRDefault="002C4E80" w:rsidP="00CE2EEC">
      <w:pPr>
        <w:jc w:val="both"/>
        <w:rPr>
          <w:szCs w:val="24"/>
          <w:lang w:val="fr-CH"/>
        </w:rPr>
      </w:pPr>
      <w:bookmarkStart w:id="10" w:name="lt_pId025"/>
      <w:r w:rsidRPr="00DF71DC">
        <w:rPr>
          <w:szCs w:val="24"/>
          <w:lang w:val="fr-CH"/>
        </w:rPr>
        <w:t>L'UIT compte actuellement 12 bureaux régionaux et bureaux de zone répartis comme suit:</w:t>
      </w:r>
    </w:p>
    <w:p w:rsidR="00CF29D3" w:rsidRPr="00DF71DC" w:rsidRDefault="00CF29D3" w:rsidP="00CE2EEC">
      <w:pPr>
        <w:pStyle w:val="enumlev1"/>
        <w:rPr>
          <w:lang w:val="fr-CH"/>
        </w:rPr>
      </w:pPr>
      <w:bookmarkStart w:id="11" w:name="lt_pId026"/>
      <w:bookmarkEnd w:id="10"/>
      <w:r w:rsidRPr="00DF71DC">
        <w:rPr>
          <w:lang w:val="fr-CH"/>
        </w:rPr>
        <w:t>–</w:t>
      </w:r>
      <w:r w:rsidRPr="00DF71DC">
        <w:rPr>
          <w:lang w:val="fr-CH"/>
        </w:rPr>
        <w:tab/>
      </w:r>
      <w:r w:rsidR="009769E8" w:rsidRPr="00DF71DC">
        <w:rPr>
          <w:lang w:val="fr-CH"/>
        </w:rPr>
        <w:t>Afrique (un bureau régional en Ethiopie et trois bureaux de zone au</w:t>
      </w:r>
      <w:r w:rsidRPr="00DF71DC">
        <w:rPr>
          <w:lang w:val="fr-CH"/>
        </w:rPr>
        <w:t xml:space="preserve"> Camero</w:t>
      </w:r>
      <w:r w:rsidR="009769E8" w:rsidRPr="00DF71DC">
        <w:rPr>
          <w:lang w:val="fr-CH"/>
        </w:rPr>
        <w:t>u</w:t>
      </w:r>
      <w:r w:rsidRPr="00DF71DC">
        <w:rPr>
          <w:lang w:val="fr-CH"/>
        </w:rPr>
        <w:t xml:space="preserve">n, </w:t>
      </w:r>
      <w:r w:rsidR="009769E8" w:rsidRPr="00DF71DC">
        <w:rPr>
          <w:lang w:val="fr-CH"/>
        </w:rPr>
        <w:t xml:space="preserve">au </w:t>
      </w:r>
      <w:r w:rsidRPr="00DF71DC">
        <w:rPr>
          <w:lang w:val="fr-CH"/>
        </w:rPr>
        <w:t>S</w:t>
      </w:r>
      <w:r w:rsidR="009769E8" w:rsidRPr="00DF71DC">
        <w:rPr>
          <w:lang w:val="fr-CH"/>
        </w:rPr>
        <w:t>é</w:t>
      </w:r>
      <w:r w:rsidRPr="00DF71DC">
        <w:rPr>
          <w:lang w:val="fr-CH"/>
        </w:rPr>
        <w:t>n</w:t>
      </w:r>
      <w:r w:rsidR="009769E8" w:rsidRPr="00DF71DC">
        <w:rPr>
          <w:lang w:val="fr-CH"/>
        </w:rPr>
        <w:t>é</w:t>
      </w:r>
      <w:r w:rsidRPr="00DF71DC">
        <w:rPr>
          <w:lang w:val="fr-CH"/>
        </w:rPr>
        <w:t xml:space="preserve">gal </w:t>
      </w:r>
      <w:r w:rsidR="009769E8" w:rsidRPr="00DF71DC">
        <w:rPr>
          <w:lang w:val="fr-CH"/>
        </w:rPr>
        <w:t>et au</w:t>
      </w:r>
      <w:r w:rsidRPr="00DF71DC">
        <w:rPr>
          <w:lang w:val="fr-CH"/>
        </w:rPr>
        <w:t xml:space="preserve"> Zimbabwe)</w:t>
      </w:r>
      <w:bookmarkEnd w:id="11"/>
      <w:r w:rsidR="00B777CC" w:rsidRPr="00DF71DC">
        <w:rPr>
          <w:lang w:val="fr-CH"/>
        </w:rPr>
        <w:t>.</w:t>
      </w:r>
    </w:p>
    <w:p w:rsidR="00CF29D3" w:rsidRPr="00DF71DC" w:rsidRDefault="00CF29D3" w:rsidP="00CE2EEC">
      <w:pPr>
        <w:pStyle w:val="enumlev1"/>
        <w:rPr>
          <w:lang w:val="fr-CH"/>
        </w:rPr>
      </w:pPr>
      <w:bookmarkStart w:id="12" w:name="lt_pId027"/>
      <w:r w:rsidRPr="00DF71DC">
        <w:rPr>
          <w:lang w:val="fr-CH"/>
        </w:rPr>
        <w:t>–</w:t>
      </w:r>
      <w:r w:rsidRPr="00DF71DC">
        <w:rPr>
          <w:lang w:val="fr-CH"/>
        </w:rPr>
        <w:tab/>
      </w:r>
      <w:r w:rsidR="009769E8" w:rsidRPr="00DF71DC">
        <w:rPr>
          <w:lang w:val="fr-CH"/>
        </w:rPr>
        <w:t>Région Amériques</w:t>
      </w:r>
      <w:r w:rsidRPr="00DF71DC">
        <w:rPr>
          <w:lang w:val="fr-CH"/>
        </w:rPr>
        <w:t xml:space="preserve"> (</w:t>
      </w:r>
      <w:r w:rsidR="009769E8" w:rsidRPr="00DF71DC">
        <w:rPr>
          <w:lang w:val="fr-CH"/>
        </w:rPr>
        <w:t>un bureau régional au Brés</w:t>
      </w:r>
      <w:r w:rsidRPr="00DF71DC">
        <w:rPr>
          <w:lang w:val="fr-CH"/>
        </w:rPr>
        <w:t xml:space="preserve">il </w:t>
      </w:r>
      <w:r w:rsidR="009769E8" w:rsidRPr="00DF71DC">
        <w:rPr>
          <w:lang w:val="fr-CH"/>
        </w:rPr>
        <w:t>et trois bureaux de zone à la Barbade, au Chili et au Honduras</w:t>
      </w:r>
      <w:r w:rsidRPr="00DF71DC">
        <w:rPr>
          <w:lang w:val="fr-CH"/>
        </w:rPr>
        <w:t>)</w:t>
      </w:r>
      <w:bookmarkEnd w:id="12"/>
      <w:r w:rsidR="00B777CC" w:rsidRPr="00DF71DC">
        <w:rPr>
          <w:lang w:val="fr-CH"/>
        </w:rPr>
        <w:t>.</w:t>
      </w:r>
    </w:p>
    <w:p w:rsidR="00CF29D3" w:rsidRPr="00DF71DC" w:rsidRDefault="00CF29D3" w:rsidP="00CE2EEC">
      <w:pPr>
        <w:pStyle w:val="enumlev1"/>
        <w:rPr>
          <w:lang w:val="fr-CH"/>
        </w:rPr>
      </w:pPr>
      <w:bookmarkStart w:id="13" w:name="lt_pId028"/>
      <w:r w:rsidRPr="00DF71DC">
        <w:rPr>
          <w:lang w:val="fr-CH"/>
        </w:rPr>
        <w:t>–</w:t>
      </w:r>
      <w:r w:rsidRPr="00DF71DC">
        <w:rPr>
          <w:lang w:val="fr-CH"/>
        </w:rPr>
        <w:tab/>
      </w:r>
      <w:r w:rsidR="009769E8" w:rsidRPr="00DF71DC">
        <w:rPr>
          <w:lang w:val="fr-CH"/>
        </w:rPr>
        <w:t>Etats arabes</w:t>
      </w:r>
      <w:r w:rsidRPr="00DF71DC">
        <w:rPr>
          <w:lang w:val="fr-CH"/>
        </w:rPr>
        <w:t xml:space="preserve"> (</w:t>
      </w:r>
      <w:r w:rsidR="009769E8" w:rsidRPr="00DF71DC">
        <w:rPr>
          <w:lang w:val="fr-CH"/>
        </w:rPr>
        <w:t>un bureau régional en</w:t>
      </w:r>
      <w:r w:rsidRPr="00DF71DC">
        <w:rPr>
          <w:lang w:val="fr-CH"/>
        </w:rPr>
        <w:t xml:space="preserve"> Egypt</w:t>
      </w:r>
      <w:r w:rsidR="009769E8" w:rsidRPr="00DF71DC">
        <w:rPr>
          <w:lang w:val="fr-CH"/>
        </w:rPr>
        <w:t>e</w:t>
      </w:r>
      <w:r w:rsidRPr="00DF71DC">
        <w:rPr>
          <w:lang w:val="fr-CH"/>
        </w:rPr>
        <w:t>)</w:t>
      </w:r>
      <w:bookmarkEnd w:id="13"/>
      <w:r w:rsidR="00B777CC" w:rsidRPr="00DF71DC">
        <w:rPr>
          <w:lang w:val="fr-CH"/>
        </w:rPr>
        <w:t>.</w:t>
      </w:r>
    </w:p>
    <w:p w:rsidR="00CF29D3" w:rsidRPr="00DF71DC" w:rsidRDefault="00CF29D3" w:rsidP="00CE2EEC">
      <w:pPr>
        <w:pStyle w:val="enumlev1"/>
        <w:rPr>
          <w:lang w:val="fr-CH"/>
        </w:rPr>
      </w:pPr>
      <w:bookmarkStart w:id="14" w:name="lt_pId029"/>
      <w:r w:rsidRPr="00DF71DC">
        <w:rPr>
          <w:lang w:val="fr-CH"/>
        </w:rPr>
        <w:t>–</w:t>
      </w:r>
      <w:r w:rsidRPr="00DF71DC">
        <w:rPr>
          <w:lang w:val="fr-CH"/>
        </w:rPr>
        <w:tab/>
        <w:t>Asi</w:t>
      </w:r>
      <w:r w:rsidR="009769E8" w:rsidRPr="00DF71DC">
        <w:rPr>
          <w:lang w:val="fr-CH"/>
        </w:rPr>
        <w:t>e-P</w:t>
      </w:r>
      <w:r w:rsidRPr="00DF71DC">
        <w:rPr>
          <w:lang w:val="fr-CH"/>
        </w:rPr>
        <w:t>acifi</w:t>
      </w:r>
      <w:r w:rsidR="009769E8" w:rsidRPr="00DF71DC">
        <w:rPr>
          <w:lang w:val="fr-CH"/>
        </w:rPr>
        <w:t>que</w:t>
      </w:r>
      <w:r w:rsidRPr="00DF71DC">
        <w:rPr>
          <w:lang w:val="fr-CH"/>
        </w:rPr>
        <w:t xml:space="preserve"> (</w:t>
      </w:r>
      <w:r w:rsidR="009769E8" w:rsidRPr="00DF71DC">
        <w:rPr>
          <w:lang w:val="fr-CH"/>
        </w:rPr>
        <w:t>un bureau régional en Thaï</w:t>
      </w:r>
      <w:r w:rsidRPr="00DF71DC">
        <w:rPr>
          <w:lang w:val="fr-CH"/>
        </w:rPr>
        <w:t>land</w:t>
      </w:r>
      <w:r w:rsidR="009769E8" w:rsidRPr="00DF71DC">
        <w:rPr>
          <w:lang w:val="fr-CH"/>
        </w:rPr>
        <w:t>e</w:t>
      </w:r>
      <w:r w:rsidRPr="00DF71DC">
        <w:rPr>
          <w:lang w:val="fr-CH"/>
        </w:rPr>
        <w:t xml:space="preserve"> </w:t>
      </w:r>
      <w:r w:rsidR="009769E8" w:rsidRPr="00DF71DC">
        <w:rPr>
          <w:lang w:val="fr-CH"/>
        </w:rPr>
        <w:t>et un bureau de zone en</w:t>
      </w:r>
      <w:r w:rsidRPr="00DF71DC">
        <w:rPr>
          <w:lang w:val="fr-CH"/>
        </w:rPr>
        <w:t xml:space="preserve"> Indon</w:t>
      </w:r>
      <w:r w:rsidR="009769E8" w:rsidRPr="00DF71DC">
        <w:rPr>
          <w:lang w:val="fr-CH"/>
        </w:rPr>
        <w:t>ésie</w:t>
      </w:r>
      <w:r w:rsidRPr="00DF71DC">
        <w:rPr>
          <w:lang w:val="fr-CH"/>
        </w:rPr>
        <w:t>)</w:t>
      </w:r>
      <w:bookmarkEnd w:id="14"/>
      <w:r w:rsidR="00B777CC" w:rsidRPr="00DF71DC">
        <w:rPr>
          <w:lang w:val="fr-CH"/>
        </w:rPr>
        <w:t>.</w:t>
      </w:r>
    </w:p>
    <w:p w:rsidR="00CF29D3" w:rsidRPr="00DF71DC" w:rsidRDefault="00CF29D3" w:rsidP="00CE2EEC">
      <w:pPr>
        <w:pStyle w:val="enumlev1"/>
        <w:rPr>
          <w:lang w:val="fr-CH"/>
        </w:rPr>
      </w:pPr>
      <w:bookmarkStart w:id="15" w:name="lt_pId030"/>
      <w:r w:rsidRPr="00DF71DC">
        <w:rPr>
          <w:lang w:val="fr-CH"/>
        </w:rPr>
        <w:t>–</w:t>
      </w:r>
      <w:r w:rsidRPr="00DF71DC">
        <w:rPr>
          <w:lang w:val="fr-CH"/>
        </w:rPr>
        <w:tab/>
      </w:r>
      <w:r w:rsidR="009769E8" w:rsidRPr="00DF71DC">
        <w:rPr>
          <w:lang w:val="fr-CH"/>
        </w:rPr>
        <w:t>CEI</w:t>
      </w:r>
      <w:r w:rsidRPr="00DF71DC">
        <w:rPr>
          <w:lang w:val="fr-CH"/>
        </w:rPr>
        <w:t xml:space="preserve"> (</w:t>
      </w:r>
      <w:r w:rsidR="009769E8" w:rsidRPr="00DF71DC">
        <w:rPr>
          <w:lang w:val="fr-CH"/>
        </w:rPr>
        <w:t>un bureau de zone en</w:t>
      </w:r>
      <w:r w:rsidRPr="00DF71DC">
        <w:rPr>
          <w:lang w:val="fr-CH"/>
        </w:rPr>
        <w:t xml:space="preserve"> Russi</w:t>
      </w:r>
      <w:r w:rsidR="009769E8" w:rsidRPr="00DF71DC">
        <w:rPr>
          <w:lang w:val="fr-CH"/>
        </w:rPr>
        <w:t>e</w:t>
      </w:r>
      <w:r w:rsidRPr="00DF71DC">
        <w:rPr>
          <w:lang w:val="fr-CH"/>
        </w:rPr>
        <w:t>)</w:t>
      </w:r>
      <w:bookmarkEnd w:id="15"/>
      <w:r w:rsidR="00B777CC" w:rsidRPr="00DF71DC">
        <w:rPr>
          <w:lang w:val="fr-CH"/>
        </w:rPr>
        <w:t>.</w:t>
      </w:r>
    </w:p>
    <w:p w:rsidR="009769E8" w:rsidRPr="00DF71DC" w:rsidRDefault="009769E8" w:rsidP="00CE2EEC">
      <w:pPr>
        <w:rPr>
          <w:lang w:val="fr-CH"/>
        </w:rPr>
      </w:pPr>
      <w:bookmarkStart w:id="16" w:name="lt_pId031"/>
      <w:r w:rsidRPr="00DF71DC">
        <w:rPr>
          <w:lang w:val="fr-CH"/>
        </w:rPr>
        <w:t>Il existe</w:t>
      </w:r>
      <w:r w:rsidR="006C2DC9" w:rsidRPr="00DF71DC">
        <w:rPr>
          <w:lang w:val="fr-CH"/>
        </w:rPr>
        <w:t>,</w:t>
      </w:r>
      <w:r w:rsidRPr="00DF71DC">
        <w:rPr>
          <w:lang w:val="fr-CH"/>
        </w:rPr>
        <w:t xml:space="preserve"> au siège de l'UIT</w:t>
      </w:r>
      <w:r w:rsidR="006C2DC9" w:rsidRPr="00DF71DC">
        <w:rPr>
          <w:lang w:val="fr-CH"/>
        </w:rPr>
        <w:t>,</w:t>
      </w:r>
      <w:r w:rsidRPr="00DF71DC">
        <w:rPr>
          <w:lang w:val="fr-CH"/>
        </w:rPr>
        <w:t xml:space="preserve"> une unité de coordination pour l'Europe (Bureau de développement des télécommunications).</w:t>
      </w:r>
    </w:p>
    <w:bookmarkEnd w:id="16"/>
    <w:p w:rsidR="00571EEA" w:rsidRPr="00DF71DC" w:rsidRDefault="00CF29D3" w:rsidP="00CE2EEC">
      <w:pPr>
        <w:pStyle w:val="Heading1"/>
        <w:rPr>
          <w:lang w:val="fr-CH"/>
        </w:rPr>
      </w:pPr>
      <w:r w:rsidRPr="00DF71DC">
        <w:rPr>
          <w:lang w:val="fr-CH"/>
        </w:rPr>
        <w:t>3</w:t>
      </w:r>
      <w:r w:rsidRPr="00DF71DC">
        <w:rPr>
          <w:lang w:val="fr-CH"/>
        </w:rPr>
        <w:tab/>
        <w:t>Proposition</w:t>
      </w:r>
    </w:p>
    <w:p w:rsidR="009769E8" w:rsidRPr="00DF71DC" w:rsidRDefault="009769E8" w:rsidP="0069685A">
      <w:pPr>
        <w:rPr>
          <w:lang w:val="fr-CH"/>
        </w:rPr>
      </w:pPr>
      <w:bookmarkStart w:id="17" w:name="lt_pId033"/>
      <w:r w:rsidRPr="00DF71DC">
        <w:rPr>
          <w:lang w:val="fr-CH"/>
        </w:rPr>
        <w:t>Dans le</w:t>
      </w:r>
      <w:r w:rsidR="00CF29D3" w:rsidRPr="00DF71DC">
        <w:rPr>
          <w:lang w:val="fr-CH"/>
        </w:rPr>
        <w:t xml:space="preserve"> </w:t>
      </w:r>
      <w:r w:rsidRPr="00DF71DC">
        <w:rPr>
          <w:lang w:val="fr-CH"/>
        </w:rPr>
        <w:t>D</w:t>
      </w:r>
      <w:r w:rsidR="00CF29D3" w:rsidRPr="00DF71DC">
        <w:rPr>
          <w:lang w:val="fr-CH"/>
        </w:rPr>
        <w:t xml:space="preserve">ocument </w:t>
      </w:r>
      <w:hyperlink r:id="rId15" w:history="1">
        <w:r w:rsidR="00CF29D3" w:rsidRPr="00DF71DC">
          <w:rPr>
            <w:rStyle w:val="Hyperlink"/>
            <w:lang w:val="fr-CH"/>
          </w:rPr>
          <w:t>C17/DL/3(Rév.1)</w:t>
        </w:r>
      </w:hyperlink>
      <w:r w:rsidR="00CF29D3" w:rsidRPr="00DF71DC">
        <w:rPr>
          <w:lang w:val="fr-CH"/>
        </w:rPr>
        <w:t xml:space="preserve"> </w:t>
      </w:r>
      <w:r w:rsidRPr="00DF71DC">
        <w:rPr>
          <w:lang w:val="fr-CH"/>
        </w:rPr>
        <w:t>relatif aux</w:t>
      </w:r>
      <w:r w:rsidR="005656C7" w:rsidRPr="00DF71DC">
        <w:rPr>
          <w:lang w:val="fr-CH"/>
        </w:rPr>
        <w:t xml:space="preserve"> "</w:t>
      </w:r>
      <w:r w:rsidR="00CF29D3" w:rsidRPr="00DF71DC">
        <w:rPr>
          <w:lang w:val="fr-CH"/>
        </w:rPr>
        <w:t xml:space="preserve">Options </w:t>
      </w:r>
      <w:r w:rsidRPr="00DF71DC">
        <w:rPr>
          <w:lang w:val="fr-CH"/>
        </w:rPr>
        <w:t>envisageables pour traiter les propositions/rubriques non prises en compte dans le projet de</w:t>
      </w:r>
      <w:r w:rsidR="00C82A45">
        <w:rPr>
          <w:lang w:val="fr-CH"/>
        </w:rPr>
        <w:t xml:space="preserve"> budget pour l'exercice biennal </w:t>
      </w:r>
      <w:r w:rsidRPr="00DF71DC">
        <w:rPr>
          <w:lang w:val="fr-CH"/>
        </w:rPr>
        <w:t>2018-2019</w:t>
      </w:r>
      <w:r w:rsidR="0069685A" w:rsidRPr="00DF71DC">
        <w:rPr>
          <w:lang w:val="fr-CH"/>
        </w:rPr>
        <w:t>"</w:t>
      </w:r>
      <w:r w:rsidR="00CF29D3" w:rsidRPr="00DF71DC">
        <w:rPr>
          <w:lang w:val="fr-CH"/>
        </w:rPr>
        <w:t xml:space="preserve">, </w:t>
      </w:r>
      <w:r w:rsidRPr="00DF71DC">
        <w:rPr>
          <w:lang w:val="fr-CH"/>
        </w:rPr>
        <w:t>le secrétariat a présenté l'option la moins coûteuse et l'option la plu</w:t>
      </w:r>
      <w:r w:rsidR="0069685A" w:rsidRPr="00DF71DC">
        <w:rPr>
          <w:lang w:val="fr-CH"/>
        </w:rPr>
        <w:t>s coûteuse pour transformer le B</w:t>
      </w:r>
      <w:r w:rsidRPr="00DF71DC">
        <w:rPr>
          <w:lang w:val="fr-CH"/>
        </w:rPr>
        <w:t xml:space="preserve">ureau de zone de l'UIT </w:t>
      </w:r>
      <w:r w:rsidR="0069685A" w:rsidRPr="00DF71DC">
        <w:rPr>
          <w:lang w:val="fr-CH"/>
        </w:rPr>
        <w:t>pour la CEI en B</w:t>
      </w:r>
      <w:r w:rsidRPr="00DF71DC">
        <w:rPr>
          <w:lang w:val="fr-CH"/>
        </w:rPr>
        <w:t xml:space="preserve">ureau régional, </w:t>
      </w:r>
      <w:r w:rsidR="0069685A" w:rsidRPr="00DF71DC">
        <w:rPr>
          <w:lang w:val="fr-CH"/>
        </w:rPr>
        <w:t xml:space="preserve">ce </w:t>
      </w:r>
      <w:r w:rsidRPr="00DF71DC">
        <w:rPr>
          <w:lang w:val="fr-CH"/>
        </w:rPr>
        <w:t>qui représente un coût additionnel compris entre 71 000 CHF et 1 046 000 CHF pour 2018-2019.</w:t>
      </w:r>
      <w:r w:rsidR="00D93CBB" w:rsidRPr="00DF71DC">
        <w:rPr>
          <w:lang w:val="fr-CH"/>
        </w:rPr>
        <w:t xml:space="preserve"> L'option la moins coûteuse suppos</w:t>
      </w:r>
      <w:r w:rsidR="0069685A" w:rsidRPr="00DF71DC">
        <w:rPr>
          <w:lang w:val="fr-CH"/>
        </w:rPr>
        <w:t>ait</w:t>
      </w:r>
      <w:r w:rsidR="00D93CBB" w:rsidRPr="00DF71DC">
        <w:rPr>
          <w:lang w:val="fr-CH"/>
        </w:rPr>
        <w:t xml:space="preserve"> le reclassement d'un poste P5 en poste D1, tandis que l'option la plus coûteuse prévo</w:t>
      </w:r>
      <w:r w:rsidR="0069685A" w:rsidRPr="00DF71DC">
        <w:rPr>
          <w:lang w:val="fr-CH"/>
        </w:rPr>
        <w:t>yait</w:t>
      </w:r>
      <w:r w:rsidR="00D93CBB" w:rsidRPr="00DF71DC">
        <w:rPr>
          <w:lang w:val="fr-CH"/>
        </w:rPr>
        <w:t xml:space="preserve"> la création d'un nouveau poste </w:t>
      </w:r>
      <w:r w:rsidR="0069685A" w:rsidRPr="00DF71DC">
        <w:rPr>
          <w:lang w:val="fr-CH"/>
        </w:rPr>
        <w:t>D1, d'un nouveau poste P4, d'un</w:t>
      </w:r>
      <w:r w:rsidR="00D93CBB" w:rsidRPr="00DF71DC">
        <w:rPr>
          <w:lang w:val="fr-CH"/>
        </w:rPr>
        <w:t xml:space="preserve"> nouveau poste G6 et d'un nouveau poste G2, en plus des postes existants. En attendant la décision que prendra le Conseil sur cette question à sa session de 2018, une provision correspondant à l'option la plus coûteuse (523 000</w:t>
      </w:r>
      <w:r w:rsidR="002976E1">
        <w:rPr>
          <w:lang w:val="fr-CH"/>
        </w:rPr>
        <w:t> </w:t>
      </w:r>
      <w:r w:rsidR="00D93CBB" w:rsidRPr="00DF71DC">
        <w:rPr>
          <w:lang w:val="fr-CH"/>
        </w:rPr>
        <w:t xml:space="preserve">CHF) a été ajoutée au budget pour 2019. </w:t>
      </w:r>
    </w:p>
    <w:p w:rsidR="00D93CBB" w:rsidRPr="00DF71DC" w:rsidRDefault="00D93CBB" w:rsidP="0069685A">
      <w:pPr>
        <w:rPr>
          <w:lang w:val="fr-CH"/>
        </w:rPr>
      </w:pPr>
      <w:bookmarkStart w:id="18" w:name="lt_pId036"/>
      <w:bookmarkEnd w:id="17"/>
      <w:r w:rsidRPr="00DF71DC">
        <w:rPr>
          <w:lang w:val="fr-CH"/>
        </w:rPr>
        <w:t>Vu les contraintes financières, la structure ci-aprè</w:t>
      </w:r>
      <w:r w:rsidR="0069685A" w:rsidRPr="00DF71DC">
        <w:rPr>
          <w:lang w:val="fr-CH"/>
        </w:rPr>
        <w:t>s est proposée pour le nouveau B</w:t>
      </w:r>
      <w:r w:rsidRPr="00DF71DC">
        <w:rPr>
          <w:lang w:val="fr-CH"/>
        </w:rPr>
        <w:t>ureau régional de l'UIT pour la CEI à Moscou (Fédération de Russie):</w:t>
      </w:r>
    </w:p>
    <w:p w:rsidR="00CF29D3" w:rsidRPr="00DF71DC" w:rsidRDefault="00CF29D3" w:rsidP="0069685A">
      <w:pPr>
        <w:pStyle w:val="enumlev1"/>
        <w:rPr>
          <w:lang w:val="fr-CH"/>
        </w:rPr>
      </w:pPr>
      <w:bookmarkStart w:id="19" w:name="lt_pId037"/>
      <w:bookmarkEnd w:id="18"/>
      <w:r w:rsidRPr="00DF71DC">
        <w:rPr>
          <w:lang w:val="fr-CH"/>
        </w:rPr>
        <w:t>•</w:t>
      </w:r>
      <w:r w:rsidRPr="00DF71DC">
        <w:rPr>
          <w:lang w:val="fr-CH"/>
        </w:rPr>
        <w:tab/>
      </w:r>
      <w:r w:rsidR="00D93CBB" w:rsidRPr="00DF71DC">
        <w:rPr>
          <w:lang w:val="fr-CH"/>
        </w:rPr>
        <w:t>S</w:t>
      </w:r>
      <w:r w:rsidRPr="00DF71DC">
        <w:rPr>
          <w:lang w:val="fr-CH"/>
        </w:rPr>
        <w:t>tructure</w:t>
      </w:r>
      <w:r w:rsidR="00D93CBB" w:rsidRPr="00DF71DC">
        <w:rPr>
          <w:lang w:val="fr-CH"/>
        </w:rPr>
        <w:t xml:space="preserve"> actuelle</w:t>
      </w:r>
      <w:r w:rsidRPr="00DF71DC">
        <w:rPr>
          <w:lang w:val="fr-CH"/>
        </w:rPr>
        <w:t xml:space="preserve">: </w:t>
      </w:r>
      <w:r w:rsidR="00D93CBB" w:rsidRPr="00DF71DC">
        <w:rPr>
          <w:lang w:val="fr-CH"/>
        </w:rPr>
        <w:t>un poste</w:t>
      </w:r>
      <w:r w:rsidRPr="00DF71DC">
        <w:rPr>
          <w:lang w:val="fr-CH"/>
        </w:rPr>
        <w:t xml:space="preserve"> P5, </w:t>
      </w:r>
      <w:r w:rsidR="00D93CBB" w:rsidRPr="00DF71DC">
        <w:rPr>
          <w:lang w:val="fr-CH"/>
        </w:rPr>
        <w:t xml:space="preserve">un poste </w:t>
      </w:r>
      <w:r w:rsidRPr="00DF71DC">
        <w:rPr>
          <w:lang w:val="fr-CH"/>
        </w:rPr>
        <w:t>P3</w:t>
      </w:r>
      <w:r w:rsidR="00D93CBB" w:rsidRPr="00DF71DC">
        <w:rPr>
          <w:lang w:val="fr-CH"/>
        </w:rPr>
        <w:t xml:space="preserve"> et</w:t>
      </w:r>
      <w:r w:rsidRPr="00DF71DC">
        <w:rPr>
          <w:lang w:val="fr-CH"/>
        </w:rPr>
        <w:t xml:space="preserve"> </w:t>
      </w:r>
      <w:r w:rsidR="00D93CBB" w:rsidRPr="00DF71DC">
        <w:rPr>
          <w:lang w:val="fr-CH"/>
        </w:rPr>
        <w:t xml:space="preserve">un poste </w:t>
      </w:r>
      <w:r w:rsidRPr="00DF71DC">
        <w:rPr>
          <w:lang w:val="fr-CH"/>
        </w:rPr>
        <w:t>G5</w:t>
      </w:r>
      <w:bookmarkEnd w:id="19"/>
      <w:r w:rsidR="0069685A" w:rsidRPr="00DF71DC">
        <w:rPr>
          <w:lang w:val="fr-CH"/>
        </w:rPr>
        <w:t>.</w:t>
      </w:r>
    </w:p>
    <w:p w:rsidR="00CF29D3" w:rsidRPr="00DF71DC" w:rsidRDefault="00CF29D3" w:rsidP="00CE2EEC">
      <w:pPr>
        <w:pStyle w:val="enumlev1"/>
        <w:rPr>
          <w:lang w:val="fr-CH"/>
        </w:rPr>
      </w:pPr>
      <w:bookmarkStart w:id="20" w:name="lt_pId038"/>
      <w:r w:rsidRPr="00DF71DC">
        <w:rPr>
          <w:lang w:val="fr-CH"/>
        </w:rPr>
        <w:t>•</w:t>
      </w:r>
      <w:r w:rsidRPr="00DF71DC">
        <w:rPr>
          <w:lang w:val="fr-CH"/>
        </w:rPr>
        <w:tab/>
      </w:r>
      <w:r w:rsidR="00FF1D9E" w:rsidRPr="00DF71DC">
        <w:rPr>
          <w:lang w:val="fr-CH"/>
        </w:rPr>
        <w:t>Nouvelle</w:t>
      </w:r>
      <w:r w:rsidRPr="00DF71DC">
        <w:rPr>
          <w:lang w:val="fr-CH"/>
        </w:rPr>
        <w:t xml:space="preserve"> structure</w:t>
      </w:r>
      <w:r w:rsidR="0069685A" w:rsidRPr="00DF71DC">
        <w:rPr>
          <w:lang w:val="fr-CH"/>
        </w:rPr>
        <w:t xml:space="preserve"> proposée</w:t>
      </w:r>
      <w:r w:rsidRPr="00DF71DC">
        <w:rPr>
          <w:lang w:val="fr-CH"/>
        </w:rPr>
        <w:t xml:space="preserve">: </w:t>
      </w:r>
      <w:r w:rsidR="00D93CBB" w:rsidRPr="00DF71DC">
        <w:rPr>
          <w:lang w:val="fr-CH"/>
        </w:rPr>
        <w:t xml:space="preserve">un poste </w:t>
      </w:r>
      <w:r w:rsidRPr="00DF71DC">
        <w:rPr>
          <w:lang w:val="fr-CH"/>
        </w:rPr>
        <w:t xml:space="preserve">D1, </w:t>
      </w:r>
      <w:r w:rsidR="00D93CBB" w:rsidRPr="00DF71DC">
        <w:rPr>
          <w:lang w:val="fr-CH"/>
        </w:rPr>
        <w:t xml:space="preserve">un poste </w:t>
      </w:r>
      <w:r w:rsidRPr="00DF71DC">
        <w:rPr>
          <w:lang w:val="fr-CH"/>
        </w:rPr>
        <w:t>P4</w:t>
      </w:r>
      <w:r w:rsidR="00D93CBB" w:rsidRPr="00DF71DC">
        <w:rPr>
          <w:lang w:val="fr-CH"/>
        </w:rPr>
        <w:t xml:space="preserve"> et un poste</w:t>
      </w:r>
      <w:r w:rsidRPr="00DF71DC">
        <w:rPr>
          <w:lang w:val="fr-CH"/>
        </w:rPr>
        <w:t xml:space="preserve"> G6</w:t>
      </w:r>
      <w:bookmarkEnd w:id="20"/>
      <w:r w:rsidR="0069685A" w:rsidRPr="00DF71DC">
        <w:rPr>
          <w:lang w:val="fr-CH"/>
        </w:rPr>
        <w:t>.</w:t>
      </w:r>
    </w:p>
    <w:p w:rsidR="00CF29D3" w:rsidRPr="00DF71DC" w:rsidRDefault="00CF29D3" w:rsidP="00CE2EEC">
      <w:pPr>
        <w:pStyle w:val="Heading1"/>
        <w:rPr>
          <w:lang w:val="fr-CH"/>
        </w:rPr>
      </w:pPr>
      <w:r w:rsidRPr="00DF71DC">
        <w:rPr>
          <w:lang w:val="fr-CH"/>
        </w:rPr>
        <w:lastRenderedPageBreak/>
        <w:t>4</w:t>
      </w:r>
      <w:r w:rsidRPr="00DF71DC">
        <w:rPr>
          <w:lang w:val="fr-CH"/>
        </w:rPr>
        <w:tab/>
      </w:r>
      <w:r w:rsidR="00FF1D9E" w:rsidRPr="00DF71DC">
        <w:rPr>
          <w:lang w:val="fr-CH"/>
        </w:rPr>
        <w:t>Incidences budgétaires</w:t>
      </w:r>
    </w:p>
    <w:p w:rsidR="00FF1D9E" w:rsidRPr="00DF71DC" w:rsidRDefault="00FF1D9E" w:rsidP="00CE2EEC">
      <w:pPr>
        <w:rPr>
          <w:lang w:val="fr-CH"/>
        </w:rPr>
      </w:pPr>
      <w:r w:rsidRPr="00DF71DC">
        <w:rPr>
          <w:lang w:val="fr-CH"/>
        </w:rPr>
        <w:t xml:space="preserve">Les ressources nécessaires à compter de 2019 du fait de la transformation du </w:t>
      </w:r>
      <w:r w:rsidR="00C6093D" w:rsidRPr="00DF71DC">
        <w:rPr>
          <w:lang w:val="fr-CH"/>
        </w:rPr>
        <w:t>B</w:t>
      </w:r>
      <w:r w:rsidRPr="00DF71DC">
        <w:rPr>
          <w:lang w:val="fr-CH"/>
        </w:rPr>
        <w:t xml:space="preserve">ureau de zone de Moscou en </w:t>
      </w:r>
      <w:r w:rsidR="00C6093D" w:rsidRPr="00DF71DC">
        <w:rPr>
          <w:lang w:val="fr-CH"/>
        </w:rPr>
        <w:t>B</w:t>
      </w:r>
      <w:r w:rsidRPr="00DF71DC">
        <w:rPr>
          <w:lang w:val="fr-CH"/>
        </w:rPr>
        <w:t>ureau régional et des modifications apportées à la structure des effectifs présentées dans le présent document s'élèveront à 69 200 CHF</w:t>
      </w:r>
      <w:r w:rsidR="00C6093D" w:rsidRPr="00DF71DC">
        <w:rPr>
          <w:lang w:val="fr-CH"/>
        </w:rPr>
        <w:t xml:space="preserve"> par an</w:t>
      </w:r>
      <w:r w:rsidRPr="00DF71DC">
        <w:rPr>
          <w:lang w:val="fr-CH"/>
        </w:rPr>
        <w:t xml:space="preserve"> au taux du budget pour 2019. Les besoins pour 2019 sont couverts par les crédits supplémentaires prévus dans le budget 2019 pour le </w:t>
      </w:r>
      <w:r w:rsidR="00C6093D" w:rsidRPr="00DF71DC">
        <w:rPr>
          <w:lang w:val="fr-CH"/>
        </w:rPr>
        <w:t>B</w:t>
      </w:r>
      <w:r w:rsidRPr="00DF71DC">
        <w:rPr>
          <w:lang w:val="fr-CH"/>
        </w:rPr>
        <w:t xml:space="preserve">ureau régional (523 000 CHF). Les ressources nécessaires pour la période 2020-2023 ont été intégrées dans le projet de Plan financier pour la période 2020-2023. </w:t>
      </w:r>
    </w:p>
    <w:p w:rsidR="00CF29D3" w:rsidRPr="00DF71DC" w:rsidRDefault="00AF2DCA" w:rsidP="00CE2EEC">
      <w:pPr>
        <w:pStyle w:val="Heading1"/>
        <w:rPr>
          <w:lang w:val="fr-CH"/>
        </w:rPr>
      </w:pPr>
      <w:r w:rsidRPr="00DF71DC">
        <w:rPr>
          <w:lang w:val="fr-CH"/>
        </w:rPr>
        <w:t>5</w:t>
      </w:r>
      <w:r w:rsidRPr="00DF71DC">
        <w:rPr>
          <w:lang w:val="fr-CH"/>
        </w:rPr>
        <w:tab/>
      </w:r>
      <w:r w:rsidR="00FF1D9E" w:rsidRPr="00DF71DC">
        <w:rPr>
          <w:lang w:val="fr-CH"/>
        </w:rPr>
        <w:t>Mandat</w:t>
      </w:r>
    </w:p>
    <w:p w:rsidR="00FF1D9E" w:rsidRPr="00DF71DC" w:rsidRDefault="00FF1D9E" w:rsidP="00C6093D">
      <w:pPr>
        <w:rPr>
          <w:lang w:val="fr-CH"/>
        </w:rPr>
      </w:pPr>
      <w:bookmarkStart w:id="21" w:name="lt_pId044"/>
      <w:r w:rsidRPr="00DF71DC">
        <w:rPr>
          <w:lang w:val="fr-CH"/>
        </w:rPr>
        <w:t>Le mandat proposé pour le Bureau régional de l'UIT pour la CEI est analogue à celui des autres bureaux régionaux (voir l'</w:t>
      </w:r>
      <w:r w:rsidRPr="00DF71DC">
        <w:rPr>
          <w:b/>
          <w:bCs/>
          <w:lang w:val="fr-CH"/>
        </w:rPr>
        <w:t>Annexe 2</w:t>
      </w:r>
      <w:r w:rsidRPr="00DF71DC">
        <w:rPr>
          <w:lang w:val="fr-CH"/>
        </w:rPr>
        <w:t>). Les attr</w:t>
      </w:r>
      <w:r w:rsidR="002976E1">
        <w:rPr>
          <w:lang w:val="fr-CH"/>
        </w:rPr>
        <w:t>ibutions et responsabilités du D</w:t>
      </w:r>
      <w:r w:rsidRPr="00DF71DC">
        <w:rPr>
          <w:lang w:val="fr-CH"/>
        </w:rPr>
        <w:t xml:space="preserve">irecteur régional seront identiques à celles des autres </w:t>
      </w:r>
      <w:r w:rsidR="002976E1">
        <w:rPr>
          <w:lang w:val="fr-CH"/>
        </w:rPr>
        <w:t>D</w:t>
      </w:r>
      <w:r w:rsidR="00C6093D" w:rsidRPr="00DF71DC">
        <w:rPr>
          <w:lang w:val="fr-CH"/>
        </w:rPr>
        <w:t>irecteurs</w:t>
      </w:r>
      <w:r w:rsidRPr="00DF71DC">
        <w:rPr>
          <w:lang w:val="fr-CH"/>
        </w:rPr>
        <w:t xml:space="preserve"> régionaux. </w:t>
      </w:r>
    </w:p>
    <w:bookmarkEnd w:id="21"/>
    <w:p w:rsidR="00CF29D3" w:rsidRPr="00DF71DC" w:rsidRDefault="00AF2DCA" w:rsidP="00CE2EEC">
      <w:pPr>
        <w:pStyle w:val="Heading1"/>
        <w:rPr>
          <w:lang w:val="fr-CH"/>
        </w:rPr>
      </w:pPr>
      <w:r w:rsidRPr="00DF71DC">
        <w:rPr>
          <w:lang w:val="fr-CH"/>
        </w:rPr>
        <w:t>6</w:t>
      </w:r>
      <w:r w:rsidRPr="00DF71DC">
        <w:rPr>
          <w:lang w:val="fr-CH"/>
        </w:rPr>
        <w:tab/>
        <w:t>Conclusion</w:t>
      </w:r>
    </w:p>
    <w:p w:rsidR="00CF29D3" w:rsidRPr="00DF71DC" w:rsidRDefault="00941F70" w:rsidP="001613BC">
      <w:pPr>
        <w:rPr>
          <w:lang w:val="fr-CH"/>
        </w:rPr>
      </w:pPr>
      <w:r w:rsidRPr="00DF71DC">
        <w:rPr>
          <w:szCs w:val="24"/>
          <w:lang w:val="fr-CH"/>
        </w:rPr>
        <w:t xml:space="preserve">Le Conseil est invité à </w:t>
      </w:r>
      <w:r w:rsidRPr="00DF71DC">
        <w:rPr>
          <w:b/>
          <w:bCs/>
          <w:szCs w:val="24"/>
          <w:lang w:val="fr-CH"/>
        </w:rPr>
        <w:t>approuver</w:t>
      </w:r>
      <w:r w:rsidRPr="00DF71DC">
        <w:rPr>
          <w:szCs w:val="24"/>
          <w:lang w:val="fr-CH"/>
        </w:rPr>
        <w:t xml:space="preserve"> la nouvelle structure proposée pour le Bureau régional de l'UIT pour la CEI et à </w:t>
      </w:r>
      <w:r w:rsidRPr="00DF71DC">
        <w:rPr>
          <w:b/>
          <w:bCs/>
          <w:szCs w:val="24"/>
          <w:lang w:val="fr-CH"/>
        </w:rPr>
        <w:t>approuver</w:t>
      </w:r>
      <w:r w:rsidRPr="00DF71DC">
        <w:rPr>
          <w:szCs w:val="24"/>
          <w:lang w:val="fr-CH"/>
        </w:rPr>
        <w:t xml:space="preserve"> le projet de Décision relatif à la création d'un poste D1 de Directeur régional du Bureau régional de l'UIT pour la CEI </w:t>
      </w:r>
      <w:r w:rsidR="001613BC" w:rsidRPr="00DF71DC">
        <w:rPr>
          <w:szCs w:val="24"/>
          <w:lang w:val="fr-CH"/>
        </w:rPr>
        <w:t>figurant</w:t>
      </w:r>
      <w:r w:rsidRPr="00DF71DC">
        <w:rPr>
          <w:szCs w:val="24"/>
          <w:lang w:val="fr-CH"/>
        </w:rPr>
        <w:t xml:space="preserve"> dans l'</w:t>
      </w:r>
      <w:r w:rsidRPr="00DF71DC">
        <w:rPr>
          <w:b/>
          <w:bCs/>
          <w:szCs w:val="24"/>
          <w:lang w:val="fr-CH"/>
        </w:rPr>
        <w:t>Annexe 1</w:t>
      </w:r>
      <w:r w:rsidRPr="00DF71DC">
        <w:rPr>
          <w:szCs w:val="24"/>
          <w:lang w:val="fr-CH"/>
        </w:rPr>
        <w:t xml:space="preserve"> du présent document.</w:t>
      </w:r>
    </w:p>
    <w:p w:rsidR="00AF2DCA" w:rsidRPr="00DF71DC" w:rsidRDefault="00AF2DCA" w:rsidP="00CE2EEC">
      <w:pPr>
        <w:tabs>
          <w:tab w:val="clear" w:pos="567"/>
          <w:tab w:val="clear" w:pos="1134"/>
          <w:tab w:val="clear" w:pos="1701"/>
          <w:tab w:val="clear" w:pos="2268"/>
          <w:tab w:val="clear" w:pos="2835"/>
        </w:tabs>
        <w:overflowPunct/>
        <w:autoSpaceDE/>
        <w:autoSpaceDN/>
        <w:adjustRightInd/>
        <w:spacing w:before="0"/>
        <w:textAlignment w:val="auto"/>
        <w:rPr>
          <w:lang w:val="fr-CH"/>
        </w:rPr>
      </w:pPr>
      <w:r w:rsidRPr="00DF71DC">
        <w:rPr>
          <w:lang w:val="fr-CH"/>
        </w:rPr>
        <w:br w:type="page"/>
      </w:r>
    </w:p>
    <w:p w:rsidR="00AF2DCA" w:rsidRPr="00DF71DC" w:rsidRDefault="00AF2DCA" w:rsidP="00CE2EEC">
      <w:pPr>
        <w:pStyle w:val="AnnexNo"/>
        <w:rPr>
          <w:lang w:val="fr-CH"/>
        </w:rPr>
      </w:pPr>
      <w:bookmarkStart w:id="22" w:name="lt_pId048"/>
      <w:r w:rsidRPr="00DF71DC">
        <w:rPr>
          <w:lang w:val="fr-CH"/>
        </w:rPr>
        <w:lastRenderedPageBreak/>
        <w:t>ANNEXE 1</w:t>
      </w:r>
      <w:bookmarkEnd w:id="22"/>
    </w:p>
    <w:p w:rsidR="00AF2DCA" w:rsidRPr="00DF71DC" w:rsidRDefault="00AF2DCA" w:rsidP="00CE2EEC">
      <w:pPr>
        <w:pStyle w:val="ResNo"/>
        <w:rPr>
          <w:lang w:val="fr-CH"/>
        </w:rPr>
      </w:pPr>
      <w:bookmarkStart w:id="23" w:name="lt_pId049"/>
      <w:r w:rsidRPr="00DF71DC">
        <w:rPr>
          <w:lang w:val="fr-CH"/>
        </w:rPr>
        <w:t>DÉCISION xx</w:t>
      </w:r>
      <w:bookmarkEnd w:id="23"/>
    </w:p>
    <w:p w:rsidR="00AF2DCA" w:rsidRPr="00DF71DC" w:rsidRDefault="00AF2DCA" w:rsidP="00C2670B">
      <w:pPr>
        <w:snapToGrid w:val="0"/>
        <w:jc w:val="center"/>
        <w:rPr>
          <w:sz w:val="28"/>
          <w:szCs w:val="28"/>
          <w:lang w:val="fr-CH"/>
        </w:rPr>
      </w:pPr>
      <w:bookmarkStart w:id="24" w:name="lt_pId050"/>
      <w:r w:rsidRPr="00DF71DC">
        <w:rPr>
          <w:sz w:val="28"/>
          <w:szCs w:val="28"/>
          <w:lang w:val="fr-CH"/>
        </w:rPr>
        <w:t xml:space="preserve">(adoptée à la xx </w:t>
      </w:r>
      <w:r w:rsidR="00C2670B">
        <w:rPr>
          <w:sz w:val="28"/>
          <w:szCs w:val="28"/>
          <w:lang w:val="fr-CH"/>
        </w:rPr>
        <w:t>s</w:t>
      </w:r>
      <w:r w:rsidRPr="00DF71DC">
        <w:rPr>
          <w:sz w:val="28"/>
          <w:szCs w:val="28"/>
          <w:lang w:val="fr-CH"/>
        </w:rPr>
        <w:t>éance plénière)</w:t>
      </w:r>
      <w:bookmarkEnd w:id="24"/>
    </w:p>
    <w:p w:rsidR="00AF2DCA" w:rsidRPr="00DF71DC" w:rsidRDefault="00AF2DCA" w:rsidP="00CE2EEC">
      <w:pPr>
        <w:pStyle w:val="Restitle"/>
        <w:rPr>
          <w:szCs w:val="28"/>
          <w:lang w:val="fr-CH"/>
        </w:rPr>
      </w:pPr>
      <w:bookmarkStart w:id="25" w:name="lt_pId051"/>
      <w:r w:rsidRPr="00DF71DC">
        <w:rPr>
          <w:lang w:val="fr-CH"/>
        </w:rPr>
        <w:t>Cr</w:t>
      </w:r>
      <w:r w:rsidR="003F7EF0" w:rsidRPr="00DF71DC">
        <w:rPr>
          <w:lang w:val="fr-CH"/>
        </w:rPr>
        <w:t>é</w:t>
      </w:r>
      <w:r w:rsidRPr="00DF71DC">
        <w:rPr>
          <w:lang w:val="fr-CH"/>
        </w:rPr>
        <w:t xml:space="preserve">ation </w:t>
      </w:r>
      <w:r w:rsidR="003F7EF0" w:rsidRPr="00DF71DC">
        <w:rPr>
          <w:lang w:val="fr-CH"/>
        </w:rPr>
        <w:t>d'un</w:t>
      </w:r>
      <w:r w:rsidRPr="00DF71DC">
        <w:rPr>
          <w:lang w:val="fr-CH"/>
        </w:rPr>
        <w:t xml:space="preserve"> post</w:t>
      </w:r>
      <w:r w:rsidR="003F7EF0" w:rsidRPr="00DF71DC">
        <w:rPr>
          <w:lang w:val="fr-CH"/>
        </w:rPr>
        <w:t>e</w:t>
      </w:r>
      <w:r w:rsidRPr="00DF71DC">
        <w:rPr>
          <w:lang w:val="fr-CH"/>
        </w:rPr>
        <w:t xml:space="preserve"> D1</w:t>
      </w:r>
      <w:r w:rsidR="001613BC" w:rsidRPr="00DF71DC">
        <w:rPr>
          <w:lang w:val="fr-CH"/>
        </w:rPr>
        <w:t xml:space="preserve"> de D</w:t>
      </w:r>
      <w:r w:rsidR="003F7EF0" w:rsidRPr="00DF71DC">
        <w:rPr>
          <w:lang w:val="fr-CH"/>
        </w:rPr>
        <w:t xml:space="preserve">irecteur régional </w:t>
      </w:r>
      <w:r w:rsidR="001613BC" w:rsidRPr="00DF71DC">
        <w:rPr>
          <w:lang w:val="fr-CH"/>
        </w:rPr>
        <w:br/>
      </w:r>
      <w:r w:rsidR="003F7EF0" w:rsidRPr="00DF71DC">
        <w:rPr>
          <w:lang w:val="fr-CH"/>
        </w:rPr>
        <w:t>du Bureau régional de l'UIT pour la CEI</w:t>
      </w:r>
      <w:bookmarkEnd w:id="25"/>
    </w:p>
    <w:p w:rsidR="00AF2DCA" w:rsidRPr="00DF71DC" w:rsidRDefault="00AF2DCA" w:rsidP="00CE2EEC">
      <w:pPr>
        <w:snapToGrid w:val="0"/>
        <w:spacing w:after="120"/>
        <w:rPr>
          <w:lang w:val="fr-CH"/>
        </w:rPr>
      </w:pPr>
      <w:bookmarkStart w:id="26" w:name="lt_pId052"/>
      <w:r w:rsidRPr="00DF71DC">
        <w:rPr>
          <w:lang w:val="fr-CH"/>
        </w:rPr>
        <w:t>Le Conseil,</w:t>
      </w:r>
      <w:bookmarkEnd w:id="26"/>
    </w:p>
    <w:p w:rsidR="00AF2DCA" w:rsidRPr="00DF71DC" w:rsidRDefault="003F7EF0" w:rsidP="00CE2EEC">
      <w:pPr>
        <w:rPr>
          <w:lang w:val="fr-CH"/>
        </w:rPr>
      </w:pPr>
      <w:bookmarkStart w:id="27" w:name="lt_pId053"/>
      <w:r w:rsidRPr="00DF71DC">
        <w:rPr>
          <w:i/>
          <w:iCs/>
          <w:lang w:val="fr-CH"/>
        </w:rPr>
        <w:t>vu</w:t>
      </w:r>
      <w:r w:rsidRPr="00DF71DC">
        <w:rPr>
          <w:lang w:val="fr-CH"/>
        </w:rPr>
        <w:t xml:space="preserve"> les numéros</w:t>
      </w:r>
      <w:r w:rsidR="00AF2DCA" w:rsidRPr="00DF71DC">
        <w:rPr>
          <w:lang w:val="fr-CH"/>
        </w:rPr>
        <w:t xml:space="preserve"> 70 </w:t>
      </w:r>
      <w:r w:rsidRPr="00DF71DC">
        <w:rPr>
          <w:lang w:val="fr-CH"/>
        </w:rPr>
        <w:t>et</w:t>
      </w:r>
      <w:r w:rsidR="00AF2DCA" w:rsidRPr="00DF71DC">
        <w:rPr>
          <w:lang w:val="fr-CH"/>
        </w:rPr>
        <w:t xml:space="preserve"> 71 de la Convention de l'Union Internationale des télécommunications (Genève, 1992),</w:t>
      </w:r>
      <w:bookmarkEnd w:id="27"/>
    </w:p>
    <w:p w:rsidR="00AF2DCA" w:rsidRPr="00DF71DC" w:rsidRDefault="00AF2DCA" w:rsidP="00CE2EEC">
      <w:pPr>
        <w:pStyle w:val="Call"/>
        <w:rPr>
          <w:lang w:val="fr-CH"/>
        </w:rPr>
      </w:pPr>
      <w:bookmarkStart w:id="28" w:name="lt_pId054"/>
      <w:r w:rsidRPr="00DF71DC">
        <w:rPr>
          <w:lang w:val="fr-CH"/>
        </w:rPr>
        <w:t>décide</w:t>
      </w:r>
      <w:bookmarkEnd w:id="28"/>
    </w:p>
    <w:p w:rsidR="00AF2DCA" w:rsidRDefault="003F7EF0" w:rsidP="00CE2EEC">
      <w:pPr>
        <w:rPr>
          <w:lang w:val="fr-CH"/>
        </w:rPr>
      </w:pPr>
      <w:bookmarkStart w:id="29" w:name="lt_pId055"/>
      <w:r w:rsidRPr="00DF71DC">
        <w:rPr>
          <w:lang w:val="fr-CH"/>
        </w:rPr>
        <w:t xml:space="preserve">d'approuver la création du poste D1 de </w:t>
      </w:r>
      <w:r w:rsidR="001613BC" w:rsidRPr="00DF71DC">
        <w:rPr>
          <w:lang w:val="fr-CH"/>
        </w:rPr>
        <w:t>D</w:t>
      </w:r>
      <w:r w:rsidRPr="00DF71DC">
        <w:rPr>
          <w:lang w:val="fr-CH"/>
        </w:rPr>
        <w:t xml:space="preserve">irecteur régional du Bureau régional de l'UIT pour la CEI </w:t>
      </w:r>
      <w:r w:rsidR="00AF2DCA" w:rsidRPr="00DF71DC">
        <w:rPr>
          <w:lang w:val="fr-CH"/>
        </w:rPr>
        <w:t>bas</w:t>
      </w:r>
      <w:r w:rsidRPr="00DF71DC">
        <w:rPr>
          <w:lang w:val="fr-CH"/>
        </w:rPr>
        <w:t>é à</w:t>
      </w:r>
      <w:r w:rsidR="00AF2DCA" w:rsidRPr="00DF71DC">
        <w:rPr>
          <w:lang w:val="fr-CH"/>
        </w:rPr>
        <w:t xml:space="preserve"> Mosco</w:t>
      </w:r>
      <w:r w:rsidRPr="00DF71DC">
        <w:rPr>
          <w:lang w:val="fr-CH"/>
        </w:rPr>
        <w:t>u (Fédération de Russie) au sein du Bureau de développement des télécommunications.</w:t>
      </w:r>
      <w:bookmarkEnd w:id="29"/>
    </w:p>
    <w:p w:rsidR="00C2670B" w:rsidRPr="00DF71DC" w:rsidRDefault="00C2670B" w:rsidP="00CE2EEC">
      <w:pPr>
        <w:rPr>
          <w:lang w:val="fr-CH"/>
        </w:rPr>
      </w:pPr>
    </w:p>
    <w:p w:rsidR="00AF2DCA" w:rsidRPr="00DF71DC" w:rsidRDefault="00AF2DCA" w:rsidP="00CE2EEC">
      <w:pPr>
        <w:tabs>
          <w:tab w:val="clear" w:pos="567"/>
          <w:tab w:val="clear" w:pos="1134"/>
          <w:tab w:val="clear" w:pos="1701"/>
          <w:tab w:val="clear" w:pos="2268"/>
          <w:tab w:val="clear" w:pos="2835"/>
        </w:tabs>
        <w:overflowPunct/>
        <w:autoSpaceDE/>
        <w:autoSpaceDN/>
        <w:adjustRightInd/>
        <w:spacing w:before="0"/>
        <w:textAlignment w:val="auto"/>
        <w:rPr>
          <w:lang w:val="fr-CH"/>
        </w:rPr>
      </w:pPr>
      <w:r w:rsidRPr="00DF71DC">
        <w:rPr>
          <w:lang w:val="fr-CH"/>
        </w:rPr>
        <w:br w:type="page"/>
      </w:r>
    </w:p>
    <w:p w:rsidR="00AF2DCA" w:rsidRPr="00DF71DC" w:rsidRDefault="00AF2DCA" w:rsidP="00CE2EEC">
      <w:pPr>
        <w:pStyle w:val="AnnexNo"/>
        <w:rPr>
          <w:lang w:val="fr-CH"/>
        </w:rPr>
      </w:pPr>
      <w:bookmarkStart w:id="30" w:name="lt_pId056"/>
      <w:r w:rsidRPr="00DF71DC">
        <w:rPr>
          <w:lang w:val="fr-CH"/>
        </w:rPr>
        <w:lastRenderedPageBreak/>
        <w:t>ANNEXE 2</w:t>
      </w:r>
      <w:bookmarkEnd w:id="30"/>
    </w:p>
    <w:p w:rsidR="00AF2DCA" w:rsidRPr="00DF71DC" w:rsidRDefault="00EB4BB9" w:rsidP="00CE2EEC">
      <w:pPr>
        <w:pStyle w:val="Annextitle"/>
        <w:rPr>
          <w:lang w:val="fr-CH"/>
        </w:rPr>
      </w:pPr>
      <w:r w:rsidRPr="00DF71DC">
        <w:rPr>
          <w:lang w:val="fr-CH"/>
        </w:rPr>
        <w:t>Mandat du Bureau régional de l'UIT pour la CEI</w:t>
      </w:r>
    </w:p>
    <w:p w:rsidR="00EB4BB9" w:rsidRPr="00DF71DC" w:rsidRDefault="00EB4BB9" w:rsidP="00C82A45">
      <w:pPr>
        <w:spacing w:before="360"/>
        <w:rPr>
          <w:lang w:val="fr-CH"/>
        </w:rPr>
      </w:pPr>
      <w:r w:rsidRPr="00DF71DC">
        <w:rPr>
          <w:lang w:val="fr-CH"/>
        </w:rPr>
        <w:t xml:space="preserve">Le Bureau régional est chargé de proposer des politiques et stratégies opérationnelles pour les activités de développement des télécommunications dans la région, de coordonner avec les pays de la région pour définir les priorités, de proposer </w:t>
      </w:r>
      <w:r w:rsidR="00894E11" w:rsidRPr="00DF71DC">
        <w:rPr>
          <w:lang w:val="fr-CH"/>
        </w:rPr>
        <w:t>des</w:t>
      </w:r>
      <w:r w:rsidRPr="00DF71DC">
        <w:rPr>
          <w:lang w:val="fr-CH"/>
        </w:rPr>
        <w:t xml:space="preserve"> contributions en vue d'établir le plan opérationnel sur la base de ces besoins régionaux définis comme </w:t>
      </w:r>
      <w:r w:rsidR="00894E11" w:rsidRPr="00DF71DC">
        <w:rPr>
          <w:lang w:val="fr-CH"/>
        </w:rPr>
        <w:t>prioritaires, de coordonner et d</w:t>
      </w:r>
      <w:r w:rsidRPr="00DF71DC">
        <w:rPr>
          <w:lang w:val="fr-CH"/>
        </w:rPr>
        <w:t>e mettre en oeuvre des activités de coopération technique dans la région, que ce soit dans le cadre des projets, des initiatives régionales ou du suivi des conférences mondiales de développement des télécommunications et d'autres conférences de l'UIT.</w:t>
      </w:r>
    </w:p>
    <w:p w:rsidR="00CF29D3" w:rsidRPr="00DF71DC" w:rsidRDefault="00EB4BB9" w:rsidP="00CE2EEC">
      <w:pPr>
        <w:rPr>
          <w:lang w:val="fr-CH"/>
        </w:rPr>
      </w:pPr>
      <w:r w:rsidRPr="00DF71DC">
        <w:rPr>
          <w:lang w:val="fr-CH"/>
        </w:rPr>
        <w:t xml:space="preserve">Par ailleurs, les bureaux régionaux ont les attributions et responsabilités suivantes, conformément à la Résolution </w:t>
      </w:r>
      <w:r w:rsidR="00AF2DCA" w:rsidRPr="00DF71DC">
        <w:rPr>
          <w:lang w:val="fr-CH"/>
        </w:rPr>
        <w:t>25 (Rév. Busan, 2014)</w:t>
      </w:r>
      <w:r w:rsidRPr="00DF71DC">
        <w:rPr>
          <w:lang w:val="fr-CH"/>
        </w:rPr>
        <w:t xml:space="preserve"> de la Conférence de plénipotentiaires</w:t>
      </w:r>
      <w:r w:rsidR="00AF2DCA" w:rsidRPr="00DF71DC">
        <w:rPr>
          <w:lang w:val="fr-CH"/>
        </w:rPr>
        <w:t>:</w:t>
      </w:r>
    </w:p>
    <w:p w:rsidR="00AF2DCA" w:rsidRPr="00DF71DC" w:rsidRDefault="00AF2DCA" w:rsidP="00C2670B">
      <w:pPr>
        <w:pStyle w:val="enumlev1"/>
        <w:rPr>
          <w:lang w:val="fr-CH"/>
        </w:rPr>
      </w:pPr>
      <w:r w:rsidRPr="00DF71DC">
        <w:rPr>
          <w:lang w:val="fr-CH"/>
        </w:rPr>
        <w:t>1</w:t>
      </w:r>
      <w:r w:rsidR="00C2670B">
        <w:rPr>
          <w:lang w:val="fr-CH"/>
        </w:rPr>
        <w:t>)</w:t>
      </w:r>
      <w:r w:rsidRPr="00DF71DC">
        <w:rPr>
          <w:lang w:val="fr-CH"/>
        </w:rPr>
        <w:tab/>
      </w:r>
      <w:r w:rsidR="00C2670B" w:rsidRPr="00DF71DC">
        <w:rPr>
          <w:lang w:val="fr-CH"/>
        </w:rPr>
        <w:t>P</w:t>
      </w:r>
      <w:r w:rsidRPr="00DF71DC">
        <w:rPr>
          <w:lang w:val="fr-CH"/>
        </w:rPr>
        <w:t xml:space="preserve">articiper à la mise en </w:t>
      </w:r>
      <w:r w:rsidR="00894E11" w:rsidRPr="00DF71DC">
        <w:rPr>
          <w:lang w:val="fr-CH"/>
        </w:rPr>
        <w:t>oe</w:t>
      </w:r>
      <w:r w:rsidRPr="00DF71DC">
        <w:rPr>
          <w:lang w:val="fr-CH"/>
        </w:rPr>
        <w:t>uvre des programmes et des projets dans le cadre des initiatives régionales, dans les limites des ressources allouées par le plan financier</w:t>
      </w:r>
      <w:r w:rsidR="00C2670B">
        <w:rPr>
          <w:lang w:val="fr-CH"/>
        </w:rPr>
        <w:t>.</w:t>
      </w:r>
    </w:p>
    <w:p w:rsidR="00AF2DCA" w:rsidRPr="00DF71DC" w:rsidRDefault="00AF2DCA" w:rsidP="00C2670B">
      <w:pPr>
        <w:pStyle w:val="enumlev1"/>
        <w:rPr>
          <w:lang w:val="fr-CH"/>
        </w:rPr>
      </w:pPr>
      <w:r w:rsidRPr="00DF71DC">
        <w:rPr>
          <w:lang w:val="fr-CH"/>
        </w:rPr>
        <w:t>2</w:t>
      </w:r>
      <w:r w:rsidR="00C2670B">
        <w:rPr>
          <w:lang w:val="fr-CH"/>
        </w:rPr>
        <w:t>)</w:t>
      </w:r>
      <w:r w:rsidRPr="00DF71DC">
        <w:rPr>
          <w:lang w:val="fr-CH"/>
        </w:rPr>
        <w:tab/>
      </w:r>
      <w:r w:rsidR="00C2670B" w:rsidRPr="00DF71DC">
        <w:rPr>
          <w:lang w:val="fr-CH"/>
        </w:rPr>
        <w:t>J</w:t>
      </w:r>
      <w:r w:rsidRPr="00DF71DC">
        <w:rPr>
          <w:lang w:val="fr-CH"/>
        </w:rPr>
        <w:t>ouer un rôle essentiel pour faciliter les discussions portant sur des questions régionales et la diffusion d'informations se rapportant aux trois Secteurs de l'UIT et des résultats de leurs travaux, en évitant tout double emploi de ces fonctions avec le siège</w:t>
      </w:r>
      <w:r w:rsidR="00C2670B">
        <w:rPr>
          <w:lang w:val="fr-CH"/>
        </w:rPr>
        <w:t>.</w:t>
      </w:r>
    </w:p>
    <w:p w:rsidR="00AF2DCA" w:rsidRPr="00DF71DC" w:rsidRDefault="00AF2DCA" w:rsidP="00C2670B">
      <w:pPr>
        <w:pStyle w:val="enumlev1"/>
        <w:rPr>
          <w:lang w:val="fr-CH"/>
        </w:rPr>
      </w:pPr>
      <w:r w:rsidRPr="00DF71DC">
        <w:rPr>
          <w:lang w:val="fr-CH"/>
        </w:rPr>
        <w:t>3</w:t>
      </w:r>
      <w:r w:rsidR="00C2670B">
        <w:rPr>
          <w:lang w:val="fr-CH"/>
        </w:rPr>
        <w:t>)</w:t>
      </w:r>
      <w:r w:rsidRPr="00DF71DC">
        <w:rPr>
          <w:lang w:val="fr-CH"/>
        </w:rPr>
        <w:tab/>
      </w:r>
      <w:r w:rsidR="00C2670B" w:rsidRPr="00DF71DC">
        <w:rPr>
          <w:lang w:val="fr-CH"/>
        </w:rPr>
        <w:t>C</w:t>
      </w:r>
      <w:r w:rsidRPr="00DF71DC">
        <w:rPr>
          <w:lang w:val="fr-CH"/>
        </w:rPr>
        <w:t xml:space="preserve">ontribuer, dans la mesure du possible, notamment, à l'élaboration des plans opérationnels annuels quadriennaux glissants du Secrétariat général et des trois Secteurs, en présentant un contenu propre à </w:t>
      </w:r>
      <w:r w:rsidR="00C2670B">
        <w:rPr>
          <w:lang w:val="fr-CH"/>
        </w:rPr>
        <w:t>b</w:t>
      </w:r>
      <w:r w:rsidR="00894E11" w:rsidRPr="00DF71DC">
        <w:rPr>
          <w:lang w:val="fr-CH"/>
        </w:rPr>
        <w:t xml:space="preserve">ureau régional et </w:t>
      </w:r>
      <w:r w:rsidR="00C2670B">
        <w:rPr>
          <w:lang w:val="fr-CH"/>
        </w:rPr>
        <w:t>b</w:t>
      </w:r>
      <w:r w:rsidR="00894E11" w:rsidRPr="00DF71DC">
        <w:rPr>
          <w:lang w:val="fr-CH"/>
        </w:rPr>
        <w:t>ureau de zone, en rapport avec le P</w:t>
      </w:r>
      <w:r w:rsidRPr="00DF71DC">
        <w:rPr>
          <w:lang w:val="fr-CH"/>
        </w:rPr>
        <w:t xml:space="preserve">lan stratégique de l'Union et avec le Plan d'action de </w:t>
      </w:r>
      <w:r w:rsidR="00894E11" w:rsidRPr="00DF71DC">
        <w:rPr>
          <w:lang w:val="fr-CH"/>
        </w:rPr>
        <w:t>la CMDT</w:t>
      </w:r>
      <w:r w:rsidRPr="00DF71DC">
        <w:rPr>
          <w:lang w:val="fr-CH"/>
        </w:rPr>
        <w:t xml:space="preserve">, puis établir et continuer de publier le plan/calendrier annuel des conférences et réunions sur le site web de l'UIT en vue de sa mise en </w:t>
      </w:r>
      <w:r w:rsidR="00894E11" w:rsidRPr="00DF71DC">
        <w:rPr>
          <w:lang w:val="fr-CH"/>
        </w:rPr>
        <w:t>oe</w:t>
      </w:r>
      <w:r w:rsidRPr="00DF71DC">
        <w:rPr>
          <w:lang w:val="fr-CH"/>
        </w:rPr>
        <w:t>uvre</w:t>
      </w:r>
      <w:r w:rsidR="00C2670B">
        <w:rPr>
          <w:lang w:val="fr-CH"/>
        </w:rPr>
        <w:t>.</w:t>
      </w:r>
    </w:p>
    <w:p w:rsidR="00AF2DCA" w:rsidRPr="00DF71DC" w:rsidRDefault="00AF2DCA" w:rsidP="00C2670B">
      <w:pPr>
        <w:pStyle w:val="enumlev1"/>
        <w:rPr>
          <w:lang w:val="fr-CH"/>
        </w:rPr>
      </w:pPr>
      <w:r w:rsidRPr="00DF71DC">
        <w:rPr>
          <w:lang w:val="fr-CH"/>
        </w:rPr>
        <w:t>4</w:t>
      </w:r>
      <w:r w:rsidR="00C2670B">
        <w:rPr>
          <w:lang w:val="fr-CH"/>
        </w:rPr>
        <w:t>)</w:t>
      </w:r>
      <w:r w:rsidRPr="00DF71DC">
        <w:rPr>
          <w:lang w:val="fr-CH"/>
        </w:rPr>
        <w:tab/>
      </w:r>
      <w:r w:rsidR="00C2670B" w:rsidRPr="00DF71DC">
        <w:rPr>
          <w:lang w:val="fr-CH"/>
        </w:rPr>
        <w:t>P</w:t>
      </w:r>
      <w:r w:rsidRPr="00DF71DC">
        <w:rPr>
          <w:lang w:val="fr-CH"/>
        </w:rPr>
        <w:t>articiper act</w:t>
      </w:r>
      <w:r w:rsidR="00AB1725" w:rsidRPr="00DF71DC">
        <w:rPr>
          <w:lang w:val="fr-CH"/>
        </w:rPr>
        <w:t>ivement à la mise en oeuvre du P</w:t>
      </w:r>
      <w:r w:rsidRPr="00DF71DC">
        <w:rPr>
          <w:lang w:val="fr-CH"/>
        </w:rPr>
        <w:t>lan stratégique de l'Union, notamment en ce qui concerne les quatre buts stratégiques, tous les objectifs sectoriels et intersectoriels, ainsi qu'au suivi de la réalisation des cibles stratégiques</w:t>
      </w:r>
      <w:r w:rsidR="00C2670B">
        <w:rPr>
          <w:lang w:val="fr-CH"/>
        </w:rPr>
        <w:t>.</w:t>
      </w:r>
    </w:p>
    <w:p w:rsidR="00AF2DCA" w:rsidRPr="00DF71DC" w:rsidRDefault="00AF2DCA" w:rsidP="00C2670B">
      <w:pPr>
        <w:pStyle w:val="enumlev1"/>
        <w:rPr>
          <w:lang w:val="fr-CH"/>
        </w:rPr>
      </w:pPr>
      <w:r w:rsidRPr="00DF71DC">
        <w:rPr>
          <w:lang w:val="fr-CH"/>
        </w:rPr>
        <w:t>5</w:t>
      </w:r>
      <w:r w:rsidR="00C2670B">
        <w:rPr>
          <w:lang w:val="fr-CH"/>
        </w:rPr>
        <w:t>)</w:t>
      </w:r>
      <w:r w:rsidRPr="00DF71DC">
        <w:rPr>
          <w:lang w:val="fr-CH"/>
        </w:rPr>
        <w:tab/>
      </w:r>
      <w:r w:rsidR="00C2670B" w:rsidRPr="00DF71DC">
        <w:rPr>
          <w:lang w:val="fr-CH"/>
        </w:rPr>
        <w:t>P</w:t>
      </w:r>
      <w:r w:rsidRPr="00DF71DC">
        <w:rPr>
          <w:lang w:val="fr-CH"/>
        </w:rPr>
        <w:t xml:space="preserve">articiper activement à la mise en </w:t>
      </w:r>
      <w:r w:rsidR="00894E11" w:rsidRPr="00DF71DC">
        <w:rPr>
          <w:lang w:val="fr-CH"/>
        </w:rPr>
        <w:t>oe</w:t>
      </w:r>
      <w:r w:rsidRPr="00DF71DC">
        <w:rPr>
          <w:lang w:val="fr-CH"/>
        </w:rPr>
        <w:t xml:space="preserve">uvre du Plan d'action de </w:t>
      </w:r>
      <w:r w:rsidR="00AB1725" w:rsidRPr="00DF71DC">
        <w:rPr>
          <w:lang w:val="fr-CH"/>
        </w:rPr>
        <w:t>la CMDT</w:t>
      </w:r>
      <w:r w:rsidRPr="00DF71DC">
        <w:rPr>
          <w:lang w:val="fr-CH"/>
        </w:rPr>
        <w:t xml:space="preserve">, notamment en ce qui concerne les objectifs </w:t>
      </w:r>
      <w:r w:rsidR="00AB1725" w:rsidRPr="00DF71DC">
        <w:rPr>
          <w:lang w:val="fr-CH"/>
        </w:rPr>
        <w:t xml:space="preserve">approuvés </w:t>
      </w:r>
      <w:r w:rsidRPr="00DF71DC">
        <w:rPr>
          <w:lang w:val="fr-CH"/>
        </w:rPr>
        <w:t>et les résultats, les produits et les initiatives régionales</w:t>
      </w:r>
      <w:r w:rsidR="00AB1725" w:rsidRPr="00DF71DC">
        <w:rPr>
          <w:lang w:val="fr-CH"/>
        </w:rPr>
        <w:t xml:space="preserve"> qui y sont associés</w:t>
      </w:r>
      <w:r w:rsidR="00C2670B">
        <w:rPr>
          <w:lang w:val="fr-CH"/>
        </w:rPr>
        <w:t>.</w:t>
      </w:r>
    </w:p>
    <w:p w:rsidR="00AF2DCA" w:rsidRPr="00DF71DC" w:rsidRDefault="00AF2DCA" w:rsidP="00C2670B">
      <w:pPr>
        <w:pStyle w:val="enumlev1"/>
        <w:rPr>
          <w:lang w:val="fr-CH"/>
        </w:rPr>
      </w:pPr>
      <w:r w:rsidRPr="00DF71DC">
        <w:rPr>
          <w:lang w:val="fr-CH"/>
        </w:rPr>
        <w:t>6</w:t>
      </w:r>
      <w:r w:rsidR="00C2670B">
        <w:rPr>
          <w:lang w:val="fr-CH"/>
        </w:rPr>
        <w:t>)</w:t>
      </w:r>
      <w:r w:rsidRPr="00DF71DC">
        <w:rPr>
          <w:lang w:val="fr-CH"/>
        </w:rPr>
        <w:tab/>
      </w:r>
      <w:r w:rsidR="00C2670B" w:rsidRPr="00DF71DC">
        <w:rPr>
          <w:lang w:val="fr-CH"/>
        </w:rPr>
        <w:t>P</w:t>
      </w:r>
      <w:r w:rsidRPr="00DF71DC">
        <w:rPr>
          <w:lang w:val="fr-CH"/>
        </w:rPr>
        <w:t xml:space="preserve">rendre une part active à la mise en oeuvre des indicateurs de résultats et des IFP définis dans le Plan d'action de </w:t>
      </w:r>
      <w:r w:rsidR="00AB1725" w:rsidRPr="00DF71DC">
        <w:rPr>
          <w:lang w:val="fr-CH"/>
        </w:rPr>
        <w:t>la CMDT</w:t>
      </w:r>
      <w:r w:rsidRPr="00DF71DC">
        <w:rPr>
          <w:lang w:val="fr-CH"/>
        </w:rPr>
        <w:t xml:space="preserve"> et par le GCDT</w:t>
      </w:r>
      <w:r w:rsidR="00C2670B">
        <w:rPr>
          <w:lang w:val="fr-CH"/>
        </w:rPr>
        <w:t>.</w:t>
      </w:r>
    </w:p>
    <w:p w:rsidR="00AF2DCA" w:rsidRPr="00DF71DC" w:rsidRDefault="00AF2DCA" w:rsidP="00C2670B">
      <w:pPr>
        <w:pStyle w:val="enumlev1"/>
        <w:rPr>
          <w:lang w:val="fr-CH"/>
        </w:rPr>
      </w:pPr>
      <w:r w:rsidRPr="00DF71DC">
        <w:rPr>
          <w:lang w:val="fr-CH"/>
        </w:rPr>
        <w:t>7</w:t>
      </w:r>
      <w:r w:rsidR="00C2670B">
        <w:rPr>
          <w:lang w:val="fr-CH"/>
        </w:rPr>
        <w:t>)</w:t>
      </w:r>
      <w:r w:rsidRPr="00DF71DC">
        <w:rPr>
          <w:lang w:val="fr-CH"/>
        </w:rPr>
        <w:tab/>
      </w:r>
      <w:r w:rsidR="00C2670B" w:rsidRPr="00DF71DC">
        <w:rPr>
          <w:lang w:val="fr-CH"/>
        </w:rPr>
        <w:t>V</w:t>
      </w:r>
      <w:r w:rsidR="00EB4BB9" w:rsidRPr="00DF71DC">
        <w:rPr>
          <w:lang w:val="fr-CH"/>
        </w:rPr>
        <w:t xml:space="preserve">eiller à ce que </w:t>
      </w:r>
      <w:r w:rsidRPr="00DF71DC">
        <w:rPr>
          <w:lang w:val="fr-CH"/>
        </w:rPr>
        <w:t>la coopération entre les bureaux régionaux et les bureaux de zone de l'UIT, les organisations régionales compétentes et d'autres organisations internationales s'occupant de développement et de questions financières</w:t>
      </w:r>
      <w:r w:rsidR="00EB4BB9" w:rsidRPr="00DF71DC">
        <w:rPr>
          <w:lang w:val="fr-CH"/>
        </w:rPr>
        <w:t xml:space="preserve"> continuent à s'améliorer</w:t>
      </w:r>
      <w:r w:rsidRPr="00DF71DC">
        <w:rPr>
          <w:lang w:val="fr-CH"/>
        </w:rPr>
        <w:t>, afin d'optimiser l'utilisation des ressources</w:t>
      </w:r>
      <w:r w:rsidR="00EB4BB9" w:rsidRPr="00DF71DC">
        <w:rPr>
          <w:lang w:val="fr-CH"/>
        </w:rPr>
        <w:t xml:space="preserve"> et d'éviter tout double emploi</w:t>
      </w:r>
      <w:r w:rsidR="00C2670B">
        <w:rPr>
          <w:lang w:val="fr-CH"/>
        </w:rPr>
        <w:t>.</w:t>
      </w:r>
    </w:p>
    <w:p w:rsidR="00AF2DCA" w:rsidRPr="00DF71DC" w:rsidRDefault="00AF2DCA" w:rsidP="00C2670B">
      <w:pPr>
        <w:pStyle w:val="enumlev1"/>
        <w:rPr>
          <w:lang w:val="fr-CH"/>
        </w:rPr>
      </w:pPr>
      <w:r w:rsidRPr="00DF71DC">
        <w:rPr>
          <w:lang w:val="fr-CH"/>
        </w:rPr>
        <w:t>8</w:t>
      </w:r>
      <w:r w:rsidR="00C2670B">
        <w:rPr>
          <w:lang w:val="fr-CH"/>
        </w:rPr>
        <w:t>)</w:t>
      </w:r>
      <w:r w:rsidRPr="00DF71DC">
        <w:rPr>
          <w:lang w:val="fr-CH"/>
        </w:rPr>
        <w:tab/>
      </w:r>
      <w:r w:rsidR="00C2670B" w:rsidRPr="00DF71DC">
        <w:rPr>
          <w:lang w:val="fr-CH"/>
        </w:rPr>
        <w:t>P</w:t>
      </w:r>
      <w:r w:rsidRPr="00DF71DC">
        <w:rPr>
          <w:lang w:val="fr-CH"/>
        </w:rPr>
        <w:t xml:space="preserve">articiper </w:t>
      </w:r>
      <w:r w:rsidR="00EB4BB9" w:rsidRPr="00DF71DC">
        <w:rPr>
          <w:lang w:val="fr-CH"/>
        </w:rPr>
        <w:t xml:space="preserve">pleinement </w:t>
      </w:r>
      <w:r w:rsidRPr="00DF71DC">
        <w:rPr>
          <w:lang w:val="fr-CH"/>
        </w:rPr>
        <w:t>à l'organisation de manifestations, réunions ou conférences régionales, en étroite collaboration avec le Secrétariat général, le ou les Bureaux concernés et les organisations régionales compétentes, afin d'améliorer l'efficacité de la coordination de ces manifestations, d'éviter tout chevauchement d'activité en ce qui concerne les manifestations ou les questions et de tirer parti de la synergie entre les Bureaux et les bureaux régionaux</w:t>
      </w:r>
      <w:r w:rsidR="00C2670B">
        <w:rPr>
          <w:lang w:val="fr-CH"/>
        </w:rPr>
        <w:t>.</w:t>
      </w:r>
    </w:p>
    <w:p w:rsidR="00AF2DCA" w:rsidRPr="00DF71DC" w:rsidRDefault="00AF2DCA" w:rsidP="00C2670B">
      <w:pPr>
        <w:pStyle w:val="enumlev1"/>
        <w:rPr>
          <w:lang w:val="fr-CH"/>
        </w:rPr>
      </w:pPr>
      <w:r w:rsidRPr="00DF71DC">
        <w:rPr>
          <w:lang w:val="fr-CH"/>
        </w:rPr>
        <w:t>9</w:t>
      </w:r>
      <w:r w:rsidR="00C2670B">
        <w:rPr>
          <w:lang w:val="fr-CH"/>
        </w:rPr>
        <w:t>)</w:t>
      </w:r>
      <w:r w:rsidRPr="00DF71DC">
        <w:rPr>
          <w:lang w:val="fr-CH"/>
        </w:rPr>
        <w:tab/>
      </w:r>
      <w:r w:rsidR="00C2670B" w:rsidRPr="00DF71DC">
        <w:rPr>
          <w:lang w:val="fr-CH"/>
        </w:rPr>
        <w:t>A</w:t>
      </w:r>
      <w:r w:rsidRPr="00DF71DC">
        <w:rPr>
          <w:lang w:val="fr-CH"/>
        </w:rPr>
        <w:t xml:space="preserve">ider les pays à mettre en </w:t>
      </w:r>
      <w:r w:rsidR="00894E11" w:rsidRPr="00DF71DC">
        <w:rPr>
          <w:lang w:val="fr-CH"/>
        </w:rPr>
        <w:t>oe</w:t>
      </w:r>
      <w:r w:rsidRPr="00DF71DC">
        <w:rPr>
          <w:lang w:val="fr-CH"/>
        </w:rPr>
        <w:t>uvre les initiatives régionales</w:t>
      </w:r>
      <w:r w:rsidR="00C2670B">
        <w:rPr>
          <w:lang w:val="fr-CH"/>
        </w:rPr>
        <w:t>.</w:t>
      </w:r>
    </w:p>
    <w:p w:rsidR="00AF2DCA" w:rsidRPr="00DF71DC" w:rsidRDefault="00AF2DCA" w:rsidP="00C2670B">
      <w:pPr>
        <w:pStyle w:val="enumlev1"/>
        <w:rPr>
          <w:lang w:val="fr-CH"/>
        </w:rPr>
      </w:pPr>
      <w:r w:rsidRPr="00DF71DC">
        <w:rPr>
          <w:lang w:val="fr-CH"/>
        </w:rPr>
        <w:lastRenderedPageBreak/>
        <w:t>10</w:t>
      </w:r>
      <w:r w:rsidR="00C2670B">
        <w:rPr>
          <w:lang w:val="fr-CH"/>
        </w:rPr>
        <w:t>)</w:t>
      </w:r>
      <w:r w:rsidRPr="00DF71DC">
        <w:rPr>
          <w:lang w:val="fr-CH"/>
        </w:rPr>
        <w:tab/>
      </w:r>
      <w:r w:rsidR="00C2670B" w:rsidRPr="00DF71DC">
        <w:rPr>
          <w:lang w:val="fr-CH"/>
        </w:rPr>
        <w:t>A</w:t>
      </w:r>
      <w:r w:rsidRPr="00DF71DC">
        <w:rPr>
          <w:lang w:val="fr-CH"/>
        </w:rPr>
        <w:t>ssumer des fonctions de diffusion de l'information, de formulation d'avis spécialisés et d'organisation de réunions, de cours et de</w:t>
      </w:r>
      <w:bookmarkStart w:id="31" w:name="_GoBack"/>
      <w:bookmarkEnd w:id="31"/>
      <w:r w:rsidRPr="00DF71DC">
        <w:rPr>
          <w:lang w:val="fr-CH"/>
        </w:rPr>
        <w:t xml:space="preserve"> séminaires</w:t>
      </w:r>
      <w:r w:rsidR="00C2670B">
        <w:rPr>
          <w:lang w:val="fr-CH"/>
        </w:rPr>
        <w:t>.</w:t>
      </w:r>
    </w:p>
    <w:p w:rsidR="00AF2DCA" w:rsidRPr="00DF71DC" w:rsidRDefault="00AF2DCA" w:rsidP="00C2670B">
      <w:pPr>
        <w:pStyle w:val="enumlev1"/>
        <w:rPr>
          <w:lang w:val="fr-CH"/>
        </w:rPr>
      </w:pPr>
      <w:r w:rsidRPr="00DF71DC">
        <w:rPr>
          <w:lang w:val="fr-CH"/>
        </w:rPr>
        <w:t>11</w:t>
      </w:r>
      <w:r w:rsidR="00C2670B">
        <w:rPr>
          <w:lang w:val="fr-CH"/>
        </w:rPr>
        <w:t>)</w:t>
      </w:r>
      <w:r w:rsidRPr="00DF71DC">
        <w:rPr>
          <w:lang w:val="fr-CH"/>
        </w:rPr>
        <w:tab/>
      </w:r>
      <w:r w:rsidR="00C2670B" w:rsidRPr="00DF71DC">
        <w:rPr>
          <w:lang w:val="fr-CH"/>
        </w:rPr>
        <w:t>P</w:t>
      </w:r>
      <w:r w:rsidRPr="00DF71DC">
        <w:rPr>
          <w:lang w:val="fr-CH"/>
        </w:rPr>
        <w:t>articipe</w:t>
      </w:r>
      <w:r w:rsidR="00EB4BB9" w:rsidRPr="00DF71DC">
        <w:rPr>
          <w:lang w:val="fr-CH"/>
        </w:rPr>
        <w:t>r</w:t>
      </w:r>
      <w:r w:rsidRPr="00DF71DC">
        <w:rPr>
          <w:lang w:val="fr-CH"/>
        </w:rPr>
        <w:t xml:space="preserve"> de manière efficace aux débats sur l'avenir de l'Union et </w:t>
      </w:r>
      <w:r w:rsidR="004641AE" w:rsidRPr="00DF71DC">
        <w:rPr>
          <w:lang w:val="fr-CH"/>
        </w:rPr>
        <w:t>sur les</w:t>
      </w:r>
      <w:r w:rsidRPr="00DF71DC">
        <w:rPr>
          <w:lang w:val="fr-CH"/>
        </w:rPr>
        <w:t xml:space="preserve"> questions stratégiques concernant le secteur des télécommun</w:t>
      </w:r>
      <w:r w:rsidR="004641AE" w:rsidRPr="00DF71DC">
        <w:rPr>
          <w:lang w:val="fr-CH"/>
        </w:rPr>
        <w:t>ications/TIC</w:t>
      </w:r>
      <w:r w:rsidR="00C2670B">
        <w:rPr>
          <w:lang w:val="fr-CH"/>
        </w:rPr>
        <w:t>.</w:t>
      </w:r>
    </w:p>
    <w:p w:rsidR="00AF2DCA" w:rsidRPr="00DF71DC" w:rsidRDefault="00AF2DCA" w:rsidP="00C2670B">
      <w:pPr>
        <w:pStyle w:val="enumlev1"/>
        <w:rPr>
          <w:lang w:val="fr-CH"/>
        </w:rPr>
      </w:pPr>
      <w:r w:rsidRPr="00DF71DC">
        <w:rPr>
          <w:lang w:val="fr-CH"/>
        </w:rPr>
        <w:t>12</w:t>
      </w:r>
      <w:r w:rsidR="00C2670B">
        <w:rPr>
          <w:lang w:val="fr-CH"/>
        </w:rPr>
        <w:t>)</w:t>
      </w:r>
      <w:r w:rsidRPr="00DF71DC">
        <w:rPr>
          <w:lang w:val="fr-CH"/>
        </w:rPr>
        <w:tab/>
      </w:r>
      <w:r w:rsidR="00C2670B" w:rsidRPr="00DF71DC">
        <w:rPr>
          <w:lang w:val="fr-CH"/>
        </w:rPr>
        <w:t>S</w:t>
      </w:r>
      <w:r w:rsidRPr="00DF71DC">
        <w:rPr>
          <w:lang w:val="fr-CH"/>
        </w:rPr>
        <w:t>uperviser l'exécution des projets financés sur des fonds d'affectation spéciale et des projets financés sur le Fonds pour le développement des TIC.</w:t>
      </w:r>
    </w:p>
    <w:p w:rsidR="00AF2DCA" w:rsidRPr="00DF71DC" w:rsidRDefault="00AF2DCA" w:rsidP="00CE2EEC">
      <w:pPr>
        <w:pStyle w:val="Reasons"/>
        <w:rPr>
          <w:lang w:val="fr-CH"/>
        </w:rPr>
      </w:pPr>
    </w:p>
    <w:p w:rsidR="00CF29D3" w:rsidRPr="00DF71DC" w:rsidRDefault="00AF2DCA" w:rsidP="00C2670B">
      <w:pPr>
        <w:jc w:val="center"/>
        <w:rPr>
          <w:lang w:val="fr-CH"/>
        </w:rPr>
      </w:pPr>
      <w:r w:rsidRPr="00DF71DC">
        <w:rPr>
          <w:lang w:val="fr-CH"/>
        </w:rPr>
        <w:t>______________</w:t>
      </w:r>
    </w:p>
    <w:sectPr w:rsidR="00CF29D3" w:rsidRPr="00DF71DC" w:rsidSect="005C3890">
      <w:headerReference w:type="even" r:id="rId16"/>
      <w:headerReference w:type="default" r:id="rId17"/>
      <w:footerReference w:type="even" r:id="rId18"/>
      <w:footerReference w:type="default" r:id="rId19"/>
      <w:footerReference w:type="first" r:id="rId2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A78" w:rsidRDefault="00091A78">
      <w:r>
        <w:separator/>
      </w:r>
    </w:p>
  </w:endnote>
  <w:endnote w:type="continuationSeparator" w:id="0">
    <w:p w:rsidR="00091A78" w:rsidRDefault="0009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2976E1">
    <w:pPr>
      <w:pStyle w:val="Footer"/>
    </w:pPr>
    <w:fldSimple w:instr=" FILENAME \p \* MERGEFORMAT ">
      <w:r w:rsidR="0034136E">
        <w:t>P:\FRA\SG\CONSEIL\C18\000\065F.docx</w:t>
      </w:r>
    </w:fldSimple>
    <w:r w:rsidR="00732045">
      <w:tab/>
    </w:r>
    <w:r w:rsidR="002F1B76">
      <w:fldChar w:fldCharType="begin"/>
    </w:r>
    <w:r w:rsidR="00732045">
      <w:instrText xml:space="preserve"> savedate \@ dd.MM.yy </w:instrText>
    </w:r>
    <w:r w:rsidR="002F1B76">
      <w:fldChar w:fldCharType="separate"/>
    </w:r>
    <w:r w:rsidR="00C2670B">
      <w:t>12.03.18</w:t>
    </w:r>
    <w:r w:rsidR="002F1B76">
      <w:fldChar w:fldCharType="end"/>
    </w:r>
    <w:r w:rsidR="00732045">
      <w:tab/>
    </w:r>
    <w:r w:rsidR="002F1B76">
      <w:fldChar w:fldCharType="begin"/>
    </w:r>
    <w:r w:rsidR="00732045">
      <w:instrText xml:space="preserve"> printdate \@ dd.MM.yy </w:instrText>
    </w:r>
    <w:r w:rsidR="002F1B76">
      <w:fldChar w:fldCharType="separate"/>
    </w:r>
    <w:r w:rsidR="0034136E">
      <w:t>12.03.18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CF29D3" w:rsidRDefault="002976E1" w:rsidP="00CF29D3">
    <w:pPr>
      <w:pStyle w:val="Footer"/>
    </w:pPr>
    <w:fldSimple w:instr=" FILENAME \p  \* MERGEFORMAT ">
      <w:r w:rsidR="0034136E">
        <w:t>P:\FRA\SG\CONSEIL\C18\000\065F.docx</w:t>
      </w:r>
    </w:fldSimple>
    <w:r w:rsidR="00CF29D3">
      <w:t xml:space="preserve"> (432126)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A78" w:rsidRDefault="00091A78">
      <w:r>
        <w:t>____________________</w:t>
      </w:r>
    </w:p>
  </w:footnote>
  <w:footnote w:type="continuationSeparator" w:id="0">
    <w:p w:rsidR="00091A78" w:rsidRDefault="00091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0E5773">
      <w:rPr>
        <w:noProof/>
      </w:rPr>
      <w:t>6</w:t>
    </w:r>
    <w:r>
      <w:rPr>
        <w:noProof/>
      </w:rPr>
      <w:fldChar w:fldCharType="end"/>
    </w:r>
  </w:p>
  <w:p w:rsidR="00732045" w:rsidRDefault="00732045" w:rsidP="00CF29D3">
    <w:pPr>
      <w:pStyle w:val="Header"/>
    </w:pPr>
    <w:r>
      <w:t>C1</w:t>
    </w:r>
    <w:r w:rsidR="003C3FAE">
      <w:t>8</w:t>
    </w:r>
    <w:r>
      <w:t>/</w:t>
    </w:r>
    <w:r w:rsidR="00CF29D3">
      <w:t>65</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334F7"/>
    <w:multiLevelType w:val="hybridMultilevel"/>
    <w:tmpl w:val="4FDC40F0"/>
    <w:lvl w:ilvl="0" w:tplc="055E61FE">
      <w:start w:val="2"/>
      <w:numFmt w:val="bullet"/>
      <w:lvlText w:val="-"/>
      <w:lvlJc w:val="left"/>
      <w:pPr>
        <w:ind w:left="720" w:hanging="360"/>
      </w:pPr>
      <w:rPr>
        <w:rFonts w:ascii="Calibri" w:eastAsia="Times New Roman" w:hAnsi="Calibri" w:cs="Times New Roman" w:hint="default"/>
      </w:rPr>
    </w:lvl>
    <w:lvl w:ilvl="1" w:tplc="BE368DC0" w:tentative="1">
      <w:start w:val="1"/>
      <w:numFmt w:val="bullet"/>
      <w:lvlText w:val="o"/>
      <w:lvlJc w:val="left"/>
      <w:pPr>
        <w:ind w:left="1440" w:hanging="360"/>
      </w:pPr>
      <w:rPr>
        <w:rFonts w:ascii="Courier New" w:hAnsi="Courier New" w:cs="Courier New" w:hint="default"/>
      </w:rPr>
    </w:lvl>
    <w:lvl w:ilvl="2" w:tplc="85849A3C" w:tentative="1">
      <w:start w:val="1"/>
      <w:numFmt w:val="bullet"/>
      <w:lvlText w:val=""/>
      <w:lvlJc w:val="left"/>
      <w:pPr>
        <w:ind w:left="2160" w:hanging="360"/>
      </w:pPr>
      <w:rPr>
        <w:rFonts w:ascii="Wingdings" w:hAnsi="Wingdings" w:hint="default"/>
      </w:rPr>
    </w:lvl>
    <w:lvl w:ilvl="3" w:tplc="74241D24" w:tentative="1">
      <w:start w:val="1"/>
      <w:numFmt w:val="bullet"/>
      <w:lvlText w:val=""/>
      <w:lvlJc w:val="left"/>
      <w:pPr>
        <w:ind w:left="2880" w:hanging="360"/>
      </w:pPr>
      <w:rPr>
        <w:rFonts w:ascii="Symbol" w:hAnsi="Symbol" w:hint="default"/>
      </w:rPr>
    </w:lvl>
    <w:lvl w:ilvl="4" w:tplc="43545C7E" w:tentative="1">
      <w:start w:val="1"/>
      <w:numFmt w:val="bullet"/>
      <w:lvlText w:val="o"/>
      <w:lvlJc w:val="left"/>
      <w:pPr>
        <w:ind w:left="3600" w:hanging="360"/>
      </w:pPr>
      <w:rPr>
        <w:rFonts w:ascii="Courier New" w:hAnsi="Courier New" w:cs="Courier New" w:hint="default"/>
      </w:rPr>
    </w:lvl>
    <w:lvl w:ilvl="5" w:tplc="E6D636F2" w:tentative="1">
      <w:start w:val="1"/>
      <w:numFmt w:val="bullet"/>
      <w:lvlText w:val=""/>
      <w:lvlJc w:val="left"/>
      <w:pPr>
        <w:ind w:left="4320" w:hanging="360"/>
      </w:pPr>
      <w:rPr>
        <w:rFonts w:ascii="Wingdings" w:hAnsi="Wingdings" w:hint="default"/>
      </w:rPr>
    </w:lvl>
    <w:lvl w:ilvl="6" w:tplc="3E0CE750" w:tentative="1">
      <w:start w:val="1"/>
      <w:numFmt w:val="bullet"/>
      <w:lvlText w:val=""/>
      <w:lvlJc w:val="left"/>
      <w:pPr>
        <w:ind w:left="5040" w:hanging="360"/>
      </w:pPr>
      <w:rPr>
        <w:rFonts w:ascii="Symbol" w:hAnsi="Symbol" w:hint="default"/>
      </w:rPr>
    </w:lvl>
    <w:lvl w:ilvl="7" w:tplc="847E3BF4" w:tentative="1">
      <w:start w:val="1"/>
      <w:numFmt w:val="bullet"/>
      <w:lvlText w:val="o"/>
      <w:lvlJc w:val="left"/>
      <w:pPr>
        <w:ind w:left="5760" w:hanging="360"/>
      </w:pPr>
      <w:rPr>
        <w:rFonts w:ascii="Courier New" w:hAnsi="Courier New" w:cs="Courier New" w:hint="default"/>
      </w:rPr>
    </w:lvl>
    <w:lvl w:ilvl="8" w:tplc="9168C78E" w:tentative="1">
      <w:start w:val="1"/>
      <w:numFmt w:val="bullet"/>
      <w:lvlText w:val=""/>
      <w:lvlJc w:val="left"/>
      <w:pPr>
        <w:ind w:left="6480" w:hanging="360"/>
      </w:pPr>
      <w:rPr>
        <w:rFonts w:ascii="Wingdings" w:hAnsi="Wingdings" w:hint="default"/>
      </w:rPr>
    </w:lvl>
  </w:abstractNum>
  <w:abstractNum w:abstractNumId="1" w15:restartNumberingAfterBreak="0">
    <w:nsid w:val="20395086"/>
    <w:multiLevelType w:val="hybridMultilevel"/>
    <w:tmpl w:val="EFFC353E"/>
    <w:lvl w:ilvl="0" w:tplc="5D16AFA4">
      <w:start w:val="1"/>
      <w:numFmt w:val="bullet"/>
      <w:lvlText w:val=""/>
      <w:lvlJc w:val="left"/>
      <w:pPr>
        <w:ind w:left="360" w:hanging="360"/>
      </w:pPr>
      <w:rPr>
        <w:rFonts w:ascii="Symbol" w:hAnsi="Symbol" w:hint="default"/>
        <w:b/>
        <w:bCs/>
      </w:rPr>
    </w:lvl>
    <w:lvl w:ilvl="1" w:tplc="CC381020" w:tentative="1">
      <w:start w:val="1"/>
      <w:numFmt w:val="lowerLetter"/>
      <w:lvlText w:val="%2."/>
      <w:lvlJc w:val="left"/>
      <w:pPr>
        <w:ind w:left="1080" w:hanging="360"/>
      </w:pPr>
    </w:lvl>
    <w:lvl w:ilvl="2" w:tplc="E9867634" w:tentative="1">
      <w:start w:val="1"/>
      <w:numFmt w:val="lowerRoman"/>
      <w:lvlText w:val="%3."/>
      <w:lvlJc w:val="right"/>
      <w:pPr>
        <w:ind w:left="1800" w:hanging="180"/>
      </w:pPr>
    </w:lvl>
    <w:lvl w:ilvl="3" w:tplc="153E719C" w:tentative="1">
      <w:start w:val="1"/>
      <w:numFmt w:val="decimal"/>
      <w:lvlText w:val="%4."/>
      <w:lvlJc w:val="left"/>
      <w:pPr>
        <w:ind w:left="2520" w:hanging="360"/>
      </w:pPr>
    </w:lvl>
    <w:lvl w:ilvl="4" w:tplc="CA48DF6A" w:tentative="1">
      <w:start w:val="1"/>
      <w:numFmt w:val="lowerLetter"/>
      <w:lvlText w:val="%5."/>
      <w:lvlJc w:val="left"/>
      <w:pPr>
        <w:ind w:left="3240" w:hanging="360"/>
      </w:pPr>
    </w:lvl>
    <w:lvl w:ilvl="5" w:tplc="71425658" w:tentative="1">
      <w:start w:val="1"/>
      <w:numFmt w:val="lowerRoman"/>
      <w:lvlText w:val="%6."/>
      <w:lvlJc w:val="right"/>
      <w:pPr>
        <w:ind w:left="3960" w:hanging="180"/>
      </w:pPr>
    </w:lvl>
    <w:lvl w:ilvl="6" w:tplc="EDF4608E" w:tentative="1">
      <w:start w:val="1"/>
      <w:numFmt w:val="decimal"/>
      <w:lvlText w:val="%7."/>
      <w:lvlJc w:val="left"/>
      <w:pPr>
        <w:ind w:left="4680" w:hanging="360"/>
      </w:pPr>
    </w:lvl>
    <w:lvl w:ilvl="7" w:tplc="8BE68206" w:tentative="1">
      <w:start w:val="1"/>
      <w:numFmt w:val="lowerLetter"/>
      <w:lvlText w:val="%8."/>
      <w:lvlJc w:val="left"/>
      <w:pPr>
        <w:ind w:left="5400" w:hanging="360"/>
      </w:pPr>
    </w:lvl>
    <w:lvl w:ilvl="8" w:tplc="8A7422D4"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78"/>
    <w:rsid w:val="00091A78"/>
    <w:rsid w:val="000D0D0A"/>
    <w:rsid w:val="000E5773"/>
    <w:rsid w:val="001004C4"/>
    <w:rsid w:val="00103163"/>
    <w:rsid w:val="00115D93"/>
    <w:rsid w:val="001247A8"/>
    <w:rsid w:val="001378C0"/>
    <w:rsid w:val="001613BC"/>
    <w:rsid w:val="0018694A"/>
    <w:rsid w:val="001A3287"/>
    <w:rsid w:val="001A6508"/>
    <w:rsid w:val="001D4C31"/>
    <w:rsid w:val="001E4D21"/>
    <w:rsid w:val="00207CD1"/>
    <w:rsid w:val="002477A2"/>
    <w:rsid w:val="00263A51"/>
    <w:rsid w:val="00267E02"/>
    <w:rsid w:val="002976E1"/>
    <w:rsid w:val="002A5D44"/>
    <w:rsid w:val="002C4E80"/>
    <w:rsid w:val="002E0BC4"/>
    <w:rsid w:val="002F1B76"/>
    <w:rsid w:val="0033568E"/>
    <w:rsid w:val="0034136E"/>
    <w:rsid w:val="00355FF5"/>
    <w:rsid w:val="00361350"/>
    <w:rsid w:val="003C3FAE"/>
    <w:rsid w:val="003F7EF0"/>
    <w:rsid w:val="004038CB"/>
    <w:rsid w:val="0040546F"/>
    <w:rsid w:val="004209A1"/>
    <w:rsid w:val="0042404A"/>
    <w:rsid w:val="0044618F"/>
    <w:rsid w:val="004641AE"/>
    <w:rsid w:val="0046769A"/>
    <w:rsid w:val="00475FB3"/>
    <w:rsid w:val="004A57D8"/>
    <w:rsid w:val="004C02AE"/>
    <w:rsid w:val="004C37A9"/>
    <w:rsid w:val="004F259E"/>
    <w:rsid w:val="00511F1D"/>
    <w:rsid w:val="00520F36"/>
    <w:rsid w:val="00540615"/>
    <w:rsid w:val="00540A6D"/>
    <w:rsid w:val="005656C7"/>
    <w:rsid w:val="00571EEA"/>
    <w:rsid w:val="00575417"/>
    <w:rsid w:val="005768E1"/>
    <w:rsid w:val="005B1938"/>
    <w:rsid w:val="005C3890"/>
    <w:rsid w:val="005F7BFE"/>
    <w:rsid w:val="00600017"/>
    <w:rsid w:val="006235CA"/>
    <w:rsid w:val="006643AB"/>
    <w:rsid w:val="0069685A"/>
    <w:rsid w:val="006C2DC9"/>
    <w:rsid w:val="007210CD"/>
    <w:rsid w:val="00732045"/>
    <w:rsid w:val="007369DB"/>
    <w:rsid w:val="007956C2"/>
    <w:rsid w:val="007A187E"/>
    <w:rsid w:val="007C72C2"/>
    <w:rsid w:val="007D4436"/>
    <w:rsid w:val="007F257A"/>
    <w:rsid w:val="007F3665"/>
    <w:rsid w:val="00800037"/>
    <w:rsid w:val="00861D73"/>
    <w:rsid w:val="00894E11"/>
    <w:rsid w:val="008A4E87"/>
    <w:rsid w:val="008D76E6"/>
    <w:rsid w:val="0092392D"/>
    <w:rsid w:val="0093234A"/>
    <w:rsid w:val="00941F70"/>
    <w:rsid w:val="009769E8"/>
    <w:rsid w:val="009C307F"/>
    <w:rsid w:val="00A2113E"/>
    <w:rsid w:val="00A23A51"/>
    <w:rsid w:val="00A24607"/>
    <w:rsid w:val="00A25CD3"/>
    <w:rsid w:val="00A82767"/>
    <w:rsid w:val="00AA332F"/>
    <w:rsid w:val="00AA7BBB"/>
    <w:rsid w:val="00AB1725"/>
    <w:rsid w:val="00AB64A8"/>
    <w:rsid w:val="00AC0266"/>
    <w:rsid w:val="00AD24EC"/>
    <w:rsid w:val="00AD5EAB"/>
    <w:rsid w:val="00AF2DCA"/>
    <w:rsid w:val="00B309F9"/>
    <w:rsid w:val="00B32B60"/>
    <w:rsid w:val="00B61619"/>
    <w:rsid w:val="00B64E07"/>
    <w:rsid w:val="00B777CC"/>
    <w:rsid w:val="00BB4545"/>
    <w:rsid w:val="00BD5873"/>
    <w:rsid w:val="00C04BE3"/>
    <w:rsid w:val="00C25D29"/>
    <w:rsid w:val="00C2670B"/>
    <w:rsid w:val="00C27A7C"/>
    <w:rsid w:val="00C6093D"/>
    <w:rsid w:val="00C82A45"/>
    <w:rsid w:val="00CA0457"/>
    <w:rsid w:val="00CA08ED"/>
    <w:rsid w:val="00CE2EEC"/>
    <w:rsid w:val="00CF183B"/>
    <w:rsid w:val="00CF29D3"/>
    <w:rsid w:val="00D375CD"/>
    <w:rsid w:val="00D553A2"/>
    <w:rsid w:val="00D774D3"/>
    <w:rsid w:val="00D904E8"/>
    <w:rsid w:val="00D93CBB"/>
    <w:rsid w:val="00DA0546"/>
    <w:rsid w:val="00DA08C3"/>
    <w:rsid w:val="00DB5A3E"/>
    <w:rsid w:val="00DC22AA"/>
    <w:rsid w:val="00DF71DC"/>
    <w:rsid w:val="00DF74DD"/>
    <w:rsid w:val="00E25AD0"/>
    <w:rsid w:val="00EB4BB9"/>
    <w:rsid w:val="00EB6350"/>
    <w:rsid w:val="00F15B57"/>
    <w:rsid w:val="00F427DB"/>
    <w:rsid w:val="00FA5EB1"/>
    <w:rsid w:val="00FA7439"/>
    <w:rsid w:val="00FC4EC0"/>
    <w:rsid w:val="00FF0181"/>
    <w:rsid w:val="00FF1D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8CF1998-EC96-42F0-8004-4746E30E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enumlev1Char">
    <w:name w:val="enumlev1 Char"/>
    <w:basedOn w:val="DefaultParagraphFont"/>
    <w:link w:val="enumlev1"/>
    <w:rsid w:val="00CF29D3"/>
    <w:rPr>
      <w:rFonts w:ascii="Calibri" w:hAnsi="Calibri"/>
      <w:sz w:val="24"/>
      <w:lang w:val="fr-FR" w:eastAsia="en-US"/>
    </w:rPr>
  </w:style>
  <w:style w:type="character" w:customStyle="1" w:styleId="RestitleChar">
    <w:name w:val="Res_title Char"/>
    <w:basedOn w:val="DefaultParagraphFont"/>
    <w:link w:val="Restitle"/>
    <w:locked/>
    <w:rsid w:val="00AF2DCA"/>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PLEN-2015/fr" TargetMode="External"/><Relationship Id="rId13" Type="http://schemas.openxmlformats.org/officeDocument/2006/relationships/hyperlink" Target="https://www.itu.int/md/S17-CL-C-0098/f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tu.int/md/S17-CL-170515-DL-0003/f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7-CL-C-0130/fr" TargetMode="External"/><Relationship Id="rId5" Type="http://schemas.openxmlformats.org/officeDocument/2006/relationships/footnotes" Target="footnotes.xml"/><Relationship Id="rId15" Type="http://schemas.openxmlformats.org/officeDocument/2006/relationships/hyperlink" Target="https://www.itu.int/md/S17-CL-170515-DL-0003/fr" TargetMode="External"/><Relationship Id="rId10" Type="http://schemas.openxmlformats.org/officeDocument/2006/relationships/hyperlink" Target="https://www.itu.int/md/S17-CL-C-0098/f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pub/S-CONF-PLEN-2015/fr" TargetMode="External"/><Relationship Id="rId14" Type="http://schemas.openxmlformats.org/officeDocument/2006/relationships/hyperlink" Target="https://www.itu.int/md/S17-CL-C-0130/fr"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100</TotalTime>
  <Pages>6</Pages>
  <Words>1529</Words>
  <Characters>8493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10002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Gozel, Elsa</dc:creator>
  <cp:keywords>C2018, C18</cp:keywords>
  <dc:description/>
  <cp:lastModifiedBy>Royer, Veronique</cp:lastModifiedBy>
  <cp:revision>20</cp:revision>
  <cp:lastPrinted>2018-03-12T11:05:00Z</cp:lastPrinted>
  <dcterms:created xsi:type="dcterms:W3CDTF">2018-03-12T10:16:00Z</dcterms:created>
  <dcterms:modified xsi:type="dcterms:W3CDTF">2018-03-12T13:41:00Z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