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813E5E" w:rsidRDefault="002A2188" w:rsidP="00623AE3">
            <w:pPr>
              <w:spacing w:before="360" w:after="48" w:line="240" w:lineRule="atLeast"/>
              <w:rPr>
                <w:position w:val="6"/>
              </w:rPr>
            </w:pPr>
            <w:bookmarkStart w:id="0" w:name="dc06"/>
            <w:bookmarkEnd w:id="0"/>
            <w:r w:rsidRPr="00E85629">
              <w:rPr>
                <w:b/>
                <w:bCs/>
                <w:position w:val="6"/>
                <w:sz w:val="30"/>
                <w:szCs w:val="30"/>
                <w:lang w:val="fr-CH"/>
              </w:rPr>
              <w:t>Council 201</w:t>
            </w:r>
            <w:r w:rsidR="00623AE3">
              <w:rPr>
                <w:b/>
                <w:bCs/>
                <w:position w:val="6"/>
                <w:sz w:val="30"/>
                <w:szCs w:val="30"/>
                <w:lang w:val="fr-CH"/>
              </w:rPr>
              <w:t>8</w:t>
            </w:r>
            <w:r w:rsidRPr="00E85629">
              <w:rPr>
                <w:rFonts w:cs="Times"/>
                <w:b/>
                <w:position w:val="6"/>
                <w:sz w:val="26"/>
                <w:szCs w:val="26"/>
                <w:lang w:val="en-US"/>
              </w:rPr>
              <w:br/>
            </w:r>
            <w:r w:rsidRPr="00E85629">
              <w:rPr>
                <w:b/>
                <w:bCs/>
                <w:position w:val="6"/>
                <w:szCs w:val="24"/>
                <w:lang w:val="fr-CH"/>
              </w:rPr>
              <w:t>Geneva, 1</w:t>
            </w:r>
            <w:r w:rsidR="00623AE3">
              <w:rPr>
                <w:b/>
                <w:bCs/>
                <w:position w:val="6"/>
                <w:szCs w:val="24"/>
                <w:lang w:val="fr-CH"/>
              </w:rPr>
              <w:t>7</w:t>
            </w:r>
            <w:r w:rsidRPr="00E85629">
              <w:rPr>
                <w:b/>
                <w:bCs/>
                <w:position w:val="6"/>
                <w:szCs w:val="24"/>
                <w:lang w:val="fr-CH"/>
              </w:rPr>
              <w:t>-2</w:t>
            </w:r>
            <w:r w:rsidR="00623AE3">
              <w:rPr>
                <w:b/>
                <w:bCs/>
                <w:position w:val="6"/>
                <w:szCs w:val="24"/>
                <w:lang w:val="fr-CH"/>
              </w:rPr>
              <w:t>7</w:t>
            </w:r>
            <w:r w:rsidRPr="00E85629">
              <w:rPr>
                <w:b/>
                <w:bCs/>
                <w:position w:val="6"/>
                <w:szCs w:val="24"/>
                <w:lang w:val="fr-CH"/>
              </w:rPr>
              <w:t xml:space="preserve"> </w:t>
            </w:r>
            <w:r w:rsidR="00623AE3">
              <w:rPr>
                <w:b/>
                <w:bCs/>
                <w:position w:val="6"/>
                <w:szCs w:val="24"/>
                <w:lang w:val="fr-CH"/>
              </w:rPr>
              <w:t>April</w:t>
            </w:r>
            <w:r w:rsidRPr="00E85629">
              <w:rPr>
                <w:b/>
                <w:bCs/>
                <w:position w:val="6"/>
                <w:szCs w:val="24"/>
                <w:lang w:val="fr-CH"/>
              </w:rPr>
              <w:t xml:space="preserve"> 201</w:t>
            </w:r>
            <w:r w:rsidR="00623AE3">
              <w:rPr>
                <w:b/>
                <w:bCs/>
                <w:position w:val="6"/>
                <w:szCs w:val="24"/>
                <w:lang w:val="fr-CH"/>
              </w:rPr>
              <w:t>8</w:t>
            </w:r>
          </w:p>
        </w:tc>
        <w:tc>
          <w:tcPr>
            <w:tcW w:w="3120" w:type="dxa"/>
          </w:tcPr>
          <w:p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2A2188" w:rsidP="00FA77B0">
            <w:pPr>
              <w:spacing w:before="0" w:line="240" w:lineRule="atLeast"/>
              <w:rPr>
                <w:b/>
                <w:smallCaps/>
                <w:szCs w:val="24"/>
              </w:rPr>
            </w:pPr>
          </w:p>
        </w:tc>
        <w:tc>
          <w:tcPr>
            <w:tcW w:w="3120" w:type="dxa"/>
            <w:tcBorders>
              <w:bottom w:val="single" w:sz="12" w:space="0" w:color="auto"/>
            </w:tcBorders>
          </w:tcPr>
          <w:p w:rsidR="002A2188" w:rsidRPr="00813E5E" w:rsidRDefault="002A2188" w:rsidP="00FA77B0">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FA77B0">
            <w:pPr>
              <w:spacing w:before="0" w:line="240" w:lineRule="atLeast"/>
              <w:rPr>
                <w:b/>
                <w:smallCaps/>
                <w:szCs w:val="24"/>
              </w:rPr>
            </w:pPr>
          </w:p>
        </w:tc>
        <w:tc>
          <w:tcPr>
            <w:tcW w:w="3120" w:type="dxa"/>
            <w:tcBorders>
              <w:top w:val="single" w:sz="12" w:space="0" w:color="auto"/>
            </w:tcBorders>
          </w:tcPr>
          <w:p w:rsidR="002A2188" w:rsidRPr="00813E5E" w:rsidRDefault="002A2188" w:rsidP="00FA77B0">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D04E39" w:rsidP="00A020FE">
            <w:pPr>
              <w:tabs>
                <w:tab w:val="left" w:pos="851"/>
              </w:tabs>
              <w:spacing w:before="0" w:line="240" w:lineRule="atLeast"/>
              <w:rPr>
                <w:b/>
              </w:rPr>
            </w:pPr>
            <w:bookmarkStart w:id="2" w:name="dmeeting" w:colFirst="0" w:colLast="0"/>
            <w:bookmarkStart w:id="3" w:name="dnum" w:colFirst="1" w:colLast="1"/>
            <w:r>
              <w:rPr>
                <w:b/>
              </w:rPr>
              <w:t xml:space="preserve">Agenda item: </w:t>
            </w:r>
            <w:r w:rsidR="00407746">
              <w:rPr>
                <w:b/>
              </w:rPr>
              <w:t>ADM 22</w:t>
            </w:r>
          </w:p>
        </w:tc>
        <w:tc>
          <w:tcPr>
            <w:tcW w:w="3120" w:type="dxa"/>
          </w:tcPr>
          <w:p w:rsidR="002A2188" w:rsidRPr="00E85629" w:rsidRDefault="002A2188" w:rsidP="00407746">
            <w:pPr>
              <w:tabs>
                <w:tab w:val="left" w:pos="851"/>
              </w:tabs>
              <w:spacing w:before="0" w:line="240" w:lineRule="atLeast"/>
              <w:rPr>
                <w:b/>
              </w:rPr>
            </w:pPr>
            <w:r>
              <w:rPr>
                <w:b/>
              </w:rPr>
              <w:t>Document C1</w:t>
            </w:r>
            <w:r w:rsidR="00623AE3">
              <w:rPr>
                <w:b/>
              </w:rPr>
              <w:t>8</w:t>
            </w:r>
            <w:r w:rsidR="00237687">
              <w:rPr>
                <w:b/>
              </w:rPr>
              <w:t>/</w:t>
            </w:r>
            <w:r w:rsidR="00407746">
              <w:rPr>
                <w:b/>
              </w:rPr>
              <w:t>65-</w:t>
            </w:r>
            <w:r>
              <w:rPr>
                <w:b/>
              </w:rPr>
              <w:t>E</w:t>
            </w:r>
          </w:p>
        </w:tc>
      </w:tr>
      <w:tr w:rsidR="002A2188" w:rsidRPr="00813E5E" w:rsidTr="00464B6C">
        <w:trPr>
          <w:cantSplit/>
          <w:trHeight w:val="23"/>
        </w:trPr>
        <w:tc>
          <w:tcPr>
            <w:tcW w:w="6911" w:type="dxa"/>
            <w:vMerge/>
          </w:tcPr>
          <w:p w:rsidR="002A2188" w:rsidRPr="00813E5E" w:rsidRDefault="002A2188" w:rsidP="00FA77B0">
            <w:pPr>
              <w:tabs>
                <w:tab w:val="left" w:pos="851"/>
              </w:tabs>
              <w:spacing w:before="0" w:line="240" w:lineRule="atLeast"/>
              <w:rPr>
                <w:b/>
              </w:rPr>
            </w:pPr>
            <w:bookmarkStart w:id="4" w:name="ddate" w:colFirst="1" w:colLast="1"/>
            <w:bookmarkEnd w:id="2"/>
            <w:bookmarkEnd w:id="3"/>
          </w:p>
        </w:tc>
        <w:tc>
          <w:tcPr>
            <w:tcW w:w="3120" w:type="dxa"/>
          </w:tcPr>
          <w:p w:rsidR="002A2188" w:rsidRPr="00E85629" w:rsidRDefault="00407746" w:rsidP="00A020FE">
            <w:pPr>
              <w:tabs>
                <w:tab w:val="left" w:pos="993"/>
              </w:tabs>
              <w:spacing w:before="0"/>
              <w:rPr>
                <w:b/>
              </w:rPr>
            </w:pPr>
            <w:r>
              <w:rPr>
                <w:b/>
              </w:rPr>
              <w:t xml:space="preserve">8 February </w:t>
            </w:r>
            <w:r w:rsidR="00EF2F84">
              <w:rPr>
                <w:b/>
              </w:rPr>
              <w:t>2018</w:t>
            </w:r>
          </w:p>
        </w:tc>
      </w:tr>
      <w:tr w:rsidR="002A2188" w:rsidRPr="00813E5E" w:rsidTr="00464B6C">
        <w:trPr>
          <w:cantSplit/>
          <w:trHeight w:val="23"/>
        </w:trPr>
        <w:tc>
          <w:tcPr>
            <w:tcW w:w="6911" w:type="dxa"/>
            <w:vMerge/>
          </w:tcPr>
          <w:p w:rsidR="002A2188" w:rsidRPr="00813E5E" w:rsidRDefault="002A2188" w:rsidP="00FA77B0">
            <w:pPr>
              <w:tabs>
                <w:tab w:val="left" w:pos="851"/>
              </w:tabs>
              <w:spacing w:before="0" w:line="240" w:lineRule="atLeast"/>
              <w:rPr>
                <w:b/>
              </w:rPr>
            </w:pPr>
            <w:bookmarkStart w:id="5" w:name="dorlang" w:colFirst="1" w:colLast="1"/>
            <w:bookmarkEnd w:id="4"/>
          </w:p>
        </w:tc>
        <w:tc>
          <w:tcPr>
            <w:tcW w:w="3120" w:type="dxa"/>
          </w:tcPr>
          <w:p w:rsidR="002A2188" w:rsidRPr="00E85629" w:rsidRDefault="002A2188" w:rsidP="00FA77B0">
            <w:pPr>
              <w:tabs>
                <w:tab w:val="left" w:pos="993"/>
              </w:tabs>
              <w:spacing w:before="0"/>
              <w:rPr>
                <w:b/>
              </w:rPr>
            </w:pPr>
            <w:r>
              <w:rPr>
                <w:b/>
              </w:rPr>
              <w:t>Original: English</w:t>
            </w:r>
          </w:p>
        </w:tc>
      </w:tr>
      <w:tr w:rsidR="002A2188" w:rsidRPr="00813E5E" w:rsidTr="00464B6C">
        <w:trPr>
          <w:cantSplit/>
        </w:trPr>
        <w:tc>
          <w:tcPr>
            <w:tcW w:w="10031" w:type="dxa"/>
            <w:gridSpan w:val="2"/>
          </w:tcPr>
          <w:p w:rsidR="002A2188" w:rsidRPr="00813E5E" w:rsidRDefault="00D04E39" w:rsidP="00464B6C">
            <w:pPr>
              <w:pStyle w:val="Source"/>
            </w:pPr>
            <w:bookmarkStart w:id="6" w:name="dsource" w:colFirst="0" w:colLast="0"/>
            <w:bookmarkEnd w:id="5"/>
            <w:r w:rsidRPr="00D04E39">
              <w:t>Report by the Secretary-General</w:t>
            </w:r>
          </w:p>
        </w:tc>
      </w:tr>
      <w:tr w:rsidR="002A2188" w:rsidRPr="00813E5E" w:rsidTr="00464B6C">
        <w:trPr>
          <w:cantSplit/>
        </w:trPr>
        <w:tc>
          <w:tcPr>
            <w:tcW w:w="10031" w:type="dxa"/>
            <w:gridSpan w:val="2"/>
          </w:tcPr>
          <w:p w:rsidR="002A2188" w:rsidRPr="00813E5E" w:rsidRDefault="00A020FE" w:rsidP="00464B6C">
            <w:pPr>
              <w:pStyle w:val="Title1"/>
            </w:pPr>
            <w:bookmarkStart w:id="7" w:name="dtitle1" w:colFirst="0" w:colLast="0"/>
            <w:bookmarkEnd w:id="6"/>
            <w:r>
              <w:rPr>
                <w:bCs/>
                <w:szCs w:val="32"/>
              </w:rPr>
              <w:t xml:space="preserve">upgrading the area office in moscow </w:t>
            </w:r>
            <w:r>
              <w:rPr>
                <w:bCs/>
                <w:szCs w:val="32"/>
              </w:rPr>
              <w:br/>
              <w:t>to ITU CIS REGIONAL office</w:t>
            </w:r>
          </w:p>
        </w:tc>
      </w:tr>
      <w:bookmarkEnd w:id="7"/>
    </w:tbl>
    <w:p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rsidR="002A2188" w:rsidRPr="00813E5E" w:rsidRDefault="002A2188" w:rsidP="00D8085D">
            <w:pPr>
              <w:pStyle w:val="Headingb"/>
              <w:jc w:val="both"/>
            </w:pPr>
            <w:r w:rsidRPr="00813E5E">
              <w:t>Summary</w:t>
            </w:r>
          </w:p>
          <w:p w:rsidR="007D7305" w:rsidRDefault="007D7305" w:rsidP="00D8085D">
            <w:pPr>
              <w:jc w:val="both"/>
              <w:rPr>
                <w:rFonts w:cstheme="minorHAnsi"/>
                <w:szCs w:val="24"/>
              </w:rPr>
            </w:pPr>
            <w:r w:rsidRPr="00EE4575">
              <w:rPr>
                <w:szCs w:val="24"/>
              </w:rPr>
              <w:t xml:space="preserve">Council 2017 </w:t>
            </w:r>
            <w:r w:rsidR="00ED5DD8">
              <w:rPr>
                <w:szCs w:val="24"/>
              </w:rPr>
              <w:t xml:space="preserve">agreed to </w:t>
            </w:r>
            <w:r w:rsidR="00ED5DD8" w:rsidRPr="00EE4575">
              <w:rPr>
                <w:szCs w:val="24"/>
              </w:rPr>
              <w:t xml:space="preserve">approve </w:t>
            </w:r>
            <w:r w:rsidRPr="00EE4575">
              <w:rPr>
                <w:szCs w:val="24"/>
              </w:rPr>
              <w:t xml:space="preserve">in principle the proposal to raise the status of the ITU </w:t>
            </w:r>
            <w:r>
              <w:rPr>
                <w:szCs w:val="24"/>
              </w:rPr>
              <w:t xml:space="preserve">CIS </w:t>
            </w:r>
            <w:r w:rsidRPr="00EE4575">
              <w:rPr>
                <w:szCs w:val="24"/>
              </w:rPr>
              <w:t>Area Office in Moscow to that of regional office and request</w:t>
            </w:r>
            <w:r w:rsidR="00A64C01">
              <w:rPr>
                <w:szCs w:val="24"/>
              </w:rPr>
              <w:t>ed</w:t>
            </w:r>
            <w:r w:rsidRPr="00EE4575">
              <w:rPr>
                <w:szCs w:val="24"/>
              </w:rPr>
              <w:t xml:space="preserve"> </w:t>
            </w:r>
            <w:r w:rsidR="00D8085D">
              <w:rPr>
                <w:szCs w:val="24"/>
              </w:rPr>
              <w:t xml:space="preserve">the Secretary-General </w:t>
            </w:r>
            <w:r w:rsidRPr="00EE4575">
              <w:rPr>
                <w:szCs w:val="24"/>
              </w:rPr>
              <w:t>to submit specific terms of reference for an ITU CIS regional office, defining its structure and budget in order to get a final agreement</w:t>
            </w:r>
            <w:r w:rsidR="00345403" w:rsidRPr="00246A47">
              <w:rPr>
                <w:rFonts w:cstheme="minorHAnsi"/>
                <w:szCs w:val="24"/>
              </w:rPr>
              <w:t>.</w:t>
            </w:r>
            <w:r>
              <w:rPr>
                <w:rFonts w:cstheme="minorHAnsi"/>
                <w:szCs w:val="24"/>
              </w:rPr>
              <w:t xml:space="preserve"> </w:t>
            </w:r>
          </w:p>
          <w:p w:rsidR="002A2188" w:rsidRPr="00813E5E" w:rsidRDefault="007D7305" w:rsidP="00D8085D">
            <w:pPr>
              <w:jc w:val="both"/>
            </w:pPr>
            <w:r>
              <w:rPr>
                <w:rFonts w:cstheme="minorHAnsi"/>
                <w:szCs w:val="24"/>
              </w:rPr>
              <w:t xml:space="preserve">The document provides </w:t>
            </w:r>
            <w:r w:rsidR="00A64C01">
              <w:rPr>
                <w:rFonts w:cstheme="minorHAnsi"/>
                <w:szCs w:val="24"/>
              </w:rPr>
              <w:t xml:space="preserve">the </w:t>
            </w:r>
            <w:r>
              <w:rPr>
                <w:rFonts w:cstheme="minorHAnsi"/>
                <w:szCs w:val="24"/>
              </w:rPr>
              <w:t>overview of the ITU field offices, proposal on the structure, budget implications</w:t>
            </w:r>
            <w:r w:rsidR="00A64C01">
              <w:rPr>
                <w:rFonts w:cstheme="minorHAnsi"/>
                <w:szCs w:val="24"/>
              </w:rPr>
              <w:t xml:space="preserve"> </w:t>
            </w:r>
            <w:r>
              <w:rPr>
                <w:rFonts w:cstheme="minorHAnsi"/>
                <w:szCs w:val="24"/>
              </w:rPr>
              <w:t>f</w:t>
            </w:r>
            <w:r w:rsidR="00A64C01">
              <w:rPr>
                <w:rFonts w:cstheme="minorHAnsi"/>
                <w:szCs w:val="24"/>
              </w:rPr>
              <w:t>or</w:t>
            </w:r>
            <w:r>
              <w:rPr>
                <w:rFonts w:cstheme="minorHAnsi"/>
                <w:szCs w:val="24"/>
              </w:rPr>
              <w:t xml:space="preserve"> the ITU CIS Regi</w:t>
            </w:r>
            <w:r w:rsidR="00D8085D">
              <w:rPr>
                <w:rFonts w:cstheme="minorHAnsi"/>
                <w:szCs w:val="24"/>
              </w:rPr>
              <w:t>o</w:t>
            </w:r>
            <w:r>
              <w:rPr>
                <w:rFonts w:cstheme="minorHAnsi"/>
                <w:szCs w:val="24"/>
              </w:rPr>
              <w:t>nal Office</w:t>
            </w:r>
            <w:r w:rsidR="00D8085D">
              <w:rPr>
                <w:rFonts w:cstheme="minorHAnsi"/>
                <w:szCs w:val="24"/>
              </w:rPr>
              <w:t>,</w:t>
            </w:r>
            <w:r w:rsidR="00B97B5B">
              <w:rPr>
                <w:rFonts w:cstheme="minorHAnsi"/>
                <w:szCs w:val="24"/>
              </w:rPr>
              <w:t xml:space="preserve"> and </w:t>
            </w:r>
            <w:r w:rsidR="00ED5DD8">
              <w:rPr>
                <w:rFonts w:cstheme="minorHAnsi"/>
                <w:szCs w:val="24"/>
              </w:rPr>
              <w:t xml:space="preserve">a </w:t>
            </w:r>
            <w:r w:rsidR="00B97B5B">
              <w:rPr>
                <w:rFonts w:cstheme="minorHAnsi"/>
                <w:szCs w:val="24"/>
              </w:rPr>
              <w:t>draft Decision</w:t>
            </w:r>
            <w:r w:rsidR="00ED5DD8">
              <w:rPr>
                <w:rFonts w:cstheme="minorHAnsi"/>
                <w:szCs w:val="24"/>
              </w:rPr>
              <w:t xml:space="preserve"> for the creation of a D1 post</w:t>
            </w:r>
            <w:r>
              <w:rPr>
                <w:rFonts w:cstheme="minorHAnsi"/>
                <w:szCs w:val="24"/>
              </w:rPr>
              <w:t>.</w:t>
            </w:r>
          </w:p>
          <w:p w:rsidR="002A2188" w:rsidRPr="00813E5E" w:rsidRDefault="002A2188" w:rsidP="00D8085D">
            <w:pPr>
              <w:pStyle w:val="Headingb"/>
              <w:jc w:val="both"/>
            </w:pPr>
            <w:r w:rsidRPr="00813E5E">
              <w:t>Action required</w:t>
            </w:r>
          </w:p>
          <w:p w:rsidR="00345403" w:rsidRPr="00246A47" w:rsidRDefault="00D8085D" w:rsidP="00D8085D">
            <w:pPr>
              <w:snapToGrid w:val="0"/>
              <w:spacing w:after="120"/>
              <w:jc w:val="both"/>
              <w:rPr>
                <w:rFonts w:cstheme="minorHAnsi"/>
                <w:szCs w:val="24"/>
              </w:rPr>
            </w:pPr>
            <w:r>
              <w:rPr>
                <w:rFonts w:cstheme="minorHAnsi"/>
                <w:szCs w:val="24"/>
              </w:rPr>
              <w:t xml:space="preserve">The </w:t>
            </w:r>
            <w:r w:rsidR="009C12EF">
              <w:rPr>
                <w:rFonts w:cstheme="minorHAnsi"/>
                <w:szCs w:val="24"/>
              </w:rPr>
              <w:t>Council</w:t>
            </w:r>
            <w:r w:rsidR="009C12EF" w:rsidRPr="00246A47">
              <w:rPr>
                <w:rFonts w:cstheme="minorHAnsi"/>
                <w:szCs w:val="24"/>
              </w:rPr>
              <w:t xml:space="preserve"> </w:t>
            </w:r>
            <w:r w:rsidR="00345403" w:rsidRPr="00246A47">
              <w:rPr>
                <w:rFonts w:cstheme="minorHAnsi"/>
                <w:szCs w:val="24"/>
              </w:rPr>
              <w:t xml:space="preserve">is </w:t>
            </w:r>
            <w:r w:rsidR="007D7305">
              <w:rPr>
                <w:szCs w:val="24"/>
              </w:rPr>
              <w:t xml:space="preserve">invited to </w:t>
            </w:r>
            <w:r w:rsidR="007D7305" w:rsidRPr="007D7305">
              <w:rPr>
                <w:b/>
                <w:bCs/>
                <w:szCs w:val="24"/>
              </w:rPr>
              <w:t>approve</w:t>
            </w:r>
            <w:r w:rsidR="007D7305">
              <w:rPr>
                <w:szCs w:val="24"/>
              </w:rPr>
              <w:t xml:space="preserve"> </w:t>
            </w:r>
            <w:r w:rsidR="00AB7AFD">
              <w:rPr>
                <w:szCs w:val="24"/>
              </w:rPr>
              <w:t>the proposed new structure for the Regional Office for</w:t>
            </w:r>
            <w:r w:rsidR="00AB7AFD" w:rsidRPr="007D1349">
              <w:rPr>
                <w:szCs w:val="24"/>
              </w:rPr>
              <w:t xml:space="preserve"> the </w:t>
            </w:r>
            <w:r w:rsidR="00AB7AFD">
              <w:rPr>
                <w:szCs w:val="24"/>
              </w:rPr>
              <w:t xml:space="preserve">ITU </w:t>
            </w:r>
            <w:r w:rsidR="00AB7AFD" w:rsidRPr="007D1349">
              <w:rPr>
                <w:szCs w:val="24"/>
              </w:rPr>
              <w:t>CIS Region</w:t>
            </w:r>
            <w:r w:rsidR="00AB7AFD">
              <w:rPr>
                <w:szCs w:val="24"/>
              </w:rPr>
              <w:t xml:space="preserve"> and </w:t>
            </w:r>
            <w:r w:rsidR="007D7305">
              <w:rPr>
                <w:szCs w:val="24"/>
              </w:rPr>
              <w:t xml:space="preserve">to </w:t>
            </w:r>
            <w:r w:rsidR="007D7305" w:rsidRPr="007D7305">
              <w:rPr>
                <w:b/>
                <w:bCs/>
                <w:szCs w:val="24"/>
              </w:rPr>
              <w:t>approve</w:t>
            </w:r>
            <w:r w:rsidR="007D7305">
              <w:rPr>
                <w:szCs w:val="24"/>
              </w:rPr>
              <w:t xml:space="preserve"> the </w:t>
            </w:r>
            <w:r w:rsidR="00AB7AFD">
              <w:rPr>
                <w:szCs w:val="24"/>
              </w:rPr>
              <w:t xml:space="preserve">draft </w:t>
            </w:r>
            <w:r w:rsidR="007D7305">
              <w:rPr>
                <w:szCs w:val="24"/>
              </w:rPr>
              <w:t>Decision</w:t>
            </w:r>
            <w:r w:rsidR="00345403">
              <w:rPr>
                <w:rFonts w:cstheme="minorHAnsi"/>
                <w:szCs w:val="24"/>
              </w:rPr>
              <w:t xml:space="preserve"> </w:t>
            </w:r>
            <w:r w:rsidR="007D7305">
              <w:rPr>
                <w:szCs w:val="24"/>
              </w:rPr>
              <w:t>on the c</w:t>
            </w:r>
            <w:r w:rsidR="007D7305" w:rsidRPr="007D1349">
              <w:rPr>
                <w:szCs w:val="24"/>
              </w:rPr>
              <w:t>reation of post D1, Regio</w:t>
            </w:r>
            <w:r w:rsidR="007D7305">
              <w:rPr>
                <w:szCs w:val="24"/>
              </w:rPr>
              <w:t>nal Director, Regional Office for</w:t>
            </w:r>
            <w:r w:rsidR="007D7305" w:rsidRPr="007D1349">
              <w:rPr>
                <w:szCs w:val="24"/>
              </w:rPr>
              <w:t xml:space="preserve"> the </w:t>
            </w:r>
            <w:r w:rsidR="007D7305">
              <w:rPr>
                <w:szCs w:val="24"/>
              </w:rPr>
              <w:t xml:space="preserve">ITU </w:t>
            </w:r>
            <w:r w:rsidR="007D7305" w:rsidRPr="007D1349">
              <w:rPr>
                <w:szCs w:val="24"/>
              </w:rPr>
              <w:t>CIS Region</w:t>
            </w:r>
            <w:r w:rsidR="007D7305">
              <w:rPr>
                <w:szCs w:val="24"/>
              </w:rPr>
              <w:t xml:space="preserve"> </w:t>
            </w:r>
            <w:r w:rsidR="00AB7AFD">
              <w:rPr>
                <w:szCs w:val="24"/>
              </w:rPr>
              <w:t xml:space="preserve">presented </w:t>
            </w:r>
            <w:r w:rsidR="007D7305">
              <w:rPr>
                <w:szCs w:val="24"/>
              </w:rPr>
              <w:t xml:space="preserve">in </w:t>
            </w:r>
            <w:r w:rsidR="007D7305" w:rsidRPr="004A4559">
              <w:rPr>
                <w:b/>
                <w:bCs/>
                <w:szCs w:val="24"/>
              </w:rPr>
              <w:t>Annex</w:t>
            </w:r>
            <w:r w:rsidR="0072004E">
              <w:rPr>
                <w:b/>
                <w:bCs/>
                <w:szCs w:val="24"/>
              </w:rPr>
              <w:t xml:space="preserve"> 1</w:t>
            </w:r>
            <w:r w:rsidR="00AB7AFD">
              <w:rPr>
                <w:szCs w:val="24"/>
              </w:rPr>
              <w:t xml:space="preserve"> to this document</w:t>
            </w:r>
            <w:r>
              <w:rPr>
                <w:szCs w:val="24"/>
              </w:rPr>
              <w:t>.</w:t>
            </w:r>
          </w:p>
          <w:p w:rsidR="002A2188" w:rsidRPr="00813E5E" w:rsidRDefault="002A2188" w:rsidP="00D04E39">
            <w:pPr>
              <w:pStyle w:val="Table"/>
              <w:keepNext w:val="0"/>
              <w:spacing w:before="120"/>
              <w:rPr>
                <w:rFonts w:ascii="Calibri" w:hAnsi="Calibri"/>
                <w:caps w:val="0"/>
                <w:sz w:val="22"/>
              </w:rPr>
            </w:pPr>
            <w:r w:rsidRPr="00813E5E">
              <w:rPr>
                <w:rFonts w:ascii="Calibri" w:hAnsi="Calibri"/>
                <w:caps w:val="0"/>
                <w:sz w:val="22"/>
              </w:rPr>
              <w:t>____________</w:t>
            </w:r>
          </w:p>
          <w:p w:rsidR="002A2188" w:rsidRPr="00813E5E" w:rsidRDefault="002A2188" w:rsidP="00464B6C">
            <w:pPr>
              <w:pStyle w:val="Headingb"/>
            </w:pPr>
            <w:r w:rsidRPr="00813E5E">
              <w:t>References</w:t>
            </w:r>
          </w:p>
          <w:p w:rsidR="002A2188" w:rsidRPr="007D5357" w:rsidRDefault="009B2B07" w:rsidP="00D8085D">
            <w:pPr>
              <w:spacing w:after="120"/>
            </w:pPr>
            <w:hyperlink r:id="rId9" w:history="1">
              <w:r w:rsidR="0090701D" w:rsidRPr="007D7305">
                <w:rPr>
                  <w:rStyle w:val="Hyperlink"/>
                  <w:lang w:val="en-US"/>
                </w:rPr>
                <w:t>Nos 70 and 71 of the ITU Convention</w:t>
              </w:r>
            </w:hyperlink>
            <w:r w:rsidR="0090701D">
              <w:rPr>
                <w:lang w:val="en-US"/>
              </w:rPr>
              <w:t xml:space="preserve">, </w:t>
            </w:r>
            <w:hyperlink r:id="rId10" w:history="1">
              <w:r w:rsidR="00675485" w:rsidRPr="00675485">
                <w:rPr>
                  <w:rStyle w:val="Hyperlink"/>
                  <w:lang w:val="en-US"/>
                </w:rPr>
                <w:t>Resolution 25 (Rev. Busan, 2014)</w:t>
              </w:r>
            </w:hyperlink>
            <w:r w:rsidR="00675485">
              <w:rPr>
                <w:lang w:val="en-US"/>
              </w:rPr>
              <w:t xml:space="preserve">, </w:t>
            </w:r>
            <w:r w:rsidR="007D5357" w:rsidRPr="00EE4575">
              <w:rPr>
                <w:szCs w:val="24"/>
              </w:rPr>
              <w:t>Document</w:t>
            </w:r>
            <w:r w:rsidR="007D7305">
              <w:rPr>
                <w:szCs w:val="24"/>
              </w:rPr>
              <w:t>s</w:t>
            </w:r>
            <w:r w:rsidR="007D5357" w:rsidRPr="00EE4575">
              <w:rPr>
                <w:szCs w:val="24"/>
              </w:rPr>
              <w:t xml:space="preserve"> </w:t>
            </w:r>
            <w:hyperlink r:id="rId11" w:history="1">
              <w:r w:rsidR="007D5357" w:rsidRPr="007D7305">
                <w:rPr>
                  <w:rStyle w:val="Hyperlink"/>
                  <w:szCs w:val="24"/>
                </w:rPr>
                <w:t>C17/98</w:t>
              </w:r>
              <w:r w:rsidR="007D7305" w:rsidRPr="007D7305">
                <w:rPr>
                  <w:rStyle w:val="Hyperlink"/>
                  <w:szCs w:val="24"/>
                </w:rPr>
                <w:t>(Rev.1)</w:t>
              </w:r>
            </w:hyperlink>
            <w:r w:rsidR="007D5357">
              <w:rPr>
                <w:szCs w:val="24"/>
              </w:rPr>
              <w:t xml:space="preserve">, </w:t>
            </w:r>
            <w:hyperlink r:id="rId12" w:history="1">
              <w:r w:rsidR="007D5357" w:rsidRPr="007D7305">
                <w:rPr>
                  <w:rStyle w:val="Hyperlink"/>
                  <w:szCs w:val="24"/>
                </w:rPr>
                <w:t>C/17/130</w:t>
              </w:r>
              <w:r w:rsidR="007D7305" w:rsidRPr="007D7305">
                <w:rPr>
                  <w:rStyle w:val="Hyperlink"/>
                  <w:szCs w:val="24"/>
                </w:rPr>
                <w:t>(Rev.1)</w:t>
              </w:r>
            </w:hyperlink>
            <w:r w:rsidR="007D7305">
              <w:rPr>
                <w:szCs w:val="24"/>
              </w:rPr>
              <w:t xml:space="preserve"> and</w:t>
            </w:r>
            <w:r w:rsidR="0090701D">
              <w:rPr>
                <w:szCs w:val="24"/>
              </w:rPr>
              <w:t xml:space="preserve"> </w:t>
            </w:r>
            <w:hyperlink r:id="rId13" w:history="1">
              <w:r w:rsidR="0090701D" w:rsidRPr="007D7305">
                <w:rPr>
                  <w:rStyle w:val="Hyperlink"/>
                  <w:lang w:val="en-US"/>
                </w:rPr>
                <w:t>C17/DL/3(Rev.1)</w:t>
              </w:r>
            </w:hyperlink>
          </w:p>
        </w:tc>
      </w:tr>
    </w:tbl>
    <w:p w:rsidR="002A2188" w:rsidRDefault="002A2188" w:rsidP="002A2188">
      <w:pPr>
        <w:tabs>
          <w:tab w:val="clear" w:pos="567"/>
          <w:tab w:val="clear" w:pos="1134"/>
          <w:tab w:val="clear" w:pos="1701"/>
          <w:tab w:val="clear" w:pos="2268"/>
          <w:tab w:val="clear" w:pos="2835"/>
        </w:tabs>
        <w:overflowPunct/>
        <w:autoSpaceDE/>
        <w:autoSpaceDN/>
        <w:adjustRightInd/>
        <w:spacing w:before="0"/>
        <w:textAlignment w:val="auto"/>
      </w:pPr>
      <w:bookmarkStart w:id="8" w:name="dstart"/>
      <w:bookmarkStart w:id="9" w:name="dbreak"/>
      <w:bookmarkEnd w:id="8"/>
      <w:bookmarkEnd w:id="9"/>
      <w:r>
        <w:br w:type="page"/>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3B4B85">
        <w:rPr>
          <w:b/>
          <w:bCs/>
          <w:szCs w:val="24"/>
        </w:rPr>
        <w:lastRenderedPageBreak/>
        <w:t>Introduction</w:t>
      </w:r>
    </w:p>
    <w:p w:rsidR="00E53395" w:rsidRPr="00EE4575" w:rsidRDefault="00D8085D" w:rsidP="00D8085D">
      <w:pPr>
        <w:jc w:val="both"/>
        <w:rPr>
          <w:szCs w:val="24"/>
        </w:rPr>
      </w:pPr>
      <w:r>
        <w:t xml:space="preserve">Document </w:t>
      </w:r>
      <w:hyperlink r:id="rId14" w:history="1">
        <w:r w:rsidR="00E53395" w:rsidRPr="00407746">
          <w:rPr>
            <w:rStyle w:val="Hyperlink"/>
            <w:szCs w:val="24"/>
          </w:rPr>
          <w:t>C17/98</w:t>
        </w:r>
        <w:r w:rsidR="007D5357" w:rsidRPr="00407746">
          <w:rPr>
            <w:rStyle w:val="Hyperlink"/>
            <w:szCs w:val="24"/>
          </w:rPr>
          <w:t>(Rev.1)</w:t>
        </w:r>
      </w:hyperlink>
      <w:r w:rsidR="00E53395" w:rsidRPr="00EE4575">
        <w:rPr>
          <w:szCs w:val="24"/>
        </w:rPr>
        <w:t xml:space="preserve"> on “</w:t>
      </w:r>
      <w:r w:rsidR="00E53395" w:rsidRPr="00EE4575">
        <w:rPr>
          <w:rFonts w:cs="Arial"/>
          <w:szCs w:val="24"/>
        </w:rPr>
        <w:t>Strengthening ITU’s Regional Presence in the CIS region”, submitted to Council</w:t>
      </w:r>
      <w:r>
        <w:rPr>
          <w:rFonts w:cs="Arial"/>
          <w:szCs w:val="24"/>
        </w:rPr>
        <w:t>-</w:t>
      </w:r>
      <w:r w:rsidR="00E53395" w:rsidRPr="00EE4575">
        <w:rPr>
          <w:rFonts w:cs="Arial"/>
          <w:szCs w:val="24"/>
        </w:rPr>
        <w:t>17 held in Geneva on 15-25 May 2017</w:t>
      </w:r>
      <w:r>
        <w:rPr>
          <w:rFonts w:cs="Arial"/>
          <w:szCs w:val="24"/>
        </w:rPr>
        <w:t>,</w:t>
      </w:r>
      <w:r w:rsidR="00E53395" w:rsidRPr="00EE4575">
        <w:rPr>
          <w:rFonts w:cs="Arial"/>
          <w:szCs w:val="24"/>
        </w:rPr>
        <w:t xml:space="preserve"> </w:t>
      </w:r>
      <w:r w:rsidR="00E53395" w:rsidRPr="00EE4575">
        <w:rPr>
          <w:szCs w:val="24"/>
        </w:rPr>
        <w:t xml:space="preserve">proposed to raise the status of the ITU Area Office </w:t>
      </w:r>
      <w:r w:rsidR="00E53395">
        <w:rPr>
          <w:szCs w:val="24"/>
        </w:rPr>
        <w:t>located in Moscow</w:t>
      </w:r>
      <w:r w:rsidR="00E53395" w:rsidRPr="00BD7200">
        <w:rPr>
          <w:szCs w:val="24"/>
        </w:rPr>
        <w:t xml:space="preserve">, </w:t>
      </w:r>
      <w:r w:rsidR="00E53395" w:rsidRPr="00BD7200">
        <w:rPr>
          <w:szCs w:val="24"/>
          <w:lang w:val="en-US"/>
        </w:rPr>
        <w:t>Russian Federation</w:t>
      </w:r>
      <w:r w:rsidR="00E53395" w:rsidRPr="00BD7200">
        <w:rPr>
          <w:szCs w:val="24"/>
        </w:rPr>
        <w:t xml:space="preserve"> </w:t>
      </w:r>
      <w:r w:rsidR="00E53395" w:rsidRPr="00EE4575">
        <w:rPr>
          <w:szCs w:val="24"/>
        </w:rPr>
        <w:t>for the Countries of the CIS to that of Regional Office (as from 1</w:t>
      </w:r>
      <w:r>
        <w:rPr>
          <w:szCs w:val="24"/>
        </w:rPr>
        <w:t xml:space="preserve"> January </w:t>
      </w:r>
      <w:r w:rsidR="00E53395" w:rsidRPr="00EE4575">
        <w:rPr>
          <w:szCs w:val="24"/>
        </w:rPr>
        <w:t>2019).</w:t>
      </w:r>
    </w:p>
    <w:p w:rsidR="00E53395" w:rsidRDefault="00E53395" w:rsidP="00D8085D">
      <w:pPr>
        <w:jc w:val="both"/>
        <w:rPr>
          <w:szCs w:val="24"/>
        </w:rPr>
      </w:pPr>
      <w:r>
        <w:rPr>
          <w:szCs w:val="24"/>
        </w:rPr>
        <w:t>As a result of consideration of Document C17/98</w:t>
      </w:r>
      <w:r w:rsidR="00D8085D">
        <w:rPr>
          <w:szCs w:val="24"/>
        </w:rPr>
        <w:t>(Rev.1)</w:t>
      </w:r>
      <w:r>
        <w:rPr>
          <w:szCs w:val="24"/>
        </w:rPr>
        <w:t xml:space="preserve">, </w:t>
      </w:r>
      <w:r w:rsidRPr="00EE4575">
        <w:rPr>
          <w:szCs w:val="24"/>
        </w:rPr>
        <w:t>Council 2017 “agreed to approve in principle the proposal to raise the status of the ITU Area Office for the countries of CIS in Moscow to that of regional office and to request the Secretary-General, in collaboration with the Director of BDT, and also involving the Directors of BR and TSB, to submit to the Council in 2018 specific terms of reference for an ITU CIS regional office, defining its structure and budget in order to get a final agreement and to finalize the transition to a fully operational CIS regional office”</w:t>
      </w:r>
      <w:r w:rsidR="00D8085D">
        <w:rPr>
          <w:szCs w:val="24"/>
        </w:rPr>
        <w:t xml:space="preserve"> document</w:t>
      </w:r>
      <w:r w:rsidRPr="00EE4575">
        <w:rPr>
          <w:szCs w:val="24"/>
        </w:rPr>
        <w:t xml:space="preserve"> </w:t>
      </w:r>
      <w:r w:rsidR="00D8085D">
        <w:rPr>
          <w:szCs w:val="24"/>
        </w:rPr>
        <w:t>(</w:t>
      </w:r>
      <w:hyperlink r:id="rId15" w:history="1">
        <w:r w:rsidR="00D8085D">
          <w:rPr>
            <w:rStyle w:val="Hyperlink"/>
            <w:szCs w:val="24"/>
          </w:rPr>
          <w:t>C17/130(Rev.1)</w:t>
        </w:r>
      </w:hyperlink>
      <w:r w:rsidRPr="00EE4575">
        <w:rPr>
          <w:szCs w:val="24"/>
        </w:rPr>
        <w:t>).</w:t>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3B4B85">
        <w:rPr>
          <w:b/>
          <w:bCs/>
          <w:szCs w:val="24"/>
        </w:rPr>
        <w:t>Overview of the ITU field offices</w:t>
      </w:r>
    </w:p>
    <w:p w:rsidR="00E53395" w:rsidRPr="00EE4575" w:rsidRDefault="00E53395" w:rsidP="00D8085D">
      <w:pPr>
        <w:jc w:val="both"/>
        <w:rPr>
          <w:szCs w:val="24"/>
          <w:lang w:val="en-US"/>
        </w:rPr>
      </w:pPr>
      <w:r w:rsidRPr="00EE4575">
        <w:rPr>
          <w:szCs w:val="24"/>
          <w:lang w:val="en-US"/>
        </w:rPr>
        <w:t xml:space="preserve">ITU currently has 12 regional and area offices </w:t>
      </w:r>
      <w:r>
        <w:rPr>
          <w:szCs w:val="24"/>
          <w:lang w:val="en-US"/>
        </w:rPr>
        <w:t>organized as follows</w:t>
      </w:r>
      <w:r w:rsidRPr="00EE4575">
        <w:rPr>
          <w:szCs w:val="24"/>
          <w:lang w:val="en-US"/>
        </w:rPr>
        <w:t>:</w:t>
      </w:r>
    </w:p>
    <w:p w:rsidR="00E53395" w:rsidRPr="00EE4575" w:rsidRDefault="00E53395" w:rsidP="00D8085D">
      <w:pPr>
        <w:pStyle w:val="enumlev1"/>
        <w:numPr>
          <w:ilvl w:val="0"/>
          <w:numId w:val="8"/>
        </w:numPr>
        <w:spacing w:before="120"/>
        <w:ind w:left="567" w:hanging="567"/>
        <w:jc w:val="both"/>
        <w:rPr>
          <w:szCs w:val="24"/>
          <w:lang w:val="en-US"/>
        </w:rPr>
      </w:pPr>
      <w:r w:rsidRPr="00EE4575">
        <w:rPr>
          <w:szCs w:val="24"/>
          <w:lang w:val="en-US"/>
        </w:rPr>
        <w:t xml:space="preserve">Africa (Regional Office in </w:t>
      </w:r>
      <w:r>
        <w:rPr>
          <w:szCs w:val="24"/>
          <w:lang w:val="en-US"/>
        </w:rPr>
        <w:t>Ethiopia</w:t>
      </w:r>
      <w:r w:rsidRPr="00EE4575">
        <w:rPr>
          <w:szCs w:val="24"/>
          <w:lang w:val="en-US"/>
        </w:rPr>
        <w:t xml:space="preserve"> and three </w:t>
      </w:r>
      <w:r>
        <w:rPr>
          <w:szCs w:val="24"/>
          <w:lang w:val="en-US"/>
        </w:rPr>
        <w:t>A</w:t>
      </w:r>
      <w:r w:rsidRPr="00EE4575">
        <w:rPr>
          <w:szCs w:val="24"/>
          <w:lang w:val="en-US"/>
        </w:rPr>
        <w:t xml:space="preserve">rea </w:t>
      </w:r>
      <w:r>
        <w:rPr>
          <w:szCs w:val="24"/>
          <w:lang w:val="en-US"/>
        </w:rPr>
        <w:t>O</w:t>
      </w:r>
      <w:r w:rsidRPr="00EE4575">
        <w:rPr>
          <w:szCs w:val="24"/>
          <w:lang w:val="en-US"/>
        </w:rPr>
        <w:t>ffices</w:t>
      </w:r>
      <w:r>
        <w:rPr>
          <w:szCs w:val="24"/>
          <w:lang w:val="en-US"/>
        </w:rPr>
        <w:t xml:space="preserve"> in Cameroon, Senegal and Zimbabwe</w:t>
      </w:r>
      <w:r w:rsidRPr="00EE4575">
        <w:rPr>
          <w:szCs w:val="24"/>
          <w:lang w:val="en-US"/>
        </w:rPr>
        <w:t>)</w:t>
      </w:r>
    </w:p>
    <w:p w:rsidR="00E53395" w:rsidRPr="00EE4575" w:rsidRDefault="00E53395" w:rsidP="00D8085D">
      <w:pPr>
        <w:pStyle w:val="enumlev1"/>
        <w:numPr>
          <w:ilvl w:val="0"/>
          <w:numId w:val="8"/>
        </w:numPr>
        <w:spacing w:before="120"/>
        <w:ind w:left="567" w:hanging="567"/>
        <w:jc w:val="both"/>
        <w:rPr>
          <w:szCs w:val="24"/>
          <w:lang w:val="en-US"/>
        </w:rPr>
      </w:pPr>
      <w:r>
        <w:rPr>
          <w:szCs w:val="24"/>
          <w:lang w:val="en-US"/>
        </w:rPr>
        <w:t>Americas</w:t>
      </w:r>
      <w:r w:rsidRPr="00EE4575">
        <w:rPr>
          <w:szCs w:val="24"/>
          <w:lang w:val="en-US"/>
        </w:rPr>
        <w:t xml:space="preserve"> (Regional Office in </w:t>
      </w:r>
      <w:r>
        <w:rPr>
          <w:szCs w:val="24"/>
          <w:lang w:val="en-US"/>
        </w:rPr>
        <w:t>Brazil</w:t>
      </w:r>
      <w:r w:rsidRPr="00EE4575">
        <w:rPr>
          <w:szCs w:val="24"/>
          <w:lang w:val="en-US"/>
        </w:rPr>
        <w:t xml:space="preserve"> and three </w:t>
      </w:r>
      <w:r>
        <w:rPr>
          <w:szCs w:val="24"/>
          <w:lang w:val="en-US"/>
        </w:rPr>
        <w:t>A</w:t>
      </w:r>
      <w:r w:rsidRPr="00EE4575">
        <w:rPr>
          <w:szCs w:val="24"/>
          <w:lang w:val="en-US"/>
        </w:rPr>
        <w:t xml:space="preserve">rea </w:t>
      </w:r>
      <w:r>
        <w:rPr>
          <w:szCs w:val="24"/>
          <w:lang w:val="en-US"/>
        </w:rPr>
        <w:t>O</w:t>
      </w:r>
      <w:r w:rsidRPr="00EE4575">
        <w:rPr>
          <w:szCs w:val="24"/>
          <w:lang w:val="en-US"/>
        </w:rPr>
        <w:t>ffices</w:t>
      </w:r>
      <w:r>
        <w:rPr>
          <w:szCs w:val="24"/>
          <w:lang w:val="en-US"/>
        </w:rPr>
        <w:t xml:space="preserve"> in Barbados, Chile and Honduras</w:t>
      </w:r>
      <w:r w:rsidRPr="00EE4575">
        <w:rPr>
          <w:szCs w:val="24"/>
          <w:lang w:val="en-US"/>
        </w:rPr>
        <w:t>)</w:t>
      </w:r>
    </w:p>
    <w:p w:rsidR="00E53395" w:rsidRPr="00EE4575" w:rsidRDefault="00E53395" w:rsidP="00D8085D">
      <w:pPr>
        <w:pStyle w:val="enumlev1"/>
        <w:numPr>
          <w:ilvl w:val="0"/>
          <w:numId w:val="8"/>
        </w:numPr>
        <w:spacing w:before="120"/>
        <w:ind w:left="567" w:hanging="567"/>
        <w:jc w:val="both"/>
        <w:rPr>
          <w:szCs w:val="24"/>
          <w:lang w:val="en-US"/>
        </w:rPr>
      </w:pPr>
      <w:r w:rsidRPr="00EE4575">
        <w:rPr>
          <w:szCs w:val="24"/>
          <w:lang w:val="en-US"/>
        </w:rPr>
        <w:t xml:space="preserve">Arab States (Regional Office in </w:t>
      </w:r>
      <w:r>
        <w:rPr>
          <w:szCs w:val="24"/>
          <w:lang w:val="en-US"/>
        </w:rPr>
        <w:t>Egypt</w:t>
      </w:r>
      <w:r w:rsidRPr="00EE4575">
        <w:rPr>
          <w:szCs w:val="24"/>
          <w:lang w:val="en-US"/>
        </w:rPr>
        <w:t>)</w:t>
      </w:r>
    </w:p>
    <w:p w:rsidR="00E53395" w:rsidRPr="00EE4575" w:rsidRDefault="00E53395" w:rsidP="00D8085D">
      <w:pPr>
        <w:pStyle w:val="enumlev1"/>
        <w:numPr>
          <w:ilvl w:val="0"/>
          <w:numId w:val="8"/>
        </w:numPr>
        <w:spacing w:before="120"/>
        <w:ind w:left="567" w:hanging="567"/>
        <w:jc w:val="both"/>
        <w:rPr>
          <w:szCs w:val="24"/>
          <w:lang w:val="en-US"/>
        </w:rPr>
      </w:pPr>
      <w:r w:rsidRPr="00EE4575">
        <w:rPr>
          <w:szCs w:val="24"/>
          <w:lang w:val="en-US"/>
        </w:rPr>
        <w:t xml:space="preserve">Asia and the Pacific (Regional Office in </w:t>
      </w:r>
      <w:r>
        <w:rPr>
          <w:szCs w:val="24"/>
          <w:lang w:val="en-US"/>
        </w:rPr>
        <w:t>Thailand</w:t>
      </w:r>
      <w:r w:rsidRPr="00EE4575">
        <w:rPr>
          <w:szCs w:val="24"/>
          <w:lang w:val="en-US"/>
        </w:rPr>
        <w:t xml:space="preserve"> and one </w:t>
      </w:r>
      <w:r>
        <w:rPr>
          <w:szCs w:val="24"/>
          <w:lang w:val="en-US"/>
        </w:rPr>
        <w:t>A</w:t>
      </w:r>
      <w:r w:rsidRPr="00EE4575">
        <w:rPr>
          <w:szCs w:val="24"/>
          <w:lang w:val="en-US"/>
        </w:rPr>
        <w:t xml:space="preserve">rea </w:t>
      </w:r>
      <w:r>
        <w:rPr>
          <w:szCs w:val="24"/>
          <w:lang w:val="en-US"/>
        </w:rPr>
        <w:t>O</w:t>
      </w:r>
      <w:r w:rsidRPr="00EE4575">
        <w:rPr>
          <w:szCs w:val="24"/>
          <w:lang w:val="en-US"/>
        </w:rPr>
        <w:t>ffice</w:t>
      </w:r>
      <w:r>
        <w:rPr>
          <w:szCs w:val="24"/>
          <w:lang w:val="en-US"/>
        </w:rPr>
        <w:t xml:space="preserve"> in Indonesia</w:t>
      </w:r>
      <w:r w:rsidRPr="00EE4575">
        <w:rPr>
          <w:szCs w:val="24"/>
          <w:lang w:val="en-US"/>
        </w:rPr>
        <w:t>)</w:t>
      </w:r>
    </w:p>
    <w:p w:rsidR="00E53395" w:rsidRPr="00EE4575" w:rsidRDefault="00E53395" w:rsidP="00D8085D">
      <w:pPr>
        <w:pStyle w:val="enumlev1"/>
        <w:numPr>
          <w:ilvl w:val="0"/>
          <w:numId w:val="8"/>
        </w:numPr>
        <w:spacing w:before="120"/>
        <w:ind w:left="567" w:hanging="567"/>
        <w:jc w:val="both"/>
        <w:rPr>
          <w:szCs w:val="24"/>
          <w:lang w:val="en-US"/>
        </w:rPr>
      </w:pPr>
      <w:r w:rsidRPr="00EE4575">
        <w:rPr>
          <w:szCs w:val="24"/>
          <w:lang w:val="en-US"/>
        </w:rPr>
        <w:t>CIS (</w:t>
      </w:r>
      <w:r>
        <w:rPr>
          <w:szCs w:val="24"/>
          <w:lang w:val="en-US"/>
        </w:rPr>
        <w:t>A</w:t>
      </w:r>
      <w:r w:rsidRPr="00EE4575">
        <w:rPr>
          <w:szCs w:val="24"/>
          <w:lang w:val="en-US"/>
        </w:rPr>
        <w:t xml:space="preserve">rea </w:t>
      </w:r>
      <w:r>
        <w:rPr>
          <w:szCs w:val="24"/>
          <w:lang w:val="en-US"/>
        </w:rPr>
        <w:t>O</w:t>
      </w:r>
      <w:r w:rsidRPr="00EE4575">
        <w:rPr>
          <w:szCs w:val="24"/>
          <w:lang w:val="en-US"/>
        </w:rPr>
        <w:t xml:space="preserve">ffice in </w:t>
      </w:r>
      <w:r>
        <w:rPr>
          <w:szCs w:val="24"/>
          <w:lang w:val="en-US"/>
        </w:rPr>
        <w:t>Russia</w:t>
      </w:r>
      <w:r w:rsidRPr="00EE4575">
        <w:rPr>
          <w:szCs w:val="24"/>
          <w:lang w:val="en-US"/>
        </w:rPr>
        <w:t>)</w:t>
      </w:r>
    </w:p>
    <w:p w:rsidR="00E53395" w:rsidRDefault="00E53395" w:rsidP="00D8085D">
      <w:pPr>
        <w:pStyle w:val="enumlev1"/>
        <w:spacing w:before="120"/>
        <w:jc w:val="both"/>
        <w:rPr>
          <w:szCs w:val="24"/>
          <w:lang w:val="en-US"/>
        </w:rPr>
      </w:pPr>
      <w:r w:rsidRPr="00EE4575">
        <w:rPr>
          <w:szCs w:val="24"/>
          <w:lang w:val="en-US"/>
        </w:rPr>
        <w:t>Europe is coordinated by ITU Headquarters (Telecommunication Development</w:t>
      </w:r>
      <w:r>
        <w:rPr>
          <w:szCs w:val="24"/>
          <w:lang w:val="en-US"/>
        </w:rPr>
        <w:t xml:space="preserve"> </w:t>
      </w:r>
      <w:r w:rsidRPr="00EE4575">
        <w:rPr>
          <w:szCs w:val="24"/>
          <w:lang w:val="en-US"/>
        </w:rPr>
        <w:t>Bureau)</w:t>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3B4B85">
        <w:rPr>
          <w:b/>
          <w:bCs/>
          <w:szCs w:val="24"/>
        </w:rPr>
        <w:t>Proposal</w:t>
      </w:r>
    </w:p>
    <w:p w:rsidR="00E53395" w:rsidRDefault="00E53395" w:rsidP="00D8085D">
      <w:pPr>
        <w:pStyle w:val="enumlev1"/>
        <w:tabs>
          <w:tab w:val="left" w:pos="0"/>
        </w:tabs>
        <w:spacing w:before="120" w:line="259" w:lineRule="auto"/>
        <w:ind w:left="0" w:firstLine="0"/>
        <w:jc w:val="both"/>
        <w:rPr>
          <w:lang w:val="en-US"/>
        </w:rPr>
      </w:pPr>
      <w:r>
        <w:rPr>
          <w:lang w:val="en-US"/>
        </w:rPr>
        <w:t>In</w:t>
      </w:r>
      <w:r w:rsidR="00D8085D">
        <w:rPr>
          <w:lang w:val="en-US"/>
        </w:rPr>
        <w:t xml:space="preserve"> document</w:t>
      </w:r>
      <w:r>
        <w:rPr>
          <w:lang w:val="en-US"/>
        </w:rPr>
        <w:t xml:space="preserve"> </w:t>
      </w:r>
      <w:hyperlink r:id="rId16" w:history="1">
        <w:r w:rsidRPr="00407746">
          <w:rPr>
            <w:rStyle w:val="Hyperlink"/>
            <w:lang w:val="en-US"/>
          </w:rPr>
          <w:t>C17/DL/3</w:t>
        </w:r>
        <w:r w:rsidR="0090701D" w:rsidRPr="00407746">
          <w:rPr>
            <w:rStyle w:val="Hyperlink"/>
            <w:lang w:val="en-US"/>
          </w:rPr>
          <w:t>(Rev.1)</w:t>
        </w:r>
      </w:hyperlink>
      <w:r>
        <w:rPr>
          <w:lang w:val="en-US"/>
        </w:rPr>
        <w:t xml:space="preserve"> on “</w:t>
      </w:r>
      <w:r w:rsidRPr="000824FA">
        <w:rPr>
          <w:lang w:val="en-US"/>
        </w:rPr>
        <w:t>Options for dealing with proposals/items not included in</w:t>
      </w:r>
      <w:r>
        <w:rPr>
          <w:lang w:val="en-US"/>
        </w:rPr>
        <w:t xml:space="preserve"> </w:t>
      </w:r>
      <w:r w:rsidRPr="000824FA">
        <w:rPr>
          <w:lang w:val="en-US"/>
        </w:rPr>
        <w:t>the 2018-2019 draft Budget</w:t>
      </w:r>
      <w:r>
        <w:rPr>
          <w:lang w:val="en-US"/>
        </w:rPr>
        <w:t xml:space="preserve">”, the </w:t>
      </w:r>
      <w:r w:rsidR="00D8085D">
        <w:rPr>
          <w:lang w:val="en-US"/>
        </w:rPr>
        <w:t>s</w:t>
      </w:r>
      <w:r>
        <w:rPr>
          <w:lang w:val="en-US"/>
        </w:rPr>
        <w:t xml:space="preserve">ecretariat outlined the minimum and maximum options for the raising of the status of the ITU Area Office for </w:t>
      </w:r>
      <w:r w:rsidR="00675485">
        <w:rPr>
          <w:lang w:val="en-US"/>
        </w:rPr>
        <w:t xml:space="preserve">CIS </w:t>
      </w:r>
      <w:r>
        <w:rPr>
          <w:lang w:val="en-US"/>
        </w:rPr>
        <w:t xml:space="preserve">Countries, ranging in </w:t>
      </w:r>
      <w:r w:rsidR="000055D8">
        <w:rPr>
          <w:lang w:val="en-US"/>
        </w:rPr>
        <w:t xml:space="preserve">additional </w:t>
      </w:r>
      <w:r>
        <w:rPr>
          <w:lang w:val="en-US"/>
        </w:rPr>
        <w:t xml:space="preserve">cost from 71,000 </w:t>
      </w:r>
      <w:r w:rsidR="00D8085D">
        <w:rPr>
          <w:lang w:val="en-US"/>
        </w:rPr>
        <w:t>CHF</w:t>
      </w:r>
      <w:r>
        <w:rPr>
          <w:lang w:val="en-US"/>
        </w:rPr>
        <w:t xml:space="preserve"> to 1,046,000 </w:t>
      </w:r>
      <w:r w:rsidR="00DF54F1">
        <w:rPr>
          <w:lang w:val="en-US"/>
        </w:rPr>
        <w:t xml:space="preserve">CHF </w:t>
      </w:r>
      <w:r>
        <w:rPr>
          <w:lang w:val="en-US"/>
        </w:rPr>
        <w:t>for 2018-2019.  The minimum option involved the upgrad</w:t>
      </w:r>
      <w:r w:rsidR="00ED5DD8">
        <w:rPr>
          <w:lang w:val="en-US"/>
        </w:rPr>
        <w:t>ing</w:t>
      </w:r>
      <w:r>
        <w:rPr>
          <w:lang w:val="en-US"/>
        </w:rPr>
        <w:t xml:space="preserve"> of P5 to D1, and the maximum option covered the </w:t>
      </w:r>
      <w:r w:rsidRPr="00DF54F1">
        <w:rPr>
          <w:lang w:val="en-US"/>
        </w:rPr>
        <w:t>creation of new D1</w:t>
      </w:r>
      <w:r w:rsidR="000055D8" w:rsidRPr="00DF54F1">
        <w:rPr>
          <w:lang w:val="en-US"/>
        </w:rPr>
        <w:t>, a new P4, a new G6</w:t>
      </w:r>
      <w:r w:rsidR="004A6C55" w:rsidRPr="00DF54F1">
        <w:rPr>
          <w:lang w:val="en-US"/>
        </w:rPr>
        <w:t>,</w:t>
      </w:r>
      <w:r w:rsidR="000055D8" w:rsidRPr="00DF54F1">
        <w:rPr>
          <w:lang w:val="en-US"/>
        </w:rPr>
        <w:t xml:space="preserve"> and a new G2 post</w:t>
      </w:r>
      <w:r w:rsidR="00AB7AFD" w:rsidRPr="00DF54F1">
        <w:rPr>
          <w:lang w:val="en-US"/>
        </w:rPr>
        <w:t>s,</w:t>
      </w:r>
      <w:r w:rsidR="00AB7AFD">
        <w:rPr>
          <w:lang w:val="en-US"/>
        </w:rPr>
        <w:t xml:space="preserve"> </w:t>
      </w:r>
      <w:r>
        <w:rPr>
          <w:lang w:val="en-US"/>
        </w:rPr>
        <w:t xml:space="preserve">in addition to </w:t>
      </w:r>
      <w:r w:rsidR="00AB7AFD">
        <w:rPr>
          <w:lang w:val="en-US"/>
        </w:rPr>
        <w:t xml:space="preserve">the </w:t>
      </w:r>
      <w:r>
        <w:rPr>
          <w:lang w:val="en-US"/>
        </w:rPr>
        <w:t xml:space="preserve">existing posts. </w:t>
      </w:r>
      <w:r w:rsidR="009D2C57">
        <w:rPr>
          <w:lang w:val="en-US"/>
        </w:rPr>
        <w:t>Pending Council 2018 decision on that issue,</w:t>
      </w:r>
      <w:r w:rsidR="005D0D3D">
        <w:rPr>
          <w:lang w:val="en-US"/>
        </w:rPr>
        <w:t xml:space="preserve"> a</w:t>
      </w:r>
      <w:r w:rsidR="009D2C57">
        <w:rPr>
          <w:lang w:val="en-US"/>
        </w:rPr>
        <w:t xml:space="preserve"> provision corresponding to the </w:t>
      </w:r>
      <w:r>
        <w:rPr>
          <w:lang w:val="en-US"/>
        </w:rPr>
        <w:t xml:space="preserve">maximum option </w:t>
      </w:r>
      <w:r w:rsidR="00675485">
        <w:rPr>
          <w:lang w:val="en-US"/>
        </w:rPr>
        <w:t>(523</w:t>
      </w:r>
      <w:r w:rsidR="005D0D3D">
        <w:rPr>
          <w:lang w:val="en-US"/>
        </w:rPr>
        <w:t>,000 CHF</w:t>
      </w:r>
      <w:r w:rsidR="00675485">
        <w:rPr>
          <w:lang w:val="en-US"/>
        </w:rPr>
        <w:t xml:space="preserve">) was added to the </w:t>
      </w:r>
      <w:r>
        <w:rPr>
          <w:lang w:val="en-US"/>
        </w:rPr>
        <w:t xml:space="preserve">2019 </w:t>
      </w:r>
      <w:r w:rsidR="009D2C57">
        <w:rPr>
          <w:lang w:val="en-US"/>
        </w:rPr>
        <w:t>budget</w:t>
      </w:r>
      <w:r>
        <w:rPr>
          <w:lang w:val="en-US"/>
        </w:rPr>
        <w:t>.</w:t>
      </w:r>
    </w:p>
    <w:p w:rsidR="00E53395" w:rsidRDefault="00E53395" w:rsidP="00D8085D">
      <w:pPr>
        <w:pStyle w:val="enumlev1"/>
        <w:tabs>
          <w:tab w:val="left" w:pos="0"/>
        </w:tabs>
        <w:spacing w:before="120" w:line="259" w:lineRule="auto"/>
        <w:ind w:left="0" w:firstLine="0"/>
        <w:jc w:val="both"/>
        <w:rPr>
          <w:lang w:val="en-US"/>
        </w:rPr>
      </w:pPr>
      <w:r>
        <w:rPr>
          <w:lang w:val="en-US"/>
        </w:rPr>
        <w:t xml:space="preserve">In view of the </w:t>
      </w:r>
      <w:r w:rsidR="00E3590C">
        <w:rPr>
          <w:lang w:val="en-US"/>
        </w:rPr>
        <w:t>financial constraints</w:t>
      </w:r>
      <w:r>
        <w:rPr>
          <w:lang w:val="en-US"/>
        </w:rPr>
        <w:t>, the following structure is proposed for the new ITU CIS Regional Office located in Moscow, Russian Federation.</w:t>
      </w:r>
    </w:p>
    <w:p w:rsidR="00E53395" w:rsidRPr="003B4B85" w:rsidRDefault="00E53395" w:rsidP="00D8085D">
      <w:pPr>
        <w:pStyle w:val="ListParagraph"/>
        <w:numPr>
          <w:ilvl w:val="0"/>
          <w:numId w:val="9"/>
        </w:numPr>
        <w:tabs>
          <w:tab w:val="clear" w:pos="1134"/>
          <w:tab w:val="clear" w:pos="1871"/>
          <w:tab w:val="clear" w:pos="2268"/>
        </w:tabs>
        <w:overflowPunct/>
        <w:autoSpaceDE/>
        <w:autoSpaceDN/>
        <w:adjustRightInd/>
        <w:spacing w:before="0" w:after="160" w:line="259" w:lineRule="auto"/>
        <w:jc w:val="both"/>
        <w:textAlignment w:val="auto"/>
        <w:rPr>
          <w:rFonts w:ascii="Calibri" w:hAnsi="Calibri"/>
          <w:lang w:val="en-US"/>
        </w:rPr>
      </w:pPr>
      <w:r w:rsidRPr="003B4B85">
        <w:rPr>
          <w:rFonts w:ascii="Calibri" w:hAnsi="Calibri"/>
          <w:lang w:val="en-US"/>
        </w:rPr>
        <w:t xml:space="preserve">Current </w:t>
      </w:r>
      <w:r w:rsidR="009D2C57">
        <w:rPr>
          <w:rFonts w:ascii="Calibri" w:hAnsi="Calibri"/>
          <w:lang w:val="en-US"/>
        </w:rPr>
        <w:t>structure</w:t>
      </w:r>
      <w:r w:rsidRPr="003B4B85">
        <w:rPr>
          <w:rFonts w:ascii="Calibri" w:hAnsi="Calibri"/>
          <w:lang w:val="en-US"/>
        </w:rPr>
        <w:t>: one P5, one P3</w:t>
      </w:r>
      <w:r w:rsidR="004A6C55">
        <w:rPr>
          <w:rFonts w:ascii="Calibri" w:hAnsi="Calibri"/>
          <w:lang w:val="en-US"/>
        </w:rPr>
        <w:t>,</w:t>
      </w:r>
      <w:r w:rsidRPr="003B4B85">
        <w:rPr>
          <w:rFonts w:ascii="Calibri" w:hAnsi="Calibri"/>
          <w:lang w:val="en-US"/>
        </w:rPr>
        <w:t xml:space="preserve"> and one G5</w:t>
      </w:r>
    </w:p>
    <w:p w:rsidR="00E53395" w:rsidRPr="00DF54F1" w:rsidRDefault="00E53395" w:rsidP="00D8085D">
      <w:pPr>
        <w:pStyle w:val="ListParagraph"/>
        <w:numPr>
          <w:ilvl w:val="0"/>
          <w:numId w:val="9"/>
        </w:numPr>
        <w:tabs>
          <w:tab w:val="clear" w:pos="1134"/>
          <w:tab w:val="clear" w:pos="1871"/>
          <w:tab w:val="clear" w:pos="2268"/>
        </w:tabs>
        <w:overflowPunct/>
        <w:autoSpaceDE/>
        <w:autoSpaceDN/>
        <w:adjustRightInd/>
        <w:spacing w:before="0" w:after="120" w:line="259" w:lineRule="auto"/>
        <w:ind w:left="357" w:hanging="357"/>
        <w:contextualSpacing w:val="0"/>
        <w:jc w:val="both"/>
        <w:textAlignment w:val="auto"/>
        <w:rPr>
          <w:rFonts w:ascii="Calibri" w:hAnsi="Calibri"/>
          <w:lang w:val="en-US"/>
        </w:rPr>
      </w:pPr>
      <w:r w:rsidRPr="003B4B85">
        <w:rPr>
          <w:rFonts w:ascii="Calibri" w:hAnsi="Calibri"/>
          <w:lang w:val="en-US"/>
        </w:rPr>
        <w:t xml:space="preserve">Proposed </w:t>
      </w:r>
      <w:r w:rsidR="00AB7AFD">
        <w:rPr>
          <w:rFonts w:ascii="Calibri" w:hAnsi="Calibri"/>
          <w:lang w:val="en-US"/>
        </w:rPr>
        <w:t xml:space="preserve">new </w:t>
      </w:r>
      <w:r w:rsidR="009D2C57">
        <w:rPr>
          <w:rFonts w:ascii="Calibri" w:hAnsi="Calibri"/>
          <w:lang w:val="en-US"/>
        </w:rPr>
        <w:t>structure</w:t>
      </w:r>
      <w:r w:rsidRPr="003B4B85">
        <w:rPr>
          <w:rFonts w:ascii="Calibri" w:hAnsi="Calibri"/>
          <w:lang w:val="en-US"/>
        </w:rPr>
        <w:t xml:space="preserve">: </w:t>
      </w:r>
      <w:r w:rsidRPr="00DF54F1">
        <w:rPr>
          <w:rFonts w:ascii="Calibri" w:hAnsi="Calibri"/>
          <w:lang w:val="en-US"/>
        </w:rPr>
        <w:t>one D1, one P4</w:t>
      </w:r>
      <w:r w:rsidR="004A6C55" w:rsidRPr="00DF54F1">
        <w:rPr>
          <w:rFonts w:ascii="Calibri" w:hAnsi="Calibri"/>
          <w:lang w:val="en-US"/>
        </w:rPr>
        <w:t>,</w:t>
      </w:r>
      <w:r w:rsidRPr="00DF54F1">
        <w:rPr>
          <w:rFonts w:ascii="Calibri" w:hAnsi="Calibri"/>
          <w:lang w:val="en-US"/>
        </w:rPr>
        <w:t xml:space="preserve"> and one G6</w:t>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F70EAE">
        <w:rPr>
          <w:b/>
          <w:bCs/>
          <w:szCs w:val="24"/>
        </w:rPr>
        <w:t>Budget Implications</w:t>
      </w:r>
    </w:p>
    <w:p w:rsidR="00E53395" w:rsidRDefault="00E53395" w:rsidP="00D8085D">
      <w:pPr>
        <w:spacing w:line="259" w:lineRule="auto"/>
        <w:ind w:right="11"/>
        <w:jc w:val="both"/>
        <w:rPr>
          <w:szCs w:val="24"/>
        </w:rPr>
      </w:pPr>
      <w:r w:rsidRPr="00F60A4D">
        <w:rPr>
          <w:szCs w:val="24"/>
        </w:rPr>
        <w:t>Resource requirements f</w:t>
      </w:r>
      <w:r>
        <w:rPr>
          <w:szCs w:val="24"/>
        </w:rPr>
        <w:t>rom</w:t>
      </w:r>
      <w:r w:rsidRPr="00F60A4D">
        <w:rPr>
          <w:szCs w:val="24"/>
        </w:rPr>
        <w:t xml:space="preserve"> 2019</w:t>
      </w:r>
      <w:r>
        <w:rPr>
          <w:szCs w:val="24"/>
        </w:rPr>
        <w:t xml:space="preserve"> onwards</w:t>
      </w:r>
      <w:r w:rsidRPr="00F60A4D">
        <w:rPr>
          <w:szCs w:val="24"/>
        </w:rPr>
        <w:t xml:space="preserve"> due to the raising of the status of the Area office in </w:t>
      </w:r>
      <w:r w:rsidR="00675485">
        <w:rPr>
          <w:szCs w:val="24"/>
        </w:rPr>
        <w:t>Moscow</w:t>
      </w:r>
      <w:r w:rsidRPr="00F60A4D">
        <w:rPr>
          <w:szCs w:val="24"/>
        </w:rPr>
        <w:t xml:space="preserve"> to that of Regional office and the </w:t>
      </w:r>
      <w:r>
        <w:rPr>
          <w:szCs w:val="24"/>
        </w:rPr>
        <w:t>changes in post structure as presented in this document</w:t>
      </w:r>
      <w:r w:rsidRPr="00F60A4D">
        <w:rPr>
          <w:szCs w:val="24"/>
        </w:rPr>
        <w:t xml:space="preserve"> will be</w:t>
      </w:r>
      <w:r>
        <w:rPr>
          <w:szCs w:val="24"/>
        </w:rPr>
        <w:t xml:space="preserve"> </w:t>
      </w:r>
      <w:r w:rsidR="000055D8">
        <w:rPr>
          <w:szCs w:val="24"/>
        </w:rPr>
        <w:t>69</w:t>
      </w:r>
      <w:r>
        <w:rPr>
          <w:szCs w:val="24"/>
        </w:rPr>
        <w:t>,</w:t>
      </w:r>
      <w:r w:rsidR="000055D8">
        <w:rPr>
          <w:szCs w:val="24"/>
        </w:rPr>
        <w:t xml:space="preserve">200 </w:t>
      </w:r>
      <w:r w:rsidR="005D0D3D">
        <w:rPr>
          <w:szCs w:val="24"/>
        </w:rPr>
        <w:t>CHF</w:t>
      </w:r>
      <w:r>
        <w:rPr>
          <w:szCs w:val="24"/>
        </w:rPr>
        <w:t xml:space="preserve"> per year</w:t>
      </w:r>
      <w:r w:rsidR="009D2C57">
        <w:rPr>
          <w:szCs w:val="24"/>
        </w:rPr>
        <w:t xml:space="preserve"> at 2019 budget rate</w:t>
      </w:r>
      <w:r>
        <w:rPr>
          <w:szCs w:val="24"/>
        </w:rPr>
        <w:t xml:space="preserve">.  The requirements for 2019 </w:t>
      </w:r>
      <w:r w:rsidR="000055D8">
        <w:rPr>
          <w:szCs w:val="24"/>
        </w:rPr>
        <w:t>are covered by the additional appropriations provided in the 2019 budget for the Regional Office (523</w:t>
      </w:r>
      <w:r w:rsidR="005D0D3D">
        <w:rPr>
          <w:szCs w:val="24"/>
        </w:rPr>
        <w:t>,000 CHF</w:t>
      </w:r>
      <w:r w:rsidR="000055D8">
        <w:rPr>
          <w:szCs w:val="24"/>
        </w:rPr>
        <w:t>)</w:t>
      </w:r>
      <w:r w:rsidRPr="00F60A4D">
        <w:rPr>
          <w:szCs w:val="24"/>
        </w:rPr>
        <w:t xml:space="preserve">.  Resource requirements for the period 2020-2023 </w:t>
      </w:r>
      <w:r w:rsidR="00AB7AFD">
        <w:rPr>
          <w:szCs w:val="24"/>
        </w:rPr>
        <w:t>have been</w:t>
      </w:r>
      <w:r w:rsidR="000055D8">
        <w:rPr>
          <w:szCs w:val="24"/>
        </w:rPr>
        <w:t xml:space="preserve"> included in the draft </w:t>
      </w:r>
      <w:r w:rsidRPr="00F60A4D">
        <w:rPr>
          <w:szCs w:val="24"/>
        </w:rPr>
        <w:t>Financial Plan</w:t>
      </w:r>
      <w:r w:rsidR="000055D8">
        <w:rPr>
          <w:szCs w:val="24"/>
        </w:rPr>
        <w:t xml:space="preserve"> for 2020-2023.</w:t>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F70EAE">
        <w:rPr>
          <w:b/>
          <w:bCs/>
          <w:szCs w:val="24"/>
        </w:rPr>
        <w:t>Terms of Reference</w:t>
      </w:r>
    </w:p>
    <w:p w:rsidR="00E53395" w:rsidRDefault="00E53395" w:rsidP="00D8085D">
      <w:pPr>
        <w:pStyle w:val="enumlev1"/>
        <w:tabs>
          <w:tab w:val="left" w:pos="0"/>
        </w:tabs>
        <w:spacing w:before="120" w:line="259" w:lineRule="auto"/>
        <w:ind w:left="0" w:firstLine="0"/>
        <w:jc w:val="both"/>
        <w:rPr>
          <w:lang w:val="en-US"/>
        </w:rPr>
      </w:pPr>
      <w:r>
        <w:rPr>
          <w:lang w:val="en-US"/>
        </w:rPr>
        <w:t xml:space="preserve">The proposed </w:t>
      </w:r>
      <w:r w:rsidR="00AB43A4">
        <w:rPr>
          <w:lang w:val="en-US"/>
        </w:rPr>
        <w:t xml:space="preserve">terms of reference </w:t>
      </w:r>
      <w:r>
        <w:rPr>
          <w:lang w:val="en-US"/>
        </w:rPr>
        <w:t xml:space="preserve">of the ITU CIS Regional Office </w:t>
      </w:r>
      <w:r w:rsidR="00AB43A4">
        <w:rPr>
          <w:lang w:val="en-US"/>
        </w:rPr>
        <w:t>are</w:t>
      </w:r>
      <w:r>
        <w:rPr>
          <w:lang w:val="en-US"/>
        </w:rPr>
        <w:t xml:space="preserve"> similar to that of other regional offices </w:t>
      </w:r>
      <w:r w:rsidR="00AB43A4">
        <w:rPr>
          <w:lang w:val="en-US"/>
        </w:rPr>
        <w:t xml:space="preserve">(see </w:t>
      </w:r>
      <w:r w:rsidR="00AB43A4" w:rsidRPr="00212DCC">
        <w:rPr>
          <w:b/>
          <w:bCs/>
          <w:lang w:val="en-US"/>
        </w:rPr>
        <w:t>Annex 2</w:t>
      </w:r>
      <w:r w:rsidR="00AB43A4">
        <w:rPr>
          <w:lang w:val="en-US"/>
        </w:rPr>
        <w:t xml:space="preserve">). The </w:t>
      </w:r>
      <w:r>
        <w:rPr>
          <w:lang w:val="en-US"/>
        </w:rPr>
        <w:t xml:space="preserve">duties and responsibilities of the Regional Director </w:t>
      </w:r>
      <w:r w:rsidR="00AB43A4">
        <w:rPr>
          <w:lang w:val="en-US"/>
        </w:rPr>
        <w:t>will be</w:t>
      </w:r>
      <w:r>
        <w:rPr>
          <w:lang w:val="en-US"/>
        </w:rPr>
        <w:t xml:space="preserve"> similar to that of other Regional Directors.</w:t>
      </w:r>
    </w:p>
    <w:p w:rsidR="00E53395" w:rsidRPr="003B4B85" w:rsidRDefault="00E53395" w:rsidP="00D8085D">
      <w:pPr>
        <w:pStyle w:val="ListParagraph"/>
        <w:numPr>
          <w:ilvl w:val="0"/>
          <w:numId w:val="10"/>
        </w:numPr>
        <w:tabs>
          <w:tab w:val="clear" w:pos="1134"/>
          <w:tab w:val="clear" w:pos="1871"/>
          <w:tab w:val="clear" w:pos="2268"/>
        </w:tabs>
        <w:overflowPunct/>
        <w:autoSpaceDE/>
        <w:autoSpaceDN/>
        <w:adjustRightInd/>
        <w:spacing w:line="259" w:lineRule="auto"/>
        <w:ind w:left="0" w:firstLine="0"/>
        <w:contextualSpacing w:val="0"/>
        <w:jc w:val="both"/>
        <w:textAlignment w:val="auto"/>
        <w:rPr>
          <w:b/>
          <w:bCs/>
          <w:szCs w:val="24"/>
        </w:rPr>
      </w:pPr>
      <w:r w:rsidRPr="003B4B85">
        <w:rPr>
          <w:b/>
          <w:bCs/>
          <w:szCs w:val="24"/>
        </w:rPr>
        <w:t>Conclusion</w:t>
      </w:r>
    </w:p>
    <w:p w:rsidR="00E53395" w:rsidRPr="008439E9" w:rsidRDefault="005D0D3D" w:rsidP="00D8085D">
      <w:pPr>
        <w:spacing w:line="259" w:lineRule="auto"/>
        <w:ind w:right="11"/>
        <w:jc w:val="both"/>
        <w:rPr>
          <w:szCs w:val="24"/>
        </w:rPr>
      </w:pPr>
      <w:r>
        <w:rPr>
          <w:rFonts w:cstheme="minorHAnsi"/>
          <w:szCs w:val="24"/>
        </w:rPr>
        <w:t xml:space="preserve">The </w:t>
      </w:r>
      <w:r w:rsidR="00AB7AFD">
        <w:rPr>
          <w:rFonts w:cstheme="minorHAnsi"/>
          <w:szCs w:val="24"/>
        </w:rPr>
        <w:t>Council</w:t>
      </w:r>
      <w:r w:rsidR="00AB7AFD" w:rsidRPr="00246A47">
        <w:rPr>
          <w:rFonts w:cstheme="minorHAnsi"/>
          <w:szCs w:val="24"/>
        </w:rPr>
        <w:t xml:space="preserve"> is </w:t>
      </w:r>
      <w:r w:rsidR="00AB7AFD">
        <w:rPr>
          <w:szCs w:val="24"/>
        </w:rPr>
        <w:t xml:space="preserve">invited to </w:t>
      </w:r>
      <w:r w:rsidR="00AB7AFD" w:rsidRPr="007D7305">
        <w:rPr>
          <w:b/>
          <w:bCs/>
          <w:szCs w:val="24"/>
        </w:rPr>
        <w:t>approve</w:t>
      </w:r>
      <w:r w:rsidR="00AB7AFD">
        <w:rPr>
          <w:szCs w:val="24"/>
        </w:rPr>
        <w:t xml:space="preserve"> the proposed new structure for the Regional Office for</w:t>
      </w:r>
      <w:r w:rsidR="00AB7AFD" w:rsidRPr="007D1349">
        <w:rPr>
          <w:szCs w:val="24"/>
        </w:rPr>
        <w:t xml:space="preserve"> the </w:t>
      </w:r>
      <w:r w:rsidR="00AB7AFD">
        <w:rPr>
          <w:szCs w:val="24"/>
        </w:rPr>
        <w:t xml:space="preserve">ITU </w:t>
      </w:r>
      <w:r w:rsidR="00AB7AFD" w:rsidRPr="007D1349">
        <w:rPr>
          <w:szCs w:val="24"/>
        </w:rPr>
        <w:t>CIS Region</w:t>
      </w:r>
      <w:r w:rsidR="00AB7AFD">
        <w:rPr>
          <w:szCs w:val="24"/>
        </w:rPr>
        <w:t xml:space="preserve"> and to </w:t>
      </w:r>
      <w:r w:rsidR="00AB7AFD" w:rsidRPr="007D7305">
        <w:rPr>
          <w:b/>
          <w:bCs/>
          <w:szCs w:val="24"/>
        </w:rPr>
        <w:t>approve</w:t>
      </w:r>
      <w:r w:rsidR="00AB7AFD">
        <w:rPr>
          <w:szCs w:val="24"/>
        </w:rPr>
        <w:t xml:space="preserve"> the draft Decision</w:t>
      </w:r>
      <w:r w:rsidR="00AB7AFD">
        <w:rPr>
          <w:rFonts w:cstheme="minorHAnsi"/>
          <w:szCs w:val="24"/>
        </w:rPr>
        <w:t xml:space="preserve"> </w:t>
      </w:r>
      <w:r w:rsidR="00AB7AFD">
        <w:rPr>
          <w:szCs w:val="24"/>
        </w:rPr>
        <w:t>on the c</w:t>
      </w:r>
      <w:r w:rsidR="00AB7AFD" w:rsidRPr="007D1349">
        <w:rPr>
          <w:szCs w:val="24"/>
        </w:rPr>
        <w:t>reation of post D1, Regio</w:t>
      </w:r>
      <w:r w:rsidR="00AB7AFD">
        <w:rPr>
          <w:szCs w:val="24"/>
        </w:rPr>
        <w:t>nal Director, Regional Office for</w:t>
      </w:r>
      <w:r w:rsidR="00AB7AFD" w:rsidRPr="007D1349">
        <w:rPr>
          <w:szCs w:val="24"/>
        </w:rPr>
        <w:t xml:space="preserve"> the </w:t>
      </w:r>
      <w:r w:rsidR="00AB7AFD">
        <w:rPr>
          <w:szCs w:val="24"/>
        </w:rPr>
        <w:t xml:space="preserve">ITU </w:t>
      </w:r>
      <w:r w:rsidR="00AB7AFD" w:rsidRPr="007D1349">
        <w:rPr>
          <w:szCs w:val="24"/>
        </w:rPr>
        <w:t>CIS Region</w:t>
      </w:r>
      <w:r w:rsidR="00AB7AFD">
        <w:rPr>
          <w:szCs w:val="24"/>
        </w:rPr>
        <w:t xml:space="preserve"> presented in </w:t>
      </w:r>
      <w:r w:rsidR="00AB7AFD" w:rsidRPr="004A4559">
        <w:rPr>
          <w:b/>
          <w:bCs/>
          <w:szCs w:val="24"/>
        </w:rPr>
        <w:t xml:space="preserve">Annex </w:t>
      </w:r>
      <w:r w:rsidR="0072004E" w:rsidRPr="004A4559">
        <w:rPr>
          <w:b/>
          <w:bCs/>
          <w:szCs w:val="24"/>
        </w:rPr>
        <w:t>1</w:t>
      </w:r>
      <w:r w:rsidR="0072004E">
        <w:rPr>
          <w:szCs w:val="24"/>
        </w:rPr>
        <w:t xml:space="preserve"> </w:t>
      </w:r>
      <w:r w:rsidR="00AB7AFD">
        <w:rPr>
          <w:szCs w:val="24"/>
        </w:rPr>
        <w:t>to this document.</w:t>
      </w:r>
    </w:p>
    <w:p w:rsidR="00E53395" w:rsidRDefault="00E53395" w:rsidP="00D8085D">
      <w:pPr>
        <w:jc w:val="both"/>
        <w:rPr>
          <w:szCs w:val="24"/>
        </w:rPr>
      </w:pPr>
      <w:r>
        <w:rPr>
          <w:szCs w:val="24"/>
        </w:rPr>
        <w:br w:type="page"/>
      </w:r>
    </w:p>
    <w:p w:rsidR="00E53395" w:rsidRDefault="00E53395" w:rsidP="00407746">
      <w:pPr>
        <w:pStyle w:val="AnnexNo"/>
      </w:pPr>
      <w:r>
        <w:t>ANNEX</w:t>
      </w:r>
      <w:r w:rsidR="0072004E">
        <w:t xml:space="preserve"> 1</w:t>
      </w:r>
    </w:p>
    <w:p w:rsidR="00E53395" w:rsidRPr="007D1349" w:rsidRDefault="00E53395" w:rsidP="00E53395">
      <w:pPr>
        <w:pStyle w:val="ResNo"/>
        <w:rPr>
          <w:lang w:val="en-US"/>
        </w:rPr>
      </w:pPr>
      <w:r w:rsidRPr="007D1349">
        <w:rPr>
          <w:lang w:val="en-US"/>
        </w:rPr>
        <w:t>DECISION xx</w:t>
      </w:r>
    </w:p>
    <w:p w:rsidR="00E53395" w:rsidRPr="007D1349" w:rsidRDefault="00E53395" w:rsidP="00E53395">
      <w:pPr>
        <w:snapToGrid w:val="0"/>
        <w:jc w:val="center"/>
        <w:rPr>
          <w:sz w:val="28"/>
          <w:szCs w:val="28"/>
          <w:lang w:val="en-US"/>
        </w:rPr>
      </w:pPr>
      <w:r w:rsidRPr="007D1349">
        <w:rPr>
          <w:sz w:val="28"/>
          <w:szCs w:val="28"/>
          <w:lang w:val="en-US"/>
        </w:rPr>
        <w:t>(</w:t>
      </w:r>
      <w:proofErr w:type="gramStart"/>
      <w:r w:rsidRPr="007D1349">
        <w:rPr>
          <w:sz w:val="28"/>
          <w:szCs w:val="28"/>
          <w:lang w:val="en-US"/>
        </w:rPr>
        <w:t>adopted</w:t>
      </w:r>
      <w:proofErr w:type="gramEnd"/>
      <w:r w:rsidRPr="007D1349">
        <w:rPr>
          <w:sz w:val="28"/>
          <w:szCs w:val="28"/>
          <w:lang w:val="en-US"/>
        </w:rPr>
        <w:t xml:space="preserve"> at the xx Plenary Meeting)</w:t>
      </w:r>
    </w:p>
    <w:p w:rsidR="00E53395" w:rsidRPr="007D1349" w:rsidRDefault="00E53395" w:rsidP="00E53395">
      <w:pPr>
        <w:pStyle w:val="Restitle"/>
        <w:rPr>
          <w:szCs w:val="28"/>
          <w:lang w:val="en-US"/>
        </w:rPr>
      </w:pPr>
      <w:r w:rsidRPr="007D1349">
        <w:rPr>
          <w:lang w:val="en-US"/>
        </w:rPr>
        <w:t>Creation of post D1, Regio</w:t>
      </w:r>
      <w:r>
        <w:rPr>
          <w:lang w:val="en-US"/>
        </w:rPr>
        <w:t>nal Director, Regional Office for</w:t>
      </w:r>
      <w:r w:rsidRPr="007D1349">
        <w:rPr>
          <w:lang w:val="en-US"/>
        </w:rPr>
        <w:t xml:space="preserve"> the </w:t>
      </w:r>
      <w:r w:rsidRPr="00F70EAE">
        <w:rPr>
          <w:lang w:val="en-US"/>
        </w:rPr>
        <w:t xml:space="preserve">ITU </w:t>
      </w:r>
      <w:r w:rsidRPr="007D1349">
        <w:rPr>
          <w:lang w:val="en-US"/>
        </w:rPr>
        <w:t>CIS Region</w:t>
      </w:r>
    </w:p>
    <w:p w:rsidR="00E53395" w:rsidRPr="007D1349" w:rsidRDefault="00E53395" w:rsidP="00E53395">
      <w:pPr>
        <w:snapToGrid w:val="0"/>
        <w:spacing w:after="120"/>
        <w:rPr>
          <w:lang w:val="en-US"/>
        </w:rPr>
      </w:pPr>
      <w:r w:rsidRPr="007D1349">
        <w:rPr>
          <w:lang w:val="en-US"/>
        </w:rPr>
        <w:t>The Council,</w:t>
      </w:r>
    </w:p>
    <w:p w:rsidR="00E53395" w:rsidRPr="007D1349" w:rsidRDefault="00407746" w:rsidP="00E53395">
      <w:pPr>
        <w:snapToGrid w:val="0"/>
        <w:spacing w:after="120"/>
        <w:rPr>
          <w:lang w:val="en-US"/>
        </w:rPr>
      </w:pPr>
      <w:r>
        <w:rPr>
          <w:i/>
          <w:iCs/>
          <w:lang w:val="en-US"/>
        </w:rPr>
        <w:tab/>
      </w:r>
      <w:proofErr w:type="gramStart"/>
      <w:r w:rsidR="00E53395" w:rsidRPr="007D1349">
        <w:rPr>
          <w:i/>
          <w:iCs/>
          <w:lang w:val="en-US"/>
        </w:rPr>
        <w:t>in</w:t>
      </w:r>
      <w:proofErr w:type="gramEnd"/>
      <w:r w:rsidR="00E53395" w:rsidRPr="007D1349">
        <w:rPr>
          <w:i/>
          <w:iCs/>
          <w:lang w:val="en-US"/>
        </w:rPr>
        <w:t xml:space="preserve"> view of</w:t>
      </w:r>
      <w:r w:rsidR="00E53395" w:rsidRPr="007D1349">
        <w:rPr>
          <w:lang w:val="en-US"/>
        </w:rPr>
        <w:t>  Nos 70 and 71 of the Convention of the International Telecommunication Union (Geneva, 1992),</w:t>
      </w:r>
    </w:p>
    <w:p w:rsidR="00E53395" w:rsidRPr="007D1349" w:rsidRDefault="00407746" w:rsidP="00E53395">
      <w:pPr>
        <w:snapToGrid w:val="0"/>
        <w:spacing w:after="120"/>
        <w:rPr>
          <w:i/>
          <w:iCs/>
          <w:lang w:val="en-US"/>
        </w:rPr>
      </w:pPr>
      <w:r>
        <w:rPr>
          <w:i/>
          <w:iCs/>
          <w:lang w:val="en-US"/>
        </w:rPr>
        <w:tab/>
      </w:r>
      <w:proofErr w:type="gramStart"/>
      <w:r w:rsidR="00E53395" w:rsidRPr="007D1349">
        <w:rPr>
          <w:i/>
          <w:iCs/>
          <w:lang w:val="en-US"/>
        </w:rPr>
        <w:t>decides</w:t>
      </w:r>
      <w:proofErr w:type="gramEnd"/>
    </w:p>
    <w:p w:rsidR="00E53395" w:rsidRDefault="00407746" w:rsidP="00E53395">
      <w:pPr>
        <w:snapToGrid w:val="0"/>
        <w:spacing w:after="120"/>
        <w:rPr>
          <w:lang w:val="en-US"/>
        </w:rPr>
      </w:pPr>
      <w:r>
        <w:rPr>
          <w:lang w:val="en-US"/>
        </w:rPr>
        <w:tab/>
      </w:r>
      <w:r w:rsidR="00E53395" w:rsidRPr="007D1349">
        <w:rPr>
          <w:lang w:val="en-US"/>
        </w:rPr>
        <w:t>to approve the creation of the D1 post of Regio</w:t>
      </w:r>
      <w:r w:rsidR="00E53395">
        <w:rPr>
          <w:lang w:val="en-US"/>
        </w:rPr>
        <w:t>nal Director, Regional Office for</w:t>
      </w:r>
      <w:r w:rsidR="00E53395" w:rsidRPr="007D1349">
        <w:rPr>
          <w:lang w:val="en-US"/>
        </w:rPr>
        <w:t xml:space="preserve"> the</w:t>
      </w:r>
      <w:r w:rsidR="00E53395" w:rsidRPr="00F70EAE">
        <w:rPr>
          <w:lang w:val="en-US"/>
        </w:rPr>
        <w:t xml:space="preserve"> ITU</w:t>
      </w:r>
      <w:r w:rsidR="00E53395" w:rsidRPr="007D1349">
        <w:rPr>
          <w:lang w:val="en-US"/>
        </w:rPr>
        <w:t xml:space="preserve"> CIS Region</w:t>
      </w:r>
      <w:r w:rsidR="00E53395">
        <w:rPr>
          <w:lang w:val="en-US"/>
        </w:rPr>
        <w:t xml:space="preserve"> based in Moscow, Russian Federation</w:t>
      </w:r>
      <w:r w:rsidR="00E53395" w:rsidRPr="007D1349">
        <w:rPr>
          <w:lang w:val="en-US"/>
        </w:rPr>
        <w:t xml:space="preserve"> </w:t>
      </w:r>
      <w:r w:rsidR="00E53395" w:rsidRPr="00F70EAE">
        <w:rPr>
          <w:lang w:val="en-US"/>
        </w:rPr>
        <w:t>within</w:t>
      </w:r>
      <w:r w:rsidR="00E53395" w:rsidRPr="007D1349">
        <w:rPr>
          <w:lang w:val="en-US"/>
        </w:rPr>
        <w:t xml:space="preserve"> the Telecommunication Development Bureau.</w:t>
      </w:r>
    </w:p>
    <w:p w:rsidR="0072004E" w:rsidRDefault="0072004E">
      <w:pPr>
        <w:tabs>
          <w:tab w:val="clear" w:pos="567"/>
          <w:tab w:val="clear" w:pos="1134"/>
          <w:tab w:val="clear" w:pos="1701"/>
          <w:tab w:val="clear" w:pos="2268"/>
          <w:tab w:val="clear" w:pos="2835"/>
        </w:tabs>
        <w:overflowPunct/>
        <w:autoSpaceDE/>
        <w:autoSpaceDN/>
        <w:adjustRightInd/>
        <w:spacing w:before="0"/>
        <w:textAlignment w:val="auto"/>
        <w:rPr>
          <w:lang w:val="en-US"/>
        </w:rPr>
      </w:pPr>
      <w:r>
        <w:rPr>
          <w:lang w:val="en-US"/>
        </w:rPr>
        <w:br w:type="page"/>
      </w:r>
    </w:p>
    <w:p w:rsidR="0072004E" w:rsidRDefault="0072004E" w:rsidP="00407746">
      <w:pPr>
        <w:pStyle w:val="AnnexNo"/>
      </w:pPr>
      <w:r>
        <w:t>ANNEX 2</w:t>
      </w:r>
    </w:p>
    <w:p w:rsidR="006633D4" w:rsidRPr="004A4559" w:rsidRDefault="006633D4" w:rsidP="00407746">
      <w:pPr>
        <w:pStyle w:val="Annextitle"/>
        <w:rPr>
          <w:lang w:val="en-US"/>
        </w:rPr>
      </w:pPr>
      <w:r w:rsidRPr="004A4559">
        <w:rPr>
          <w:lang w:val="en-US"/>
        </w:rPr>
        <w:t>Terms of reference of ITU CIS Regional Office</w:t>
      </w:r>
    </w:p>
    <w:p w:rsidR="006633D4" w:rsidRDefault="006633D4" w:rsidP="00773E37">
      <w:pPr>
        <w:jc w:val="both"/>
        <w:rPr>
          <w:lang w:val="en-US"/>
        </w:rPr>
      </w:pPr>
      <w:r>
        <w:rPr>
          <w:lang w:val="en-US"/>
        </w:rPr>
        <w:t>T</w:t>
      </w:r>
      <w:r w:rsidRPr="006E2263">
        <w:rPr>
          <w:lang w:val="en-US"/>
        </w:rPr>
        <w:t>he Regional Office is responsible for proposing the operational policy and strategy of telecommunication development activities in the region, coordinating with countries of the region to prioritize requirements, proposing inputs for the preparation of the operational plan based on these prioritized regional requirements, as well as coordinating and implementing technical cooperation activities in the region, be they in the framework of projects, regional initiatives, or follow-up of World Telecommunication Development Conferences and other ITU conferences.</w:t>
      </w:r>
    </w:p>
    <w:p w:rsidR="006633D4" w:rsidRDefault="006633D4" w:rsidP="00773E37">
      <w:pPr>
        <w:jc w:val="both"/>
        <w:rPr>
          <w:lang w:eastAsia="pt-BR"/>
        </w:rPr>
      </w:pPr>
      <w:r>
        <w:rPr>
          <w:lang w:eastAsia="pt-BR"/>
        </w:rPr>
        <w:t xml:space="preserve">Furthermore, the Regional Office carries out the following duties and responsibilities, based on Resolution 25 (Rev. Busan, 2014): </w:t>
      </w:r>
    </w:p>
    <w:p w:rsidR="006633D4" w:rsidRPr="000A2ADC" w:rsidRDefault="006633D4" w:rsidP="00773E37">
      <w:pPr>
        <w:spacing w:before="40"/>
        <w:jc w:val="both"/>
        <w:rPr>
          <w:lang w:eastAsia="pt-BR"/>
        </w:rPr>
      </w:pPr>
      <w:r>
        <w:rPr>
          <w:lang w:eastAsia="pt-BR"/>
        </w:rPr>
        <w:t>1.</w:t>
      </w:r>
      <w:r w:rsidR="00407746">
        <w:rPr>
          <w:lang w:eastAsia="pt-BR"/>
        </w:rPr>
        <w:tab/>
      </w:r>
      <w:proofErr w:type="gramStart"/>
      <w:r>
        <w:rPr>
          <w:lang w:eastAsia="pt-BR"/>
        </w:rPr>
        <w:t>Plays</w:t>
      </w:r>
      <w:proofErr w:type="gramEnd"/>
      <w:r w:rsidRPr="000A2ADC">
        <w:rPr>
          <w:szCs w:val="24"/>
          <w:lang w:val="en-US"/>
        </w:rPr>
        <w:t xml:space="preserve"> a part in the implementation of </w:t>
      </w:r>
      <w:proofErr w:type="spellStart"/>
      <w:r w:rsidRPr="000A2ADC">
        <w:rPr>
          <w:szCs w:val="24"/>
          <w:lang w:val="en-US"/>
        </w:rPr>
        <w:t>programmes</w:t>
      </w:r>
      <w:proofErr w:type="spellEnd"/>
      <w:r w:rsidRPr="000A2ADC">
        <w:rPr>
          <w:szCs w:val="24"/>
          <w:lang w:val="en-US"/>
        </w:rPr>
        <w:t xml:space="preserve"> and projects in the framework of the regional initiatives, within the resources allocated by the financial plan;</w:t>
      </w:r>
    </w:p>
    <w:p w:rsidR="006633D4" w:rsidRPr="000A2ADC" w:rsidRDefault="006633D4" w:rsidP="00773E37">
      <w:pPr>
        <w:spacing w:before="40"/>
        <w:jc w:val="both"/>
        <w:rPr>
          <w:lang w:eastAsia="pt-BR"/>
        </w:rPr>
      </w:pPr>
      <w:r>
        <w:rPr>
          <w:lang w:eastAsia="pt-BR"/>
        </w:rPr>
        <w:t>2.</w:t>
      </w:r>
      <w:r w:rsidR="00407746">
        <w:rPr>
          <w:lang w:eastAsia="pt-BR"/>
        </w:rPr>
        <w:tab/>
      </w:r>
      <w:r>
        <w:rPr>
          <w:lang w:eastAsia="pt-BR"/>
        </w:rPr>
        <w:t>Plays</w:t>
      </w:r>
      <w:r w:rsidRPr="000A2ADC">
        <w:rPr>
          <w:szCs w:val="24"/>
          <w:lang w:eastAsia="pt-BR"/>
        </w:rPr>
        <w:t xml:space="preserve"> </w:t>
      </w:r>
      <w:bookmarkStart w:id="10" w:name="_GoBack"/>
      <w:r w:rsidR="005D0D3D">
        <w:rPr>
          <w:szCs w:val="24"/>
          <w:lang w:eastAsia="pt-BR"/>
        </w:rPr>
        <w:t xml:space="preserve">a </w:t>
      </w:r>
      <w:bookmarkEnd w:id="10"/>
      <w:r w:rsidRPr="000A2ADC">
        <w:rPr>
          <w:szCs w:val="24"/>
          <w:lang w:eastAsia="pt-BR"/>
        </w:rPr>
        <w:t>key role in facilitating discussions on regional matters and the dissemination of information and results of activities of all three Sectors of the Union,</w:t>
      </w:r>
      <w:r w:rsidRPr="000A2ADC">
        <w:rPr>
          <w:lang w:eastAsia="pt-BR"/>
        </w:rPr>
        <w:t xml:space="preserve"> while avoiding the duplication of such functions with headquarters;</w:t>
      </w:r>
    </w:p>
    <w:p w:rsidR="006633D4" w:rsidRPr="000A2ADC" w:rsidRDefault="006633D4" w:rsidP="00773E37">
      <w:pPr>
        <w:spacing w:before="40"/>
        <w:jc w:val="both"/>
        <w:rPr>
          <w:lang w:eastAsia="pt-BR"/>
        </w:rPr>
      </w:pPr>
      <w:r>
        <w:rPr>
          <w:lang w:eastAsia="pt-BR"/>
        </w:rPr>
        <w:t>3.</w:t>
      </w:r>
      <w:r w:rsidR="00407746">
        <w:rPr>
          <w:lang w:eastAsia="pt-BR"/>
        </w:rPr>
        <w:tab/>
      </w:r>
      <w:r>
        <w:rPr>
          <w:lang w:eastAsia="pt-BR"/>
        </w:rPr>
        <w:t>Contributes</w:t>
      </w:r>
      <w:r w:rsidRPr="000A2ADC">
        <w:rPr>
          <w:lang w:eastAsia="pt-BR"/>
        </w:rPr>
        <w:t xml:space="preserve">, to the extent practicable, </w:t>
      </w:r>
      <w:r w:rsidRPr="000A2ADC">
        <w:rPr>
          <w:i/>
          <w:iCs/>
          <w:lang w:eastAsia="pt-BR"/>
        </w:rPr>
        <w:t>inter</w:t>
      </w:r>
      <w:r w:rsidRPr="000A2ADC">
        <w:rPr>
          <w:lang w:eastAsia="pt-BR"/>
        </w:rPr>
        <w:t xml:space="preserve"> </w:t>
      </w:r>
      <w:r w:rsidRPr="000A2ADC">
        <w:rPr>
          <w:i/>
          <w:iCs/>
          <w:lang w:eastAsia="pt-BR"/>
        </w:rPr>
        <w:t>alia</w:t>
      </w:r>
      <w:r w:rsidRPr="000A2ADC">
        <w:rPr>
          <w:lang w:eastAsia="pt-BR"/>
        </w:rPr>
        <w:t>, to the annual four-year rolling operational plans of the General Secretariat and of the three Sectors, with content specific to each regional and area office, linked to the strat</w:t>
      </w:r>
      <w:r>
        <w:rPr>
          <w:lang w:eastAsia="pt-BR"/>
        </w:rPr>
        <w:t xml:space="preserve">egic plan for the Union and the WTDC </w:t>
      </w:r>
      <w:r w:rsidRPr="000A2ADC">
        <w:rPr>
          <w:lang w:eastAsia="pt-BR"/>
        </w:rPr>
        <w:t>Action Plan, then set up and continue to publish the annual plan/events on the ITU website for implementation;</w:t>
      </w:r>
    </w:p>
    <w:p w:rsidR="006633D4" w:rsidRPr="000A2ADC" w:rsidRDefault="006633D4" w:rsidP="00773E37">
      <w:pPr>
        <w:spacing w:before="40"/>
        <w:jc w:val="both"/>
        <w:rPr>
          <w:lang w:eastAsia="pt-BR"/>
        </w:rPr>
      </w:pPr>
      <w:r>
        <w:rPr>
          <w:lang w:eastAsia="pt-BR"/>
        </w:rPr>
        <w:t>4.</w:t>
      </w:r>
      <w:r w:rsidR="00407746">
        <w:rPr>
          <w:lang w:eastAsia="pt-BR"/>
        </w:rPr>
        <w:tab/>
      </w:r>
      <w:r>
        <w:rPr>
          <w:lang w:eastAsia="pt-BR"/>
        </w:rPr>
        <w:t xml:space="preserve">Engages actively </w:t>
      </w:r>
      <w:r w:rsidRPr="000A2ADC">
        <w:rPr>
          <w:lang w:eastAsia="pt-BR"/>
        </w:rPr>
        <w:t xml:space="preserve">in the implementation of the strategic </w:t>
      </w:r>
      <w:r>
        <w:rPr>
          <w:lang w:eastAsia="pt-BR"/>
        </w:rPr>
        <w:t>plan for the Union</w:t>
      </w:r>
      <w:r w:rsidRPr="000A2ADC">
        <w:rPr>
          <w:lang w:eastAsia="pt-BR"/>
        </w:rPr>
        <w:t xml:space="preserve">, in particular with respect to the four strategic goals, all sectoral and </w:t>
      </w:r>
      <w:proofErr w:type="spellStart"/>
      <w:r w:rsidRPr="000A2ADC">
        <w:rPr>
          <w:lang w:eastAsia="pt-BR"/>
        </w:rPr>
        <w:t>intersectoral</w:t>
      </w:r>
      <w:proofErr w:type="spellEnd"/>
      <w:r w:rsidRPr="000A2ADC">
        <w:rPr>
          <w:lang w:eastAsia="pt-BR"/>
        </w:rPr>
        <w:t xml:space="preserve"> objectives and following up on the accomplishment of the strategic targets;</w:t>
      </w:r>
    </w:p>
    <w:p w:rsidR="006633D4" w:rsidRPr="000A2ADC" w:rsidRDefault="006633D4" w:rsidP="00773E37">
      <w:pPr>
        <w:spacing w:before="40"/>
        <w:jc w:val="both"/>
        <w:rPr>
          <w:szCs w:val="24"/>
          <w:lang w:eastAsia="pt-BR"/>
        </w:rPr>
      </w:pPr>
      <w:r>
        <w:rPr>
          <w:lang w:eastAsia="pt-BR"/>
        </w:rPr>
        <w:t>5.</w:t>
      </w:r>
      <w:r w:rsidR="00407746">
        <w:rPr>
          <w:lang w:eastAsia="pt-BR"/>
        </w:rPr>
        <w:tab/>
      </w:r>
      <w:r>
        <w:rPr>
          <w:lang w:eastAsia="pt-BR"/>
        </w:rPr>
        <w:t xml:space="preserve">Engages actively </w:t>
      </w:r>
      <w:r w:rsidRPr="000A2ADC">
        <w:rPr>
          <w:szCs w:val="24"/>
          <w:lang w:eastAsia="pt-BR"/>
        </w:rPr>
        <w:t xml:space="preserve">in </w:t>
      </w:r>
      <w:r>
        <w:rPr>
          <w:szCs w:val="24"/>
          <w:lang w:eastAsia="pt-BR"/>
        </w:rPr>
        <w:t xml:space="preserve">the implementation of the WTDC </w:t>
      </w:r>
      <w:r w:rsidRPr="000A2ADC">
        <w:rPr>
          <w:szCs w:val="24"/>
          <w:lang w:eastAsia="pt-BR"/>
        </w:rPr>
        <w:t>Action Plan, in part</w:t>
      </w:r>
      <w:r>
        <w:rPr>
          <w:szCs w:val="24"/>
          <w:lang w:eastAsia="pt-BR"/>
        </w:rPr>
        <w:t xml:space="preserve">icular with respect to approved </w:t>
      </w:r>
      <w:r w:rsidRPr="000A2ADC">
        <w:rPr>
          <w:szCs w:val="24"/>
          <w:lang w:eastAsia="pt-BR"/>
        </w:rPr>
        <w:t>objectives and their respective outc</w:t>
      </w:r>
      <w:r>
        <w:rPr>
          <w:szCs w:val="24"/>
          <w:lang w:eastAsia="pt-BR"/>
        </w:rPr>
        <w:t xml:space="preserve">omes, outputs and </w:t>
      </w:r>
      <w:r w:rsidRPr="000A2ADC">
        <w:rPr>
          <w:szCs w:val="24"/>
          <w:lang w:eastAsia="pt-BR"/>
        </w:rPr>
        <w:t>regional initiatives;</w:t>
      </w:r>
    </w:p>
    <w:p w:rsidR="006633D4" w:rsidRPr="000A2ADC" w:rsidRDefault="006633D4" w:rsidP="00773E37">
      <w:pPr>
        <w:spacing w:before="40"/>
        <w:jc w:val="both"/>
        <w:rPr>
          <w:lang w:eastAsia="pt-BR"/>
        </w:rPr>
      </w:pPr>
      <w:r>
        <w:rPr>
          <w:lang w:eastAsia="pt-BR"/>
        </w:rPr>
        <w:t>6.</w:t>
      </w:r>
      <w:r w:rsidR="00407746">
        <w:rPr>
          <w:lang w:eastAsia="pt-BR"/>
        </w:rPr>
        <w:tab/>
      </w:r>
      <w:r>
        <w:rPr>
          <w:lang w:eastAsia="pt-BR"/>
        </w:rPr>
        <w:t xml:space="preserve">Engages actively </w:t>
      </w:r>
      <w:r w:rsidRPr="000A2ADC">
        <w:rPr>
          <w:szCs w:val="24"/>
          <w:lang w:eastAsia="pt-BR"/>
        </w:rPr>
        <w:t xml:space="preserve">in the realization of the outcomes, indicators and </w:t>
      </w:r>
      <w:r>
        <w:rPr>
          <w:szCs w:val="24"/>
          <w:lang w:eastAsia="pt-BR"/>
        </w:rPr>
        <w:t xml:space="preserve">KPIs as identified by the WTDC </w:t>
      </w:r>
      <w:r w:rsidRPr="000A2ADC">
        <w:rPr>
          <w:szCs w:val="24"/>
          <w:lang w:eastAsia="pt-BR"/>
        </w:rPr>
        <w:t>Action Plan and by TDAG;</w:t>
      </w:r>
    </w:p>
    <w:p w:rsidR="006633D4" w:rsidRDefault="006633D4" w:rsidP="00773E37">
      <w:pPr>
        <w:spacing w:before="40"/>
        <w:jc w:val="both"/>
        <w:rPr>
          <w:lang w:eastAsia="pt-BR"/>
        </w:rPr>
      </w:pPr>
      <w:r>
        <w:rPr>
          <w:lang w:eastAsia="pt-BR"/>
        </w:rPr>
        <w:t>7.</w:t>
      </w:r>
      <w:r w:rsidR="00407746">
        <w:rPr>
          <w:lang w:eastAsia="pt-BR"/>
        </w:rPr>
        <w:tab/>
      </w:r>
      <w:r>
        <w:rPr>
          <w:lang w:eastAsia="pt-BR"/>
        </w:rPr>
        <w:t xml:space="preserve">Ensures </w:t>
      </w:r>
      <w:r w:rsidRPr="000A2ADC">
        <w:rPr>
          <w:lang w:eastAsia="pt-BR"/>
        </w:rPr>
        <w:t>that cooperation between the ITU regional and area offices, relevant regional organizations and other international organizations dealing with development and financial matters should continue to be improved, in the interests of optimizing the use of res</w:t>
      </w:r>
      <w:r>
        <w:rPr>
          <w:lang w:eastAsia="pt-BR"/>
        </w:rPr>
        <w:t>ources and avoiding duplication;</w:t>
      </w:r>
    </w:p>
    <w:p w:rsidR="006633D4" w:rsidRDefault="006633D4" w:rsidP="00773E37">
      <w:pPr>
        <w:spacing w:before="40"/>
        <w:jc w:val="both"/>
        <w:rPr>
          <w:lang w:eastAsia="pt-BR"/>
        </w:rPr>
      </w:pPr>
      <w:r>
        <w:rPr>
          <w:lang w:eastAsia="pt-BR"/>
        </w:rPr>
        <w:t>8.</w:t>
      </w:r>
      <w:r w:rsidR="00407746">
        <w:rPr>
          <w:lang w:eastAsia="pt-BR"/>
        </w:rPr>
        <w:tab/>
      </w:r>
      <w:r>
        <w:rPr>
          <w:lang w:eastAsia="pt-BR"/>
        </w:rPr>
        <w:t xml:space="preserve">Is </w:t>
      </w:r>
      <w:r w:rsidRPr="000A2ADC">
        <w:rPr>
          <w:lang w:eastAsia="pt-BR"/>
        </w:rPr>
        <w:t>fully involved in the organization of regional events/meetings/conferences, in close collaboration with the General Secretariat, the relevant Bureau(x) and the regional organizations, in order to increase efficiency in the coordination of such events, avoid duplication of events/topics and derive benefit from synergy between the Bureaux and re</w:t>
      </w:r>
      <w:r>
        <w:rPr>
          <w:lang w:eastAsia="pt-BR"/>
        </w:rPr>
        <w:t>gional offices;</w:t>
      </w:r>
    </w:p>
    <w:p w:rsidR="006633D4" w:rsidRPr="004E6454" w:rsidRDefault="006633D4" w:rsidP="00773E37">
      <w:pPr>
        <w:spacing w:before="40"/>
        <w:jc w:val="both"/>
        <w:rPr>
          <w:lang w:eastAsia="pt-BR"/>
        </w:rPr>
      </w:pPr>
      <w:r>
        <w:rPr>
          <w:lang w:eastAsia="pt-BR"/>
        </w:rPr>
        <w:t>9.</w:t>
      </w:r>
      <w:r w:rsidR="00407746">
        <w:rPr>
          <w:lang w:eastAsia="pt-BR"/>
        </w:rPr>
        <w:tab/>
      </w:r>
      <w:r w:rsidRPr="004E6454">
        <w:rPr>
          <w:lang w:eastAsia="pt-BR"/>
        </w:rPr>
        <w:t>Assists countries in implementing the regional initiatives;</w:t>
      </w:r>
    </w:p>
    <w:p w:rsidR="006633D4" w:rsidRPr="00DE682B" w:rsidRDefault="006633D4" w:rsidP="00773E37">
      <w:pPr>
        <w:spacing w:before="40"/>
        <w:jc w:val="both"/>
        <w:rPr>
          <w:lang w:eastAsia="pt-BR"/>
        </w:rPr>
      </w:pPr>
      <w:r w:rsidRPr="004E6454">
        <w:rPr>
          <w:lang w:eastAsia="pt-BR"/>
        </w:rPr>
        <w:t>10.</w:t>
      </w:r>
      <w:r w:rsidR="00407746">
        <w:rPr>
          <w:lang w:eastAsia="pt-BR"/>
        </w:rPr>
        <w:tab/>
      </w:r>
      <w:r w:rsidRPr="004E6454">
        <w:rPr>
          <w:lang w:eastAsia="pt-BR"/>
        </w:rPr>
        <w:t>Disseminates</w:t>
      </w:r>
      <w:r w:rsidRPr="000A2ADC">
        <w:rPr>
          <w:szCs w:val="24"/>
        </w:rPr>
        <w:t xml:space="preserve"> information, provision of expert advice and hosting of meet</w:t>
      </w:r>
      <w:r>
        <w:rPr>
          <w:szCs w:val="24"/>
        </w:rPr>
        <w:t>ings, courses and seminars;</w:t>
      </w:r>
    </w:p>
    <w:p w:rsidR="006633D4" w:rsidRDefault="00407746" w:rsidP="00773E37">
      <w:pPr>
        <w:pStyle w:val="enumlev1"/>
        <w:snapToGrid w:val="0"/>
        <w:spacing w:before="40"/>
        <w:ind w:left="0" w:firstLine="0"/>
        <w:jc w:val="both"/>
        <w:rPr>
          <w:szCs w:val="24"/>
        </w:rPr>
      </w:pPr>
      <w:r>
        <w:rPr>
          <w:szCs w:val="24"/>
        </w:rPr>
        <w:t>11.</w:t>
      </w:r>
      <w:r>
        <w:rPr>
          <w:szCs w:val="24"/>
        </w:rPr>
        <w:tab/>
        <w:t>E</w:t>
      </w:r>
      <w:r w:rsidR="006633D4" w:rsidRPr="000A2ADC">
        <w:rPr>
          <w:szCs w:val="24"/>
        </w:rPr>
        <w:t>ffective</w:t>
      </w:r>
      <w:r w:rsidR="006633D4">
        <w:rPr>
          <w:szCs w:val="24"/>
        </w:rPr>
        <w:t>ly</w:t>
      </w:r>
      <w:r w:rsidR="006633D4" w:rsidRPr="000A2ADC">
        <w:rPr>
          <w:szCs w:val="24"/>
        </w:rPr>
        <w:t xml:space="preserve"> participat</w:t>
      </w:r>
      <w:r w:rsidR="006633D4">
        <w:rPr>
          <w:szCs w:val="24"/>
        </w:rPr>
        <w:t>es</w:t>
      </w:r>
      <w:r w:rsidR="006633D4" w:rsidRPr="000A2ADC">
        <w:rPr>
          <w:szCs w:val="24"/>
        </w:rPr>
        <w:t xml:space="preserve"> in discussions on the future of the Union and on strategic issues concerning t</w:t>
      </w:r>
      <w:r w:rsidR="006633D4">
        <w:rPr>
          <w:szCs w:val="24"/>
        </w:rPr>
        <w:t>he telecommunication/ICT sector;</w:t>
      </w:r>
      <w:r w:rsidR="006633D4" w:rsidRPr="00256606">
        <w:rPr>
          <w:szCs w:val="24"/>
        </w:rPr>
        <w:t xml:space="preserve"> </w:t>
      </w:r>
    </w:p>
    <w:p w:rsidR="0072004E" w:rsidRPr="004A4559" w:rsidRDefault="006633D4" w:rsidP="00773E37">
      <w:pPr>
        <w:spacing w:before="40"/>
        <w:jc w:val="both"/>
      </w:pPr>
      <w:r>
        <w:rPr>
          <w:lang w:eastAsia="pt-BR"/>
        </w:rPr>
        <w:t>12.</w:t>
      </w:r>
      <w:r w:rsidR="00407746">
        <w:rPr>
          <w:lang w:eastAsia="pt-BR"/>
        </w:rPr>
        <w:tab/>
      </w:r>
      <w:r>
        <w:rPr>
          <w:lang w:eastAsia="pt-BR"/>
        </w:rPr>
        <w:t>S</w:t>
      </w:r>
      <w:r w:rsidRPr="000A2ADC">
        <w:rPr>
          <w:lang w:eastAsia="pt-BR"/>
        </w:rPr>
        <w:t>upervise</w:t>
      </w:r>
      <w:r>
        <w:rPr>
          <w:lang w:eastAsia="pt-BR"/>
        </w:rPr>
        <w:t>s</w:t>
      </w:r>
      <w:r w:rsidRPr="000A2ADC">
        <w:rPr>
          <w:lang w:eastAsia="pt-BR"/>
        </w:rPr>
        <w:t xml:space="preserve"> the implementation of funds-in-trust projects and projects financed f</w:t>
      </w:r>
      <w:r>
        <w:rPr>
          <w:lang w:eastAsia="pt-BR"/>
        </w:rPr>
        <w:t>rom the ICT Development Fund.</w:t>
      </w:r>
    </w:p>
    <w:p w:rsidR="00264425" w:rsidRPr="002A2188" w:rsidRDefault="00345403" w:rsidP="00407746">
      <w:pPr>
        <w:spacing w:before="0"/>
        <w:jc w:val="center"/>
        <w:rPr>
          <w:lang w:val="en-US"/>
        </w:rPr>
      </w:pPr>
      <w:r>
        <w:rPr>
          <w:lang w:val="en-US"/>
        </w:rPr>
        <w:t>_______________</w:t>
      </w:r>
    </w:p>
    <w:sectPr w:rsidR="00264425" w:rsidRPr="002A2188" w:rsidSect="004D1851">
      <w:headerReference w:type="even" r:id="rId17"/>
      <w:headerReference w:type="default" r:id="rId18"/>
      <w:footerReference w:type="even" r:id="rId19"/>
      <w:footerReference w:type="default" r:id="rId20"/>
      <w:headerReference w:type="firs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E44" w:rsidRDefault="003D0E44">
      <w:r>
        <w:separator/>
      </w:r>
    </w:p>
  </w:endnote>
  <w:endnote w:type="continuationSeparator" w:id="0">
    <w:p w:rsidR="003D0E44" w:rsidRDefault="003D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78" w:rsidRDefault="00735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78" w:rsidRDefault="007353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78" w:rsidRDefault="00735378" w:rsidP="00735378">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E44" w:rsidRDefault="003D0E44">
      <w:r>
        <w:t>____________________</w:t>
      </w:r>
    </w:p>
  </w:footnote>
  <w:footnote w:type="continuationSeparator" w:id="0">
    <w:p w:rsidR="003D0E44" w:rsidRDefault="003D0E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78" w:rsidRDefault="00735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773E37">
      <w:rPr>
        <w:noProof/>
      </w:rPr>
      <w:t>3</w:t>
    </w:r>
    <w:r>
      <w:rPr>
        <w:noProof/>
      </w:rPr>
      <w:fldChar w:fldCharType="end"/>
    </w:r>
  </w:p>
  <w:p w:rsidR="00322D0D" w:rsidRPr="00623AE3" w:rsidRDefault="00623AE3" w:rsidP="00407746">
    <w:pPr>
      <w:pStyle w:val="Header"/>
      <w:rPr>
        <w:bCs/>
      </w:rPr>
    </w:pPr>
    <w:r w:rsidRPr="00623AE3">
      <w:rPr>
        <w:bCs/>
      </w:rPr>
      <w:t>C18/</w:t>
    </w:r>
    <w:r w:rsidR="00407746">
      <w:rPr>
        <w:bCs/>
      </w:rPr>
      <w:t>65</w:t>
    </w:r>
    <w:r w:rsidRPr="00623AE3">
      <w:rPr>
        <w:bCs/>
      </w:rPr>
      <w: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5378" w:rsidRDefault="00735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C149A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08B6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B69E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7C8D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90BB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C8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7036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EE93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43F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FA274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334F7"/>
    <w:multiLevelType w:val="hybridMultilevel"/>
    <w:tmpl w:val="4FDC40F0"/>
    <w:lvl w:ilvl="0" w:tplc="269C9798">
      <w:start w:val="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9E210B"/>
    <w:multiLevelType w:val="hybridMultilevel"/>
    <w:tmpl w:val="B90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0305C6"/>
    <w:multiLevelType w:val="hybridMultilevel"/>
    <w:tmpl w:val="3BE04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966F80"/>
    <w:multiLevelType w:val="hybridMultilevel"/>
    <w:tmpl w:val="9F74BA6A"/>
    <w:lvl w:ilvl="0" w:tplc="08090001">
      <w:start w:val="1"/>
      <w:numFmt w:val="bullet"/>
      <w:lvlText w:val=""/>
      <w:lvlJc w:val="left"/>
      <w:pPr>
        <w:ind w:left="409" w:hanging="360"/>
      </w:pPr>
      <w:rPr>
        <w:rFonts w:ascii="Symbol" w:hAnsi="Symbol" w:hint="default"/>
      </w:rPr>
    </w:lvl>
    <w:lvl w:ilvl="1" w:tplc="08090003" w:tentative="1">
      <w:start w:val="1"/>
      <w:numFmt w:val="bullet"/>
      <w:lvlText w:val="o"/>
      <w:lvlJc w:val="left"/>
      <w:pPr>
        <w:ind w:left="1129" w:hanging="360"/>
      </w:pPr>
      <w:rPr>
        <w:rFonts w:ascii="Courier New" w:hAnsi="Courier New" w:cs="Courier New" w:hint="default"/>
      </w:rPr>
    </w:lvl>
    <w:lvl w:ilvl="2" w:tplc="08090005" w:tentative="1">
      <w:start w:val="1"/>
      <w:numFmt w:val="bullet"/>
      <w:lvlText w:val=""/>
      <w:lvlJc w:val="left"/>
      <w:pPr>
        <w:ind w:left="1849" w:hanging="360"/>
      </w:pPr>
      <w:rPr>
        <w:rFonts w:ascii="Wingdings" w:hAnsi="Wingdings" w:hint="default"/>
      </w:rPr>
    </w:lvl>
    <w:lvl w:ilvl="3" w:tplc="08090001" w:tentative="1">
      <w:start w:val="1"/>
      <w:numFmt w:val="bullet"/>
      <w:lvlText w:val=""/>
      <w:lvlJc w:val="left"/>
      <w:pPr>
        <w:ind w:left="2569" w:hanging="360"/>
      </w:pPr>
      <w:rPr>
        <w:rFonts w:ascii="Symbol" w:hAnsi="Symbol" w:hint="default"/>
      </w:rPr>
    </w:lvl>
    <w:lvl w:ilvl="4" w:tplc="08090003" w:tentative="1">
      <w:start w:val="1"/>
      <w:numFmt w:val="bullet"/>
      <w:lvlText w:val="o"/>
      <w:lvlJc w:val="left"/>
      <w:pPr>
        <w:ind w:left="3289" w:hanging="360"/>
      </w:pPr>
      <w:rPr>
        <w:rFonts w:ascii="Courier New" w:hAnsi="Courier New" w:cs="Courier New" w:hint="default"/>
      </w:rPr>
    </w:lvl>
    <w:lvl w:ilvl="5" w:tplc="08090005" w:tentative="1">
      <w:start w:val="1"/>
      <w:numFmt w:val="bullet"/>
      <w:lvlText w:val=""/>
      <w:lvlJc w:val="left"/>
      <w:pPr>
        <w:ind w:left="4009" w:hanging="360"/>
      </w:pPr>
      <w:rPr>
        <w:rFonts w:ascii="Wingdings" w:hAnsi="Wingdings" w:hint="default"/>
      </w:rPr>
    </w:lvl>
    <w:lvl w:ilvl="6" w:tplc="08090001" w:tentative="1">
      <w:start w:val="1"/>
      <w:numFmt w:val="bullet"/>
      <w:lvlText w:val=""/>
      <w:lvlJc w:val="left"/>
      <w:pPr>
        <w:ind w:left="4729" w:hanging="360"/>
      </w:pPr>
      <w:rPr>
        <w:rFonts w:ascii="Symbol" w:hAnsi="Symbol" w:hint="default"/>
      </w:rPr>
    </w:lvl>
    <w:lvl w:ilvl="7" w:tplc="08090003" w:tentative="1">
      <w:start w:val="1"/>
      <w:numFmt w:val="bullet"/>
      <w:lvlText w:val="o"/>
      <w:lvlJc w:val="left"/>
      <w:pPr>
        <w:ind w:left="5449" w:hanging="360"/>
      </w:pPr>
      <w:rPr>
        <w:rFonts w:ascii="Courier New" w:hAnsi="Courier New" w:cs="Courier New" w:hint="default"/>
      </w:rPr>
    </w:lvl>
    <w:lvl w:ilvl="8" w:tplc="08090005" w:tentative="1">
      <w:start w:val="1"/>
      <w:numFmt w:val="bullet"/>
      <w:lvlText w:val=""/>
      <w:lvlJc w:val="left"/>
      <w:pPr>
        <w:ind w:left="6169" w:hanging="360"/>
      </w:pPr>
      <w:rPr>
        <w:rFonts w:ascii="Wingdings" w:hAnsi="Wingdings" w:hint="default"/>
      </w:rPr>
    </w:lvl>
  </w:abstractNum>
  <w:abstractNum w:abstractNumId="14" w15:restartNumberingAfterBreak="0">
    <w:nsid w:val="20395086"/>
    <w:multiLevelType w:val="hybridMultilevel"/>
    <w:tmpl w:val="EFFC353E"/>
    <w:lvl w:ilvl="0" w:tplc="04090001">
      <w:start w:val="1"/>
      <w:numFmt w:val="bullet"/>
      <w:lvlText w:val=""/>
      <w:lvlJc w:val="left"/>
      <w:pPr>
        <w:ind w:left="360" w:hanging="360"/>
      </w:pPr>
      <w:rPr>
        <w:rFonts w:ascii="Symbol" w:hAnsi="Symbol"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09649BB"/>
    <w:multiLevelType w:val="hybridMultilevel"/>
    <w:tmpl w:val="79D2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F48EE"/>
    <w:multiLevelType w:val="hybridMultilevel"/>
    <w:tmpl w:val="D012E4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D8109B"/>
    <w:multiLevelType w:val="hybridMultilevel"/>
    <w:tmpl w:val="740AF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0042D"/>
    <w:multiLevelType w:val="hybridMultilevel"/>
    <w:tmpl w:val="D7FC60D6"/>
    <w:lvl w:ilvl="0" w:tplc="0809000F">
      <w:start w:val="1"/>
      <w:numFmt w:val="decimal"/>
      <w:lvlText w:val="%1."/>
      <w:lvlJc w:val="left"/>
      <w:pPr>
        <w:ind w:left="720" w:hanging="360"/>
      </w:pPr>
    </w:lvl>
    <w:lvl w:ilvl="1" w:tplc="884A2986">
      <w:numFmt w:val="bullet"/>
      <w:lvlText w:val="-"/>
      <w:lvlJc w:val="left"/>
      <w:pPr>
        <w:ind w:left="1440" w:hanging="360"/>
      </w:pPr>
      <w:rPr>
        <w:rFonts w:ascii="Times New Roman" w:eastAsia="Times New Roman" w:hAnsi="Times New Roman" w:cs="Times New Roman"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C5520B2"/>
    <w:multiLevelType w:val="hybridMultilevel"/>
    <w:tmpl w:val="FC8667CA"/>
    <w:lvl w:ilvl="0" w:tplc="0809000F">
      <w:start w:val="1"/>
      <w:numFmt w:val="decimal"/>
      <w:lvlText w:val="%1."/>
      <w:lvlJc w:val="left"/>
      <w:pPr>
        <w:ind w:left="720" w:hanging="360"/>
      </w:pPr>
    </w:lvl>
    <w:lvl w:ilvl="1" w:tplc="884A2986">
      <w:numFmt w:val="bullet"/>
      <w:lvlText w:val="-"/>
      <w:lvlJc w:val="left"/>
      <w:pPr>
        <w:ind w:left="1440" w:hanging="360"/>
      </w:pPr>
      <w:rPr>
        <w:rFonts w:ascii="Times New Roman" w:eastAsia="Times New Roman" w:hAnsi="Times New Roman" w:cs="Times New Roman" w:hint="default"/>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CB6C75"/>
    <w:multiLevelType w:val="hybridMultilevel"/>
    <w:tmpl w:val="02967310"/>
    <w:lvl w:ilvl="0" w:tplc="0809000F">
      <w:start w:val="1"/>
      <w:numFmt w:val="decimal"/>
      <w:lvlText w:val="%1."/>
      <w:lvlJc w:val="left"/>
      <w:pPr>
        <w:ind w:left="1211"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5"/>
  </w:num>
  <w:num w:numId="3">
    <w:abstractNumId w:val="20"/>
  </w:num>
  <w:num w:numId="4">
    <w:abstractNumId w:val="11"/>
  </w:num>
  <w:num w:numId="5">
    <w:abstractNumId w:val="18"/>
  </w:num>
  <w:num w:numId="6">
    <w:abstractNumId w:val="17"/>
  </w:num>
  <w:num w:numId="7">
    <w:abstractNumId w:val="19"/>
  </w:num>
  <w:num w:numId="8">
    <w:abstractNumId w:val="10"/>
  </w:num>
  <w:num w:numId="9">
    <w:abstractNumId w:val="14"/>
  </w:num>
  <w:num w:numId="10">
    <w:abstractNumId w:val="12"/>
  </w:num>
  <w:num w:numId="11">
    <w:abstractNumId w:val="16"/>
  </w:num>
  <w:num w:numId="12">
    <w:abstractNumId w:val="13"/>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055D8"/>
    <w:rsid w:val="000210D4"/>
    <w:rsid w:val="00036917"/>
    <w:rsid w:val="00063016"/>
    <w:rsid w:val="00066795"/>
    <w:rsid w:val="00076AF6"/>
    <w:rsid w:val="00085CF2"/>
    <w:rsid w:val="000B1705"/>
    <w:rsid w:val="000D75B2"/>
    <w:rsid w:val="000F28EC"/>
    <w:rsid w:val="001121F5"/>
    <w:rsid w:val="001400DC"/>
    <w:rsid w:val="00140CE1"/>
    <w:rsid w:val="0017539C"/>
    <w:rsid w:val="00175AC2"/>
    <w:rsid w:val="0017609F"/>
    <w:rsid w:val="001859E0"/>
    <w:rsid w:val="001A6741"/>
    <w:rsid w:val="001C628E"/>
    <w:rsid w:val="001E0F7B"/>
    <w:rsid w:val="002119FD"/>
    <w:rsid w:val="002130E0"/>
    <w:rsid w:val="00237687"/>
    <w:rsid w:val="00261BE3"/>
    <w:rsid w:val="00264425"/>
    <w:rsid w:val="00265875"/>
    <w:rsid w:val="0027303B"/>
    <w:rsid w:val="002749FD"/>
    <w:rsid w:val="0028109B"/>
    <w:rsid w:val="002A2188"/>
    <w:rsid w:val="002B1F58"/>
    <w:rsid w:val="002C1C7A"/>
    <w:rsid w:val="0030160F"/>
    <w:rsid w:val="00322D0D"/>
    <w:rsid w:val="003307A9"/>
    <w:rsid w:val="003323C8"/>
    <w:rsid w:val="00345403"/>
    <w:rsid w:val="003707A9"/>
    <w:rsid w:val="003942D4"/>
    <w:rsid w:val="003958A8"/>
    <w:rsid w:val="003C2533"/>
    <w:rsid w:val="003D0E44"/>
    <w:rsid w:val="003E3871"/>
    <w:rsid w:val="0040435A"/>
    <w:rsid w:val="00407746"/>
    <w:rsid w:val="00416A24"/>
    <w:rsid w:val="00431D9E"/>
    <w:rsid w:val="00433CE8"/>
    <w:rsid w:val="00434A5C"/>
    <w:rsid w:val="004425E0"/>
    <w:rsid w:val="004544D9"/>
    <w:rsid w:val="00490E72"/>
    <w:rsid w:val="00491157"/>
    <w:rsid w:val="004921C8"/>
    <w:rsid w:val="004A4559"/>
    <w:rsid w:val="004A6C55"/>
    <w:rsid w:val="004D1851"/>
    <w:rsid w:val="004D599D"/>
    <w:rsid w:val="004E2EA5"/>
    <w:rsid w:val="004E3AEB"/>
    <w:rsid w:val="0050223C"/>
    <w:rsid w:val="0050682D"/>
    <w:rsid w:val="005243FF"/>
    <w:rsid w:val="0055172A"/>
    <w:rsid w:val="00564FBC"/>
    <w:rsid w:val="00582442"/>
    <w:rsid w:val="005D0D3D"/>
    <w:rsid w:val="005E5AFA"/>
    <w:rsid w:val="005F3269"/>
    <w:rsid w:val="00623AE3"/>
    <w:rsid w:val="0064737F"/>
    <w:rsid w:val="006535F1"/>
    <w:rsid w:val="0065557D"/>
    <w:rsid w:val="00662984"/>
    <w:rsid w:val="006633D4"/>
    <w:rsid w:val="00665552"/>
    <w:rsid w:val="006716BB"/>
    <w:rsid w:val="00675485"/>
    <w:rsid w:val="006B6680"/>
    <w:rsid w:val="006B6DCC"/>
    <w:rsid w:val="006E69A0"/>
    <w:rsid w:val="00702DEF"/>
    <w:rsid w:val="00706861"/>
    <w:rsid w:val="0072004E"/>
    <w:rsid w:val="00735378"/>
    <w:rsid w:val="0075051B"/>
    <w:rsid w:val="00763A4B"/>
    <w:rsid w:val="00773E37"/>
    <w:rsid w:val="00774791"/>
    <w:rsid w:val="00793188"/>
    <w:rsid w:val="00794D34"/>
    <w:rsid w:val="007D5357"/>
    <w:rsid w:val="007D7305"/>
    <w:rsid w:val="00813E5E"/>
    <w:rsid w:val="00834226"/>
    <w:rsid w:val="0083581B"/>
    <w:rsid w:val="00864AFF"/>
    <w:rsid w:val="008B4A6A"/>
    <w:rsid w:val="008C7E27"/>
    <w:rsid w:val="008D6D50"/>
    <w:rsid w:val="0090701D"/>
    <w:rsid w:val="009173EF"/>
    <w:rsid w:val="00932906"/>
    <w:rsid w:val="00934132"/>
    <w:rsid w:val="00946A99"/>
    <w:rsid w:val="00961B0B"/>
    <w:rsid w:val="00990108"/>
    <w:rsid w:val="009B2B07"/>
    <w:rsid w:val="009B38C3"/>
    <w:rsid w:val="009C12EF"/>
    <w:rsid w:val="009D2C57"/>
    <w:rsid w:val="009E17BD"/>
    <w:rsid w:val="009E485A"/>
    <w:rsid w:val="00A020FE"/>
    <w:rsid w:val="00A04CEC"/>
    <w:rsid w:val="00A07C3A"/>
    <w:rsid w:val="00A27F92"/>
    <w:rsid w:val="00A32257"/>
    <w:rsid w:val="00A330F7"/>
    <w:rsid w:val="00A36D20"/>
    <w:rsid w:val="00A55622"/>
    <w:rsid w:val="00A64C01"/>
    <w:rsid w:val="00A83502"/>
    <w:rsid w:val="00AB43A4"/>
    <w:rsid w:val="00AB7AFD"/>
    <w:rsid w:val="00AD15B3"/>
    <w:rsid w:val="00AF6E49"/>
    <w:rsid w:val="00B04A67"/>
    <w:rsid w:val="00B0583C"/>
    <w:rsid w:val="00B36555"/>
    <w:rsid w:val="00B40A81"/>
    <w:rsid w:val="00B44910"/>
    <w:rsid w:val="00B72267"/>
    <w:rsid w:val="00B76EB6"/>
    <w:rsid w:val="00B7737B"/>
    <w:rsid w:val="00B824C8"/>
    <w:rsid w:val="00B97B5B"/>
    <w:rsid w:val="00BC251A"/>
    <w:rsid w:val="00BD032B"/>
    <w:rsid w:val="00BD38BB"/>
    <w:rsid w:val="00BE2640"/>
    <w:rsid w:val="00C01189"/>
    <w:rsid w:val="00C374DE"/>
    <w:rsid w:val="00C47AD4"/>
    <w:rsid w:val="00C52D81"/>
    <w:rsid w:val="00C55198"/>
    <w:rsid w:val="00CA6393"/>
    <w:rsid w:val="00CB18FF"/>
    <w:rsid w:val="00CD0C08"/>
    <w:rsid w:val="00CE03FB"/>
    <w:rsid w:val="00CE23EC"/>
    <w:rsid w:val="00CE3A50"/>
    <w:rsid w:val="00CE433C"/>
    <w:rsid w:val="00CF0112"/>
    <w:rsid w:val="00CF33F3"/>
    <w:rsid w:val="00D04E39"/>
    <w:rsid w:val="00D06183"/>
    <w:rsid w:val="00D22C42"/>
    <w:rsid w:val="00D65041"/>
    <w:rsid w:val="00D67431"/>
    <w:rsid w:val="00D70C35"/>
    <w:rsid w:val="00D8085D"/>
    <w:rsid w:val="00DB384B"/>
    <w:rsid w:val="00DD5F5B"/>
    <w:rsid w:val="00DF54F1"/>
    <w:rsid w:val="00E10E80"/>
    <w:rsid w:val="00E124F0"/>
    <w:rsid w:val="00E3590C"/>
    <w:rsid w:val="00E53395"/>
    <w:rsid w:val="00E60F04"/>
    <w:rsid w:val="00E854E4"/>
    <w:rsid w:val="00EB0D6F"/>
    <w:rsid w:val="00EB2232"/>
    <w:rsid w:val="00EB24B0"/>
    <w:rsid w:val="00EC5337"/>
    <w:rsid w:val="00ED5DD8"/>
    <w:rsid w:val="00EF2F84"/>
    <w:rsid w:val="00F11C7A"/>
    <w:rsid w:val="00F2150A"/>
    <w:rsid w:val="00F231D8"/>
    <w:rsid w:val="00F46C5F"/>
    <w:rsid w:val="00F65ECA"/>
    <w:rsid w:val="00F94A63"/>
    <w:rsid w:val="00FA1C28"/>
    <w:rsid w:val="00FA77B0"/>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link w:val="enumlev1Char"/>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aliases w:val="CEO_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link w:val="RestitleChar"/>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345403"/>
    <w:pPr>
      <w:tabs>
        <w:tab w:val="clear" w:pos="567"/>
        <w:tab w:val="clear" w:pos="1701"/>
        <w:tab w:val="clear" w:pos="2835"/>
        <w:tab w:val="left" w:pos="1871"/>
      </w:tabs>
      <w:ind w:left="720"/>
      <w:contextualSpacing/>
    </w:pPr>
    <w:rPr>
      <w:rFonts w:asciiTheme="minorHAnsi" w:hAnsiTheme="minorHAnsi"/>
    </w:rPr>
  </w:style>
  <w:style w:type="table" w:styleId="TableGrid">
    <w:name w:val="Table Grid"/>
    <w:basedOn w:val="TableNormal"/>
    <w:rsid w:val="0034540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1"/>
    <w:basedOn w:val="TableNormal"/>
    <w:next w:val="TableGrid"/>
    <w:uiPriority w:val="39"/>
    <w:rsid w:val="00345403"/>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5403"/>
    <w:rPr>
      <w:rFonts w:ascii="Calibri" w:eastAsia="SimSun"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titleChar">
    <w:name w:val="Res_title Char"/>
    <w:basedOn w:val="DefaultParagraphFont"/>
    <w:link w:val="Restitle"/>
    <w:locked/>
    <w:rsid w:val="00E53395"/>
    <w:rPr>
      <w:rFonts w:ascii="Calibri" w:hAnsi="Calibri"/>
      <w:b/>
      <w:sz w:val="28"/>
      <w:lang w:val="en-GB" w:eastAsia="en-US"/>
    </w:rPr>
  </w:style>
  <w:style w:type="paragraph" w:styleId="BalloonText">
    <w:name w:val="Balloon Text"/>
    <w:basedOn w:val="Normal"/>
    <w:link w:val="BalloonTextChar"/>
    <w:semiHidden/>
    <w:unhideWhenUsed/>
    <w:rsid w:val="000055D8"/>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0055D8"/>
    <w:rPr>
      <w:rFonts w:ascii="Segoe UI" w:hAnsi="Segoe UI" w:cs="Segoe UI"/>
      <w:sz w:val="18"/>
      <w:szCs w:val="18"/>
      <w:lang w:val="en-GB" w:eastAsia="en-US"/>
    </w:rPr>
  </w:style>
  <w:style w:type="paragraph" w:styleId="Revision">
    <w:name w:val="Revision"/>
    <w:hidden/>
    <w:uiPriority w:val="99"/>
    <w:semiHidden/>
    <w:rsid w:val="0072004E"/>
    <w:rPr>
      <w:rFonts w:ascii="Calibri" w:hAnsi="Calibri"/>
      <w:sz w:val="24"/>
      <w:lang w:val="en-GB" w:eastAsia="en-US"/>
    </w:rPr>
  </w:style>
  <w:style w:type="character" w:customStyle="1" w:styleId="enumlev1Char">
    <w:name w:val="enumlev1 Char"/>
    <w:basedOn w:val="DefaultParagraphFont"/>
    <w:link w:val="enumlev1"/>
    <w:rsid w:val="006633D4"/>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7-CL-170515-DL-0003/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tu.int/md/S17-CL-C-0130/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7-CL-170515-DL-000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7-CL-C-0098/e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md/S17-CL-C-0130/en" TargetMode="External"/><Relationship Id="rId23" Type="http://schemas.openxmlformats.org/officeDocument/2006/relationships/fontTable" Target="fontTable.xml"/><Relationship Id="rId10" Type="http://schemas.openxmlformats.org/officeDocument/2006/relationships/hyperlink" Target="http://www.itu.int/pub/S-CONF-PLEN-201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tu.int/pub/S-CONF-PLEN-2015" TargetMode="External"/><Relationship Id="rId14" Type="http://schemas.openxmlformats.org/officeDocument/2006/relationships/hyperlink" Target="https://www.itu.int/md/S17-CL-C-0098/en"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2570E-092D-498B-AD02-6C1DF299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111</TotalTime>
  <Pages>5</Pages>
  <Words>1290</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Upgrading the area office in Moscow to ITU CIS regional office</vt:lpstr>
    </vt:vector>
  </TitlesOfParts>
  <Manager>General Secretariat - Pool</Manager>
  <Company>International Telecommunication Union (ITU)</Company>
  <LinksUpToDate>false</LinksUpToDate>
  <CharactersWithSpaces>8668</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Upgrading the area office in Moscow to ITU CIS regional office</dc:title>
  <dc:subject>Council 2018</dc:subject>
  <dc:creator>Brouard, Ricarda</dc:creator>
  <cp:keywords>C2018, C18</cp:keywords>
  <dc:description/>
  <cp:lastModifiedBy>Janin</cp:lastModifiedBy>
  <cp:revision>9</cp:revision>
  <cp:lastPrinted>2018-01-31T19:21:00Z</cp:lastPrinted>
  <dcterms:created xsi:type="dcterms:W3CDTF">2018-02-07T07:20:00Z</dcterms:created>
  <dcterms:modified xsi:type="dcterms:W3CDTF">2018-02-07T14:21:00Z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