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B33CC">
        <w:trPr>
          <w:cantSplit/>
        </w:trPr>
        <w:tc>
          <w:tcPr>
            <w:tcW w:w="6912" w:type="dxa"/>
          </w:tcPr>
          <w:p w:rsidR="00093EEB" w:rsidRPr="002B33CC" w:rsidRDefault="00093EEB" w:rsidP="001D3A2F">
            <w:pPr>
              <w:spacing w:before="360"/>
              <w:rPr>
                <w:szCs w:val="24"/>
              </w:rPr>
            </w:pPr>
            <w:bookmarkStart w:id="0" w:name="dc06"/>
            <w:bookmarkStart w:id="1" w:name="dbluepink" w:colFirst="0" w:colLast="0"/>
            <w:bookmarkEnd w:id="0"/>
            <w:r w:rsidRPr="002B33CC">
              <w:rPr>
                <w:b/>
                <w:bCs/>
                <w:sz w:val="30"/>
                <w:szCs w:val="30"/>
              </w:rPr>
              <w:t>Consejo 201</w:t>
            </w:r>
            <w:r w:rsidR="009F4811" w:rsidRPr="002B33CC">
              <w:rPr>
                <w:b/>
                <w:bCs/>
                <w:sz w:val="30"/>
                <w:szCs w:val="30"/>
              </w:rPr>
              <w:t>8</w:t>
            </w:r>
            <w:r w:rsidRPr="002B33CC">
              <w:rPr>
                <w:b/>
                <w:bCs/>
                <w:sz w:val="26"/>
                <w:szCs w:val="26"/>
              </w:rPr>
              <w:br/>
            </w:r>
            <w:r w:rsidRPr="002B33CC">
              <w:rPr>
                <w:b/>
                <w:bCs/>
                <w:szCs w:val="24"/>
              </w:rPr>
              <w:t>Ginebra, 1</w:t>
            </w:r>
            <w:r w:rsidR="009F4811" w:rsidRPr="002B33CC">
              <w:rPr>
                <w:b/>
                <w:bCs/>
                <w:szCs w:val="24"/>
              </w:rPr>
              <w:t>7</w:t>
            </w:r>
            <w:r w:rsidRPr="002B33CC">
              <w:rPr>
                <w:b/>
                <w:bCs/>
                <w:szCs w:val="24"/>
              </w:rPr>
              <w:t>-2</w:t>
            </w:r>
            <w:r w:rsidR="009F4811" w:rsidRPr="002B33CC">
              <w:rPr>
                <w:b/>
                <w:bCs/>
                <w:szCs w:val="24"/>
              </w:rPr>
              <w:t>7</w:t>
            </w:r>
            <w:r w:rsidRPr="002B33CC">
              <w:rPr>
                <w:b/>
                <w:bCs/>
                <w:szCs w:val="24"/>
              </w:rPr>
              <w:t xml:space="preserve"> de </w:t>
            </w:r>
            <w:r w:rsidR="009F4811" w:rsidRPr="002B33CC">
              <w:rPr>
                <w:b/>
                <w:bCs/>
                <w:szCs w:val="24"/>
              </w:rPr>
              <w:t>abril</w:t>
            </w:r>
            <w:r w:rsidRPr="002B33CC">
              <w:rPr>
                <w:b/>
                <w:bCs/>
                <w:szCs w:val="24"/>
              </w:rPr>
              <w:t xml:space="preserve"> de 201</w:t>
            </w:r>
            <w:r w:rsidR="009F4811" w:rsidRPr="002B33CC">
              <w:rPr>
                <w:b/>
                <w:bCs/>
                <w:szCs w:val="24"/>
              </w:rPr>
              <w:t>8</w:t>
            </w:r>
          </w:p>
        </w:tc>
        <w:tc>
          <w:tcPr>
            <w:tcW w:w="3261" w:type="dxa"/>
          </w:tcPr>
          <w:p w:rsidR="00093EEB" w:rsidRPr="002B33CC" w:rsidRDefault="00093EEB" w:rsidP="001D3A2F">
            <w:pPr>
              <w:spacing w:before="0"/>
              <w:jc w:val="right"/>
              <w:rPr>
                <w:szCs w:val="24"/>
              </w:rPr>
            </w:pPr>
            <w:bookmarkStart w:id="2" w:name="ditulogo"/>
            <w:bookmarkEnd w:id="2"/>
            <w:r w:rsidRPr="002B33C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2B33CC">
        <w:trPr>
          <w:cantSplit/>
          <w:trHeight w:val="20"/>
        </w:trPr>
        <w:tc>
          <w:tcPr>
            <w:tcW w:w="10173" w:type="dxa"/>
            <w:gridSpan w:val="2"/>
            <w:tcBorders>
              <w:bottom w:val="single" w:sz="12" w:space="0" w:color="auto"/>
            </w:tcBorders>
          </w:tcPr>
          <w:p w:rsidR="00093EEB" w:rsidRPr="002B33CC" w:rsidRDefault="00093EEB" w:rsidP="001D3A2F">
            <w:pPr>
              <w:spacing w:before="0"/>
              <w:rPr>
                <w:b/>
                <w:bCs/>
                <w:szCs w:val="24"/>
              </w:rPr>
            </w:pPr>
          </w:p>
        </w:tc>
      </w:tr>
      <w:tr w:rsidR="00093EEB" w:rsidRPr="002B33CC">
        <w:trPr>
          <w:cantSplit/>
          <w:trHeight w:val="20"/>
        </w:trPr>
        <w:tc>
          <w:tcPr>
            <w:tcW w:w="6912" w:type="dxa"/>
            <w:tcBorders>
              <w:top w:val="single" w:sz="12" w:space="0" w:color="auto"/>
            </w:tcBorders>
          </w:tcPr>
          <w:p w:rsidR="00093EEB" w:rsidRPr="002B33CC" w:rsidRDefault="00093EEB" w:rsidP="001D3A2F">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2B33CC" w:rsidRDefault="00093EEB" w:rsidP="001D3A2F">
            <w:pPr>
              <w:spacing w:before="0"/>
              <w:rPr>
                <w:b/>
                <w:bCs/>
                <w:szCs w:val="24"/>
              </w:rPr>
            </w:pPr>
          </w:p>
        </w:tc>
      </w:tr>
      <w:tr w:rsidR="00093EEB" w:rsidRPr="002B33CC">
        <w:trPr>
          <w:cantSplit/>
          <w:trHeight w:val="20"/>
        </w:trPr>
        <w:tc>
          <w:tcPr>
            <w:tcW w:w="6912" w:type="dxa"/>
            <w:shd w:val="clear" w:color="auto" w:fill="auto"/>
          </w:tcPr>
          <w:p w:rsidR="00093EEB" w:rsidRPr="002B33CC" w:rsidRDefault="00F57DA6" w:rsidP="001D3A2F">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2B33CC">
              <w:rPr>
                <w:rFonts w:cs="Times"/>
                <w:b/>
                <w:szCs w:val="24"/>
              </w:rPr>
              <w:t>Punto del orden del día: ADM 5</w:t>
            </w:r>
          </w:p>
        </w:tc>
        <w:tc>
          <w:tcPr>
            <w:tcW w:w="3261" w:type="dxa"/>
          </w:tcPr>
          <w:p w:rsidR="00093EEB" w:rsidRPr="002B33CC" w:rsidRDefault="00093EEB" w:rsidP="001D3A2F">
            <w:pPr>
              <w:spacing w:before="0"/>
              <w:rPr>
                <w:b/>
                <w:bCs/>
                <w:szCs w:val="24"/>
              </w:rPr>
            </w:pPr>
            <w:r w:rsidRPr="002B33CC">
              <w:rPr>
                <w:b/>
                <w:bCs/>
                <w:szCs w:val="24"/>
              </w:rPr>
              <w:t>Documento C1</w:t>
            </w:r>
            <w:r w:rsidR="009F4811" w:rsidRPr="002B33CC">
              <w:rPr>
                <w:b/>
                <w:bCs/>
                <w:szCs w:val="24"/>
              </w:rPr>
              <w:t>8</w:t>
            </w:r>
            <w:r w:rsidRPr="002B33CC">
              <w:rPr>
                <w:b/>
                <w:bCs/>
                <w:szCs w:val="24"/>
              </w:rPr>
              <w:t>/</w:t>
            </w:r>
            <w:r w:rsidR="00F57DA6" w:rsidRPr="002B33CC">
              <w:rPr>
                <w:b/>
                <w:bCs/>
                <w:szCs w:val="24"/>
              </w:rPr>
              <w:t>59</w:t>
            </w:r>
            <w:r w:rsidRPr="002B33CC">
              <w:rPr>
                <w:b/>
                <w:bCs/>
                <w:szCs w:val="24"/>
              </w:rPr>
              <w:t>-S</w:t>
            </w:r>
          </w:p>
        </w:tc>
      </w:tr>
      <w:tr w:rsidR="00093EEB" w:rsidRPr="002B33CC">
        <w:trPr>
          <w:cantSplit/>
          <w:trHeight w:val="20"/>
        </w:trPr>
        <w:tc>
          <w:tcPr>
            <w:tcW w:w="6912" w:type="dxa"/>
            <w:shd w:val="clear" w:color="auto" w:fill="auto"/>
          </w:tcPr>
          <w:p w:rsidR="00093EEB" w:rsidRPr="002B33CC" w:rsidRDefault="00093EEB" w:rsidP="001D3A2F">
            <w:pPr>
              <w:shd w:val="solid" w:color="FFFFFF" w:fill="FFFFFF"/>
              <w:spacing w:before="0"/>
              <w:rPr>
                <w:smallCaps/>
                <w:szCs w:val="24"/>
              </w:rPr>
            </w:pPr>
            <w:bookmarkStart w:id="5" w:name="ddate" w:colFirst="1" w:colLast="1"/>
            <w:bookmarkEnd w:id="3"/>
            <w:bookmarkEnd w:id="4"/>
          </w:p>
        </w:tc>
        <w:tc>
          <w:tcPr>
            <w:tcW w:w="3261" w:type="dxa"/>
          </w:tcPr>
          <w:p w:rsidR="00093EEB" w:rsidRPr="002B33CC" w:rsidRDefault="00F57DA6" w:rsidP="001D3A2F">
            <w:pPr>
              <w:spacing w:before="0"/>
              <w:rPr>
                <w:b/>
                <w:bCs/>
                <w:szCs w:val="24"/>
              </w:rPr>
            </w:pPr>
            <w:r w:rsidRPr="002B33CC">
              <w:rPr>
                <w:b/>
                <w:bCs/>
                <w:szCs w:val="24"/>
              </w:rPr>
              <w:t>8 de marzo</w:t>
            </w:r>
            <w:r w:rsidR="00093EEB" w:rsidRPr="002B33CC">
              <w:rPr>
                <w:b/>
                <w:bCs/>
                <w:szCs w:val="24"/>
              </w:rPr>
              <w:t xml:space="preserve"> de 201</w:t>
            </w:r>
            <w:r w:rsidR="009F4811" w:rsidRPr="002B33CC">
              <w:rPr>
                <w:b/>
                <w:bCs/>
                <w:szCs w:val="24"/>
              </w:rPr>
              <w:t>8</w:t>
            </w:r>
          </w:p>
        </w:tc>
      </w:tr>
      <w:tr w:rsidR="00093EEB" w:rsidRPr="002B33CC">
        <w:trPr>
          <w:cantSplit/>
          <w:trHeight w:val="20"/>
        </w:trPr>
        <w:tc>
          <w:tcPr>
            <w:tcW w:w="6912" w:type="dxa"/>
            <w:shd w:val="clear" w:color="auto" w:fill="auto"/>
          </w:tcPr>
          <w:p w:rsidR="00093EEB" w:rsidRPr="002B33CC" w:rsidRDefault="00093EEB" w:rsidP="001D3A2F">
            <w:pPr>
              <w:shd w:val="solid" w:color="FFFFFF" w:fill="FFFFFF"/>
              <w:spacing w:before="0"/>
              <w:rPr>
                <w:smallCaps/>
                <w:szCs w:val="24"/>
              </w:rPr>
            </w:pPr>
            <w:bookmarkStart w:id="6" w:name="dorlang" w:colFirst="1" w:colLast="1"/>
            <w:bookmarkEnd w:id="5"/>
          </w:p>
        </w:tc>
        <w:tc>
          <w:tcPr>
            <w:tcW w:w="3261" w:type="dxa"/>
          </w:tcPr>
          <w:p w:rsidR="00093EEB" w:rsidRPr="002B33CC" w:rsidRDefault="00093EEB" w:rsidP="001D3A2F">
            <w:pPr>
              <w:spacing w:before="0"/>
              <w:rPr>
                <w:b/>
                <w:bCs/>
                <w:szCs w:val="24"/>
              </w:rPr>
            </w:pPr>
            <w:r w:rsidRPr="002B33CC">
              <w:rPr>
                <w:b/>
                <w:bCs/>
                <w:szCs w:val="24"/>
              </w:rPr>
              <w:t>Original: inglés</w:t>
            </w:r>
          </w:p>
        </w:tc>
      </w:tr>
      <w:tr w:rsidR="00093EEB" w:rsidRPr="002B33CC">
        <w:trPr>
          <w:cantSplit/>
        </w:trPr>
        <w:tc>
          <w:tcPr>
            <w:tcW w:w="10173" w:type="dxa"/>
            <w:gridSpan w:val="2"/>
          </w:tcPr>
          <w:p w:rsidR="00093EEB" w:rsidRPr="002B33CC" w:rsidRDefault="00F57DA6" w:rsidP="001D3A2F">
            <w:pPr>
              <w:pStyle w:val="Source"/>
            </w:pPr>
            <w:bookmarkStart w:id="7" w:name="dsource" w:colFirst="0" w:colLast="0"/>
            <w:bookmarkEnd w:id="1"/>
            <w:bookmarkEnd w:id="6"/>
            <w:r w:rsidRPr="002B33CC">
              <w:t>Informe del Secretario General</w:t>
            </w:r>
          </w:p>
        </w:tc>
      </w:tr>
      <w:tr w:rsidR="00093EEB" w:rsidRPr="002B33CC">
        <w:trPr>
          <w:cantSplit/>
        </w:trPr>
        <w:tc>
          <w:tcPr>
            <w:tcW w:w="10173" w:type="dxa"/>
            <w:gridSpan w:val="2"/>
          </w:tcPr>
          <w:p w:rsidR="00093EEB" w:rsidRPr="002B33CC" w:rsidRDefault="00F57DA6" w:rsidP="001D3A2F">
            <w:pPr>
              <w:pStyle w:val="Title1"/>
            </w:pPr>
            <w:bookmarkStart w:id="8" w:name="dtitle1" w:colFirst="0" w:colLast="0"/>
            <w:bookmarkEnd w:id="7"/>
            <w:r w:rsidRPr="002B33CC">
              <w:t>memorandos de ent</w:t>
            </w:r>
            <w:bookmarkStart w:id="9" w:name="_GoBack"/>
            <w:bookmarkEnd w:id="9"/>
            <w:r w:rsidRPr="002B33CC">
              <w:t xml:space="preserve">endimiento que tienen </w:t>
            </w:r>
            <w:r w:rsidRPr="002B33CC">
              <w:br/>
              <w:t>repercusiones financieras y/o estratégicas</w:t>
            </w:r>
          </w:p>
        </w:tc>
      </w:tr>
      <w:bookmarkEnd w:id="8"/>
    </w:tbl>
    <w:p w:rsidR="00093EEB" w:rsidRPr="002B33CC" w:rsidRDefault="00093EEB" w:rsidP="001D3A2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B33C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B33CC" w:rsidRDefault="00093EEB" w:rsidP="001D3A2F">
            <w:pPr>
              <w:pStyle w:val="Headingb"/>
            </w:pPr>
            <w:r w:rsidRPr="002B33CC">
              <w:t>Resumen</w:t>
            </w:r>
          </w:p>
          <w:p w:rsidR="00093EEB" w:rsidRPr="002B33CC" w:rsidRDefault="00F57DA6" w:rsidP="001D3A2F">
            <w:r w:rsidRPr="002B33CC">
              <w:t>El presente documento contiene una relación de memorandos de entendimiento</w:t>
            </w:r>
            <w:r w:rsidR="00C739FF" w:rsidRPr="002B33CC">
              <w:t xml:space="preserve"> (</w:t>
            </w:r>
            <w:proofErr w:type="spellStart"/>
            <w:r w:rsidR="00C739FF" w:rsidRPr="002B33CC">
              <w:t>MoU</w:t>
            </w:r>
            <w:proofErr w:type="spellEnd"/>
            <w:r w:rsidR="00C739FF" w:rsidRPr="002B33CC">
              <w:t>)</w:t>
            </w:r>
            <w:r w:rsidRPr="002B33CC">
              <w:t>/acuerdos suscritos por la UIT desde la última reunión del Consejo y que tienen repercusiones financieras y/o estratégicas para la Unión. Cada uno de los memorandos de entendimiento/acuerdos contenidos en esta relación se reproduce en el anexo al presente documento.</w:t>
            </w:r>
          </w:p>
          <w:p w:rsidR="00093EEB" w:rsidRPr="002B33CC" w:rsidRDefault="00093EEB" w:rsidP="001D3A2F">
            <w:pPr>
              <w:pStyle w:val="Headingb"/>
            </w:pPr>
            <w:r w:rsidRPr="002B33CC">
              <w:t>Acción solicitada</w:t>
            </w:r>
          </w:p>
          <w:p w:rsidR="00093EEB" w:rsidRPr="002B33CC" w:rsidRDefault="003153B9" w:rsidP="001D3A2F">
            <w:bookmarkStart w:id="10" w:name="lt_pId019"/>
            <w:r w:rsidRPr="002B33CC">
              <w:rPr>
                <w:szCs w:val="24"/>
              </w:rPr>
              <w:t xml:space="preserve">Se invita al Consejo a </w:t>
            </w:r>
            <w:r w:rsidRPr="002B33CC">
              <w:rPr>
                <w:b/>
                <w:bCs/>
                <w:szCs w:val="24"/>
              </w:rPr>
              <w:t>tomar nota</w:t>
            </w:r>
            <w:r w:rsidRPr="002B33CC">
              <w:rPr>
                <w:szCs w:val="24"/>
              </w:rPr>
              <w:t xml:space="preserve"> del informe</w:t>
            </w:r>
            <w:r w:rsidR="00F57DA6" w:rsidRPr="002B33CC">
              <w:rPr>
                <w:szCs w:val="24"/>
              </w:rPr>
              <w:t>.</w:t>
            </w:r>
            <w:bookmarkEnd w:id="10"/>
          </w:p>
        </w:tc>
      </w:tr>
    </w:tbl>
    <w:p w:rsidR="00F57DA6" w:rsidRPr="002B33CC" w:rsidRDefault="00F57DA6" w:rsidP="001D3A2F">
      <w:pPr>
        <w:tabs>
          <w:tab w:val="clear" w:pos="567"/>
          <w:tab w:val="clear" w:pos="1134"/>
          <w:tab w:val="clear" w:pos="1701"/>
          <w:tab w:val="clear" w:pos="2268"/>
          <w:tab w:val="clear" w:pos="2835"/>
          <w:tab w:val="center" w:pos="6804"/>
        </w:tabs>
        <w:spacing w:before="840"/>
      </w:pPr>
      <w:r w:rsidRPr="002B33CC">
        <w:tab/>
        <w:t>Houlin ZHAO</w:t>
      </w:r>
      <w:r w:rsidRPr="002B33CC">
        <w:br/>
      </w:r>
      <w:r w:rsidRPr="002B33CC">
        <w:tab/>
        <w:t>Secretario General</w:t>
      </w:r>
    </w:p>
    <w:p w:rsidR="00F57DA6" w:rsidRPr="002B33CC" w:rsidRDefault="00F57DA6" w:rsidP="001D3A2F">
      <w:r w:rsidRPr="002B33CC">
        <w:br w:type="page"/>
      </w:r>
    </w:p>
    <w:tbl>
      <w:tblPr>
        <w:tblOverlap w:val="never"/>
        <w:tblW w:w="0" w:type="auto"/>
        <w:jc w:val="center"/>
        <w:tblLayout w:type="fixed"/>
        <w:tblLook w:val="0000" w:firstRow="0" w:lastRow="0" w:firstColumn="0" w:lastColumn="0" w:noHBand="0" w:noVBand="0"/>
      </w:tblPr>
      <w:tblGrid>
        <w:gridCol w:w="2263"/>
        <w:gridCol w:w="3828"/>
        <w:gridCol w:w="1559"/>
        <w:gridCol w:w="1559"/>
      </w:tblGrid>
      <w:tr w:rsidR="00F57DA6" w:rsidRPr="002B33CC" w:rsidTr="00233155">
        <w:trPr>
          <w:cantSplit/>
          <w:trHeight w:val="20"/>
          <w:jc w:val="center"/>
        </w:trPr>
        <w:tc>
          <w:tcPr>
            <w:tcW w:w="2263" w:type="dxa"/>
            <w:tcBorders>
              <w:top w:val="single" w:sz="4" w:space="0" w:color="auto"/>
              <w:left w:val="single" w:sz="4" w:space="0" w:color="auto"/>
            </w:tcBorders>
            <w:shd w:val="clear" w:color="auto" w:fill="FFFFFF"/>
            <w:vAlign w:val="center"/>
          </w:tcPr>
          <w:p w:rsidR="00F57DA6" w:rsidRPr="002B33CC" w:rsidRDefault="00F57DA6" w:rsidP="001D3A2F">
            <w:pPr>
              <w:pStyle w:val="Tablehead"/>
            </w:pPr>
            <w:r w:rsidRPr="002B33CC">
              <w:lastRenderedPageBreak/>
              <w:t>Contraparte</w:t>
            </w:r>
            <w:r w:rsidR="002F6A7F" w:rsidRPr="002B33CC">
              <w:t>(s)</w:t>
            </w:r>
          </w:p>
        </w:tc>
        <w:tc>
          <w:tcPr>
            <w:tcW w:w="3828" w:type="dxa"/>
            <w:tcBorders>
              <w:top w:val="single" w:sz="4" w:space="0" w:color="auto"/>
              <w:left w:val="single" w:sz="4" w:space="0" w:color="auto"/>
            </w:tcBorders>
            <w:shd w:val="clear" w:color="auto" w:fill="FFFFFF"/>
            <w:vAlign w:val="center"/>
          </w:tcPr>
          <w:p w:rsidR="00F57DA6" w:rsidRPr="002B33CC" w:rsidRDefault="00F57DA6" w:rsidP="001D3A2F">
            <w:pPr>
              <w:pStyle w:val="Tablehead"/>
            </w:pPr>
            <w:r w:rsidRPr="002B33CC">
              <w:t>Asunto</w:t>
            </w:r>
          </w:p>
        </w:tc>
        <w:tc>
          <w:tcPr>
            <w:tcW w:w="1559" w:type="dxa"/>
            <w:tcBorders>
              <w:top w:val="single" w:sz="4" w:space="0" w:color="auto"/>
              <w:left w:val="single" w:sz="4" w:space="0" w:color="auto"/>
            </w:tcBorders>
            <w:shd w:val="clear" w:color="auto" w:fill="FFFFFF"/>
            <w:vAlign w:val="center"/>
          </w:tcPr>
          <w:p w:rsidR="00F57DA6" w:rsidRPr="002B33CC" w:rsidRDefault="00F57DA6" w:rsidP="001D3A2F">
            <w:pPr>
              <w:pStyle w:val="Tablehead"/>
            </w:pPr>
            <w:r w:rsidRPr="002B33CC">
              <w:t xml:space="preserve">Fecha de </w:t>
            </w:r>
            <w:r w:rsidR="002F6A7F" w:rsidRPr="002B33CC">
              <w:br/>
            </w:r>
            <w:r w:rsidRPr="002B33CC">
              <w:t>la firma</w:t>
            </w:r>
          </w:p>
        </w:tc>
        <w:tc>
          <w:tcPr>
            <w:tcW w:w="1559" w:type="dxa"/>
            <w:tcBorders>
              <w:top w:val="single" w:sz="4" w:space="0" w:color="auto"/>
              <w:left w:val="single" w:sz="4" w:space="0" w:color="auto"/>
              <w:right w:val="single" w:sz="4" w:space="0" w:color="auto"/>
            </w:tcBorders>
            <w:shd w:val="clear" w:color="auto" w:fill="FFFFFF"/>
            <w:vAlign w:val="center"/>
          </w:tcPr>
          <w:p w:rsidR="00F57DA6" w:rsidRPr="002B33CC" w:rsidRDefault="00F57DA6" w:rsidP="001D3A2F">
            <w:pPr>
              <w:pStyle w:val="Tablehead"/>
            </w:pPr>
            <w:r w:rsidRPr="002B33CC">
              <w:t xml:space="preserve">Coordinador </w:t>
            </w:r>
            <w:r w:rsidRPr="002B33CC">
              <w:br/>
              <w:t>de la UIT</w:t>
            </w:r>
          </w:p>
        </w:tc>
      </w:tr>
      <w:tr w:rsidR="00F57DA6" w:rsidRPr="002B33CC" w:rsidTr="00233155">
        <w:trPr>
          <w:cantSplit/>
          <w:trHeight w:val="20"/>
          <w:jc w:val="center"/>
        </w:trPr>
        <w:tc>
          <w:tcPr>
            <w:tcW w:w="2263" w:type="dxa"/>
            <w:tcBorders>
              <w:top w:val="single" w:sz="4" w:space="0" w:color="auto"/>
              <w:left w:val="single" w:sz="4" w:space="0" w:color="auto"/>
            </w:tcBorders>
            <w:shd w:val="clear" w:color="auto" w:fill="FFFFFF"/>
          </w:tcPr>
          <w:p w:rsidR="00F57DA6" w:rsidRPr="002B33CC" w:rsidRDefault="003153B9" w:rsidP="001D3A2F">
            <w:pPr>
              <w:pStyle w:val="Tabletext"/>
            </w:pPr>
            <w:r w:rsidRPr="002B33CC">
              <w:t xml:space="preserve">Ministerio de Industria y Tecnología de la Información de la República Popular </w:t>
            </w:r>
            <w:r w:rsidR="00233155" w:rsidRPr="002B33CC">
              <w:t>de </w:t>
            </w:r>
            <w:r w:rsidRPr="002B33CC">
              <w:t>China</w:t>
            </w:r>
          </w:p>
        </w:tc>
        <w:tc>
          <w:tcPr>
            <w:tcW w:w="3828" w:type="dxa"/>
            <w:tcBorders>
              <w:top w:val="single" w:sz="4" w:space="0" w:color="auto"/>
              <w:left w:val="single" w:sz="4" w:space="0" w:color="auto"/>
            </w:tcBorders>
            <w:shd w:val="clear" w:color="auto" w:fill="FFFFFF"/>
          </w:tcPr>
          <w:p w:rsidR="00F57DA6" w:rsidRPr="002B33CC" w:rsidRDefault="000342A4" w:rsidP="001D3A2F">
            <w:pPr>
              <w:pStyle w:val="Tabletext"/>
            </w:pPr>
            <w:r w:rsidRPr="002B33CC">
              <w:t>Memorá</w:t>
            </w:r>
            <w:r w:rsidR="00F57DA6" w:rsidRPr="002B33CC">
              <w:t>nd</w:t>
            </w:r>
            <w:r w:rsidRPr="002B33CC">
              <w:t>um</w:t>
            </w:r>
            <w:r w:rsidR="003153B9" w:rsidRPr="002B33CC">
              <w:t xml:space="preserve"> de </w:t>
            </w:r>
            <w:r w:rsidR="00751539" w:rsidRPr="002B33CC">
              <w:t xml:space="preserve">Entendimiento </w:t>
            </w:r>
            <w:r w:rsidR="00F57DA6" w:rsidRPr="002B33CC">
              <w:t xml:space="preserve">– </w:t>
            </w:r>
            <w:r w:rsidR="003153B9" w:rsidRPr="002B33CC">
              <w:t>para ayudar a la Unión Internacional de Telecomunicaciones (UIT) a efectuar mediciones relacionadas con casos de interferencia perjudicial a servicios espaciales</w:t>
            </w:r>
          </w:p>
        </w:tc>
        <w:tc>
          <w:tcPr>
            <w:tcW w:w="1559" w:type="dxa"/>
            <w:tcBorders>
              <w:top w:val="single" w:sz="4" w:space="0" w:color="auto"/>
              <w:left w:val="single" w:sz="4" w:space="0" w:color="auto"/>
            </w:tcBorders>
            <w:shd w:val="clear" w:color="auto" w:fill="FFFFFF"/>
          </w:tcPr>
          <w:p w:rsidR="00F57DA6" w:rsidRPr="002B33CC" w:rsidRDefault="00F57DA6" w:rsidP="001D3A2F">
            <w:pPr>
              <w:pStyle w:val="Tabletext"/>
              <w:jc w:val="center"/>
            </w:pPr>
            <w:r w:rsidRPr="002B33CC">
              <w:t>18.09.17</w:t>
            </w:r>
          </w:p>
        </w:tc>
        <w:tc>
          <w:tcPr>
            <w:tcW w:w="1559" w:type="dxa"/>
            <w:tcBorders>
              <w:top w:val="single" w:sz="4" w:space="0" w:color="auto"/>
              <w:left w:val="single" w:sz="4" w:space="0" w:color="auto"/>
              <w:right w:val="single" w:sz="4" w:space="0" w:color="auto"/>
            </w:tcBorders>
            <w:shd w:val="clear" w:color="auto" w:fill="FFFFFF"/>
          </w:tcPr>
          <w:p w:rsidR="00F57DA6" w:rsidRPr="002B33CC" w:rsidRDefault="00F57DA6" w:rsidP="001D3A2F">
            <w:pPr>
              <w:pStyle w:val="Tabletext"/>
              <w:jc w:val="center"/>
            </w:pPr>
            <w:r w:rsidRPr="002B33CC">
              <w:t>BR</w:t>
            </w:r>
          </w:p>
        </w:tc>
      </w:tr>
      <w:tr w:rsidR="00F57DA6" w:rsidRPr="002B33CC" w:rsidTr="00233155">
        <w:trPr>
          <w:cantSplit/>
          <w:trHeight w:val="20"/>
          <w:jc w:val="center"/>
        </w:trPr>
        <w:tc>
          <w:tcPr>
            <w:tcW w:w="2263" w:type="dxa"/>
            <w:tcBorders>
              <w:top w:val="single" w:sz="4" w:space="0" w:color="auto"/>
              <w:left w:val="single" w:sz="4" w:space="0" w:color="auto"/>
              <w:bottom w:val="single" w:sz="4" w:space="0" w:color="auto"/>
            </w:tcBorders>
            <w:shd w:val="clear" w:color="auto" w:fill="FFFFFF"/>
          </w:tcPr>
          <w:p w:rsidR="00F57DA6" w:rsidRPr="002B33CC" w:rsidRDefault="00A55B50" w:rsidP="001D3A2F">
            <w:pPr>
              <w:pStyle w:val="Tabletext"/>
            </w:pPr>
            <w:r w:rsidRPr="002B33CC">
              <w:t>Servicio Central de Gestión de Radioco</w:t>
            </w:r>
            <w:r w:rsidR="00233155" w:rsidRPr="002B33CC">
              <w:t>municaciones de la República de </w:t>
            </w:r>
            <w:r w:rsidRPr="002B33CC">
              <w:t>Corea</w:t>
            </w:r>
          </w:p>
        </w:tc>
        <w:tc>
          <w:tcPr>
            <w:tcW w:w="3828" w:type="dxa"/>
            <w:tcBorders>
              <w:top w:val="single" w:sz="4" w:space="0" w:color="auto"/>
              <w:left w:val="single" w:sz="4" w:space="0" w:color="auto"/>
              <w:bottom w:val="single" w:sz="4" w:space="0" w:color="auto"/>
            </w:tcBorders>
            <w:shd w:val="clear" w:color="auto" w:fill="FFFFFF"/>
          </w:tcPr>
          <w:p w:rsidR="00F57DA6" w:rsidRPr="002B33CC" w:rsidRDefault="000342A4" w:rsidP="001D3A2F">
            <w:pPr>
              <w:pStyle w:val="Tabletext"/>
            </w:pPr>
            <w:r w:rsidRPr="002B33CC">
              <w:t>Memorá</w:t>
            </w:r>
            <w:r w:rsidR="00F57DA6" w:rsidRPr="002B33CC">
              <w:t>nd</w:t>
            </w:r>
            <w:r w:rsidRPr="002B33CC">
              <w:t>um</w:t>
            </w:r>
            <w:r w:rsidR="00A55B50" w:rsidRPr="002B33CC">
              <w:t xml:space="preserve"> de </w:t>
            </w:r>
            <w:r w:rsidR="00751539" w:rsidRPr="002B33CC">
              <w:t xml:space="preserve">Entendimiento </w:t>
            </w:r>
            <w:r w:rsidR="00A55B50" w:rsidRPr="002B33CC">
              <w:t>sobre cooperación</w:t>
            </w:r>
            <w:r w:rsidR="00F57DA6" w:rsidRPr="002B33CC">
              <w:t xml:space="preserve"> – </w:t>
            </w:r>
            <w:r w:rsidR="00A55B50" w:rsidRPr="002B33CC">
              <w:t xml:space="preserve">para ayudar a la UIT a realizar mediciones relativas a casos de interferencia perjudicial </w:t>
            </w:r>
            <w:r w:rsidR="00AB3BD9" w:rsidRPr="002B33CC">
              <w:t>para los cuales</w:t>
            </w:r>
            <w:r w:rsidR="00A55B50" w:rsidRPr="002B33CC">
              <w:t xml:space="preserve"> una administración solicita la asistencia de la UIT</w:t>
            </w:r>
          </w:p>
        </w:tc>
        <w:tc>
          <w:tcPr>
            <w:tcW w:w="1559" w:type="dxa"/>
            <w:tcBorders>
              <w:top w:val="single" w:sz="4" w:space="0" w:color="auto"/>
              <w:left w:val="single" w:sz="4" w:space="0" w:color="auto"/>
              <w:bottom w:val="single" w:sz="4" w:space="0" w:color="auto"/>
            </w:tcBorders>
            <w:shd w:val="clear" w:color="auto" w:fill="FFFFFF"/>
          </w:tcPr>
          <w:p w:rsidR="00F57DA6" w:rsidRPr="002B33CC" w:rsidRDefault="00F57DA6" w:rsidP="001D3A2F">
            <w:pPr>
              <w:pStyle w:val="Tabletext"/>
              <w:jc w:val="center"/>
            </w:pPr>
            <w:r w:rsidRPr="002B33CC">
              <w:t>26.09.17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57DA6" w:rsidRPr="002B33CC" w:rsidRDefault="00F57DA6" w:rsidP="001D3A2F">
            <w:pPr>
              <w:pStyle w:val="Tabletext"/>
              <w:jc w:val="center"/>
            </w:pPr>
            <w:r w:rsidRPr="002B33CC">
              <w:t>BR</w:t>
            </w:r>
          </w:p>
        </w:tc>
      </w:tr>
    </w:tbl>
    <w:p w:rsidR="00F57DA6" w:rsidRPr="002B33CC" w:rsidRDefault="00F57DA6" w:rsidP="001D3A2F">
      <w:pPr>
        <w:spacing w:before="1320"/>
        <w:rPr>
          <w:b/>
          <w:bCs/>
        </w:rPr>
      </w:pPr>
      <w:r w:rsidRPr="002B33CC">
        <w:rPr>
          <w:b/>
          <w:bCs/>
        </w:rPr>
        <w:t>Anexos</w:t>
      </w:r>
      <w:r w:rsidRPr="002B33CC">
        <w:t>: 2</w:t>
      </w:r>
    </w:p>
    <w:p w:rsidR="00F57DA6" w:rsidRPr="002B33CC" w:rsidRDefault="00F57DA6" w:rsidP="001D3A2F">
      <w:r w:rsidRPr="002B33CC">
        <w:br w:type="page"/>
      </w:r>
    </w:p>
    <w:p w:rsidR="002501CE" w:rsidRPr="002B33CC" w:rsidRDefault="00A46389" w:rsidP="001D3A2F">
      <w:pPr>
        <w:pStyle w:val="AnnexNo"/>
      </w:pPr>
      <w:r w:rsidRPr="002B33CC">
        <w:lastRenderedPageBreak/>
        <w:t>ANEXO A</w:t>
      </w:r>
    </w:p>
    <w:p w:rsidR="00E9057C" w:rsidRPr="002B33CC" w:rsidRDefault="00D701E2" w:rsidP="001D3A2F">
      <w:pPr>
        <w:pStyle w:val="Title4"/>
        <w:spacing w:before="120"/>
      </w:pPr>
      <w:r w:rsidRPr="002B33CC">
        <w:t xml:space="preserve">Memorándum de </w:t>
      </w:r>
      <w:r w:rsidR="00751539" w:rsidRPr="002B33CC">
        <w:t>Entendimiento</w:t>
      </w:r>
    </w:p>
    <w:p w:rsidR="00E9057C" w:rsidRPr="002B33CC" w:rsidRDefault="00E9057C" w:rsidP="001D3A2F">
      <w:pPr>
        <w:pStyle w:val="Title4"/>
        <w:spacing w:before="120"/>
      </w:pPr>
      <w:proofErr w:type="gramStart"/>
      <w:r w:rsidRPr="002B33CC">
        <w:t>entre</w:t>
      </w:r>
      <w:proofErr w:type="gramEnd"/>
    </w:p>
    <w:p w:rsidR="00E9057C" w:rsidRPr="002B33CC" w:rsidRDefault="00E9057C" w:rsidP="001D3A2F">
      <w:pPr>
        <w:pStyle w:val="Title4"/>
        <w:spacing w:before="120"/>
      </w:pPr>
      <w:proofErr w:type="gramStart"/>
      <w:r w:rsidRPr="002B33CC">
        <w:t>el</w:t>
      </w:r>
      <w:proofErr w:type="gramEnd"/>
      <w:r w:rsidRPr="002B33CC">
        <w:t xml:space="preserve"> Ministerio de Industria y Tecnología de la Información </w:t>
      </w:r>
      <w:r w:rsidRPr="002B33CC">
        <w:br/>
        <w:t>de la República Popular de China</w:t>
      </w:r>
    </w:p>
    <w:p w:rsidR="00E9057C" w:rsidRPr="002B33CC" w:rsidRDefault="00E9057C" w:rsidP="001D3A2F">
      <w:pPr>
        <w:pStyle w:val="Title4"/>
        <w:spacing w:before="120"/>
      </w:pPr>
      <w:proofErr w:type="gramStart"/>
      <w:r w:rsidRPr="002B33CC">
        <w:t>y</w:t>
      </w:r>
      <w:proofErr w:type="gramEnd"/>
    </w:p>
    <w:p w:rsidR="00E9057C" w:rsidRPr="002B33CC" w:rsidRDefault="00E9057C" w:rsidP="001D3A2F">
      <w:pPr>
        <w:pStyle w:val="Title4"/>
        <w:spacing w:before="120"/>
      </w:pPr>
      <w:proofErr w:type="gramStart"/>
      <w:r w:rsidRPr="002B33CC">
        <w:t>la</w:t>
      </w:r>
      <w:proofErr w:type="gramEnd"/>
      <w:r w:rsidRPr="002B33CC">
        <w:t xml:space="preserve"> Unión Internacional de Telecomunicaciones</w:t>
      </w:r>
    </w:p>
    <w:p w:rsidR="00E9057C" w:rsidRPr="002B33CC" w:rsidRDefault="001E3D0C" w:rsidP="001D3A2F">
      <w:pPr>
        <w:pStyle w:val="Title4"/>
        <w:spacing w:before="120"/>
      </w:pPr>
      <w:proofErr w:type="gramStart"/>
      <w:r w:rsidRPr="002B33CC">
        <w:t>para</w:t>
      </w:r>
      <w:proofErr w:type="gramEnd"/>
    </w:p>
    <w:p w:rsidR="001E3D0C" w:rsidRPr="002B33CC" w:rsidRDefault="00E9057C" w:rsidP="001D3A2F">
      <w:pPr>
        <w:pStyle w:val="Title4"/>
        <w:spacing w:before="120"/>
      </w:pPr>
      <w:proofErr w:type="gramStart"/>
      <w:r w:rsidRPr="002B33CC">
        <w:t>ayudar</w:t>
      </w:r>
      <w:proofErr w:type="gramEnd"/>
      <w:r w:rsidRPr="002B33CC">
        <w:t xml:space="preserve"> a la Unión Internacional de Telecomunicaciones (UIT) a efectuar mediciones relacionadas con casos de interferencia </w:t>
      </w:r>
      <w:r w:rsidR="00D701E2" w:rsidRPr="002B33CC">
        <w:br/>
      </w:r>
      <w:r w:rsidRPr="002B33CC">
        <w:t xml:space="preserve">perjudicial </w:t>
      </w:r>
      <w:r w:rsidR="001E3D0C" w:rsidRPr="002B33CC">
        <w:t>a servicios espaciales</w:t>
      </w:r>
    </w:p>
    <w:p w:rsidR="001E3D0C" w:rsidRPr="002B33CC" w:rsidRDefault="001E3D0C" w:rsidP="001D3A2F">
      <w:pPr>
        <w:spacing w:before="480"/>
      </w:pPr>
      <w:r w:rsidRPr="002B33CC">
        <w:rPr>
          <w:rFonts w:cs="Calibri"/>
        </w:rPr>
        <w:t xml:space="preserve">El </w:t>
      </w:r>
      <w:r w:rsidRPr="002B33CC">
        <w:t>Ministerio</w:t>
      </w:r>
      <w:r w:rsidRPr="002B33CC">
        <w:rPr>
          <w:rFonts w:cs="Calibri"/>
        </w:rPr>
        <w:t xml:space="preserve"> de Industria y Tecnología de la Información de la República Popular de China (MIIT) y </w:t>
      </w:r>
      <w:r w:rsidRPr="002B33CC">
        <w:t>la Unión Internacional de Telecomunicaciones (UIT) (</w:t>
      </w:r>
      <w:r w:rsidR="00F86460" w:rsidRPr="002B33CC">
        <w:t>en lo sucesivo, "las Partes"</w:t>
      </w:r>
      <w:r w:rsidRPr="002B33CC">
        <w:t>):</w:t>
      </w:r>
    </w:p>
    <w:p w:rsidR="00E9057C" w:rsidRPr="002B33CC" w:rsidRDefault="00E9057C" w:rsidP="001D3A2F">
      <w:r w:rsidRPr="002B33CC">
        <w:rPr>
          <w:i/>
          <w:iCs/>
        </w:rPr>
        <w:t>Recordando</w:t>
      </w:r>
      <w:r w:rsidRPr="002B33CC">
        <w:t xml:space="preserve"> que la Constitución de la UIT (número 12) estipula, en particular, que la UIT "coordinará los esfuerzos para eliminar las interferencias perjudiciales entre las estaciones de radiocomunicación de los diferentes países";</w:t>
      </w:r>
    </w:p>
    <w:p w:rsidR="00E9057C" w:rsidRPr="002B33CC" w:rsidRDefault="00E9057C" w:rsidP="001D3A2F">
      <w:r w:rsidRPr="002B33CC">
        <w:rPr>
          <w:i/>
        </w:rPr>
        <w:t>Recordando</w:t>
      </w:r>
      <w:r w:rsidRPr="002B33CC">
        <w:t xml:space="preserve"> que los objetivos del Reglamento de Radiocomunicaciones de la UIT</w:t>
      </w:r>
      <w:r w:rsidR="007932A2" w:rsidRPr="002B33CC">
        <w:t xml:space="preserve"> ("Reglamento de Radiocomunicaciones")</w:t>
      </w:r>
      <w:r w:rsidRPr="002B33CC">
        <w:t xml:space="preserve"> (números 0.7 y 0.8) son, </w:t>
      </w:r>
      <w:r w:rsidRPr="002B33CC">
        <w:rPr>
          <w:i/>
        </w:rPr>
        <w:t>entre otros,</w:t>
      </w:r>
      <w:r w:rsidRPr="002B33CC">
        <w:t xml:space="preserve"> "garantizar la disponibilidad y la protección contra la interferencia perjudicial de las frecuencias designadas para fines de socorro y seguridad" y "contribuir a la prevención y resolución de los casos de interferencia perjudicial entre los servicios radioeléctricos de administraciones diferentes";</w:t>
      </w:r>
    </w:p>
    <w:p w:rsidR="00E9057C" w:rsidRPr="002B33CC" w:rsidRDefault="00E9057C" w:rsidP="001D3A2F">
      <w:pPr>
        <w:spacing w:after="120"/>
        <w:rPr>
          <w:rFonts w:cs="Calibri"/>
        </w:rPr>
      </w:pPr>
      <w:r w:rsidRPr="002B33CC">
        <w:rPr>
          <w:rFonts w:cs="Calibri"/>
          <w:i/>
        </w:rPr>
        <w:t>Recordando</w:t>
      </w:r>
      <w:r w:rsidRPr="002B33CC">
        <w:rPr>
          <w:rFonts w:cs="Calibri"/>
        </w:rPr>
        <w:t xml:space="preserve"> que el Reglamento de Radiocomunicaciones (número 15.28) estipula, en particular, que las administraciones </w:t>
      </w:r>
      <w:r w:rsidRPr="002B33CC">
        <w:t>convienen en tratar prioritariamente toda interferencia perjudicial causada en las frecuencias de socorro y seguridad así como en las frecuencias utilizadas para la seguridad de la aeronave y la regularidad del vuelo que llegue a su conocimiento;</w:t>
      </w:r>
    </w:p>
    <w:p w:rsidR="00E9057C" w:rsidRPr="002B33CC" w:rsidRDefault="00E9057C" w:rsidP="001D3A2F">
      <w:pPr>
        <w:rPr>
          <w:rFonts w:eastAsia="SimSun" w:cs="Calibri"/>
        </w:rPr>
      </w:pPr>
      <w:r w:rsidRPr="002B33CC">
        <w:rPr>
          <w:rFonts w:cs="Calibri"/>
          <w:i/>
        </w:rPr>
        <w:t>Recordando</w:t>
      </w:r>
      <w:r w:rsidRPr="002B33CC">
        <w:rPr>
          <w:rFonts w:cs="Calibri"/>
        </w:rPr>
        <w:t xml:space="preserve"> que el Reglamento de Radiocomunicaciones (número </w:t>
      </w:r>
      <w:r w:rsidRPr="002B33CC">
        <w:rPr>
          <w:rFonts w:eastAsia="SimSun" w:cs="Calibri"/>
        </w:rPr>
        <w:t xml:space="preserve">0.3) se funda en el principio según el cual </w:t>
      </w:r>
      <w:r w:rsidRPr="002B33CC">
        <w:t>las frecuencias de radiocomunicaciones y todas las órbita afines, incluida la órbita de los satélites geoestacionarios, son recursos naturales limitados que deben utilizarse de forma racional, eficaz y económica;</w:t>
      </w:r>
    </w:p>
    <w:p w:rsidR="00E9057C" w:rsidRPr="002B33CC" w:rsidRDefault="00E9057C" w:rsidP="001D3A2F">
      <w:pPr>
        <w:rPr>
          <w:rFonts w:eastAsia="SimSun" w:cs="Calibri"/>
        </w:rPr>
      </w:pPr>
      <w:r w:rsidRPr="002B33CC">
        <w:rPr>
          <w:rFonts w:eastAsia="SimSun" w:cs="Calibri"/>
          <w:i/>
        </w:rPr>
        <w:t>Recordando</w:t>
      </w:r>
      <w:r w:rsidRPr="002B33CC">
        <w:rPr>
          <w:rFonts w:eastAsia="SimSun" w:cs="Calibri"/>
        </w:rPr>
        <w:t xml:space="preserve"> que "</w:t>
      </w:r>
      <w:r w:rsidRPr="002B33CC">
        <w:t>para contribuir a la utilización eficaz y económica del espectro de frecuencias radioeléctricas y a la pronta eliminación de interferencias perjudiciales, las administraciones convienen en seguir fomentando los medios de comprobación técnica de las emisiones y cooperar, en la medida de lo posible, al perfeccionamiento progresivo del sistema de comprobación técnica internacional de las emisiones</w:t>
      </w:r>
      <w:r w:rsidRPr="002B33CC">
        <w:rPr>
          <w:rFonts w:eastAsia="SimSun" w:cs="Calibri"/>
        </w:rPr>
        <w:t>" (número 16.1 del Reglamento de Radiocomunicaciones);</w:t>
      </w:r>
    </w:p>
    <w:p w:rsidR="00E9057C" w:rsidRPr="002B33CC" w:rsidRDefault="00E9057C" w:rsidP="001D3A2F">
      <w:pPr>
        <w:keepNext/>
        <w:keepLines/>
      </w:pPr>
      <w:r w:rsidRPr="002B33CC">
        <w:rPr>
          <w:i/>
        </w:rPr>
        <w:lastRenderedPageBreak/>
        <w:t>Recordando</w:t>
      </w:r>
      <w:r w:rsidRPr="002B33CC">
        <w:t xml:space="preserve"> que "Los derechos y obligaciones internacionales de las administraciones con respecto a sus propias asignaciones de frecuencia y a las de otras administraciones emanarán de la inscripción de esas asignaciones en el Registro Internacional de </w:t>
      </w:r>
      <w:proofErr w:type="gramStart"/>
      <w:r w:rsidRPr="002B33CC">
        <w:t>Frecuencias …</w:t>
      </w:r>
      <w:proofErr w:type="gramEnd"/>
      <w:r w:rsidRPr="002B33CC">
        <w:t xml:space="preserve"> " (número 8.1 del Reglamento de Radiocomunicaciones);</w:t>
      </w:r>
    </w:p>
    <w:p w:rsidR="00E9057C" w:rsidRPr="002B33CC" w:rsidRDefault="00E9057C" w:rsidP="001D3A2F">
      <w:r w:rsidRPr="002B33CC">
        <w:rPr>
          <w:i/>
        </w:rPr>
        <w:t>Recordando</w:t>
      </w:r>
      <w:r w:rsidRPr="002B33CC">
        <w:t xml:space="preserve"> que la Oficina de Radiocomunicaciones"… será la única responsable del mantenimiento del </w:t>
      </w:r>
      <w:proofErr w:type="gramStart"/>
      <w:r w:rsidRPr="002B33CC">
        <w:t>Registro …</w:t>
      </w:r>
      <w:proofErr w:type="gramEnd"/>
      <w:r w:rsidRPr="002B33CC">
        <w:t>" (número 13.4 del Reglamento de Radiocomunicaciones);</w:t>
      </w:r>
    </w:p>
    <w:p w:rsidR="00E9057C" w:rsidRPr="002B33CC" w:rsidRDefault="00E9057C" w:rsidP="001D3A2F">
      <w:pPr>
        <w:rPr>
          <w:rFonts w:eastAsia="SimSun" w:cs="Calibri"/>
        </w:rPr>
      </w:pPr>
      <w:r w:rsidRPr="002B33CC">
        <w:rPr>
          <w:rFonts w:eastAsia="SimSun" w:cs="Calibri"/>
          <w:i/>
        </w:rPr>
        <w:t>Recordando</w:t>
      </w:r>
      <w:r w:rsidRPr="002B33CC">
        <w:rPr>
          <w:rFonts w:eastAsia="SimSun" w:cs="Calibri"/>
        </w:rPr>
        <w:t xml:space="preserve"> que "</w:t>
      </w:r>
      <w:r w:rsidRPr="002B33CC">
        <w:t>En la medida en que lo consideren factible, las administraciones efectuarán aquellas comprobaciones técnicas internacionales de las emisiones, que puedan ser solicitadas por otras administraciones o por la Oficina</w:t>
      </w:r>
      <w:r w:rsidRPr="002B33CC">
        <w:rPr>
          <w:rFonts w:eastAsia="SimSun" w:cs="Calibri"/>
        </w:rPr>
        <w:t>" (número 16.5 del Reglamento de Radiocomunicaciones);</w:t>
      </w:r>
    </w:p>
    <w:p w:rsidR="00E9057C" w:rsidRPr="002B33CC" w:rsidRDefault="00E9057C" w:rsidP="001D3A2F">
      <w:r w:rsidRPr="002B33CC">
        <w:rPr>
          <w:i/>
        </w:rPr>
        <w:t>Recordando</w:t>
      </w:r>
      <w:r w:rsidRPr="002B33CC">
        <w:t xml:space="preserve"> que el Reglamento de Radiocomunicaciones (número 17.2) contiene disposiciones para prohibir y evitar "</w:t>
      </w:r>
      <w:r w:rsidRPr="002B33CC">
        <w:rPr>
          <w:color w:val="000000"/>
        </w:rPr>
        <w:t>la interceptación, sin autorización, de radiocomunicaciones no destinadas al uso público general</w:t>
      </w:r>
      <w:r w:rsidRPr="002B33CC">
        <w:t>";</w:t>
      </w:r>
    </w:p>
    <w:p w:rsidR="00E9057C" w:rsidRPr="002B33CC" w:rsidRDefault="00E9057C" w:rsidP="001D3A2F">
      <w:r w:rsidRPr="002B33CC">
        <w:rPr>
          <w:i/>
        </w:rPr>
        <w:t>Recordando</w:t>
      </w:r>
      <w:r w:rsidRPr="002B33CC">
        <w:t xml:space="preserve"> que el Reglamento de Radiocomunicaciones (número 17.3) contiene disposiciones para prohibir y evitar</w:t>
      </w:r>
      <w:r w:rsidR="009115CF" w:rsidRPr="002B33CC">
        <w:t xml:space="preserve"> "la divulgación del contenido o simplemente de la existencia, la publicación o cualquier otro uso, sin autorización, de toda clase de información obtenida mediante la interceptación de las radiocomunicaciones a que se refiere el número 17.2"</w:t>
      </w:r>
      <w:r w:rsidRPr="002B33CC">
        <w:t>;</w:t>
      </w:r>
      <w:r w:rsidR="00E64AD3" w:rsidRPr="002B33CC">
        <w:t xml:space="preserve"> y</w:t>
      </w:r>
    </w:p>
    <w:p w:rsidR="00E9057C" w:rsidRPr="002B33CC" w:rsidRDefault="00E9057C" w:rsidP="001D3A2F">
      <w:r w:rsidRPr="002B33CC">
        <w:rPr>
          <w:i/>
        </w:rPr>
        <w:t xml:space="preserve">Tomando nota </w:t>
      </w:r>
      <w:r w:rsidRPr="002B33CC">
        <w:t xml:space="preserve">de la voluntad y la capacidad de las administraciones interesadas en ayudar a la UIT, mediante estaciones de comprobación técnica situadas en su jurisdicción, asegurando el cumplimiento de las disposiciones indicadas </w:t>
      </w:r>
      <w:r w:rsidRPr="002B33CC">
        <w:rPr>
          <w:i/>
          <w:iCs/>
        </w:rPr>
        <w:t>supra</w:t>
      </w:r>
      <w:r w:rsidRPr="002B33CC">
        <w:t>;</w:t>
      </w:r>
    </w:p>
    <w:p w:rsidR="00E9057C" w:rsidRPr="002B33CC" w:rsidRDefault="00E9057C" w:rsidP="001D3A2F">
      <w:pPr>
        <w:rPr>
          <w:i/>
          <w:iCs/>
        </w:rPr>
      </w:pPr>
      <w:r w:rsidRPr="002B33CC">
        <w:rPr>
          <w:i/>
          <w:iCs/>
        </w:rPr>
        <w:t>Han acordado lo siguiente:</w:t>
      </w:r>
    </w:p>
    <w:p w:rsidR="00D53CEE" w:rsidRPr="002B33CC" w:rsidRDefault="00206CAD" w:rsidP="001D3A2F">
      <w:pPr>
        <w:pStyle w:val="Heading1"/>
      </w:pPr>
      <w:r w:rsidRPr="002B33CC">
        <w:t>I</w:t>
      </w:r>
      <w:r w:rsidR="00FA3810" w:rsidRPr="002B33CC">
        <w:tab/>
        <w:t>Objetivo y alcance</w:t>
      </w:r>
    </w:p>
    <w:p w:rsidR="00D53CEE" w:rsidRPr="002B33CC" w:rsidRDefault="00D53CEE" w:rsidP="001D3A2F">
      <w:r w:rsidRPr="002B33CC">
        <w:rPr>
          <w:b/>
          <w:bCs/>
        </w:rPr>
        <w:t>1</w:t>
      </w:r>
      <w:r w:rsidRPr="002B33CC">
        <w:tab/>
        <w:t xml:space="preserve">El objetivo de este </w:t>
      </w:r>
      <w:r w:rsidR="00767F78" w:rsidRPr="002B33CC">
        <w:t>M</w:t>
      </w:r>
      <w:r w:rsidR="000342A4" w:rsidRPr="002B33CC">
        <w:t>emorá</w:t>
      </w:r>
      <w:r w:rsidR="00767F78" w:rsidRPr="002B33CC">
        <w:t>nd</w:t>
      </w:r>
      <w:r w:rsidR="000342A4" w:rsidRPr="002B33CC">
        <w:t xml:space="preserve">um </w:t>
      </w:r>
      <w:r w:rsidR="00767F78" w:rsidRPr="002B33CC">
        <w:t xml:space="preserve">de </w:t>
      </w:r>
      <w:r w:rsidR="00751539" w:rsidRPr="002B33CC">
        <w:t xml:space="preserve">Entendimiento </w:t>
      </w:r>
      <w:r w:rsidRPr="002B33CC">
        <w:t xml:space="preserve">consiste en establecer el marco para la asistencia prestada a la UIT por la República </w:t>
      </w:r>
      <w:r w:rsidR="00A55B50" w:rsidRPr="002B33CC">
        <w:t xml:space="preserve">Popular </w:t>
      </w:r>
      <w:r w:rsidR="00E772EF" w:rsidRPr="002B33CC">
        <w:t xml:space="preserve">de </w:t>
      </w:r>
      <w:r w:rsidR="00A55B50" w:rsidRPr="002B33CC">
        <w:t>China</w:t>
      </w:r>
      <w:r w:rsidRPr="002B33CC">
        <w:t xml:space="preserve"> a través de su</w:t>
      </w:r>
      <w:r w:rsidR="00A55B50" w:rsidRPr="002B33CC">
        <w:t>s</w:t>
      </w:r>
      <w:r w:rsidRPr="002B33CC">
        <w:t xml:space="preserve"> estaci</w:t>
      </w:r>
      <w:r w:rsidR="00A55B50" w:rsidRPr="002B33CC">
        <w:t>ones</w:t>
      </w:r>
      <w:r w:rsidRPr="002B33CC">
        <w:t xml:space="preserve"> </w:t>
      </w:r>
      <w:r w:rsidR="00A55B50" w:rsidRPr="002B33CC">
        <w:t xml:space="preserve">terrenas </w:t>
      </w:r>
      <w:r w:rsidRPr="002B33CC">
        <w:t xml:space="preserve">de comprobación técnica espacial </w:t>
      </w:r>
      <w:r w:rsidR="00A55B50" w:rsidRPr="002B33CC">
        <w:t xml:space="preserve">operadas por el </w:t>
      </w:r>
      <w:r w:rsidR="00767F78" w:rsidRPr="002B33CC">
        <w:t>Centro Estatal de Supervisión de Radiocomunicaciones</w:t>
      </w:r>
      <w:r w:rsidR="00767F78" w:rsidRPr="002B33CC" w:rsidDel="00A55B50">
        <w:rPr>
          <w:rFonts w:eastAsia="SimSun"/>
        </w:rPr>
        <w:t xml:space="preserve"> </w:t>
      </w:r>
      <w:r w:rsidR="00767F78" w:rsidRPr="002B33CC">
        <w:rPr>
          <w:rFonts w:eastAsia="SimSun"/>
        </w:rPr>
        <w:t>(SRMC)</w:t>
      </w:r>
      <w:r w:rsidR="004137C0" w:rsidRPr="002B33CC">
        <w:rPr>
          <w:rFonts w:eastAsia="SimSun"/>
        </w:rPr>
        <w:t>; a saber:</w:t>
      </w:r>
      <w:r w:rsidR="00767F78" w:rsidRPr="002B33CC">
        <w:rPr>
          <w:rFonts w:eastAsia="SimSun"/>
        </w:rPr>
        <w:t xml:space="preserve"> la estación de comprobación de Beijing, la estación de comprobación de </w:t>
      </w:r>
      <w:proofErr w:type="spellStart"/>
      <w:r w:rsidR="00767F78" w:rsidRPr="002B33CC">
        <w:rPr>
          <w:rFonts w:eastAsia="SimSun"/>
        </w:rPr>
        <w:t>Shenzhen</w:t>
      </w:r>
      <w:proofErr w:type="spellEnd"/>
      <w:r w:rsidR="00767F78" w:rsidRPr="002B33CC">
        <w:rPr>
          <w:rFonts w:eastAsia="SimSun"/>
        </w:rPr>
        <w:t xml:space="preserve"> y la estación de comprobación de </w:t>
      </w:r>
      <w:proofErr w:type="spellStart"/>
      <w:r w:rsidR="00767F78" w:rsidRPr="002B33CC">
        <w:rPr>
          <w:rFonts w:eastAsia="SimSun"/>
        </w:rPr>
        <w:t>Urumqi</w:t>
      </w:r>
      <w:proofErr w:type="spellEnd"/>
      <w:r w:rsidRPr="002B33CC">
        <w:rPr>
          <w:rStyle w:val="FootnoteReference"/>
        </w:rPr>
        <w:footnoteReference w:id="1"/>
      </w:r>
      <w:r w:rsidRPr="002B33CC">
        <w:t>.</w:t>
      </w:r>
      <w:bookmarkStart w:id="11" w:name="_ftnref1"/>
      <w:bookmarkEnd w:id="11"/>
    </w:p>
    <w:p w:rsidR="00D53CEE" w:rsidRPr="002B33CC" w:rsidRDefault="00D53CEE" w:rsidP="001D3A2F">
      <w:r w:rsidRPr="002B33CC">
        <w:rPr>
          <w:b/>
          <w:bCs/>
        </w:rPr>
        <w:t>2</w:t>
      </w:r>
      <w:r w:rsidRPr="002B33CC">
        <w:tab/>
        <w:t xml:space="preserve">Este </w:t>
      </w:r>
      <w:r w:rsidR="00337312" w:rsidRPr="002B33CC">
        <w:t>Memorándum de Entendimiento incluye</w:t>
      </w:r>
      <w:r w:rsidRPr="002B33CC">
        <w:t>:</w:t>
      </w:r>
    </w:p>
    <w:p w:rsidR="00D53CEE" w:rsidRPr="002B33CC" w:rsidRDefault="00E515AC" w:rsidP="001D3A2F">
      <w:pPr>
        <w:pStyle w:val="enumlev1"/>
      </w:pPr>
      <w:r w:rsidRPr="002B33CC">
        <w:rPr>
          <w:rFonts w:eastAsiaTheme="minorEastAsia"/>
          <w:lang w:eastAsia="zh-CN"/>
        </w:rPr>
        <w:t>1)</w:t>
      </w:r>
      <w:r w:rsidR="00D53CEE" w:rsidRPr="002B33CC">
        <w:rPr>
          <w:rFonts w:eastAsiaTheme="minorEastAsia"/>
          <w:lang w:eastAsia="zh-CN"/>
        </w:rPr>
        <w:tab/>
      </w:r>
      <w:r w:rsidR="00D53CEE" w:rsidRPr="002B33CC">
        <w:t xml:space="preserve">Un protocolo relativo a la asistencia prestada en la resolución de casos de interferencia </w:t>
      </w:r>
      <w:r w:rsidR="00D53CEE" w:rsidRPr="002B33CC">
        <w:rPr>
          <w:rFonts w:eastAsiaTheme="minorEastAsia"/>
          <w:lang w:eastAsia="zh-CN"/>
        </w:rPr>
        <w:t>perjudicial</w:t>
      </w:r>
      <w:r w:rsidR="00D53CEE" w:rsidRPr="002B33CC">
        <w:t xml:space="preserve"> que conduce a una rápida resolución de la interferencia de conformidad con el Artículo 15 y el número 13.2 del Reglamento de Radiocomunicaciones, según proceda. Este protocolo está contemplado en el Anexo 1 al presente</w:t>
      </w:r>
      <w:r w:rsidRPr="002B33CC">
        <w:t xml:space="preserve"> Memorándum de Entendimiento</w:t>
      </w:r>
      <w:r w:rsidR="00D53CEE" w:rsidRPr="002B33CC">
        <w:t>.</w:t>
      </w:r>
    </w:p>
    <w:p w:rsidR="00D53CEE" w:rsidRPr="002B33CC" w:rsidRDefault="00160DCF" w:rsidP="001D3A2F">
      <w:pPr>
        <w:pStyle w:val="enumlev1"/>
      </w:pPr>
      <w:r w:rsidRPr="002B33CC">
        <w:rPr>
          <w:rFonts w:eastAsiaTheme="minorEastAsia"/>
          <w:lang w:eastAsia="zh-CN"/>
        </w:rPr>
        <w:t>2)</w:t>
      </w:r>
      <w:r w:rsidR="00D53CEE" w:rsidRPr="002B33CC">
        <w:rPr>
          <w:rFonts w:eastAsiaTheme="minorEastAsia"/>
          <w:lang w:eastAsia="zh-CN"/>
        </w:rPr>
        <w:tab/>
      </w:r>
      <w:r w:rsidR="00D53CEE" w:rsidRPr="002B33CC">
        <w:t xml:space="preserve">Un protocolo relativo al pedido por parte de la UIT del suministro de datos de </w:t>
      </w:r>
      <w:r w:rsidR="00D53CEE" w:rsidRPr="002B33CC">
        <w:rPr>
          <w:rFonts w:eastAsiaTheme="minorEastAsia"/>
          <w:lang w:eastAsia="zh-CN"/>
        </w:rPr>
        <w:t>comprobación</w:t>
      </w:r>
      <w:r w:rsidR="00D53CEE" w:rsidRPr="002B33CC">
        <w:t xml:space="preserve"> técnica en los casos de interferencia notificada a raíz de cuestiones de coordinación (número 11.41 del Reglamento de Radiocomunicaciones). Este protocolo está contemplado en el Anexo </w:t>
      </w:r>
      <w:r w:rsidRPr="002B33CC">
        <w:t xml:space="preserve">1 </w:t>
      </w:r>
      <w:r w:rsidR="00D53CEE" w:rsidRPr="002B33CC">
        <w:t>al presente</w:t>
      </w:r>
      <w:r w:rsidRPr="002B33CC">
        <w:t xml:space="preserve"> Memorándum de Entendimiento</w:t>
      </w:r>
      <w:r w:rsidR="00D53CEE" w:rsidRPr="002B33CC">
        <w:t>.</w:t>
      </w:r>
    </w:p>
    <w:p w:rsidR="00D53CEE" w:rsidRPr="002B33CC" w:rsidRDefault="00206CAD" w:rsidP="00393894">
      <w:pPr>
        <w:pStyle w:val="Heading1"/>
      </w:pPr>
      <w:r w:rsidRPr="002B33CC">
        <w:lastRenderedPageBreak/>
        <w:t>II</w:t>
      </w:r>
      <w:r w:rsidR="00D53CEE" w:rsidRPr="002B33CC">
        <w:tab/>
        <w:t>Definiciones</w:t>
      </w:r>
    </w:p>
    <w:p w:rsidR="000D7500" w:rsidRPr="002B33CC" w:rsidRDefault="000D7500" w:rsidP="001D3A2F">
      <w:r w:rsidRPr="002B33CC">
        <w:rPr>
          <w:b/>
          <w:bCs/>
        </w:rPr>
        <w:t>1</w:t>
      </w:r>
      <w:r w:rsidRPr="002B33CC">
        <w:tab/>
        <w:t>UIT: Unión Internacional de Telecomunicaciones representada, tras la firma del Memorándum de Entendimiento, por el Director de la Oficina de Radiocomunicaciones.</w:t>
      </w:r>
    </w:p>
    <w:p w:rsidR="00397BD0" w:rsidRPr="002B33CC" w:rsidRDefault="00397BD0" w:rsidP="001D3A2F">
      <w:r w:rsidRPr="002B33CC">
        <w:rPr>
          <w:b/>
          <w:bCs/>
        </w:rPr>
        <w:t>2</w:t>
      </w:r>
      <w:r w:rsidRPr="002B33CC">
        <w:tab/>
        <w:t>Administración: Departamento o servicio gubernamental responsable de las instalaciones de la estación de comprobación técnica.</w:t>
      </w:r>
    </w:p>
    <w:p w:rsidR="000D7500" w:rsidRPr="002B33CC" w:rsidRDefault="000D7500" w:rsidP="001D3A2F">
      <w:r w:rsidRPr="002B33CC">
        <w:rPr>
          <w:b/>
          <w:bCs/>
        </w:rPr>
        <w:t>3</w:t>
      </w:r>
      <w:r w:rsidRPr="002B33CC">
        <w:tab/>
      </w:r>
      <w:r w:rsidR="00371C4E" w:rsidRPr="002B33CC">
        <w:t>Estación</w:t>
      </w:r>
      <w:r w:rsidRPr="002B33CC">
        <w:t xml:space="preserve">: </w:t>
      </w:r>
      <w:r w:rsidR="004137C0" w:rsidRPr="002B33CC">
        <w:t>L</w:t>
      </w:r>
      <w:r w:rsidR="000342A4" w:rsidRPr="002B33CC">
        <w:t xml:space="preserve">as instalaciones de comprobación técnica espacial situadas en </w:t>
      </w:r>
      <w:r w:rsidRPr="002B33CC">
        <w:t xml:space="preserve">Beijing, </w:t>
      </w:r>
      <w:proofErr w:type="spellStart"/>
      <w:r w:rsidRPr="002B33CC">
        <w:t>Shenzhen</w:t>
      </w:r>
      <w:proofErr w:type="spellEnd"/>
      <w:r w:rsidRPr="002B33CC">
        <w:t xml:space="preserve"> </w:t>
      </w:r>
      <w:r w:rsidR="000342A4" w:rsidRPr="002B33CC">
        <w:t>y</w:t>
      </w:r>
      <w:r w:rsidR="00AE3F2B" w:rsidRPr="002B33CC">
        <w:t> </w:t>
      </w:r>
      <w:proofErr w:type="spellStart"/>
      <w:r w:rsidRPr="002B33CC">
        <w:t>Urumqi</w:t>
      </w:r>
      <w:proofErr w:type="spellEnd"/>
      <w:r w:rsidRPr="002B33CC">
        <w:t>.</w:t>
      </w:r>
    </w:p>
    <w:p w:rsidR="00ED173D" w:rsidRPr="002B33CC" w:rsidRDefault="00ED173D" w:rsidP="001D3A2F">
      <w:r w:rsidRPr="002B33CC">
        <w:rPr>
          <w:b/>
          <w:bCs/>
        </w:rPr>
        <w:t>4</w:t>
      </w:r>
      <w:r w:rsidRPr="002B33CC">
        <w:tab/>
        <w:t>Operador: Entidad responsable de las mediciones de comprobación técnica.</w:t>
      </w:r>
    </w:p>
    <w:p w:rsidR="00AE7A74" w:rsidRPr="002B33CC" w:rsidRDefault="00AE7A74" w:rsidP="001D3A2F">
      <w:r w:rsidRPr="002B33CC">
        <w:rPr>
          <w:b/>
          <w:bCs/>
        </w:rPr>
        <w:t>5</w:t>
      </w:r>
      <w:r w:rsidRPr="002B33CC">
        <w:tab/>
        <w:t>Número de referencia: Número de tarea único, que establece la estación encargada de la tarea</w:t>
      </w:r>
      <w:r w:rsidR="002C28D3" w:rsidRPr="002B33CC">
        <w:t xml:space="preserve"> por petición</w:t>
      </w:r>
      <w:r w:rsidRPr="002B33CC">
        <w:t xml:space="preserve"> de la UIT.</w:t>
      </w:r>
    </w:p>
    <w:p w:rsidR="00D53CEE" w:rsidRPr="002B33CC" w:rsidRDefault="00206CAD" w:rsidP="00C96263">
      <w:pPr>
        <w:pStyle w:val="Heading1"/>
      </w:pPr>
      <w:r w:rsidRPr="002B33CC">
        <w:t>III</w:t>
      </w:r>
      <w:r w:rsidR="00D53CEE" w:rsidRPr="002B33CC">
        <w:tab/>
        <w:t>Procedimientos</w:t>
      </w:r>
    </w:p>
    <w:p w:rsidR="00D53CEE" w:rsidRPr="002B33CC" w:rsidRDefault="00D53CEE" w:rsidP="001D3A2F">
      <w:pPr>
        <w:pStyle w:val="Heading2"/>
      </w:pPr>
      <w:r w:rsidRPr="002B33CC">
        <w:t>1</w:t>
      </w:r>
      <w:r w:rsidRPr="002B33CC">
        <w:tab/>
        <w:t>Envío de pedidos</w:t>
      </w:r>
    </w:p>
    <w:p w:rsidR="00D53CEE" w:rsidRPr="002B33CC" w:rsidRDefault="00D53CEE" w:rsidP="001D3A2F">
      <w:pPr>
        <w:pStyle w:val="enumlev1"/>
      </w:pPr>
      <w:r w:rsidRPr="002B33CC">
        <w:t>1</w:t>
      </w:r>
      <w:r w:rsidR="00206CAD" w:rsidRPr="002B33CC">
        <w:t>)</w:t>
      </w:r>
      <w:r w:rsidRPr="002B33CC">
        <w:tab/>
        <w:t xml:space="preserve">La UIT puede efectuar sus pedidos por correo electrónico a un </w:t>
      </w:r>
      <w:r w:rsidR="00687105" w:rsidRPr="002B33CC">
        <w:t>SRMC</w:t>
      </w:r>
      <w:r w:rsidRPr="002B33CC">
        <w:t>, en armoní</w:t>
      </w:r>
      <w:r w:rsidR="002C28D3" w:rsidRPr="002B33CC">
        <w:t>a con las tareas descritas en el</w:t>
      </w:r>
      <w:r w:rsidRPr="002B33CC">
        <w:t xml:space="preserve"> </w:t>
      </w:r>
      <w:r w:rsidR="00206CAD" w:rsidRPr="002B33CC">
        <w:t xml:space="preserve">Artículo </w:t>
      </w:r>
      <w:r w:rsidRPr="002B33CC">
        <w:t>1</w:t>
      </w:r>
      <w:r w:rsidR="00687105" w:rsidRPr="002B33CC">
        <w:t xml:space="preserve">, con copia a la </w:t>
      </w:r>
      <w:r w:rsidR="00F72874" w:rsidRPr="002B33CC">
        <w:t xml:space="preserve">administración </w:t>
      </w:r>
      <w:r w:rsidR="00687105" w:rsidRPr="002B33CC">
        <w:t>pertinente</w:t>
      </w:r>
      <w:r w:rsidRPr="002B33CC">
        <w:t>.</w:t>
      </w:r>
    </w:p>
    <w:p w:rsidR="00D53CEE" w:rsidRPr="002B33CC" w:rsidRDefault="00D53CEE" w:rsidP="001D3A2F">
      <w:pPr>
        <w:pStyle w:val="enumlev1"/>
      </w:pPr>
      <w:r w:rsidRPr="002B33CC">
        <w:t>2</w:t>
      </w:r>
      <w:r w:rsidR="00206CAD" w:rsidRPr="002B33CC">
        <w:t>)</w:t>
      </w:r>
      <w:r w:rsidRPr="002B33CC">
        <w:tab/>
      </w:r>
      <w:r w:rsidR="00687105" w:rsidRPr="002B33CC">
        <w:t>El SRMC</w:t>
      </w:r>
      <w:r w:rsidRPr="002B33CC">
        <w:t xml:space="preserve"> confirmará sin demora a la UIT por correo electrónico la recepción del pedido indicando el número de referencia de la estaci</w:t>
      </w:r>
      <w:r w:rsidR="00687105" w:rsidRPr="002B33CC">
        <w:t>ón</w:t>
      </w:r>
      <w:r w:rsidRPr="002B33CC">
        <w:t xml:space="preserve"> así como el inicio previsto y la duración de la tarea</w:t>
      </w:r>
      <w:r w:rsidRPr="002B33CC">
        <w:rPr>
          <w:rFonts w:eastAsia="SimSun" w:cs="Arial"/>
          <w:lang w:eastAsia="zh-CN"/>
        </w:rPr>
        <w:t xml:space="preserve"> dentro de los límites de la capacidad disponible</w:t>
      </w:r>
      <w:r w:rsidRPr="002B33CC">
        <w:t>.</w:t>
      </w:r>
    </w:p>
    <w:p w:rsidR="00D53CEE" w:rsidRPr="002B33CC" w:rsidRDefault="00D53CEE" w:rsidP="001D3A2F">
      <w:pPr>
        <w:pStyle w:val="Heading2"/>
      </w:pPr>
      <w:r w:rsidRPr="002B33CC">
        <w:t>2</w:t>
      </w:r>
      <w:r w:rsidRPr="002B33CC">
        <w:tab/>
        <w:t>Ejecución de pedidos</w:t>
      </w:r>
    </w:p>
    <w:p w:rsidR="00D53CEE" w:rsidRPr="002B33CC" w:rsidRDefault="00D53CEE" w:rsidP="001D3A2F">
      <w:r w:rsidRPr="002B33CC">
        <w:t>Para la ejecución de los pedidos, se aplicarán las reglas siguientes en materia de prioridad:</w:t>
      </w:r>
    </w:p>
    <w:p w:rsidR="00D53CEE" w:rsidRPr="002B33CC" w:rsidRDefault="00D53CEE" w:rsidP="009F7018">
      <w:pPr>
        <w:pStyle w:val="enumlev1"/>
      </w:pPr>
      <w:r w:rsidRPr="002B33CC">
        <w:t>1</w:t>
      </w:r>
      <w:r w:rsidR="004E53BD" w:rsidRPr="002B33CC">
        <w:t>)</w:t>
      </w:r>
      <w:r w:rsidRPr="002B33CC">
        <w:tab/>
        <w:t xml:space="preserve">Los pedidos de la UIT relativos a la realización de mediciones tendrán </w:t>
      </w:r>
      <w:r w:rsidRPr="002B33CC">
        <w:rPr>
          <w:rFonts w:eastAsiaTheme="minorEastAsia"/>
          <w:lang w:eastAsia="zh-CN"/>
        </w:rPr>
        <w:t>prioridad</w:t>
      </w:r>
      <w:r w:rsidRPr="002B33CC">
        <w:t xml:space="preserve"> 1 </w:t>
      </w:r>
      <w:proofErr w:type="spellStart"/>
      <w:r w:rsidRPr="002B33CC">
        <w:t>ó</w:t>
      </w:r>
      <w:proofErr w:type="spellEnd"/>
      <w:r w:rsidRPr="002B33CC">
        <w:t xml:space="preserve"> 2 y, dentro de cada clase de prioridad, se tramitarán por orden de recepción.</w:t>
      </w:r>
    </w:p>
    <w:p w:rsidR="00D53CEE" w:rsidRPr="002B33CC" w:rsidRDefault="00D53CEE" w:rsidP="009F7018">
      <w:pPr>
        <w:pStyle w:val="enumlev1"/>
      </w:pPr>
      <w:r w:rsidRPr="002B33CC">
        <w:t>2</w:t>
      </w:r>
      <w:r w:rsidR="004E53BD" w:rsidRPr="002B33CC">
        <w:t>)</w:t>
      </w:r>
      <w:r w:rsidRPr="002B33CC">
        <w:tab/>
        <w:t>Los pedidos correspondientes a los caso</w:t>
      </w:r>
      <w:r w:rsidR="00D3000F" w:rsidRPr="002B33CC">
        <w:t xml:space="preserve">s de interferencia perjudicial </w:t>
      </w:r>
      <w:r w:rsidRPr="002B33CC">
        <w:t xml:space="preserve">en </w:t>
      </w:r>
      <w:r w:rsidR="00D3000F" w:rsidRPr="002B33CC">
        <w:t xml:space="preserve">los </w:t>
      </w:r>
      <w:r w:rsidRPr="002B33CC">
        <w:t>que la interferencia afecte a los servicios de socorro y seguridad de la vida y a las frecuencias utilizadas para la seguridad de la aeronave y la regularidad de los vuelos en el servicio aeronáutico, tendrán prioridad 1.</w:t>
      </w:r>
    </w:p>
    <w:p w:rsidR="00D53CEE" w:rsidRPr="002B33CC" w:rsidRDefault="00D53CEE" w:rsidP="009F7018">
      <w:pPr>
        <w:pStyle w:val="enumlev1"/>
      </w:pPr>
      <w:r w:rsidRPr="002B33CC">
        <w:t>3</w:t>
      </w:r>
      <w:r w:rsidR="004E53BD" w:rsidRPr="002B33CC">
        <w:t>)</w:t>
      </w:r>
      <w:r w:rsidRPr="002B33CC">
        <w:tab/>
        <w:t>Todos los demás pedidos tendrán prioridad 2.</w:t>
      </w:r>
    </w:p>
    <w:p w:rsidR="00D53CEE" w:rsidRPr="002B33CC" w:rsidRDefault="00D53CEE" w:rsidP="009F7018">
      <w:pPr>
        <w:pStyle w:val="enumlev1"/>
      </w:pPr>
      <w:r w:rsidRPr="002B33CC">
        <w:t>4</w:t>
      </w:r>
      <w:r w:rsidR="004E53BD" w:rsidRPr="002B33CC">
        <w:t>)</w:t>
      </w:r>
      <w:r w:rsidRPr="002B33CC">
        <w:tab/>
      </w:r>
      <w:r w:rsidR="007A3D51" w:rsidRPr="002B33CC">
        <w:t xml:space="preserve">El </w:t>
      </w:r>
      <w:r w:rsidR="004E53BD" w:rsidRPr="002B33CC">
        <w:rPr>
          <w:rFonts w:cs="Calibri"/>
        </w:rPr>
        <w:t xml:space="preserve">SRMC </w:t>
      </w:r>
      <w:r w:rsidRPr="002B33CC">
        <w:t>elaborará un informe final y lo enviará directamente a la UIT.</w:t>
      </w:r>
    </w:p>
    <w:p w:rsidR="00D53CEE" w:rsidRPr="002B33CC" w:rsidRDefault="00D53CEE" w:rsidP="001D3A2F">
      <w:pPr>
        <w:pStyle w:val="Heading2"/>
      </w:pPr>
      <w:r w:rsidRPr="002B33CC">
        <w:t>3</w:t>
      </w:r>
      <w:r w:rsidRPr="002B33CC">
        <w:tab/>
        <w:t>Contacto</w:t>
      </w:r>
    </w:p>
    <w:p w:rsidR="00D53CEE" w:rsidRPr="002B33CC" w:rsidRDefault="00D53CEE" w:rsidP="001D3A2F">
      <w:pPr>
        <w:pStyle w:val="enumlev1"/>
      </w:pPr>
      <w:r w:rsidRPr="002B33CC">
        <w:t>1</w:t>
      </w:r>
      <w:r w:rsidR="00BD4783" w:rsidRPr="002B33CC">
        <w:t>)</w:t>
      </w:r>
      <w:r w:rsidRPr="002B33CC">
        <w:tab/>
        <w:t xml:space="preserve">Cada Parte designará un coordinador de todas las acciones que considere </w:t>
      </w:r>
      <w:r w:rsidRPr="002B33CC">
        <w:rPr>
          <w:rFonts w:eastAsia="SimSun" w:cs="Arial"/>
          <w:lang w:eastAsia="zh-CN"/>
        </w:rPr>
        <w:t>necesarias</w:t>
      </w:r>
      <w:r w:rsidRPr="002B33CC">
        <w:t xml:space="preserve"> para la debida aplicación del presente</w:t>
      </w:r>
      <w:r w:rsidR="00BD4783" w:rsidRPr="002B33CC">
        <w:t xml:space="preserve"> Memorándum de Entendimiento</w:t>
      </w:r>
      <w:r w:rsidRPr="002B33CC">
        <w:t>.</w:t>
      </w:r>
    </w:p>
    <w:p w:rsidR="00D53CEE" w:rsidRPr="002B33CC" w:rsidRDefault="00D53CEE" w:rsidP="001D3A2F">
      <w:pPr>
        <w:pStyle w:val="enumlev1"/>
      </w:pPr>
      <w:r w:rsidRPr="002B33CC">
        <w:t>2</w:t>
      </w:r>
      <w:r w:rsidR="00BD4783" w:rsidRPr="002B33CC">
        <w:t>)</w:t>
      </w:r>
      <w:r w:rsidRPr="002B33CC">
        <w:tab/>
        <w:t>El primer contacto con la Administración y el Operador será establecido por la UIT.</w:t>
      </w:r>
    </w:p>
    <w:p w:rsidR="00D53CEE" w:rsidRPr="002B33CC" w:rsidRDefault="00D53CEE" w:rsidP="001D3A2F">
      <w:pPr>
        <w:pStyle w:val="enumlev1"/>
      </w:pPr>
      <w:r w:rsidRPr="002B33CC">
        <w:t>3</w:t>
      </w:r>
      <w:r w:rsidR="00BD4783" w:rsidRPr="002B33CC">
        <w:t>)</w:t>
      </w:r>
      <w:r w:rsidRPr="002B33CC">
        <w:tab/>
        <w:t>En cuanto a los pedidos de asistencia en casos de interferencia perjudicial, una vez establecido el contacto inicial, con arreglo a la Sección 3.</w:t>
      </w:r>
      <w:r w:rsidR="00BD4783" w:rsidRPr="002B33CC">
        <w:t>3</w:t>
      </w:r>
      <w:r w:rsidRPr="002B33CC">
        <w:t xml:space="preserve">.2 anterior, podrá intercambiarse información directamente entre </w:t>
      </w:r>
      <w:r w:rsidR="00AB3BD9" w:rsidRPr="002B33CC">
        <w:t>el</w:t>
      </w:r>
      <w:r w:rsidR="002C28D3" w:rsidRPr="002B33CC">
        <w:t xml:space="preserve"> </w:t>
      </w:r>
      <w:r w:rsidR="00BD4783" w:rsidRPr="002B33CC">
        <w:t xml:space="preserve">SRMC </w:t>
      </w:r>
      <w:r w:rsidRPr="002B33CC">
        <w:t>y el operador de satélite a cuyos servicios se está causando interferencia perjudicial.</w:t>
      </w:r>
    </w:p>
    <w:p w:rsidR="00D53CEE" w:rsidRPr="002B33CC" w:rsidRDefault="00D53CEE" w:rsidP="001D3A2F">
      <w:pPr>
        <w:pStyle w:val="enumlev1"/>
      </w:pPr>
      <w:r w:rsidRPr="002B33CC">
        <w:t>4</w:t>
      </w:r>
      <w:r w:rsidR="00BD4783" w:rsidRPr="002B33CC">
        <w:t>)</w:t>
      </w:r>
      <w:r w:rsidRPr="002B33CC">
        <w:tab/>
      </w:r>
      <w:bookmarkStart w:id="12" w:name="lt_pId066"/>
      <w:r w:rsidRPr="002B33CC">
        <w:t xml:space="preserve">El Anexo </w:t>
      </w:r>
      <w:r w:rsidR="00BD4783" w:rsidRPr="002B33CC">
        <w:t xml:space="preserve">2 </w:t>
      </w:r>
      <w:r w:rsidRPr="002B33CC">
        <w:t>contiene la lista de contactos</w:t>
      </w:r>
      <w:r w:rsidRPr="002B33CC">
        <w:rPr>
          <w:rFonts w:eastAsia="SimSun" w:cs="Arial"/>
          <w:lang w:eastAsia="zh-CN"/>
        </w:rPr>
        <w:t>.</w:t>
      </w:r>
      <w:bookmarkEnd w:id="12"/>
    </w:p>
    <w:p w:rsidR="00D53CEE" w:rsidRPr="002B33CC" w:rsidRDefault="007E42E0" w:rsidP="00AD0013">
      <w:pPr>
        <w:pStyle w:val="Heading1"/>
      </w:pPr>
      <w:r w:rsidRPr="002B33CC">
        <w:lastRenderedPageBreak/>
        <w:t>IV</w:t>
      </w:r>
      <w:r w:rsidR="00D53CEE" w:rsidRPr="002B33CC">
        <w:tab/>
        <w:t>Disposiciones finales</w:t>
      </w:r>
    </w:p>
    <w:p w:rsidR="00D53CEE" w:rsidRPr="002B33CC" w:rsidRDefault="00BD1A7C" w:rsidP="001D3A2F">
      <w:pPr>
        <w:pStyle w:val="Heading2"/>
      </w:pPr>
      <w:r w:rsidRPr="002B33CC">
        <w:t>1</w:t>
      </w:r>
      <w:r w:rsidRPr="002B33CC">
        <w:tab/>
        <w:t>Solución de controversias</w:t>
      </w:r>
    </w:p>
    <w:p w:rsidR="00D53CEE" w:rsidRPr="002B33CC" w:rsidRDefault="00D53CEE" w:rsidP="001D3A2F">
      <w:r w:rsidRPr="002B33CC">
        <w:t xml:space="preserve">Las controversias planteadas por el presente </w:t>
      </w:r>
      <w:r w:rsidR="00304465" w:rsidRPr="002B33CC">
        <w:t xml:space="preserve">Memorándum de Entendimiento </w:t>
      </w:r>
      <w:r w:rsidRPr="002B33CC">
        <w:t>y sus Anexos, o en relación con ellos, se resolverán amistosamente mediante negociaciones directas entre las Partes o por cualquier otro medio que las Partes acuerden por escrito.</w:t>
      </w:r>
    </w:p>
    <w:p w:rsidR="00D53CEE" w:rsidRPr="002B33CC" w:rsidRDefault="00D53CEE" w:rsidP="001D3A2F">
      <w:pPr>
        <w:pStyle w:val="Heading2"/>
      </w:pPr>
      <w:r w:rsidRPr="002B33CC">
        <w:t>2</w:t>
      </w:r>
      <w:r w:rsidRPr="002B33CC">
        <w:tab/>
        <w:t>Durac</w:t>
      </w:r>
      <w:r w:rsidR="00FF0A90" w:rsidRPr="002B33CC">
        <w:t>ión, terminación y modificación</w:t>
      </w:r>
    </w:p>
    <w:p w:rsidR="00D53CEE" w:rsidRPr="002B33CC" w:rsidRDefault="00D53CEE" w:rsidP="007869F3">
      <w:pPr>
        <w:pStyle w:val="enumlev1"/>
        <w:rPr>
          <w:b/>
          <w:bCs/>
        </w:rPr>
      </w:pPr>
      <w:r w:rsidRPr="002B33CC">
        <w:t>1</w:t>
      </w:r>
      <w:r w:rsidR="00304465" w:rsidRPr="002B33CC">
        <w:t>)</w:t>
      </w:r>
      <w:r w:rsidRPr="002B33CC">
        <w:tab/>
        <w:t xml:space="preserve">El presente </w:t>
      </w:r>
      <w:r w:rsidR="00304465" w:rsidRPr="002B33CC">
        <w:t xml:space="preserve">Memorándum de Entendimiento </w:t>
      </w:r>
      <w:r w:rsidR="00533FF5" w:rsidRPr="002B33CC">
        <w:t>y efectivo durante un peri</w:t>
      </w:r>
      <w:r w:rsidRPr="002B33CC">
        <w:t xml:space="preserve">odo indefinido. Podrá, no obstante, ser rescindido por iniciativa de cualquiera de las Partes, que notificará a la otra Parte con un aviso previo </w:t>
      </w:r>
      <w:r w:rsidR="005C2D4A" w:rsidRPr="002B33CC">
        <w:t xml:space="preserve">por escrito </w:t>
      </w:r>
      <w:r w:rsidRPr="002B33CC">
        <w:t>de seis meses.</w:t>
      </w:r>
    </w:p>
    <w:p w:rsidR="00D53CEE" w:rsidRPr="002B33CC" w:rsidRDefault="00D53CEE" w:rsidP="001D3A2F">
      <w:pPr>
        <w:pStyle w:val="enumlev1"/>
        <w:rPr>
          <w:b/>
          <w:bCs/>
        </w:rPr>
      </w:pPr>
      <w:r w:rsidRPr="002B33CC">
        <w:t>2</w:t>
      </w:r>
      <w:r w:rsidR="00304465" w:rsidRPr="002B33CC">
        <w:t>)</w:t>
      </w:r>
      <w:r w:rsidRPr="002B33CC">
        <w:tab/>
        <w:t>En caso de rescisión del Acuerdo, las Partes adoptarán las medidas necesarias para asegurar que dicha rescisión no perjudique las tareas en curso llevadas a cabo en el marco de este</w:t>
      </w:r>
      <w:r w:rsidR="00304465" w:rsidRPr="002B33CC">
        <w:t xml:space="preserve"> Memorándum de Entendimiento</w:t>
      </w:r>
      <w:r w:rsidRPr="002B33CC">
        <w:t>.</w:t>
      </w:r>
    </w:p>
    <w:p w:rsidR="00D53CEE" w:rsidRPr="002B33CC" w:rsidRDefault="00D53CEE" w:rsidP="001D3A2F">
      <w:pPr>
        <w:pStyle w:val="enumlev1"/>
        <w:rPr>
          <w:b/>
          <w:bCs/>
        </w:rPr>
      </w:pPr>
      <w:r w:rsidRPr="002B33CC">
        <w:t>3</w:t>
      </w:r>
      <w:r w:rsidR="00304465" w:rsidRPr="002B33CC">
        <w:t>)</w:t>
      </w:r>
      <w:r w:rsidRPr="002B33CC">
        <w:tab/>
        <w:t xml:space="preserve">El presente </w:t>
      </w:r>
      <w:r w:rsidR="00304465" w:rsidRPr="002B33CC">
        <w:t xml:space="preserve">Memorándum de Entendimiento </w:t>
      </w:r>
      <w:r w:rsidRPr="002B33CC">
        <w:t>sólo podrá ser modificado por mutuo acuerdo escrito firmado por las Partes. Toda modificación de ese tipo deberá ser parte integral de este</w:t>
      </w:r>
      <w:r w:rsidR="00304465" w:rsidRPr="002B33CC">
        <w:t xml:space="preserve"> Memorándum de Entendimiento</w:t>
      </w:r>
      <w:r w:rsidRPr="002B33CC">
        <w:t>. Cada Parte tendrá plena y debidamente en cuenta cualquier propuesta de modificación formulada por la otra Parte.</w:t>
      </w:r>
    </w:p>
    <w:p w:rsidR="00D53CEE" w:rsidRPr="002B33CC" w:rsidRDefault="00304465" w:rsidP="001D3A2F">
      <w:pPr>
        <w:pStyle w:val="Heading1"/>
      </w:pPr>
      <w:r w:rsidRPr="002B33CC">
        <w:t>V</w:t>
      </w:r>
      <w:r w:rsidR="00D53CEE" w:rsidRPr="002B33CC">
        <w:tab/>
        <w:t>Entrada en vigor</w:t>
      </w:r>
    </w:p>
    <w:p w:rsidR="00D53CEE" w:rsidRPr="002B33CC" w:rsidRDefault="00D53CEE" w:rsidP="001D3A2F">
      <w:r w:rsidRPr="002B33CC">
        <w:t xml:space="preserve">El presente </w:t>
      </w:r>
      <w:r w:rsidR="00304465" w:rsidRPr="002B33CC">
        <w:t xml:space="preserve">Memorándum de Entendimiento </w:t>
      </w:r>
      <w:r w:rsidRPr="002B33CC">
        <w:t>entrará en vigor en la fecha en que sea firmado por ambas Partes.</w:t>
      </w:r>
    </w:p>
    <w:p w:rsidR="00D53CEE" w:rsidRPr="002B33CC" w:rsidRDefault="00304465" w:rsidP="001D3A2F">
      <w:pPr>
        <w:pStyle w:val="Heading1"/>
      </w:pPr>
      <w:r w:rsidRPr="002B33CC">
        <w:t>VI</w:t>
      </w:r>
      <w:r w:rsidR="00D53CEE" w:rsidRPr="002B33CC">
        <w:tab/>
        <w:t>Privilegios, inmunidades y facilidades</w:t>
      </w:r>
    </w:p>
    <w:p w:rsidR="00D53CEE" w:rsidRPr="002B33CC" w:rsidRDefault="00D53CEE" w:rsidP="00E81E0B">
      <w:pPr>
        <w:pStyle w:val="enumlev1"/>
      </w:pPr>
      <w:r w:rsidRPr="002B33CC">
        <w:t>1</w:t>
      </w:r>
      <w:r w:rsidR="00E81E0B" w:rsidRPr="002B33CC">
        <w:t>)</w:t>
      </w:r>
      <w:r w:rsidRPr="002B33CC">
        <w:tab/>
        <w:t>La UIT es una organización intergubernamental y un organismo especializado de las Naciones Unidas y, como tal, goza de los privilegios, inmunidades y facilidades que se derivan de esa condición, reconocidos por acuerdos internacionales aplicables y por las legislaciones nacionales correspondientes.</w:t>
      </w:r>
    </w:p>
    <w:p w:rsidR="00D53CEE" w:rsidRPr="002B33CC" w:rsidRDefault="00D53CEE" w:rsidP="00E81E0B">
      <w:pPr>
        <w:pStyle w:val="enumlev1"/>
      </w:pPr>
      <w:r w:rsidRPr="002B33CC">
        <w:t>2</w:t>
      </w:r>
      <w:r w:rsidR="00E81E0B" w:rsidRPr="002B33CC">
        <w:t>)</w:t>
      </w:r>
      <w:r w:rsidRPr="002B33CC">
        <w:tab/>
        <w:t>Ninguna disposición del presente</w:t>
      </w:r>
      <w:r w:rsidR="00304465" w:rsidRPr="002B33CC">
        <w:t xml:space="preserve"> Memorándum de Entendimiento</w:t>
      </w:r>
      <w:r w:rsidRPr="002B33CC">
        <w:t>, o que resulte del mismo, será considerada una renuncia, expresa o implícita, a cualquiera de los privilegios, inmunidades o facilidades de la UIT.</w:t>
      </w:r>
    </w:p>
    <w:p w:rsidR="00D53CEE" w:rsidRPr="002B33CC" w:rsidRDefault="00750D43" w:rsidP="001D3A2F">
      <w:pPr>
        <w:pStyle w:val="Heading1"/>
      </w:pPr>
      <w:r w:rsidRPr="002B33CC">
        <w:t>VII</w:t>
      </w:r>
      <w:r w:rsidR="00D53CEE" w:rsidRPr="002B33CC">
        <w:tab/>
        <w:t>Acuerdo completo</w:t>
      </w:r>
    </w:p>
    <w:p w:rsidR="00D53CEE" w:rsidRPr="002B33CC" w:rsidRDefault="00D53CEE" w:rsidP="002155AC">
      <w:pPr>
        <w:pStyle w:val="enumlev1"/>
      </w:pPr>
      <w:r w:rsidRPr="002B33CC">
        <w:t>1</w:t>
      </w:r>
      <w:r w:rsidR="002155AC" w:rsidRPr="002B33CC">
        <w:t>)</w:t>
      </w:r>
      <w:r w:rsidRPr="002B33CC">
        <w:tab/>
        <w:t>El presente</w:t>
      </w:r>
      <w:r w:rsidR="00750D43" w:rsidRPr="002B33CC">
        <w:t xml:space="preserve"> Memorándum de Entendimiento</w:t>
      </w:r>
      <w:r w:rsidRPr="002B33CC">
        <w:t>, junto con todos y cada uno de sus Anexos, constituye el único Acuerdo entre las Partes con respecto al asunto tratado en el mismo y sustituye a todos los Acuerdos, comunicaciones, negociaciones u otras disposiciones anteriores, escritas u orales, entre las Partes en relación con el asunto en cuestión.</w:t>
      </w:r>
    </w:p>
    <w:p w:rsidR="00D53CEE" w:rsidRPr="002B33CC" w:rsidRDefault="00D53CEE" w:rsidP="002155AC">
      <w:pPr>
        <w:pStyle w:val="enumlev1"/>
      </w:pPr>
      <w:r w:rsidRPr="002B33CC">
        <w:t>2</w:t>
      </w:r>
      <w:r w:rsidR="002155AC" w:rsidRPr="002B33CC">
        <w:t>)</w:t>
      </w:r>
      <w:r w:rsidRPr="002B33CC">
        <w:tab/>
        <w:t xml:space="preserve">Todos y cada uno de los Anexos adjuntos al presente </w:t>
      </w:r>
      <w:r w:rsidR="00750D43" w:rsidRPr="002B33CC">
        <w:t xml:space="preserve">Memorándum de Entendimiento </w:t>
      </w:r>
      <w:r w:rsidRPr="002B33CC">
        <w:t>formarán parte integral del mismo. En caso de que se planteara un conflicto o una discrepancia entre este</w:t>
      </w:r>
      <w:r w:rsidR="00750D43" w:rsidRPr="002B33CC">
        <w:t xml:space="preserve"> Memorándum de Entendimiento</w:t>
      </w:r>
      <w:r w:rsidRPr="002B33CC">
        <w:t>, por una parte, y alguno de sus Anexos, por la otra, regirán los términos y condiciones del presente</w:t>
      </w:r>
      <w:r w:rsidR="00750D43" w:rsidRPr="002B33CC">
        <w:t xml:space="preserve"> Memorándum de Entendimiento</w:t>
      </w:r>
      <w:r w:rsidRPr="002B33CC">
        <w:t>.</w:t>
      </w:r>
    </w:p>
    <w:p w:rsidR="00D53CEE" w:rsidRPr="002B33CC" w:rsidRDefault="00D3000F" w:rsidP="008C038D">
      <w:pPr>
        <w:pageBreakBefore/>
        <w:spacing w:after="480"/>
        <w:rPr>
          <w:rFonts w:eastAsia="Calibri"/>
        </w:rPr>
      </w:pPr>
      <w:r w:rsidRPr="002B33CC">
        <w:rPr>
          <w:rFonts w:eastAsiaTheme="minorHAnsi" w:cs="Calibri"/>
        </w:rPr>
        <w:lastRenderedPageBreak/>
        <w:t>Redactado en</w:t>
      </w:r>
      <w:r w:rsidR="00774020" w:rsidRPr="002B33CC">
        <w:rPr>
          <w:rFonts w:eastAsia="Calibri"/>
        </w:rPr>
        <w:t xml:space="preserve"> Beijing </w:t>
      </w:r>
      <w:r w:rsidRPr="002B33CC">
        <w:rPr>
          <w:rFonts w:eastAsia="Calibri"/>
        </w:rPr>
        <w:t xml:space="preserve">el </w:t>
      </w:r>
      <w:r w:rsidR="002660E6" w:rsidRPr="002B33CC">
        <w:rPr>
          <w:rFonts w:eastAsia="Calibri"/>
        </w:rPr>
        <w:t>18</w:t>
      </w:r>
      <w:r w:rsidRPr="002B33CC">
        <w:rPr>
          <w:rFonts w:eastAsia="Calibri"/>
        </w:rPr>
        <w:t xml:space="preserve"> de septiembre de</w:t>
      </w:r>
      <w:r w:rsidR="00774020" w:rsidRPr="002B33CC">
        <w:rPr>
          <w:rFonts w:eastAsia="Calibri"/>
        </w:rPr>
        <w:t xml:space="preserve"> 2017, </w:t>
      </w:r>
      <w:r w:rsidRPr="002B33CC">
        <w:rPr>
          <w:rFonts w:eastAsia="Calibri"/>
        </w:rPr>
        <w:t>en dos documentos originales en chino e inglés, ambos textos con la misma validez</w:t>
      </w:r>
      <w:r w:rsidR="00774020" w:rsidRPr="002B33CC">
        <w:rPr>
          <w:rFonts w:eastAsia="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038D" w:rsidRPr="002B33CC" w:rsidTr="00F159AB">
        <w:tc>
          <w:tcPr>
            <w:tcW w:w="4814" w:type="dxa"/>
          </w:tcPr>
          <w:p w:rsidR="008C038D" w:rsidRPr="002B33CC" w:rsidRDefault="008C038D" w:rsidP="00F159AB">
            <w:r w:rsidRPr="002B33CC">
              <w:rPr>
                <w:rFonts w:asciiTheme="minorHAnsi" w:hAnsiTheme="minorHAnsi" w:cstheme="majorBidi"/>
                <w:b/>
                <w:szCs w:val="24"/>
              </w:rPr>
              <w:t>Por el Ministerio de Industria y Tecnología de la Información de la República Popular de China</w:t>
            </w:r>
          </w:p>
        </w:tc>
        <w:tc>
          <w:tcPr>
            <w:tcW w:w="4815" w:type="dxa"/>
          </w:tcPr>
          <w:p w:rsidR="008C038D" w:rsidRPr="002B33CC" w:rsidRDefault="008C038D" w:rsidP="008C038D">
            <w:r w:rsidRPr="002B33CC">
              <w:rPr>
                <w:rFonts w:asciiTheme="minorHAnsi" w:hAnsiTheme="minorHAnsi" w:cstheme="majorBidi"/>
                <w:b/>
                <w:szCs w:val="24"/>
              </w:rPr>
              <w:t>Por la Unión Internacional de Telecomunicaciones</w:t>
            </w:r>
          </w:p>
        </w:tc>
      </w:tr>
      <w:tr w:rsidR="008C038D" w:rsidRPr="002B33CC" w:rsidTr="00F159AB">
        <w:tc>
          <w:tcPr>
            <w:tcW w:w="4814" w:type="dxa"/>
          </w:tcPr>
          <w:p w:rsidR="008C038D" w:rsidRPr="002B33CC" w:rsidRDefault="008C038D" w:rsidP="00F159AB"/>
          <w:p w:rsidR="008C038D" w:rsidRPr="002B33CC" w:rsidRDefault="008C038D" w:rsidP="00F159AB"/>
          <w:p w:rsidR="008C038D" w:rsidRPr="002B33CC" w:rsidRDefault="008C038D" w:rsidP="00F159AB"/>
          <w:p w:rsidR="008C038D" w:rsidRPr="002B33CC" w:rsidRDefault="008C038D" w:rsidP="00F159AB">
            <w:r w:rsidRPr="002B33CC">
              <w:rPr>
                <w:noProof/>
                <w:lang w:val="en-US" w:eastAsia="zh-CN"/>
              </w:rPr>
              <mc:AlternateContent>
                <mc:Choice Requires="wps">
                  <w:drawing>
                    <wp:anchor distT="0" distB="0" distL="114300" distR="114300" simplePos="0" relativeHeight="251659264" behindDoc="0" locked="0" layoutInCell="1" allowOverlap="1" wp14:anchorId="196468AF" wp14:editId="3C10B127">
                      <wp:simplePos x="0" y="0"/>
                      <wp:positionH relativeFrom="column">
                        <wp:posOffset>125729</wp:posOffset>
                      </wp:positionH>
                      <wp:positionV relativeFrom="paragraph">
                        <wp:posOffset>173824</wp:posOffset>
                      </wp:positionV>
                      <wp:extent cx="197192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C8E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3.7pt" to="165.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TItAEAALcDAAAOAAAAZHJzL2Uyb0RvYy54bWysU8GO0zAQvSPxD5bvNG2RgI2a7qEruCCo&#10;WPgArzNurLU91tg06d8zdtssAoQQ2ovjsd+bmfc82dxO3okjULIYOrlaLKWAoLG34dDJb1/fv3on&#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" strokecolor="black [3040]"/>
                  </w:pict>
                </mc:Fallback>
              </mc:AlternateContent>
            </w:r>
          </w:p>
        </w:tc>
        <w:tc>
          <w:tcPr>
            <w:tcW w:w="4815" w:type="dxa"/>
          </w:tcPr>
          <w:p w:rsidR="008C038D" w:rsidRPr="002B33CC" w:rsidRDefault="008C038D" w:rsidP="00F159AB"/>
          <w:p w:rsidR="008C038D" w:rsidRPr="002B33CC" w:rsidRDefault="008C038D" w:rsidP="00F159AB"/>
          <w:p w:rsidR="008C038D" w:rsidRPr="002B33CC" w:rsidRDefault="008C038D" w:rsidP="00F159AB"/>
          <w:p w:rsidR="008C038D" w:rsidRPr="002B33CC" w:rsidRDefault="008C038D" w:rsidP="00F159AB">
            <w:r w:rsidRPr="002B33CC">
              <w:rPr>
                <w:noProof/>
                <w:lang w:val="en-US" w:eastAsia="zh-CN"/>
              </w:rPr>
              <mc:AlternateContent>
                <mc:Choice Requires="wps">
                  <w:drawing>
                    <wp:anchor distT="0" distB="0" distL="114300" distR="114300" simplePos="0" relativeHeight="251660288" behindDoc="0" locked="0" layoutInCell="1" allowOverlap="1" wp14:anchorId="67690C1E" wp14:editId="4402CAC4">
                      <wp:simplePos x="0" y="0"/>
                      <wp:positionH relativeFrom="column">
                        <wp:posOffset>266534</wp:posOffset>
                      </wp:positionH>
                      <wp:positionV relativeFrom="paragraph">
                        <wp:posOffset>172057</wp:posOffset>
                      </wp:positionV>
                      <wp:extent cx="1971923"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ABC9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pt,13.55pt" to="176.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fNtQEAALcDAAAOAAAAZHJzL2Uyb0RvYy54bWysU8GO0zAQvSPxD5bvNG1ZARs13UNXcEFQ&#10;sfABXmfcWNgea2ya9O8Zu20WAUIIcXE89ntv5o0nm7vJO3EEShZDJ1eLpRQQNPY2HDr55fPbF2+k&#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" strokecolor="black [3040]"/>
                  </w:pict>
                </mc:Fallback>
              </mc:AlternateContent>
            </w:r>
          </w:p>
        </w:tc>
      </w:tr>
      <w:tr w:rsidR="008C038D" w:rsidRPr="002B33CC" w:rsidTr="00F159AB">
        <w:tc>
          <w:tcPr>
            <w:tcW w:w="4814" w:type="dxa"/>
          </w:tcPr>
          <w:p w:rsidR="008C038D" w:rsidRPr="002B33CC" w:rsidRDefault="008C038D" w:rsidP="005C5E8A">
            <w:r w:rsidRPr="002B33CC">
              <w:t xml:space="preserve">XIE </w:t>
            </w:r>
            <w:proofErr w:type="spellStart"/>
            <w:r w:rsidRPr="002B33CC">
              <w:t>Yuansheng</w:t>
            </w:r>
            <w:proofErr w:type="spellEnd"/>
            <w:r w:rsidRPr="002B33CC">
              <w:br/>
            </w:r>
            <w:r w:rsidR="005C5E8A" w:rsidRPr="002B33CC">
              <w:t xml:space="preserve">Director General de la Oficina </w:t>
            </w:r>
            <w:r w:rsidRPr="002B33CC">
              <w:t xml:space="preserve">de </w:t>
            </w:r>
            <w:r w:rsidR="005C5E8A" w:rsidRPr="002B33CC">
              <w:br/>
              <w:t>regulación de las radiocomunicac</w:t>
            </w:r>
            <w:r w:rsidRPr="002B33CC">
              <w:t>ion</w:t>
            </w:r>
            <w:r w:rsidR="005C5E8A" w:rsidRPr="002B33CC">
              <w:t>e</w:t>
            </w:r>
            <w:r w:rsidRPr="002B33CC">
              <w:t>s</w:t>
            </w:r>
          </w:p>
        </w:tc>
        <w:tc>
          <w:tcPr>
            <w:tcW w:w="4815" w:type="dxa"/>
          </w:tcPr>
          <w:p w:rsidR="008C038D" w:rsidRPr="002B33CC" w:rsidRDefault="008C038D" w:rsidP="008C038D">
            <w:r w:rsidRPr="002B33CC">
              <w:rPr>
                <w:rFonts w:asciiTheme="minorHAnsi" w:hAnsiTheme="minorHAnsi" w:cstheme="majorBidi"/>
                <w:szCs w:val="24"/>
              </w:rPr>
              <w:t>François Rancy</w:t>
            </w:r>
            <w:r w:rsidRPr="002B33CC">
              <w:rPr>
                <w:rFonts w:asciiTheme="minorHAnsi" w:hAnsiTheme="minorHAnsi" w:cstheme="majorBidi"/>
                <w:szCs w:val="24"/>
              </w:rPr>
              <w:br/>
              <w:t>Director de la</w:t>
            </w:r>
            <w:r w:rsidRPr="002B33CC">
              <w:rPr>
                <w:rFonts w:asciiTheme="minorHAnsi" w:hAnsiTheme="minorHAnsi" w:cstheme="majorBidi"/>
                <w:szCs w:val="24"/>
              </w:rPr>
              <w:br/>
              <w:t>Oficina de Radiocomunicaciones</w:t>
            </w:r>
          </w:p>
        </w:tc>
      </w:tr>
    </w:tbl>
    <w:p w:rsidR="00D53CEE" w:rsidRPr="002B33CC" w:rsidRDefault="00D53CEE" w:rsidP="001D3A2F">
      <w:pPr>
        <w:rPr>
          <w:rFonts w:eastAsiaTheme="majorEastAsia" w:cs="Calibri"/>
          <w:b/>
          <w:bCs/>
        </w:rPr>
      </w:pPr>
      <w:r w:rsidRPr="002B33CC">
        <w:rPr>
          <w:rFonts w:eastAsiaTheme="majorEastAsia" w:cs="Calibri"/>
          <w:b/>
          <w:bCs/>
        </w:rPr>
        <w:br w:type="page"/>
      </w:r>
    </w:p>
    <w:p w:rsidR="00D53CEE" w:rsidRPr="002B33CC" w:rsidRDefault="00D53CEE" w:rsidP="001D3A2F">
      <w:pPr>
        <w:pStyle w:val="Headingb"/>
        <w:ind w:left="0" w:firstLine="0"/>
      </w:pPr>
      <w:r w:rsidRPr="002B33CC">
        <w:lastRenderedPageBreak/>
        <w:t>Anexo 1: Protocolo relativo a la notificación y el tratamiento de casos de interferencia perjudicial (prioridad 1</w:t>
      </w:r>
      <w:r w:rsidR="00774020" w:rsidRPr="002B33CC">
        <w:t xml:space="preserve"> y 2</w:t>
      </w:r>
      <w:r w:rsidRPr="002B33CC">
        <w:t>)</w:t>
      </w:r>
    </w:p>
    <w:p w:rsidR="00D53CEE" w:rsidRPr="002B33CC" w:rsidRDefault="00D53CEE" w:rsidP="001D3A2F">
      <w:pPr>
        <w:tabs>
          <w:tab w:val="clear" w:pos="567"/>
          <w:tab w:val="clear" w:pos="1134"/>
          <w:tab w:val="clear" w:pos="1701"/>
          <w:tab w:val="clear" w:pos="2268"/>
          <w:tab w:val="clear" w:pos="2835"/>
          <w:tab w:val="left" w:pos="794"/>
          <w:tab w:val="left" w:pos="1191"/>
          <w:tab w:val="left" w:pos="1588"/>
          <w:tab w:val="left" w:pos="1985"/>
        </w:tabs>
        <w:spacing w:before="360"/>
        <w:rPr>
          <w:rFonts w:cs="Calibri"/>
        </w:rPr>
      </w:pPr>
      <w:r w:rsidRPr="002B33CC">
        <w:rPr>
          <w:rFonts w:cs="Calibri"/>
        </w:rPr>
        <w:t xml:space="preserve">Para la notificación y el tratamiento de casos de interferencia perjudicial, los datos relativos a dicha </w:t>
      </w:r>
      <w:r w:rsidRPr="002B33CC">
        <w:rPr>
          <w:rFonts w:asciiTheme="minorHAnsi" w:hAnsiTheme="minorHAnsi"/>
        </w:rPr>
        <w:t>interferencia</w:t>
      </w:r>
      <w:r w:rsidRPr="002B33CC">
        <w:rPr>
          <w:rFonts w:cs="Calibri"/>
        </w:rPr>
        <w:t xml:space="preserve"> se facilitarán utilizando la información y los procedimientos contemplados en el Informe UIT-R SM.2181</w:t>
      </w:r>
      <w:r w:rsidRPr="002B33CC">
        <w:rPr>
          <w:rFonts w:asciiTheme="minorHAnsi" w:hAnsiTheme="minorHAnsi"/>
          <w:position w:val="6"/>
          <w:sz w:val="18"/>
        </w:rPr>
        <w:footnoteReference w:customMarkFollows="1" w:id="2"/>
        <w:t>*</w:t>
      </w:r>
      <w:r w:rsidRPr="002B33CC">
        <w:rPr>
          <w:rFonts w:cs="Calibri"/>
        </w:rPr>
        <w:t xml:space="preserve"> sobre la Utilización del Apéndice 10 del Reglamento de Radiocomunicaciones, incluida la información de geolocalización.</w:t>
      </w:r>
    </w:p>
    <w:p w:rsidR="00D53CEE" w:rsidRPr="002B33CC" w:rsidRDefault="00D53CEE" w:rsidP="001D3A2F">
      <w:pPr>
        <w:rPr>
          <w:rFonts w:cs="Calibri"/>
        </w:rPr>
      </w:pPr>
      <w:r w:rsidRPr="002B33CC">
        <w:rPr>
          <w:rFonts w:cs="Calibri"/>
        </w:rPr>
        <w:br w:type="page"/>
      </w:r>
    </w:p>
    <w:p w:rsidR="0001744D" w:rsidRPr="002B33CC" w:rsidRDefault="0001744D" w:rsidP="00A25211">
      <w:pPr>
        <w:pStyle w:val="Headingb"/>
        <w:spacing w:after="240"/>
        <w:ind w:left="0" w:firstLine="0"/>
      </w:pPr>
      <w:r w:rsidRPr="002B33CC">
        <w:lastRenderedPageBreak/>
        <w:t>Anexo 2: Lista de contactos</w:t>
      </w:r>
    </w:p>
    <w:tbl>
      <w:tblPr>
        <w:tblW w:w="8931"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95"/>
        <w:gridCol w:w="4536"/>
      </w:tblGrid>
      <w:tr w:rsidR="00293415" w:rsidRPr="002B33CC" w:rsidTr="00571598">
        <w:trPr>
          <w:trHeight w:val="1428"/>
          <w:jc w:val="center"/>
        </w:trPr>
        <w:tc>
          <w:tcPr>
            <w:tcW w:w="4395" w:type="dxa"/>
            <w:tcBorders>
              <w:top w:val="single" w:sz="2" w:space="0" w:color="000000"/>
              <w:bottom w:val="single" w:sz="2" w:space="0" w:color="000000"/>
              <w:right w:val="single" w:sz="2" w:space="0" w:color="000000"/>
            </w:tcBorders>
          </w:tcPr>
          <w:p w:rsidR="00293415" w:rsidRPr="002B33CC" w:rsidRDefault="00293415" w:rsidP="001D3A2F">
            <w:pPr>
              <w:pStyle w:val="Tabletext"/>
              <w:rPr>
                <w:rFonts w:eastAsiaTheme="minorEastAsia" w:cs="Calibri"/>
                <w:szCs w:val="22"/>
                <w:lang w:eastAsia="zh-CN"/>
              </w:rPr>
            </w:pPr>
            <w:r w:rsidRPr="002B33CC">
              <w:rPr>
                <w:rFonts w:eastAsiaTheme="minorEastAsia"/>
              </w:rPr>
              <w:t>UIT</w:t>
            </w:r>
          </w:p>
          <w:p w:rsidR="00034448" w:rsidRPr="002B33CC" w:rsidRDefault="00293415" w:rsidP="00A25211">
            <w:pPr>
              <w:pStyle w:val="Tabletext"/>
            </w:pPr>
            <w:r w:rsidRPr="002B33CC">
              <w:t>Oficina de Radiocomunicaciones</w:t>
            </w:r>
          </w:p>
          <w:p w:rsidR="00293415" w:rsidRPr="002B33CC" w:rsidRDefault="00293415" w:rsidP="00A25211">
            <w:pPr>
              <w:pStyle w:val="Tabletext"/>
              <w:rPr>
                <w:rFonts w:cs="ÇÑÄÄ¹ÙÅÁ"/>
                <w:lang w:eastAsia="ko-KR"/>
              </w:rPr>
            </w:pPr>
            <w:r w:rsidRPr="002B33CC">
              <w:rPr>
                <w:rFonts w:cs="Calibri"/>
                <w:szCs w:val="22"/>
              </w:rPr>
              <w:t>CH-1211 Ginebra 20</w:t>
            </w:r>
            <w:r w:rsidR="00A25211" w:rsidRPr="002B33CC">
              <w:rPr>
                <w:rFonts w:cs="Calibri"/>
                <w:szCs w:val="22"/>
              </w:rPr>
              <w:br/>
            </w:r>
            <w:r w:rsidRPr="002B33CC">
              <w:t>Suiza</w:t>
            </w:r>
          </w:p>
        </w:tc>
        <w:tc>
          <w:tcPr>
            <w:tcW w:w="4536" w:type="dxa"/>
            <w:tcBorders>
              <w:top w:val="single" w:sz="2" w:space="0" w:color="000000"/>
              <w:left w:val="single" w:sz="2" w:space="0" w:color="000000"/>
              <w:bottom w:val="single" w:sz="2" w:space="0" w:color="000000"/>
            </w:tcBorders>
          </w:tcPr>
          <w:p w:rsidR="00293415" w:rsidRPr="002B33CC" w:rsidRDefault="00293415" w:rsidP="00A25211">
            <w:pPr>
              <w:pStyle w:val="Tabletext"/>
              <w:tabs>
                <w:tab w:val="left" w:pos="1170"/>
              </w:tabs>
              <w:rPr>
                <w:rFonts w:cs="Calibri"/>
                <w:szCs w:val="22"/>
              </w:rPr>
            </w:pPr>
            <w:r w:rsidRPr="002B33CC">
              <w:rPr>
                <w:rFonts w:eastAsiaTheme="minorEastAsia" w:cs="Calibri"/>
                <w:szCs w:val="22"/>
                <w:lang w:eastAsia="zh-CN"/>
              </w:rPr>
              <w:t>Correo-e</w:t>
            </w:r>
            <w:r w:rsidRPr="002B33CC">
              <w:rPr>
                <w:rFonts w:cs="Calibri"/>
                <w:szCs w:val="22"/>
              </w:rPr>
              <w:t>:</w:t>
            </w:r>
            <w:r w:rsidR="00A25211" w:rsidRPr="002B33CC">
              <w:rPr>
                <w:rFonts w:eastAsiaTheme="minorEastAsia" w:cs="Calibri"/>
                <w:szCs w:val="22"/>
                <w:lang w:eastAsia="zh-CN"/>
              </w:rPr>
              <w:tab/>
            </w:r>
            <w:hyperlink r:id="rId9" w:history="1">
              <w:r w:rsidRPr="002B33CC">
                <w:rPr>
                  <w:rStyle w:val="Hyperlink"/>
                  <w:rFonts w:cs="Calibri"/>
                  <w:szCs w:val="22"/>
                </w:rPr>
                <w:t>Space.monitoring@itu.int</w:t>
              </w:r>
            </w:hyperlink>
          </w:p>
          <w:p w:rsidR="00293415" w:rsidRPr="002B33CC" w:rsidRDefault="00A25211" w:rsidP="00A25211">
            <w:pPr>
              <w:pStyle w:val="Tabletext"/>
              <w:tabs>
                <w:tab w:val="left" w:pos="1170"/>
              </w:tabs>
              <w:rPr>
                <w:rFonts w:cs="Calibri"/>
                <w:szCs w:val="22"/>
              </w:rPr>
            </w:pPr>
            <w:r w:rsidRPr="002B33CC">
              <w:tab/>
            </w:r>
            <w:hyperlink r:id="rId10" w:history="1">
              <w:r w:rsidR="00293415" w:rsidRPr="002B33CC">
                <w:rPr>
                  <w:rStyle w:val="Hyperlink"/>
                  <w:rFonts w:cs="Calibri"/>
                  <w:szCs w:val="22"/>
                </w:rPr>
                <w:t>brmail@itu.int</w:t>
              </w:r>
            </w:hyperlink>
          </w:p>
          <w:p w:rsidR="00293415" w:rsidRPr="002B33CC" w:rsidRDefault="00293415" w:rsidP="00A25211">
            <w:pPr>
              <w:pStyle w:val="Tabletext"/>
              <w:tabs>
                <w:tab w:val="left" w:pos="1170"/>
              </w:tabs>
              <w:rPr>
                <w:rFonts w:cs="ÇÑÄÄ¹ÙÅÁ"/>
                <w:lang w:eastAsia="ko-KR"/>
              </w:rPr>
            </w:pPr>
            <w:r w:rsidRPr="002B33CC">
              <w:rPr>
                <w:rFonts w:eastAsiaTheme="minorEastAsia" w:cs="Calibri"/>
                <w:szCs w:val="22"/>
                <w:lang w:eastAsia="zh-CN"/>
              </w:rPr>
              <w:t>Tel</w:t>
            </w:r>
            <w:r w:rsidR="00A25211" w:rsidRPr="002B33CC">
              <w:rPr>
                <w:rFonts w:eastAsiaTheme="minorEastAsia" w:cs="Calibri"/>
                <w:szCs w:val="22"/>
                <w:lang w:eastAsia="zh-CN"/>
              </w:rPr>
              <w:t>éfono</w:t>
            </w:r>
            <w:r w:rsidRPr="002B33CC">
              <w:rPr>
                <w:rFonts w:cs="Calibri"/>
                <w:szCs w:val="22"/>
              </w:rPr>
              <w:t>:</w:t>
            </w:r>
            <w:r w:rsidR="00A25211" w:rsidRPr="002B33CC">
              <w:rPr>
                <w:rFonts w:eastAsiaTheme="minorEastAsia" w:cs="Calibri"/>
                <w:szCs w:val="22"/>
                <w:lang w:eastAsia="zh-CN"/>
              </w:rPr>
              <w:tab/>
            </w:r>
            <w:r w:rsidRPr="002B33CC">
              <w:rPr>
                <w:rFonts w:cs="Calibri"/>
                <w:szCs w:val="22"/>
              </w:rPr>
              <w:t>+41 22 730 5536</w:t>
            </w:r>
          </w:p>
        </w:tc>
      </w:tr>
      <w:tr w:rsidR="00293415" w:rsidRPr="002B33CC" w:rsidTr="00571598">
        <w:trPr>
          <w:trHeight w:val="1428"/>
          <w:jc w:val="center"/>
        </w:trPr>
        <w:tc>
          <w:tcPr>
            <w:tcW w:w="4395" w:type="dxa"/>
            <w:tcBorders>
              <w:top w:val="single" w:sz="2" w:space="0" w:color="000000"/>
              <w:bottom w:val="single" w:sz="2" w:space="0" w:color="000000"/>
              <w:right w:val="single" w:sz="2" w:space="0" w:color="000000"/>
            </w:tcBorders>
          </w:tcPr>
          <w:p w:rsidR="00D51A9F" w:rsidRPr="002B33CC" w:rsidRDefault="00293415" w:rsidP="00D51A9F">
            <w:pPr>
              <w:pStyle w:val="Tabletext"/>
              <w:rPr>
                <w:rFonts w:eastAsia="SimSun" w:cs="Calibri"/>
                <w:szCs w:val="22"/>
                <w:lang w:eastAsia="zh-CN"/>
              </w:rPr>
            </w:pPr>
            <w:r w:rsidRPr="002B33CC">
              <w:rPr>
                <w:rFonts w:eastAsia="SimSun" w:cs="Calibri"/>
                <w:szCs w:val="22"/>
                <w:lang w:eastAsia="zh-CN"/>
              </w:rPr>
              <w:t>MIIT de la República Popular de China</w:t>
            </w:r>
          </w:p>
          <w:p w:rsidR="00034448" w:rsidRPr="002B33CC" w:rsidRDefault="00C6038A" w:rsidP="00D51A9F">
            <w:pPr>
              <w:pStyle w:val="Tabletext"/>
              <w:rPr>
                <w:rFonts w:eastAsia="SimSun" w:cs="Calibri"/>
                <w:szCs w:val="22"/>
                <w:lang w:eastAsia="zh-CN"/>
              </w:rPr>
            </w:pPr>
            <w:r w:rsidRPr="002B33CC">
              <w:rPr>
                <w:rFonts w:eastAsia="SimSun" w:cs="Calibri"/>
                <w:szCs w:val="22"/>
                <w:lang w:eastAsia="zh-CN"/>
              </w:rPr>
              <w:t>Oficina de regulación de las radiocomunicaciones</w:t>
            </w:r>
          </w:p>
          <w:p w:rsidR="00293415" w:rsidRPr="00EB045B" w:rsidRDefault="00293415" w:rsidP="00D51A9F">
            <w:pPr>
              <w:pStyle w:val="Tabletext"/>
              <w:rPr>
                <w:rFonts w:cs="ÇÑÄÄ¹ÙÅÁ"/>
                <w:lang w:val="en-US" w:eastAsia="ko-KR"/>
              </w:rPr>
            </w:pPr>
            <w:r w:rsidRPr="00EB045B">
              <w:rPr>
                <w:rFonts w:eastAsia="SimSun" w:cs="Calibri"/>
                <w:szCs w:val="22"/>
                <w:lang w:val="en-US" w:eastAsia="zh-CN"/>
              </w:rPr>
              <w:t xml:space="preserve">No. 13, West </w:t>
            </w:r>
            <w:proofErr w:type="spellStart"/>
            <w:r w:rsidRPr="00EB045B">
              <w:rPr>
                <w:rFonts w:eastAsia="SimSun" w:cs="Calibri"/>
                <w:szCs w:val="22"/>
                <w:lang w:val="en-US" w:eastAsia="zh-CN"/>
              </w:rPr>
              <w:t>Chang’an</w:t>
            </w:r>
            <w:proofErr w:type="spellEnd"/>
            <w:r w:rsidRPr="00EB045B">
              <w:rPr>
                <w:rFonts w:eastAsia="SimSun" w:cs="Calibri"/>
                <w:szCs w:val="22"/>
                <w:lang w:val="en-US" w:eastAsia="zh-CN"/>
              </w:rPr>
              <w:t xml:space="preserve"> Street</w:t>
            </w:r>
            <w:r w:rsidR="00D51A9F" w:rsidRPr="00EB045B">
              <w:rPr>
                <w:rFonts w:eastAsia="SimSun" w:cs="Calibri"/>
                <w:szCs w:val="22"/>
                <w:lang w:val="en-US" w:eastAsia="zh-CN"/>
              </w:rPr>
              <w:br/>
            </w:r>
            <w:proofErr w:type="spellStart"/>
            <w:r w:rsidRPr="00EB045B">
              <w:rPr>
                <w:rFonts w:eastAsia="SimSun" w:cs="Calibri"/>
                <w:szCs w:val="22"/>
                <w:lang w:val="en-US" w:eastAsia="zh-CN"/>
              </w:rPr>
              <w:t>Xicheng</w:t>
            </w:r>
            <w:proofErr w:type="spellEnd"/>
            <w:r w:rsidRPr="00EB045B">
              <w:rPr>
                <w:rFonts w:eastAsia="SimSun" w:cs="Calibri"/>
                <w:szCs w:val="22"/>
                <w:lang w:val="en-US" w:eastAsia="zh-CN"/>
              </w:rPr>
              <w:t xml:space="preserve"> District, Beijing</w:t>
            </w:r>
            <w:r w:rsidR="00D51A9F" w:rsidRPr="00EB045B">
              <w:rPr>
                <w:rFonts w:eastAsia="SimSun" w:cs="Calibri"/>
                <w:szCs w:val="22"/>
                <w:lang w:val="en-US" w:eastAsia="zh-CN"/>
              </w:rPr>
              <w:br/>
            </w:r>
            <w:r w:rsidRPr="00EB045B">
              <w:rPr>
                <w:rFonts w:eastAsia="SimSun" w:cs="Calibri"/>
                <w:szCs w:val="22"/>
                <w:lang w:val="en-US" w:eastAsia="zh-CN"/>
              </w:rPr>
              <w:t>China</w:t>
            </w:r>
          </w:p>
        </w:tc>
        <w:tc>
          <w:tcPr>
            <w:tcW w:w="4536" w:type="dxa"/>
            <w:tcBorders>
              <w:top w:val="single" w:sz="2" w:space="0" w:color="000000"/>
              <w:left w:val="single" w:sz="2" w:space="0" w:color="000000"/>
              <w:bottom w:val="single" w:sz="2" w:space="0" w:color="000000"/>
            </w:tcBorders>
          </w:tcPr>
          <w:p w:rsidR="00293415" w:rsidRPr="00EB045B" w:rsidRDefault="00293415" w:rsidP="00221FE9">
            <w:pPr>
              <w:pStyle w:val="Tabletext"/>
              <w:tabs>
                <w:tab w:val="left" w:pos="1170"/>
              </w:tabs>
              <w:rPr>
                <w:rFonts w:eastAsiaTheme="minorEastAsia" w:cs="Calibri"/>
                <w:szCs w:val="22"/>
                <w:lang w:val="en-US" w:eastAsia="zh-CN"/>
              </w:rPr>
            </w:pPr>
            <w:proofErr w:type="spellStart"/>
            <w:r w:rsidRPr="00EB045B">
              <w:rPr>
                <w:rFonts w:eastAsiaTheme="minorEastAsia" w:cs="Calibri"/>
                <w:szCs w:val="22"/>
                <w:lang w:val="en-US" w:eastAsia="zh-CN"/>
              </w:rPr>
              <w:t>Correo</w:t>
            </w:r>
            <w:proofErr w:type="spellEnd"/>
            <w:r w:rsidRPr="00EB045B">
              <w:rPr>
                <w:rFonts w:eastAsiaTheme="minorEastAsia" w:cs="Calibri"/>
                <w:szCs w:val="22"/>
                <w:lang w:val="en-US" w:eastAsia="zh-CN"/>
              </w:rPr>
              <w:t>-e</w:t>
            </w:r>
            <w:r w:rsidRPr="00EB045B">
              <w:rPr>
                <w:rFonts w:cs="Calibri"/>
                <w:szCs w:val="22"/>
                <w:lang w:val="en-US"/>
              </w:rPr>
              <w:t>:</w:t>
            </w:r>
            <w:r w:rsidR="00221FE9" w:rsidRPr="00EB045B">
              <w:rPr>
                <w:lang w:val="en-US"/>
              </w:rPr>
              <w:tab/>
            </w:r>
            <w:hyperlink r:id="rId11" w:history="1">
              <w:r w:rsidR="00221FE9" w:rsidRPr="00EB045B">
                <w:rPr>
                  <w:rStyle w:val="Hyperlink"/>
                  <w:sz w:val="24"/>
                  <w:szCs w:val="24"/>
                  <w:lang w:val="en-US"/>
                </w:rPr>
                <w:t>dlxx@miit.gov.cn</w:t>
              </w:r>
            </w:hyperlink>
          </w:p>
          <w:p w:rsidR="00293415" w:rsidRPr="002B33CC" w:rsidRDefault="00221FE9" w:rsidP="00221FE9">
            <w:pPr>
              <w:pStyle w:val="Tabletext"/>
              <w:tabs>
                <w:tab w:val="left" w:pos="1170"/>
              </w:tabs>
              <w:rPr>
                <w:rFonts w:ascii="ÇÑÄÄ¹ÙÅÁ" w:hAnsi="ÇÑÄÄ¹ÙÅÁ" w:cs="ÇÑÄÄ¹ÙÅÁ"/>
                <w:color w:val="000000"/>
                <w:sz w:val="20"/>
                <w:lang w:eastAsia="ko-KR"/>
              </w:rPr>
            </w:pPr>
            <w:r w:rsidRPr="002B33CC">
              <w:rPr>
                <w:rFonts w:eastAsiaTheme="minorEastAsia" w:cs="Calibri"/>
                <w:szCs w:val="22"/>
                <w:lang w:eastAsia="zh-CN"/>
              </w:rPr>
              <w:t>Teléfono</w:t>
            </w:r>
            <w:r w:rsidR="00293415" w:rsidRPr="002B33CC">
              <w:rPr>
                <w:rFonts w:cs="Calibri"/>
                <w:szCs w:val="22"/>
              </w:rPr>
              <w:t>:</w:t>
            </w:r>
            <w:r w:rsidRPr="002B33CC">
              <w:rPr>
                <w:rFonts w:eastAsiaTheme="minorEastAsia"/>
                <w:sz w:val="24"/>
                <w:szCs w:val="24"/>
                <w:lang w:eastAsia="zh-CN"/>
              </w:rPr>
              <w:tab/>
            </w:r>
            <w:r w:rsidRPr="002B33CC">
              <w:rPr>
                <w:sz w:val="24"/>
                <w:szCs w:val="24"/>
              </w:rPr>
              <w:t>+86 10 6820 6220</w:t>
            </w:r>
          </w:p>
        </w:tc>
      </w:tr>
      <w:tr w:rsidR="00293415" w:rsidRPr="002B33CC" w:rsidTr="00571598">
        <w:trPr>
          <w:trHeight w:val="1428"/>
          <w:jc w:val="center"/>
        </w:trPr>
        <w:tc>
          <w:tcPr>
            <w:tcW w:w="4395" w:type="dxa"/>
            <w:tcBorders>
              <w:top w:val="single" w:sz="2" w:space="0" w:color="000000"/>
              <w:bottom w:val="single" w:sz="2" w:space="0" w:color="000000"/>
              <w:right w:val="single" w:sz="2" w:space="0" w:color="000000"/>
            </w:tcBorders>
          </w:tcPr>
          <w:p w:rsidR="00D51A9F" w:rsidRPr="00EB045B" w:rsidRDefault="00293415" w:rsidP="00D51A9F">
            <w:pPr>
              <w:pStyle w:val="Tabletext"/>
              <w:rPr>
                <w:rFonts w:eastAsia="SimSun" w:cs="Calibri"/>
                <w:szCs w:val="22"/>
                <w:lang w:val="en-US" w:eastAsia="zh-CN"/>
              </w:rPr>
            </w:pPr>
            <w:r w:rsidRPr="00EB045B">
              <w:rPr>
                <w:rFonts w:eastAsia="SimSun" w:cs="Calibri"/>
                <w:szCs w:val="22"/>
                <w:lang w:val="en-US" w:eastAsia="zh-CN"/>
              </w:rPr>
              <w:t>SRMC</w:t>
            </w:r>
          </w:p>
          <w:p w:rsidR="00293415" w:rsidRPr="00EB045B" w:rsidRDefault="00293415" w:rsidP="00D51A9F">
            <w:pPr>
              <w:pStyle w:val="Tabletext"/>
              <w:rPr>
                <w:rFonts w:cs="Calibri"/>
                <w:szCs w:val="22"/>
                <w:lang w:val="en-US"/>
              </w:rPr>
            </w:pPr>
            <w:r w:rsidRPr="00EB045B">
              <w:rPr>
                <w:rFonts w:eastAsia="SimSun" w:cs="Calibri"/>
                <w:szCs w:val="22"/>
                <w:lang w:val="en-US" w:eastAsia="zh-CN"/>
              </w:rPr>
              <w:t>No.</w:t>
            </w:r>
            <w:r w:rsidR="007E21BD" w:rsidRPr="00EB045B">
              <w:rPr>
                <w:rFonts w:eastAsia="SimSun" w:cs="Calibri"/>
                <w:szCs w:val="22"/>
                <w:lang w:val="en-US" w:eastAsia="zh-CN"/>
              </w:rPr>
              <w:t xml:space="preserve"> </w:t>
            </w:r>
            <w:r w:rsidRPr="00EB045B">
              <w:rPr>
                <w:rFonts w:eastAsia="SimSun" w:cs="Calibri"/>
                <w:szCs w:val="22"/>
                <w:lang w:val="en-US" w:eastAsia="zh-CN"/>
              </w:rPr>
              <w:t xml:space="preserve">80, </w:t>
            </w:r>
            <w:proofErr w:type="spellStart"/>
            <w:r w:rsidRPr="00EB045B">
              <w:rPr>
                <w:rFonts w:eastAsia="SimSun" w:cs="Calibri"/>
                <w:szCs w:val="22"/>
                <w:lang w:val="en-US" w:eastAsia="zh-CN"/>
              </w:rPr>
              <w:t>Bei</w:t>
            </w:r>
            <w:proofErr w:type="spellEnd"/>
            <w:r w:rsidRPr="00EB045B">
              <w:rPr>
                <w:rFonts w:eastAsia="SimSun" w:cs="Calibri"/>
                <w:szCs w:val="22"/>
                <w:lang w:val="en-US" w:eastAsia="zh-CN"/>
              </w:rPr>
              <w:t xml:space="preserve"> </w:t>
            </w:r>
            <w:proofErr w:type="spellStart"/>
            <w:r w:rsidRPr="00EB045B">
              <w:rPr>
                <w:rFonts w:eastAsia="SimSun" w:cs="Calibri"/>
                <w:szCs w:val="22"/>
                <w:lang w:val="en-US" w:eastAsia="zh-CN"/>
              </w:rPr>
              <w:t>Lishi</w:t>
            </w:r>
            <w:proofErr w:type="spellEnd"/>
            <w:r w:rsidRPr="00EB045B">
              <w:rPr>
                <w:rFonts w:eastAsia="SimSun" w:cs="Calibri"/>
                <w:szCs w:val="22"/>
                <w:lang w:val="en-US" w:eastAsia="zh-CN"/>
              </w:rPr>
              <w:t xml:space="preserve"> Road</w:t>
            </w:r>
            <w:r w:rsidR="00D51A9F" w:rsidRPr="00EB045B">
              <w:rPr>
                <w:rFonts w:eastAsia="SimSun" w:cs="Calibri"/>
                <w:szCs w:val="22"/>
                <w:lang w:val="en-US" w:eastAsia="zh-CN"/>
              </w:rPr>
              <w:br/>
            </w:r>
            <w:proofErr w:type="spellStart"/>
            <w:r w:rsidRPr="00EB045B">
              <w:rPr>
                <w:rFonts w:eastAsia="SimSun" w:cs="Calibri"/>
                <w:szCs w:val="22"/>
                <w:lang w:val="en-US" w:eastAsia="zh-CN"/>
              </w:rPr>
              <w:t>Xicheng</w:t>
            </w:r>
            <w:proofErr w:type="spellEnd"/>
            <w:r w:rsidRPr="00EB045B">
              <w:rPr>
                <w:rFonts w:eastAsia="SimSun" w:cs="Calibri"/>
                <w:szCs w:val="22"/>
                <w:lang w:val="en-US" w:eastAsia="zh-CN"/>
              </w:rPr>
              <w:t xml:space="preserve"> District, Beijing</w:t>
            </w:r>
            <w:r w:rsidR="00D51A9F" w:rsidRPr="00EB045B">
              <w:rPr>
                <w:rFonts w:eastAsia="SimSun" w:cs="Calibri"/>
                <w:szCs w:val="22"/>
                <w:lang w:val="en-US" w:eastAsia="zh-CN"/>
              </w:rPr>
              <w:br/>
            </w:r>
            <w:r w:rsidRPr="00EB045B">
              <w:rPr>
                <w:rFonts w:eastAsia="SimSun" w:cs="Calibri"/>
                <w:szCs w:val="22"/>
                <w:lang w:val="en-US" w:eastAsia="zh-CN"/>
              </w:rPr>
              <w:t>China</w:t>
            </w:r>
          </w:p>
        </w:tc>
        <w:tc>
          <w:tcPr>
            <w:tcW w:w="4536" w:type="dxa"/>
            <w:tcBorders>
              <w:top w:val="single" w:sz="2" w:space="0" w:color="000000"/>
              <w:left w:val="single" w:sz="2" w:space="0" w:color="000000"/>
              <w:bottom w:val="single" w:sz="2" w:space="0" w:color="000000"/>
            </w:tcBorders>
          </w:tcPr>
          <w:p w:rsidR="00293415" w:rsidRPr="00EB045B" w:rsidRDefault="00293415" w:rsidP="00EE2903">
            <w:pPr>
              <w:pStyle w:val="Tabletext"/>
              <w:tabs>
                <w:tab w:val="left" w:pos="1170"/>
              </w:tabs>
              <w:rPr>
                <w:rFonts w:eastAsiaTheme="minorEastAsia"/>
                <w:lang w:val="en-US" w:eastAsia="zh-CN"/>
              </w:rPr>
            </w:pPr>
            <w:proofErr w:type="spellStart"/>
            <w:r w:rsidRPr="00EB045B">
              <w:rPr>
                <w:rFonts w:eastAsiaTheme="minorEastAsia" w:cs="Calibri"/>
                <w:szCs w:val="22"/>
                <w:lang w:val="en-US" w:eastAsia="zh-CN"/>
              </w:rPr>
              <w:t>Correo</w:t>
            </w:r>
            <w:proofErr w:type="spellEnd"/>
            <w:r w:rsidRPr="00EB045B">
              <w:rPr>
                <w:rFonts w:eastAsiaTheme="minorEastAsia" w:cs="Calibri"/>
                <w:szCs w:val="22"/>
                <w:lang w:val="en-US" w:eastAsia="zh-CN"/>
              </w:rPr>
              <w:t>-e</w:t>
            </w:r>
            <w:r w:rsidRPr="00EB045B">
              <w:rPr>
                <w:rFonts w:cs="Calibri"/>
                <w:szCs w:val="22"/>
                <w:lang w:val="en-US"/>
              </w:rPr>
              <w:t>:</w:t>
            </w:r>
            <w:r w:rsidR="00EE2903" w:rsidRPr="00EB045B">
              <w:rPr>
                <w:rFonts w:eastAsiaTheme="minorEastAsia"/>
                <w:sz w:val="24"/>
                <w:szCs w:val="24"/>
                <w:lang w:val="en-US" w:eastAsia="zh-CN"/>
              </w:rPr>
              <w:tab/>
            </w:r>
            <w:hyperlink r:id="rId12" w:history="1">
              <w:r w:rsidR="00EE2903" w:rsidRPr="00EB045B">
                <w:rPr>
                  <w:rStyle w:val="Hyperlink"/>
                  <w:sz w:val="24"/>
                  <w:szCs w:val="24"/>
                  <w:lang w:val="en-US"/>
                </w:rPr>
                <w:t>Juochao@srrc.org.en</w:t>
              </w:r>
            </w:hyperlink>
          </w:p>
          <w:p w:rsidR="00293415" w:rsidRPr="002B33CC" w:rsidRDefault="00EE2903" w:rsidP="00EE2903">
            <w:pPr>
              <w:pStyle w:val="Tabletext"/>
              <w:tabs>
                <w:tab w:val="left" w:pos="1170"/>
              </w:tabs>
            </w:pPr>
            <w:r w:rsidRPr="002B33CC">
              <w:rPr>
                <w:rFonts w:eastAsiaTheme="minorEastAsia" w:cs="Calibri"/>
                <w:szCs w:val="22"/>
                <w:lang w:eastAsia="zh-CN"/>
              </w:rPr>
              <w:t>Teléfono</w:t>
            </w:r>
            <w:r w:rsidR="00293415" w:rsidRPr="002B33CC">
              <w:rPr>
                <w:rFonts w:cs="Calibri"/>
                <w:szCs w:val="22"/>
              </w:rPr>
              <w:t>:</w:t>
            </w:r>
            <w:r w:rsidRPr="002B33CC">
              <w:rPr>
                <w:rFonts w:eastAsiaTheme="minorEastAsia" w:cs="Calibri"/>
                <w:szCs w:val="22"/>
                <w:lang w:eastAsia="zh-CN"/>
              </w:rPr>
              <w:tab/>
            </w:r>
            <w:r w:rsidRPr="002B33CC">
              <w:rPr>
                <w:sz w:val="24"/>
                <w:szCs w:val="24"/>
              </w:rPr>
              <w:t>+86 10 6800 9121</w:t>
            </w:r>
          </w:p>
        </w:tc>
      </w:tr>
    </w:tbl>
    <w:p w:rsidR="00347636" w:rsidRPr="002B33CC" w:rsidRDefault="00347636" w:rsidP="001D3A2F">
      <w:r w:rsidRPr="002B33CC">
        <w:br w:type="page"/>
      </w:r>
    </w:p>
    <w:p w:rsidR="00DE41DF" w:rsidRPr="002B33CC" w:rsidRDefault="007038A3" w:rsidP="001D3A2F">
      <w:pPr>
        <w:pStyle w:val="AnnexNo"/>
      </w:pPr>
      <w:r w:rsidRPr="002B33CC">
        <w:rPr>
          <w:rFonts w:cs="Calibri"/>
          <w:b/>
          <w:noProof/>
          <w:lang w:val="en-US" w:eastAsia="zh-CN"/>
        </w:rPr>
        <w:lastRenderedPageBreak/>
        <w:drawing>
          <wp:anchor distT="0" distB="0" distL="114300" distR="114300" simplePos="0" relativeHeight="251663360" behindDoc="1" locked="0" layoutInCell="1" allowOverlap="1">
            <wp:simplePos x="0" y="0"/>
            <wp:positionH relativeFrom="column">
              <wp:posOffset>5332095</wp:posOffset>
            </wp:positionH>
            <wp:positionV relativeFrom="paragraph">
              <wp:posOffset>-49613</wp:posOffset>
            </wp:positionV>
            <wp:extent cx="963000" cy="946206"/>
            <wp:effectExtent l="0" t="0" r="889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000" cy="946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3CC">
        <w:rPr>
          <w:b/>
          <w:bCs/>
          <w:noProof/>
          <w:lang w:val="en-US" w:eastAsia="zh-CN"/>
        </w:rPr>
        <w:drawing>
          <wp:anchor distT="0" distB="0" distL="114300" distR="114300" simplePos="0" relativeHeight="251662336" behindDoc="1" locked="0" layoutInCell="1" allowOverlap="1" wp14:anchorId="427A47DD" wp14:editId="6823C7EB">
            <wp:simplePos x="0" y="0"/>
            <wp:positionH relativeFrom="column">
              <wp:posOffset>0</wp:posOffset>
            </wp:positionH>
            <wp:positionV relativeFrom="paragraph">
              <wp:posOffset>717</wp:posOffset>
            </wp:positionV>
            <wp:extent cx="579120" cy="657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E41DF" w:rsidRPr="002B33CC">
        <w:t>ANEXO B</w:t>
      </w:r>
    </w:p>
    <w:p w:rsidR="00DE41DF" w:rsidRPr="002B33CC" w:rsidRDefault="007038A3" w:rsidP="007038A3">
      <w:pPr>
        <w:pStyle w:val="Title4"/>
        <w:spacing w:before="120"/>
      </w:pPr>
      <w:r w:rsidRPr="002B33CC">
        <w:t>Memorándum de Entendimiento</w:t>
      </w:r>
      <w:r w:rsidRPr="002B33CC">
        <w:br/>
      </w:r>
      <w:r w:rsidR="00714C84" w:rsidRPr="002B33CC">
        <w:t xml:space="preserve">sobre </w:t>
      </w:r>
      <w:r w:rsidRPr="002B33CC">
        <w:t>cooperación</w:t>
      </w:r>
    </w:p>
    <w:p w:rsidR="00DE41DF" w:rsidRPr="002B33CC" w:rsidRDefault="00DE41DF" w:rsidP="007038A3">
      <w:pPr>
        <w:pStyle w:val="Title4"/>
        <w:spacing w:before="120"/>
      </w:pPr>
      <w:proofErr w:type="gramStart"/>
      <w:r w:rsidRPr="002B33CC">
        <w:t>entre</w:t>
      </w:r>
      <w:proofErr w:type="gramEnd"/>
    </w:p>
    <w:p w:rsidR="00DE41DF" w:rsidRPr="002B33CC" w:rsidRDefault="007038A3" w:rsidP="007038A3">
      <w:pPr>
        <w:pStyle w:val="Title4"/>
        <w:spacing w:before="120"/>
      </w:pPr>
      <w:proofErr w:type="gramStart"/>
      <w:r w:rsidRPr="002B33CC">
        <w:t>la</w:t>
      </w:r>
      <w:proofErr w:type="gramEnd"/>
      <w:r w:rsidRPr="002B33CC">
        <w:t xml:space="preserve"> </w:t>
      </w:r>
      <w:r w:rsidR="00DE41DF" w:rsidRPr="002B33CC">
        <w:t>Unión Internacional de Telecomunicaciones</w:t>
      </w:r>
    </w:p>
    <w:p w:rsidR="00DE41DF" w:rsidRPr="002B33CC" w:rsidRDefault="00DE41DF" w:rsidP="007038A3">
      <w:pPr>
        <w:pStyle w:val="Title4"/>
        <w:spacing w:before="120"/>
      </w:pPr>
      <w:proofErr w:type="gramStart"/>
      <w:r w:rsidRPr="002B33CC">
        <w:t>y</w:t>
      </w:r>
      <w:proofErr w:type="gramEnd"/>
    </w:p>
    <w:p w:rsidR="00DE41DF" w:rsidRPr="002B33CC" w:rsidRDefault="00DE41DF" w:rsidP="007038A3">
      <w:pPr>
        <w:pStyle w:val="Title4"/>
        <w:spacing w:before="120"/>
      </w:pPr>
      <w:proofErr w:type="gramStart"/>
      <w:r w:rsidRPr="002B33CC">
        <w:t>el</w:t>
      </w:r>
      <w:proofErr w:type="gramEnd"/>
      <w:r w:rsidRPr="002B33CC">
        <w:t xml:space="preserve"> </w:t>
      </w:r>
      <w:r w:rsidR="00714C84" w:rsidRPr="002B33CC">
        <w:t>Servicio Central de Gestión de Radiocomunicaciones del</w:t>
      </w:r>
      <w:r w:rsidR="007038A3" w:rsidRPr="002B33CC">
        <w:t xml:space="preserve"> Ministerio de </w:t>
      </w:r>
      <w:r w:rsidRPr="002B33CC">
        <w:br/>
      </w:r>
      <w:r w:rsidR="00714C84" w:rsidRPr="002B33CC">
        <w:t>Ciencias y TIC de la República de Corea</w:t>
      </w:r>
    </w:p>
    <w:p w:rsidR="00DE41DF" w:rsidRPr="002B33CC" w:rsidRDefault="00DE41DF" w:rsidP="007038A3">
      <w:pPr>
        <w:pStyle w:val="Title4"/>
        <w:spacing w:before="120"/>
      </w:pPr>
      <w:proofErr w:type="gramStart"/>
      <w:r w:rsidRPr="002B33CC">
        <w:t>para</w:t>
      </w:r>
      <w:proofErr w:type="gramEnd"/>
    </w:p>
    <w:p w:rsidR="00DE41DF" w:rsidRPr="002B33CC" w:rsidRDefault="00DE41DF" w:rsidP="007038A3">
      <w:pPr>
        <w:pStyle w:val="Title4"/>
        <w:spacing w:before="120"/>
      </w:pPr>
      <w:proofErr w:type="gramStart"/>
      <w:r w:rsidRPr="002B33CC">
        <w:t>ayudar</w:t>
      </w:r>
      <w:proofErr w:type="gramEnd"/>
      <w:r w:rsidRPr="002B33CC">
        <w:t xml:space="preserve"> a la Unión Internacional de Telecomunicaciones (UIT) a efectuar mediciones relacionadas con casos de interferencia perjudicial para </w:t>
      </w:r>
      <w:r w:rsidR="007038A3" w:rsidRPr="002B33CC">
        <w:br/>
      </w:r>
      <w:r w:rsidRPr="002B33CC">
        <w:t>los cuales una administración solicita la asistencia de la UIT</w:t>
      </w:r>
    </w:p>
    <w:p w:rsidR="00DE41DF" w:rsidRPr="002B33CC" w:rsidRDefault="00DE41DF" w:rsidP="00B1168E">
      <w:pPr>
        <w:spacing w:before="480" w:after="120"/>
      </w:pPr>
      <w:r w:rsidRPr="002B33CC">
        <w:t xml:space="preserve">La Unión Internacional de Telecomunicaciones (en lo sucesivo, "UIT"), cuya Sede está situada en la Place des </w:t>
      </w:r>
      <w:proofErr w:type="spellStart"/>
      <w:r w:rsidRPr="002B33CC">
        <w:t>Nations</w:t>
      </w:r>
      <w:proofErr w:type="spellEnd"/>
      <w:r w:rsidRPr="002B33CC">
        <w:t>, Ginebra, Suiza, representada por el Director de la Oficina de Radiocomunicaciones; y</w:t>
      </w:r>
    </w:p>
    <w:p w:rsidR="00DE41DF" w:rsidRPr="002B33CC" w:rsidRDefault="00714C84" w:rsidP="00B1168E">
      <w:pPr>
        <w:spacing w:before="240" w:after="120"/>
      </w:pPr>
      <w:r w:rsidRPr="002B33CC">
        <w:t>El Servicio Central de Gestión de Radiocomunicaciones</w:t>
      </w:r>
      <w:r w:rsidR="00DE41DF" w:rsidRPr="002B33CC">
        <w:t xml:space="preserve"> (</w:t>
      </w:r>
      <w:r w:rsidRPr="002B33CC">
        <w:t xml:space="preserve">en adelante </w:t>
      </w:r>
      <w:r w:rsidR="00B1168E" w:rsidRPr="002B33CC">
        <w:t>"</w:t>
      </w:r>
      <w:r w:rsidR="00DE41DF" w:rsidRPr="002B33CC">
        <w:t>CRMS</w:t>
      </w:r>
      <w:r w:rsidR="00B1168E" w:rsidRPr="002B33CC">
        <w:t>"</w:t>
      </w:r>
      <w:r w:rsidR="00DE41DF" w:rsidRPr="002B33CC">
        <w:t xml:space="preserve">) </w:t>
      </w:r>
      <w:r w:rsidR="002A6AD5" w:rsidRPr="002B33CC">
        <w:t>de la República de Corea</w:t>
      </w:r>
      <w:r w:rsidR="00DE41DF" w:rsidRPr="002B33CC">
        <w:t xml:space="preserve">, </w:t>
      </w:r>
      <w:proofErr w:type="spellStart"/>
      <w:r w:rsidR="00DE41DF" w:rsidRPr="002B33CC">
        <w:t>Songpa-daero</w:t>
      </w:r>
      <w:proofErr w:type="spellEnd"/>
      <w:r w:rsidR="00DE41DF" w:rsidRPr="002B33CC">
        <w:t xml:space="preserve"> 234, </w:t>
      </w:r>
      <w:proofErr w:type="spellStart"/>
      <w:r w:rsidR="00DE41DF" w:rsidRPr="002B33CC">
        <w:t>Songpa-gu</w:t>
      </w:r>
      <w:proofErr w:type="spellEnd"/>
      <w:r w:rsidR="00DE41DF" w:rsidRPr="002B33CC">
        <w:t>, Se</w:t>
      </w:r>
      <w:r w:rsidR="00852F13" w:rsidRPr="002B33CC">
        <w:t>ú</w:t>
      </w:r>
      <w:r w:rsidR="002A6AD5" w:rsidRPr="002B33CC">
        <w:t>l</w:t>
      </w:r>
      <w:r w:rsidR="00DE41DF" w:rsidRPr="002B33CC">
        <w:t xml:space="preserve">, </w:t>
      </w:r>
      <w:r w:rsidR="002A6AD5" w:rsidRPr="002B33CC">
        <w:t>República de Corea</w:t>
      </w:r>
      <w:r w:rsidR="00DE41DF" w:rsidRPr="002B33CC">
        <w:t>, represent</w:t>
      </w:r>
      <w:r w:rsidR="002A6AD5" w:rsidRPr="002B33CC">
        <w:t xml:space="preserve">ado por el </w:t>
      </w:r>
      <w:r w:rsidR="00DE41DF" w:rsidRPr="002B33CC">
        <w:t xml:space="preserve">Director General </w:t>
      </w:r>
      <w:r w:rsidR="002A6AD5" w:rsidRPr="002B33CC">
        <w:t>del Servicio Central de Gestión de Radiocomunicaciones</w:t>
      </w:r>
      <w:r w:rsidR="00B1168E" w:rsidRPr="002B33CC">
        <w:t>,</w:t>
      </w:r>
    </w:p>
    <w:p w:rsidR="00DE41DF" w:rsidRPr="002B33CC" w:rsidRDefault="00DE41DF" w:rsidP="001D3A2F">
      <w:pPr>
        <w:spacing w:after="120"/>
      </w:pPr>
      <w:r w:rsidRPr="002B33CC">
        <w:t>En lo sucesivo, una y otro, "Participantes",</w:t>
      </w:r>
    </w:p>
    <w:p w:rsidR="00DE41DF" w:rsidRPr="002B33CC" w:rsidRDefault="00DE41DF" w:rsidP="001D3A2F">
      <w:pPr>
        <w:spacing w:after="120"/>
      </w:pPr>
      <w:r w:rsidRPr="002B33CC">
        <w:rPr>
          <w:i/>
        </w:rPr>
        <w:t>Recordando</w:t>
      </w:r>
      <w:r w:rsidRPr="002B33CC">
        <w:t xml:space="preserve"> que la Constitución de la UIT (número 12) estipula, en particular, que la UIT "coordinará los esfuerzos para eliminar las interferencias perjudiciales entre las estaciones de radiocomunicación de los diferentes países";</w:t>
      </w:r>
    </w:p>
    <w:p w:rsidR="00DE41DF" w:rsidRPr="002B33CC" w:rsidRDefault="00DE41DF" w:rsidP="001D3A2F">
      <w:pPr>
        <w:spacing w:after="120"/>
      </w:pPr>
      <w:r w:rsidRPr="002B33CC">
        <w:rPr>
          <w:i/>
        </w:rPr>
        <w:t>Recordando</w:t>
      </w:r>
      <w:r w:rsidRPr="002B33CC">
        <w:t xml:space="preserve"> que los objetivos del Reglamento de Radiocomunicaciones de la UIT (números 0.7 y 0.8) son, </w:t>
      </w:r>
      <w:r w:rsidRPr="002B33CC">
        <w:rPr>
          <w:i/>
        </w:rPr>
        <w:t>entre otros,</w:t>
      </w:r>
      <w:r w:rsidRPr="002B33CC">
        <w:t xml:space="preserve"> "garantizar la disponibilidad y la protección contra la interferencia perjudicial de las frecuencias designadas para fines de socorro y seguridad" y "contribuir a la prevención y resolución de los casos de interferencia perjudicial entre los servicios radioeléctricos de administraciones diferentes";</w:t>
      </w:r>
    </w:p>
    <w:p w:rsidR="00DE41DF" w:rsidRPr="002B33CC" w:rsidRDefault="00DE41DF" w:rsidP="001D3A2F">
      <w:pPr>
        <w:spacing w:after="120"/>
        <w:rPr>
          <w:rFonts w:cs="Calibri"/>
        </w:rPr>
      </w:pPr>
      <w:r w:rsidRPr="002B33CC">
        <w:rPr>
          <w:rFonts w:cs="Calibri"/>
          <w:i/>
        </w:rPr>
        <w:t>Recordando</w:t>
      </w:r>
      <w:r w:rsidRPr="002B33CC">
        <w:rPr>
          <w:rFonts w:cs="Calibri"/>
        </w:rPr>
        <w:t xml:space="preserve"> que el Reglamento de Radiocomunicaciones de la UIT (número 15.28) estipula, en particular, que las administraciones </w:t>
      </w:r>
      <w:r w:rsidRPr="002B33CC">
        <w:t>convienen en tratar prioritariamente toda interferencia perjudicial causada en las frecuencias de socorro y seguridad así como en las frecuencias utilizadas para la seguridad de la aeronave y la regularidad del vuelo que llegue a su conocimiento;</w:t>
      </w:r>
    </w:p>
    <w:p w:rsidR="00DE41DF" w:rsidRPr="002B33CC" w:rsidRDefault="00DE41DF" w:rsidP="001D3A2F">
      <w:pPr>
        <w:spacing w:after="120"/>
        <w:rPr>
          <w:rFonts w:eastAsia="SimSun" w:cs="Calibri"/>
        </w:rPr>
      </w:pPr>
      <w:r w:rsidRPr="002B33CC">
        <w:rPr>
          <w:rFonts w:cs="Calibri"/>
          <w:i/>
        </w:rPr>
        <w:t>Recordando</w:t>
      </w:r>
      <w:r w:rsidRPr="002B33CC">
        <w:rPr>
          <w:rFonts w:cs="Calibri"/>
        </w:rPr>
        <w:t xml:space="preserve"> que el Reglamento de Radiocomunicaciones de la UIT (número </w:t>
      </w:r>
      <w:r w:rsidRPr="002B33CC">
        <w:rPr>
          <w:rFonts w:eastAsia="SimSun" w:cs="Calibri"/>
        </w:rPr>
        <w:t xml:space="preserve">0.3) se funda en el principio según el cual </w:t>
      </w:r>
      <w:r w:rsidRPr="002B33CC">
        <w:t>las frecuencias de radiocomunicaciones y todas las órbita afines, incluida la órbita de los satélites geoestacionarios, son recursos naturales limitados que deben utilizarse de forma racional, eficaz y económica;</w:t>
      </w:r>
    </w:p>
    <w:p w:rsidR="00DE41DF" w:rsidRPr="002B33CC" w:rsidRDefault="00DE41DF" w:rsidP="001D3A2F">
      <w:pPr>
        <w:spacing w:after="120"/>
        <w:rPr>
          <w:rFonts w:eastAsia="SimSun" w:cs="Calibri"/>
        </w:rPr>
      </w:pPr>
      <w:r w:rsidRPr="002B33CC">
        <w:rPr>
          <w:rFonts w:eastAsia="SimSun" w:cs="Calibri"/>
          <w:i/>
        </w:rPr>
        <w:t>Recordando</w:t>
      </w:r>
      <w:r w:rsidRPr="002B33CC">
        <w:rPr>
          <w:rFonts w:eastAsia="SimSun" w:cs="Calibri"/>
        </w:rPr>
        <w:t xml:space="preserve"> que "</w:t>
      </w:r>
      <w:r w:rsidRPr="002B33CC">
        <w:t xml:space="preserve">para contribuir a la utilización eficaz y económica del espectro de frecuencias radioeléctricas y a la pronta eliminación de interferencias perjudiciales, las administraciones </w:t>
      </w:r>
      <w:r w:rsidRPr="002B33CC">
        <w:lastRenderedPageBreak/>
        <w:t>convienen en seguir fomentando los medios de comprobación técnica de las emisiones y cooperar, en la medida de lo posible, al perfeccionamiento progresivo del sistema de comprobación técnica internacional de las emisiones</w:t>
      </w:r>
      <w:r w:rsidRPr="002B33CC">
        <w:rPr>
          <w:rFonts w:eastAsia="SimSun" w:cs="Calibri"/>
        </w:rPr>
        <w:t>" (número 16.1 del Reglamento de Radiocomunicaciones de la UIT);</w:t>
      </w:r>
    </w:p>
    <w:p w:rsidR="00DE41DF" w:rsidRPr="002B33CC" w:rsidRDefault="00DE41DF" w:rsidP="001D3A2F">
      <w:pPr>
        <w:spacing w:after="120"/>
      </w:pPr>
      <w:r w:rsidRPr="002B33CC">
        <w:rPr>
          <w:i/>
        </w:rPr>
        <w:t>Recordando</w:t>
      </w:r>
      <w:r w:rsidRPr="002B33CC">
        <w:t xml:space="preserve"> que "Los derechos y obligaciones internacionales de las administraciones con respecto a sus propias asignaciones de frecuencia y a las de otras administraciones emanarán de la inscripción de esas asignaciones en el Registro Internacional de </w:t>
      </w:r>
      <w:proofErr w:type="gramStart"/>
      <w:r w:rsidRPr="002B33CC">
        <w:t>Frecuencias …</w:t>
      </w:r>
      <w:proofErr w:type="gramEnd"/>
      <w:r w:rsidRPr="002B33CC">
        <w:t xml:space="preserve"> " (número 8.1 del Reglamento de Radiocomunicaciones de la UIT);</w:t>
      </w:r>
    </w:p>
    <w:p w:rsidR="00DE41DF" w:rsidRPr="002B33CC" w:rsidRDefault="00DE41DF" w:rsidP="001D3A2F">
      <w:pPr>
        <w:spacing w:after="120"/>
      </w:pPr>
      <w:r w:rsidRPr="002B33CC">
        <w:rPr>
          <w:i/>
        </w:rPr>
        <w:t>Recordando</w:t>
      </w:r>
      <w:r w:rsidRPr="002B33CC">
        <w:t xml:space="preserve"> que la Oficina de Radiocomunicaciones"… será la única responsable del mantenimiento del </w:t>
      </w:r>
      <w:proofErr w:type="gramStart"/>
      <w:r w:rsidRPr="002B33CC">
        <w:t>Registro …</w:t>
      </w:r>
      <w:proofErr w:type="gramEnd"/>
      <w:r w:rsidRPr="002B33CC">
        <w:t>" (número 13.4 del Reglamento de Radiocomunicaciones de la UIT);</w:t>
      </w:r>
    </w:p>
    <w:p w:rsidR="00DE41DF" w:rsidRPr="002B33CC" w:rsidRDefault="00DE41DF" w:rsidP="001D3A2F">
      <w:pPr>
        <w:spacing w:after="120"/>
        <w:rPr>
          <w:rFonts w:eastAsia="SimSun" w:cs="Calibri"/>
        </w:rPr>
      </w:pPr>
      <w:r w:rsidRPr="002B33CC">
        <w:rPr>
          <w:rFonts w:eastAsia="SimSun" w:cs="Calibri"/>
          <w:i/>
        </w:rPr>
        <w:t>Recordando</w:t>
      </w:r>
      <w:r w:rsidRPr="002B33CC">
        <w:rPr>
          <w:rFonts w:eastAsia="SimSun" w:cs="Calibri"/>
        </w:rPr>
        <w:t xml:space="preserve"> que "</w:t>
      </w:r>
      <w:r w:rsidRPr="002B33CC">
        <w:t>En la medida en que lo consideren factible, las administraciones efectuarán aquellas comprobaciones técnicas internacionales de las emisiones, que puedan ser solicitadas por otras administraciones o por la Oficina</w:t>
      </w:r>
      <w:r w:rsidRPr="002B33CC">
        <w:rPr>
          <w:rFonts w:eastAsia="SimSun" w:cs="Calibri"/>
        </w:rPr>
        <w:t>" (número 16.5 del Reglamento de Radiocomunicaciones de la UIT);</w:t>
      </w:r>
    </w:p>
    <w:p w:rsidR="00DE41DF" w:rsidRPr="002B33CC" w:rsidRDefault="00DE41DF" w:rsidP="001D3A2F">
      <w:pPr>
        <w:spacing w:after="120"/>
      </w:pPr>
      <w:r w:rsidRPr="002B33CC">
        <w:rPr>
          <w:i/>
        </w:rPr>
        <w:t>Recordando</w:t>
      </w:r>
      <w:r w:rsidRPr="002B33CC">
        <w:t xml:space="preserve"> que el Reglamento de Radiocomunicaciones de la UIT (número 17.2) contiene disposiciones para prohibir y evitar "</w:t>
      </w:r>
      <w:r w:rsidRPr="002B33CC">
        <w:rPr>
          <w:color w:val="000000"/>
        </w:rPr>
        <w:t>la interceptación, sin autorización, de radiocomunicaciones no destinadas al uso público general</w:t>
      </w:r>
      <w:r w:rsidRPr="002B33CC">
        <w:t>";</w:t>
      </w:r>
    </w:p>
    <w:p w:rsidR="00DE41DF" w:rsidRPr="002B33CC" w:rsidRDefault="00DE41DF" w:rsidP="001D3A2F">
      <w:pPr>
        <w:spacing w:after="120"/>
      </w:pPr>
      <w:r w:rsidRPr="002B33CC">
        <w:rPr>
          <w:i/>
        </w:rPr>
        <w:t>Recordando</w:t>
      </w:r>
      <w:r w:rsidRPr="002B33CC">
        <w:t xml:space="preserve"> que el Reglamento de Radiocomunicaciones de la UIT (número 17.3) contiene disposiciones para prohibir y evitar la divulgación del contenido o simplemente de la existencia, "</w:t>
      </w:r>
      <w:r w:rsidRPr="002B33CC">
        <w:rPr>
          <w:color w:val="000000"/>
        </w:rPr>
        <w:t>la publicación o cualquier otro uso ... de toda clase de información obtenida mediante la interceptación de las radiocomunicaciones a que se refiere el número</w:t>
      </w:r>
      <w:r w:rsidRPr="002B33CC">
        <w:rPr>
          <w:b/>
          <w:color w:val="000000"/>
        </w:rPr>
        <w:t xml:space="preserve"> </w:t>
      </w:r>
      <w:r w:rsidRPr="002B33CC">
        <w:rPr>
          <w:rStyle w:val="Artref"/>
          <w:bCs/>
          <w:color w:val="000000"/>
        </w:rPr>
        <w:t>17.2</w:t>
      </w:r>
      <w:r w:rsidRPr="002B33CC">
        <w:t>" del Reglamento de Radiocomunicaciones de la UIT;</w:t>
      </w:r>
      <w:r w:rsidR="008A70BF" w:rsidRPr="002B33CC">
        <w:t xml:space="preserve"> y</w:t>
      </w:r>
    </w:p>
    <w:p w:rsidR="00DE41DF" w:rsidRPr="002B33CC" w:rsidRDefault="00DE41DF" w:rsidP="001D3A2F">
      <w:pPr>
        <w:spacing w:after="120"/>
      </w:pPr>
      <w:r w:rsidRPr="002B33CC">
        <w:rPr>
          <w:i/>
        </w:rPr>
        <w:t xml:space="preserve">Tomando nota </w:t>
      </w:r>
      <w:r w:rsidRPr="002B33CC">
        <w:t xml:space="preserve">de la voluntad y la capacidad de las administraciones interesadas en ayudar a la UIT, mediante estaciones de comprobación técnica situadas en su jurisdicción, asegurando el cumplimiento de las disposiciones indicadas </w:t>
      </w:r>
      <w:r w:rsidRPr="002B33CC">
        <w:rPr>
          <w:i/>
          <w:iCs/>
        </w:rPr>
        <w:t>supra</w:t>
      </w:r>
      <w:r w:rsidRPr="002B33CC">
        <w:t>;</w:t>
      </w:r>
    </w:p>
    <w:p w:rsidR="00DE41DF" w:rsidRPr="002B33CC" w:rsidRDefault="00DE41DF" w:rsidP="001D3A2F">
      <w:pPr>
        <w:spacing w:after="120"/>
        <w:rPr>
          <w:i/>
          <w:iCs/>
        </w:rPr>
      </w:pPr>
      <w:r w:rsidRPr="002B33CC">
        <w:rPr>
          <w:i/>
          <w:iCs/>
        </w:rPr>
        <w:t xml:space="preserve">Han </w:t>
      </w:r>
      <w:r w:rsidR="002A6AD5" w:rsidRPr="002B33CC">
        <w:rPr>
          <w:i/>
          <w:iCs/>
        </w:rPr>
        <w:t>alcanzado</w:t>
      </w:r>
      <w:r w:rsidR="008A70BF" w:rsidRPr="002B33CC">
        <w:rPr>
          <w:i/>
          <w:iCs/>
        </w:rPr>
        <w:t xml:space="preserve"> el </w:t>
      </w:r>
      <w:r w:rsidRPr="002B33CC">
        <w:rPr>
          <w:i/>
          <w:iCs/>
        </w:rPr>
        <w:t>siguiente</w:t>
      </w:r>
      <w:r w:rsidR="008A70BF" w:rsidRPr="002B33CC">
        <w:rPr>
          <w:i/>
          <w:iCs/>
        </w:rPr>
        <w:t xml:space="preserve"> </w:t>
      </w:r>
      <w:r w:rsidR="00AB3BD9" w:rsidRPr="002B33CC">
        <w:rPr>
          <w:i/>
          <w:iCs/>
        </w:rPr>
        <w:t>entendimiento</w:t>
      </w:r>
      <w:r w:rsidRPr="002B33CC">
        <w:rPr>
          <w:i/>
          <w:iCs/>
        </w:rPr>
        <w:t>:</w:t>
      </w:r>
    </w:p>
    <w:p w:rsidR="00DE41DF" w:rsidRPr="002B33CC" w:rsidRDefault="00DE41DF" w:rsidP="001D3A2F">
      <w:pPr>
        <w:pStyle w:val="Heading1"/>
      </w:pPr>
      <w:r w:rsidRPr="002B33CC">
        <w:t>1</w:t>
      </w:r>
      <w:r w:rsidRPr="002B33CC">
        <w:tab/>
      </w:r>
      <w:r w:rsidR="00F84935" w:rsidRPr="002B33CC">
        <w:t>Objetivo y alcance</w:t>
      </w:r>
    </w:p>
    <w:p w:rsidR="00DE41DF" w:rsidRPr="002B33CC" w:rsidRDefault="00DE41DF" w:rsidP="006E7045">
      <w:r w:rsidRPr="002B33CC">
        <w:t>1.1</w:t>
      </w:r>
      <w:r w:rsidRPr="002B33CC">
        <w:tab/>
        <w:t xml:space="preserve">El objetivo de este </w:t>
      </w:r>
      <w:r w:rsidR="00F84935" w:rsidRPr="002B33CC">
        <w:t xml:space="preserve">Memorándum de Entendimiento </w:t>
      </w:r>
      <w:r w:rsidRPr="002B33CC">
        <w:t xml:space="preserve">consiste en establecer el marco para la asistencia prestada a la UIT por </w:t>
      </w:r>
      <w:r w:rsidR="00F84935" w:rsidRPr="002B33CC">
        <w:t>la República de Corea</w:t>
      </w:r>
      <w:r w:rsidRPr="002B33CC">
        <w:t xml:space="preserve"> a través de su estación terrena de comprobación técnica </w:t>
      </w:r>
      <w:r w:rsidR="002C28D3" w:rsidRPr="002B33CC">
        <w:t>espacial,</w:t>
      </w:r>
      <w:r w:rsidR="004842A8" w:rsidRPr="002B33CC">
        <w:t xml:space="preserve"> </w:t>
      </w:r>
      <w:r w:rsidR="00C71332" w:rsidRPr="002B33CC">
        <w:t>el</w:t>
      </w:r>
      <w:r w:rsidR="004842A8" w:rsidRPr="002B33CC">
        <w:t xml:space="preserve"> </w:t>
      </w:r>
      <w:r w:rsidR="006E7045" w:rsidRPr="002B33CC">
        <w:t>"</w:t>
      </w:r>
      <w:r w:rsidR="00C71332" w:rsidRPr="002B33CC">
        <w:t>Centro Estatal de Supervisión de Radiocomunicaciones</w:t>
      </w:r>
      <w:r w:rsidR="006E7045" w:rsidRPr="002B33CC">
        <w:t>".</w:t>
      </w:r>
    </w:p>
    <w:p w:rsidR="00DE41DF" w:rsidRPr="002B33CC" w:rsidRDefault="00DE41DF" w:rsidP="00810A8A">
      <w:r w:rsidRPr="002B33CC">
        <w:t>1.2</w:t>
      </w:r>
      <w:r w:rsidRPr="002B33CC">
        <w:tab/>
        <w:t xml:space="preserve">Este </w:t>
      </w:r>
      <w:r w:rsidR="00810A8A" w:rsidRPr="002B33CC">
        <w:t xml:space="preserve">Memorándum de Entendimiento </w:t>
      </w:r>
      <w:r w:rsidRPr="002B33CC">
        <w:t>incluye:</w:t>
      </w:r>
    </w:p>
    <w:p w:rsidR="00DE41DF" w:rsidRPr="002B33CC" w:rsidRDefault="0059712B" w:rsidP="00C933ED">
      <w:pPr>
        <w:pStyle w:val="enumlev1"/>
      </w:pPr>
      <w:r w:rsidRPr="002B33CC">
        <w:t>1.2.1</w:t>
      </w:r>
      <w:r w:rsidR="00DE41DF" w:rsidRPr="002B33CC">
        <w:tab/>
      </w:r>
      <w:r w:rsidRPr="002B33CC">
        <w:t xml:space="preserve">El procedimiento </w:t>
      </w:r>
      <w:r w:rsidR="00DE41DF" w:rsidRPr="002B33CC">
        <w:t xml:space="preserve">relativo a la asistencia prestada en la resolución de casos de interferencia perjudicial que conduce a una rápida resolución de la interferencia de conformidad con el Artículo 15 y el número 13.2 del Reglamento de Radiocomunicaciones de la UIT, según proceda. Este </w:t>
      </w:r>
      <w:r w:rsidRPr="002B33CC">
        <w:t xml:space="preserve">procedimiento </w:t>
      </w:r>
      <w:r w:rsidR="00DE41DF" w:rsidRPr="002B33CC">
        <w:t>está contemplado en el Anexo 1 al presente</w:t>
      </w:r>
      <w:r w:rsidR="002C28D3" w:rsidRPr="002B33CC">
        <w:t xml:space="preserve"> </w:t>
      </w:r>
      <w:r w:rsidR="00C933ED" w:rsidRPr="002B33CC">
        <w:t>Memorándum de Entendimiento</w:t>
      </w:r>
      <w:r w:rsidR="00DE41DF" w:rsidRPr="002B33CC">
        <w:t>;</w:t>
      </w:r>
    </w:p>
    <w:p w:rsidR="00DE41DF" w:rsidRPr="002B33CC" w:rsidRDefault="0059712B" w:rsidP="008630C3">
      <w:pPr>
        <w:pStyle w:val="enumlev1"/>
      </w:pPr>
      <w:r w:rsidRPr="002B33CC">
        <w:t>1.2.2</w:t>
      </w:r>
      <w:r w:rsidR="00DE41DF" w:rsidRPr="002B33CC">
        <w:tab/>
      </w:r>
      <w:r w:rsidRPr="002B33CC">
        <w:t xml:space="preserve">El procedimiento </w:t>
      </w:r>
      <w:r w:rsidR="00DE41DF" w:rsidRPr="002B33CC">
        <w:t xml:space="preserve">relativo al pedido por parte de la UIT del suministro de datos de comprobación técnica en los casos de interferencia notificada a raíz de cuestiones de coordinación (número 11.41 del Artículo 11 del Reglamento de Radiocomunicaciones de la UIT). Este </w:t>
      </w:r>
      <w:r w:rsidRPr="002B33CC">
        <w:t xml:space="preserve">procedimiento </w:t>
      </w:r>
      <w:r w:rsidR="00DE41DF" w:rsidRPr="002B33CC">
        <w:t xml:space="preserve">está contemplado en el Anexo 2 al presente </w:t>
      </w:r>
      <w:r w:rsidR="008630C3" w:rsidRPr="002B33CC">
        <w:t>Memorándum de Entendimiento</w:t>
      </w:r>
      <w:r w:rsidR="000A7243" w:rsidRPr="002B33CC">
        <w:t>.</w:t>
      </w:r>
    </w:p>
    <w:p w:rsidR="00DE41DF" w:rsidRPr="002B33CC" w:rsidRDefault="00DE41DF" w:rsidP="00535ACD">
      <w:pPr>
        <w:pStyle w:val="Heading1"/>
        <w:spacing w:after="240"/>
      </w:pPr>
      <w:r w:rsidRPr="002B33CC">
        <w:lastRenderedPageBreak/>
        <w:t>2</w:t>
      </w:r>
      <w:r w:rsidRPr="002B33CC">
        <w:tab/>
        <w:t>Definiciones</w:t>
      </w:r>
    </w:p>
    <w:tbl>
      <w:tblPr>
        <w:tblStyle w:val="TableGrid"/>
        <w:tblW w:w="0" w:type="auto"/>
        <w:jc w:val="center"/>
        <w:tblLook w:val="04A0" w:firstRow="1" w:lastRow="0" w:firstColumn="1" w:lastColumn="0" w:noHBand="0" w:noVBand="1"/>
      </w:tblPr>
      <w:tblGrid>
        <w:gridCol w:w="1951"/>
        <w:gridCol w:w="7261"/>
      </w:tblGrid>
      <w:tr w:rsidR="00DE41DF" w:rsidRPr="002B33CC" w:rsidTr="002539D2">
        <w:trPr>
          <w:jc w:val="center"/>
        </w:trPr>
        <w:tc>
          <w:tcPr>
            <w:tcW w:w="1951" w:type="dxa"/>
          </w:tcPr>
          <w:p w:rsidR="00DE41DF" w:rsidRPr="002B33CC" w:rsidRDefault="00DE41DF" w:rsidP="00F017C0">
            <w:pPr>
              <w:pStyle w:val="Tabletext"/>
              <w:rPr>
                <w:rFonts w:eastAsia="Times New Roman" w:cs="Times New Roman"/>
                <w:szCs w:val="20"/>
              </w:rPr>
            </w:pPr>
            <w:r w:rsidRPr="002B33CC">
              <w:rPr>
                <w:rFonts w:eastAsia="Times New Roman" w:cs="Times New Roman"/>
                <w:szCs w:val="20"/>
              </w:rPr>
              <w:t>UIT</w:t>
            </w:r>
          </w:p>
        </w:tc>
        <w:tc>
          <w:tcPr>
            <w:tcW w:w="7261" w:type="dxa"/>
          </w:tcPr>
          <w:p w:rsidR="00DE41DF" w:rsidRPr="002B33CC" w:rsidRDefault="00DE41DF" w:rsidP="00F017C0">
            <w:pPr>
              <w:pStyle w:val="Tabletext"/>
              <w:rPr>
                <w:rFonts w:eastAsiaTheme="minorEastAsia" w:cs="Times New Roman"/>
                <w:szCs w:val="20"/>
                <w:lang w:eastAsia="zh-CN"/>
              </w:rPr>
            </w:pPr>
            <w:r w:rsidRPr="002B33CC">
              <w:rPr>
                <w:rFonts w:eastAsiaTheme="minorEastAsia" w:cs="Times New Roman"/>
                <w:szCs w:val="20"/>
                <w:lang w:eastAsia="zh-CN"/>
              </w:rPr>
              <w:t>Unión Internacional de Telecomunicaciones representada, tras la firma de</w:t>
            </w:r>
            <w:r w:rsidR="00A04CDA" w:rsidRPr="002B33CC">
              <w:rPr>
                <w:rFonts w:eastAsiaTheme="minorEastAsia" w:cs="Times New Roman"/>
                <w:szCs w:val="20"/>
                <w:lang w:eastAsia="zh-CN"/>
              </w:rPr>
              <w:t xml:space="preserve"> este </w:t>
            </w:r>
            <w:r w:rsidR="00F017C0" w:rsidRPr="002B33CC">
              <w:t>Memorándum de Entendimiento</w:t>
            </w:r>
            <w:r w:rsidRPr="002B33CC">
              <w:rPr>
                <w:rFonts w:eastAsiaTheme="minorEastAsia" w:cs="Times New Roman"/>
                <w:szCs w:val="20"/>
                <w:lang w:eastAsia="zh-CN"/>
              </w:rPr>
              <w:t>, por el Director de la Oficina de Radiocomunicaciones</w:t>
            </w:r>
          </w:p>
        </w:tc>
      </w:tr>
      <w:tr w:rsidR="00DE41DF" w:rsidRPr="002B33CC" w:rsidTr="002539D2">
        <w:trPr>
          <w:jc w:val="center"/>
        </w:trPr>
        <w:tc>
          <w:tcPr>
            <w:tcW w:w="1951" w:type="dxa"/>
          </w:tcPr>
          <w:p w:rsidR="00DE41DF" w:rsidRPr="002B33CC" w:rsidRDefault="00DE41DF" w:rsidP="00F017C0">
            <w:pPr>
              <w:pStyle w:val="Tabletext"/>
              <w:rPr>
                <w:rFonts w:eastAsia="Times New Roman" w:cs="Times New Roman"/>
                <w:szCs w:val="20"/>
              </w:rPr>
            </w:pPr>
            <w:r w:rsidRPr="002B33CC">
              <w:rPr>
                <w:rFonts w:eastAsia="Times New Roman" w:cs="Times New Roman"/>
                <w:szCs w:val="20"/>
              </w:rPr>
              <w:t>Administración</w:t>
            </w:r>
          </w:p>
        </w:tc>
        <w:tc>
          <w:tcPr>
            <w:tcW w:w="7261" w:type="dxa"/>
          </w:tcPr>
          <w:p w:rsidR="00DE41DF" w:rsidRPr="002B33CC" w:rsidRDefault="00DE41DF" w:rsidP="00F017C0">
            <w:pPr>
              <w:pStyle w:val="Tabletext"/>
              <w:rPr>
                <w:rFonts w:eastAsiaTheme="minorEastAsia" w:cs="Times New Roman"/>
                <w:szCs w:val="20"/>
                <w:lang w:eastAsia="zh-CN"/>
              </w:rPr>
            </w:pPr>
            <w:r w:rsidRPr="002B33CC">
              <w:rPr>
                <w:rFonts w:eastAsiaTheme="minorEastAsia" w:cs="Times New Roman"/>
                <w:szCs w:val="20"/>
                <w:lang w:eastAsia="zh-CN"/>
              </w:rPr>
              <w:t xml:space="preserve">Departamento o servicio gubernamental responsable de las instalaciones de la estación de comprobación técnica </w:t>
            </w:r>
          </w:p>
        </w:tc>
      </w:tr>
      <w:tr w:rsidR="00DE41DF" w:rsidRPr="002B33CC" w:rsidTr="002539D2">
        <w:trPr>
          <w:jc w:val="center"/>
        </w:trPr>
        <w:tc>
          <w:tcPr>
            <w:tcW w:w="1951" w:type="dxa"/>
          </w:tcPr>
          <w:p w:rsidR="00DE41DF" w:rsidRPr="002B33CC" w:rsidRDefault="00DE41DF" w:rsidP="00F017C0">
            <w:pPr>
              <w:pStyle w:val="Tabletext"/>
              <w:rPr>
                <w:rFonts w:eastAsia="Times New Roman" w:cs="Times New Roman"/>
                <w:szCs w:val="20"/>
              </w:rPr>
            </w:pPr>
            <w:r w:rsidRPr="002B33CC">
              <w:rPr>
                <w:rFonts w:eastAsia="Times New Roman" w:cs="Times New Roman"/>
                <w:szCs w:val="20"/>
              </w:rPr>
              <w:t>Estación</w:t>
            </w:r>
          </w:p>
        </w:tc>
        <w:tc>
          <w:tcPr>
            <w:tcW w:w="7261" w:type="dxa"/>
          </w:tcPr>
          <w:p w:rsidR="00DE41DF" w:rsidRPr="002B33CC" w:rsidRDefault="00DE41DF" w:rsidP="00F017C0">
            <w:pPr>
              <w:pStyle w:val="Tabletext"/>
              <w:rPr>
                <w:rFonts w:eastAsiaTheme="minorEastAsia" w:cs="Times New Roman"/>
                <w:szCs w:val="20"/>
                <w:lang w:eastAsia="zh-CN"/>
              </w:rPr>
            </w:pPr>
            <w:r w:rsidRPr="002B33CC">
              <w:rPr>
                <w:rFonts w:eastAsiaTheme="minorEastAsia" w:cs="Times New Roman"/>
                <w:szCs w:val="20"/>
                <w:lang w:eastAsia="zh-CN"/>
              </w:rPr>
              <w:t xml:space="preserve">La estación terrena de comprobación técnica está situada en </w:t>
            </w:r>
            <w:proofErr w:type="spellStart"/>
            <w:r w:rsidR="00A04CDA" w:rsidRPr="002B33CC">
              <w:rPr>
                <w:rFonts w:eastAsiaTheme="minorEastAsia" w:cs="Times New Roman"/>
                <w:szCs w:val="20"/>
                <w:lang w:eastAsia="zh-CN"/>
              </w:rPr>
              <w:t>Icheon</w:t>
            </w:r>
            <w:proofErr w:type="spellEnd"/>
            <w:r w:rsidR="00A04CDA" w:rsidRPr="002B33CC">
              <w:rPr>
                <w:rFonts w:eastAsiaTheme="minorEastAsia" w:cs="Times New Roman"/>
                <w:szCs w:val="20"/>
                <w:lang w:eastAsia="zh-CN"/>
              </w:rPr>
              <w:t xml:space="preserve">-si, </w:t>
            </w:r>
            <w:proofErr w:type="spellStart"/>
            <w:r w:rsidR="00A04CDA" w:rsidRPr="002B33CC">
              <w:rPr>
                <w:rFonts w:eastAsiaTheme="minorEastAsia" w:cs="Times New Roman"/>
                <w:szCs w:val="20"/>
                <w:lang w:eastAsia="zh-CN"/>
              </w:rPr>
              <w:t>Gyeonggi</w:t>
            </w:r>
            <w:proofErr w:type="spellEnd"/>
            <w:r w:rsidR="00A04CDA" w:rsidRPr="002B33CC">
              <w:rPr>
                <w:rFonts w:eastAsiaTheme="minorEastAsia" w:cs="Times New Roman"/>
                <w:szCs w:val="20"/>
                <w:lang w:eastAsia="zh-CN"/>
              </w:rPr>
              <w:t>-do</w:t>
            </w:r>
          </w:p>
        </w:tc>
      </w:tr>
      <w:tr w:rsidR="00DE41DF" w:rsidRPr="002B33CC" w:rsidTr="002539D2">
        <w:trPr>
          <w:jc w:val="center"/>
        </w:trPr>
        <w:tc>
          <w:tcPr>
            <w:tcW w:w="1951" w:type="dxa"/>
          </w:tcPr>
          <w:p w:rsidR="00DE41DF" w:rsidRPr="002B33CC" w:rsidRDefault="00DE41DF" w:rsidP="00F017C0">
            <w:pPr>
              <w:pStyle w:val="Tabletext"/>
              <w:rPr>
                <w:rFonts w:eastAsia="Times New Roman" w:cs="Times New Roman"/>
                <w:szCs w:val="20"/>
              </w:rPr>
            </w:pPr>
            <w:r w:rsidRPr="002B33CC">
              <w:rPr>
                <w:rFonts w:eastAsia="Times New Roman" w:cs="Times New Roman"/>
                <w:szCs w:val="20"/>
              </w:rPr>
              <w:t>Operador</w:t>
            </w:r>
          </w:p>
        </w:tc>
        <w:tc>
          <w:tcPr>
            <w:tcW w:w="7261" w:type="dxa"/>
          </w:tcPr>
          <w:p w:rsidR="00DE41DF" w:rsidRPr="002B33CC" w:rsidRDefault="00DE41DF" w:rsidP="00F017C0">
            <w:pPr>
              <w:pStyle w:val="Tabletext"/>
              <w:rPr>
                <w:rFonts w:eastAsiaTheme="minorEastAsia" w:cs="Times New Roman"/>
                <w:szCs w:val="20"/>
                <w:lang w:eastAsia="zh-CN"/>
              </w:rPr>
            </w:pPr>
            <w:r w:rsidRPr="002B33CC">
              <w:rPr>
                <w:rFonts w:eastAsiaTheme="minorEastAsia" w:cs="Times New Roman"/>
                <w:szCs w:val="20"/>
                <w:lang w:eastAsia="zh-CN"/>
              </w:rPr>
              <w:t>Entidad responsable de las mediciones de comprobación técnica</w:t>
            </w:r>
          </w:p>
        </w:tc>
      </w:tr>
      <w:tr w:rsidR="00DE41DF" w:rsidRPr="002B33CC" w:rsidTr="002539D2">
        <w:trPr>
          <w:jc w:val="center"/>
        </w:trPr>
        <w:tc>
          <w:tcPr>
            <w:tcW w:w="1951" w:type="dxa"/>
          </w:tcPr>
          <w:p w:rsidR="00DE41DF" w:rsidRPr="002B33CC" w:rsidRDefault="00DE41DF" w:rsidP="00F017C0">
            <w:pPr>
              <w:pStyle w:val="Tabletext"/>
              <w:rPr>
                <w:rFonts w:eastAsia="Times New Roman" w:cs="Times New Roman"/>
                <w:szCs w:val="20"/>
              </w:rPr>
            </w:pPr>
            <w:r w:rsidRPr="002B33CC">
              <w:rPr>
                <w:rFonts w:eastAsia="Times New Roman" w:cs="Times New Roman"/>
                <w:szCs w:val="20"/>
              </w:rPr>
              <w:t>Número de referencia</w:t>
            </w:r>
          </w:p>
        </w:tc>
        <w:tc>
          <w:tcPr>
            <w:tcW w:w="7261" w:type="dxa"/>
          </w:tcPr>
          <w:p w:rsidR="00DE41DF" w:rsidRPr="002B33CC" w:rsidRDefault="00DE41DF" w:rsidP="00F017C0">
            <w:pPr>
              <w:pStyle w:val="Tabletext"/>
              <w:rPr>
                <w:rFonts w:eastAsiaTheme="minorEastAsia" w:cs="Times New Roman"/>
                <w:szCs w:val="20"/>
                <w:lang w:eastAsia="zh-CN"/>
              </w:rPr>
            </w:pPr>
            <w:r w:rsidRPr="002B33CC">
              <w:rPr>
                <w:rFonts w:eastAsiaTheme="minorEastAsia" w:cs="Times New Roman"/>
                <w:szCs w:val="20"/>
                <w:lang w:eastAsia="zh-CN"/>
              </w:rPr>
              <w:t xml:space="preserve">Número de tarea único, que establece la estación encargada de la tarea a pedido de la UIT </w:t>
            </w:r>
          </w:p>
        </w:tc>
      </w:tr>
    </w:tbl>
    <w:p w:rsidR="00DE41DF" w:rsidRPr="002B33CC" w:rsidRDefault="00DE41DF" w:rsidP="001D3A2F">
      <w:pPr>
        <w:pStyle w:val="Heading1"/>
      </w:pPr>
      <w:r w:rsidRPr="002B33CC">
        <w:t>3</w:t>
      </w:r>
      <w:r w:rsidRPr="002B33CC">
        <w:tab/>
      </w:r>
      <w:r w:rsidR="00A04CDA" w:rsidRPr="002B33CC">
        <w:t>Procedimientos</w:t>
      </w:r>
    </w:p>
    <w:p w:rsidR="00DE41DF" w:rsidRPr="002B33CC" w:rsidRDefault="00DE41DF" w:rsidP="00533B04">
      <w:pPr>
        <w:pStyle w:val="Heading2"/>
      </w:pPr>
      <w:r w:rsidRPr="002B33CC">
        <w:t>3.1</w:t>
      </w:r>
      <w:r w:rsidR="001D0E34" w:rsidRPr="002B33CC">
        <w:tab/>
        <w:t>Envío de pedidos</w:t>
      </w:r>
    </w:p>
    <w:p w:rsidR="00DE41DF" w:rsidRPr="002B33CC" w:rsidRDefault="00DE41DF" w:rsidP="00533B04">
      <w:pPr>
        <w:pStyle w:val="enumlev1"/>
      </w:pPr>
      <w:r w:rsidRPr="002B33CC">
        <w:t>3.1.1</w:t>
      </w:r>
      <w:r w:rsidRPr="002B33CC">
        <w:tab/>
        <w:t xml:space="preserve">La UIT puede efectuar sus pedidos por correo electrónico a </w:t>
      </w:r>
      <w:r w:rsidR="001D6A83" w:rsidRPr="002B33CC">
        <w:t xml:space="preserve">la </w:t>
      </w:r>
      <w:r w:rsidR="00566A98" w:rsidRPr="002B33CC">
        <w:t>Estación</w:t>
      </w:r>
      <w:r w:rsidRPr="002B33CC">
        <w:t>, en armonía con</w:t>
      </w:r>
      <w:r w:rsidR="00533B04" w:rsidRPr="002B33CC">
        <w:t xml:space="preserve"> las tareas descritas en el párrafo 1.</w:t>
      </w:r>
    </w:p>
    <w:p w:rsidR="00DE41DF" w:rsidRPr="002B33CC" w:rsidRDefault="00DE41DF" w:rsidP="00533B04">
      <w:pPr>
        <w:pStyle w:val="enumlev1"/>
      </w:pPr>
      <w:r w:rsidRPr="002B33CC">
        <w:t>3.1.2</w:t>
      </w:r>
      <w:r w:rsidRPr="002B33CC">
        <w:tab/>
        <w:t xml:space="preserve">La </w:t>
      </w:r>
      <w:r w:rsidR="00566A98" w:rsidRPr="002B33CC">
        <w:t xml:space="preserve">Estación </w:t>
      </w:r>
      <w:r w:rsidR="00C828FA" w:rsidRPr="002B33CC">
        <w:t>informará</w:t>
      </w:r>
      <w:r w:rsidR="00453904" w:rsidRPr="002B33CC">
        <w:t xml:space="preserve"> </w:t>
      </w:r>
      <w:r w:rsidRPr="002B33CC">
        <w:t xml:space="preserve">sin demora a la UIT por correo electrónico </w:t>
      </w:r>
      <w:r w:rsidR="00C828FA" w:rsidRPr="002B33CC">
        <w:t xml:space="preserve">de </w:t>
      </w:r>
      <w:r w:rsidRPr="002B33CC">
        <w:t>la recepción del pedido indicando el número de referencia de la estaci</w:t>
      </w:r>
      <w:r w:rsidR="00C828FA" w:rsidRPr="002B33CC">
        <w:t>ón</w:t>
      </w:r>
      <w:r w:rsidRPr="002B33CC">
        <w:t xml:space="preserve"> así como el inicio previsto y la duración de la tarea</w:t>
      </w:r>
      <w:r w:rsidR="00453904" w:rsidRPr="002B33CC">
        <w:t xml:space="preserve"> </w:t>
      </w:r>
      <w:r w:rsidR="00C828FA" w:rsidRPr="002B33CC">
        <w:t>dentro de los límites de capacidad disponible</w:t>
      </w:r>
      <w:r w:rsidR="00614378" w:rsidRPr="002B33CC">
        <w:t>.</w:t>
      </w:r>
    </w:p>
    <w:p w:rsidR="00DE41DF" w:rsidRPr="002B33CC" w:rsidRDefault="00DE41DF" w:rsidP="00533B04">
      <w:pPr>
        <w:pStyle w:val="enumlev1"/>
      </w:pPr>
      <w:r w:rsidRPr="002B33CC">
        <w:t>3.1.3</w:t>
      </w:r>
      <w:r w:rsidRPr="002B33CC">
        <w:tab/>
      </w:r>
      <w:r w:rsidR="00C828FA" w:rsidRPr="002B33CC">
        <w:t>La Estación responderá sin demora a la UIT si no hay capacidad disponible</w:t>
      </w:r>
      <w:r w:rsidR="00A32B3D" w:rsidRPr="002B33CC">
        <w:t>.</w:t>
      </w:r>
    </w:p>
    <w:p w:rsidR="00DE41DF" w:rsidRPr="002B33CC" w:rsidRDefault="00DE41DF" w:rsidP="00207ECB">
      <w:pPr>
        <w:pStyle w:val="Heading2"/>
      </w:pPr>
      <w:r w:rsidRPr="002B33CC">
        <w:t>3.2</w:t>
      </w:r>
      <w:r w:rsidR="00A32B3D" w:rsidRPr="002B33CC">
        <w:tab/>
        <w:t>Ejecución de pedidos</w:t>
      </w:r>
    </w:p>
    <w:p w:rsidR="00DE41DF" w:rsidRPr="002B33CC" w:rsidRDefault="00DE41DF" w:rsidP="00207ECB">
      <w:pPr>
        <w:pStyle w:val="enumlev1"/>
      </w:pPr>
      <w:r w:rsidRPr="002B33CC">
        <w:t>3.2.1</w:t>
      </w:r>
      <w:r w:rsidRPr="002B33CC">
        <w:tab/>
        <w:t>Para la ejecución de los pedidos, se aplicarán las reglas siguientes en materia de prioridad:</w:t>
      </w:r>
    </w:p>
    <w:p w:rsidR="00DE41DF" w:rsidRPr="002B33CC" w:rsidRDefault="00DE41DF" w:rsidP="00137AC3">
      <w:pPr>
        <w:pStyle w:val="enumlev2"/>
        <w:tabs>
          <w:tab w:val="clear" w:pos="1701"/>
          <w:tab w:val="left" w:pos="1418"/>
        </w:tabs>
        <w:ind w:left="1418" w:hanging="851"/>
      </w:pPr>
      <w:r w:rsidRPr="002B33CC">
        <w:t>3.2.1.1</w:t>
      </w:r>
      <w:r w:rsidRPr="002B33CC">
        <w:tab/>
        <w:t>Los pedidos de la UIT relativos a la realización de m</w:t>
      </w:r>
      <w:r w:rsidR="00137AC3" w:rsidRPr="002B33CC">
        <w:t xml:space="preserve">ediciones tendrán prioridad 1 </w:t>
      </w:r>
      <w:proofErr w:type="spellStart"/>
      <w:r w:rsidR="00137AC3" w:rsidRPr="002B33CC">
        <w:t>ó</w:t>
      </w:r>
      <w:proofErr w:type="spellEnd"/>
      <w:r w:rsidR="00137AC3" w:rsidRPr="002B33CC">
        <w:t> </w:t>
      </w:r>
      <w:r w:rsidRPr="002B33CC">
        <w:t>2 y, dentro de cada clase de prioridad, se tr</w:t>
      </w:r>
      <w:r w:rsidR="00137AC3" w:rsidRPr="002B33CC">
        <w:t>amitarán por orden de recepción.</w:t>
      </w:r>
    </w:p>
    <w:p w:rsidR="00DE41DF" w:rsidRPr="002B33CC" w:rsidRDefault="00DE41DF" w:rsidP="002209A9">
      <w:pPr>
        <w:pStyle w:val="enumlev2"/>
        <w:tabs>
          <w:tab w:val="clear" w:pos="1701"/>
          <w:tab w:val="left" w:pos="1418"/>
        </w:tabs>
        <w:ind w:left="1418" w:hanging="851"/>
      </w:pPr>
      <w:r w:rsidRPr="002B33CC">
        <w:t>3.2.1.2</w:t>
      </w:r>
      <w:r w:rsidRPr="002B33CC">
        <w:tab/>
        <w:t>Los pedidos correspondientes a los casos de interferencia perjudicial, incluidos los casos en que la interferencia afecte a los servicios de socorro y seguridad de la vida y a las frecuencias utilizadas para la seguridad de la aeronave y la regularidad de los vuelos en el servicio a</w:t>
      </w:r>
      <w:r w:rsidR="002209A9" w:rsidRPr="002B33CC">
        <w:t>eronáutico, tendrán prioridad 1.</w:t>
      </w:r>
    </w:p>
    <w:p w:rsidR="00DE41DF" w:rsidRPr="002B33CC" w:rsidRDefault="00DE41DF" w:rsidP="0095017D">
      <w:pPr>
        <w:pStyle w:val="enumlev2"/>
        <w:tabs>
          <w:tab w:val="clear" w:pos="1701"/>
          <w:tab w:val="left" w:pos="1418"/>
        </w:tabs>
        <w:ind w:left="1418" w:hanging="851"/>
      </w:pPr>
      <w:r w:rsidRPr="002B33CC">
        <w:t>3.2.1.3</w:t>
      </w:r>
      <w:r w:rsidRPr="002B33CC">
        <w:tab/>
        <w:t>Todos los dem</w:t>
      </w:r>
      <w:r w:rsidR="0095017D" w:rsidRPr="002B33CC">
        <w:t>ás pedidos tendrán prioridad 2.</w:t>
      </w:r>
    </w:p>
    <w:p w:rsidR="00DE41DF" w:rsidRPr="002B33CC" w:rsidRDefault="009163E9" w:rsidP="001565BF">
      <w:pPr>
        <w:pStyle w:val="enumlev2"/>
        <w:tabs>
          <w:tab w:val="clear" w:pos="1701"/>
          <w:tab w:val="left" w:pos="1418"/>
        </w:tabs>
        <w:ind w:left="1418" w:hanging="851"/>
      </w:pPr>
      <w:r w:rsidRPr="002B33CC">
        <w:t>3.2.1.4</w:t>
      </w:r>
      <w:r w:rsidRPr="002B33CC">
        <w:tab/>
        <w:t>El o</w:t>
      </w:r>
      <w:r w:rsidR="00DE41DF" w:rsidRPr="002B33CC">
        <w:t>perador elaborará un informe final y lo</w:t>
      </w:r>
      <w:r w:rsidR="001565BF" w:rsidRPr="002B33CC">
        <w:t xml:space="preserve"> enviará directamente a la UIT.</w:t>
      </w:r>
    </w:p>
    <w:p w:rsidR="00DE41DF" w:rsidRPr="002B33CC" w:rsidRDefault="00DE41DF" w:rsidP="00B26CE7">
      <w:pPr>
        <w:pStyle w:val="Heading2"/>
      </w:pPr>
      <w:r w:rsidRPr="002B33CC">
        <w:t>3.3</w:t>
      </w:r>
      <w:r w:rsidRPr="002B33CC">
        <w:tab/>
        <w:t>Contacto</w:t>
      </w:r>
    </w:p>
    <w:p w:rsidR="00DE41DF" w:rsidRPr="002B33CC" w:rsidRDefault="00DE41DF" w:rsidP="00694B36">
      <w:pPr>
        <w:pStyle w:val="enumlev1"/>
      </w:pPr>
      <w:r w:rsidRPr="002B33CC">
        <w:t>3.3.1</w:t>
      </w:r>
      <w:r w:rsidRPr="002B33CC">
        <w:tab/>
        <w:t xml:space="preserve">Cada </w:t>
      </w:r>
      <w:r w:rsidR="00F257AE" w:rsidRPr="002B33CC">
        <w:t xml:space="preserve">Participante </w:t>
      </w:r>
      <w:r w:rsidRPr="002B33CC">
        <w:t xml:space="preserve">designará un coordinador de todas las acciones que considere necesarias para la aplicación </w:t>
      </w:r>
      <w:r w:rsidR="008C3F69" w:rsidRPr="002B33CC">
        <w:t xml:space="preserve">efectiva </w:t>
      </w:r>
      <w:r w:rsidRPr="002B33CC">
        <w:t>del presente</w:t>
      </w:r>
      <w:r w:rsidR="002C28D3" w:rsidRPr="002B33CC">
        <w:t xml:space="preserve"> </w:t>
      </w:r>
      <w:r w:rsidR="00694B36" w:rsidRPr="002B33CC">
        <w:t>Memorándum de Entendimiento</w:t>
      </w:r>
      <w:r w:rsidR="009F6EE1" w:rsidRPr="002B33CC">
        <w:t>.</w:t>
      </w:r>
    </w:p>
    <w:p w:rsidR="00DE41DF" w:rsidRPr="002B33CC" w:rsidRDefault="00DE41DF" w:rsidP="00D04588">
      <w:pPr>
        <w:pStyle w:val="enumlev1"/>
      </w:pPr>
      <w:r w:rsidRPr="002B33CC">
        <w:t>3.3.2</w:t>
      </w:r>
      <w:r w:rsidRPr="002B33CC">
        <w:tab/>
        <w:t>El primer contacto con la Administración y el Opera</w:t>
      </w:r>
      <w:r w:rsidR="00D04588" w:rsidRPr="002B33CC">
        <w:t>dor será establecido por la UIT.</w:t>
      </w:r>
    </w:p>
    <w:p w:rsidR="00B26CE7" w:rsidRPr="002B33CC" w:rsidRDefault="00B26CE7" w:rsidP="001D3A2F">
      <w:pPr>
        <w:pStyle w:val="enumlev2"/>
        <w:ind w:left="1440" w:hanging="646"/>
      </w:pPr>
      <w:r w:rsidRPr="002B33CC">
        <w:br w:type="page"/>
      </w:r>
    </w:p>
    <w:p w:rsidR="00DE41DF" w:rsidRPr="002B33CC" w:rsidRDefault="00DE41DF" w:rsidP="00F621BF">
      <w:pPr>
        <w:pStyle w:val="enumlev1"/>
      </w:pPr>
      <w:r w:rsidRPr="002B33CC">
        <w:lastRenderedPageBreak/>
        <w:t>3.3.3</w:t>
      </w:r>
      <w:r w:rsidRPr="002B33CC">
        <w:tab/>
        <w:t xml:space="preserve">En cuanto a los pedidos de asistencia en casos de interferencia perjudicial, una vez establecido el contacto inicial, con arreglo al § 3.3.2 anterior, y sujeto a la autorización previa de la Administración responsable de la </w:t>
      </w:r>
      <w:r w:rsidR="00F621BF" w:rsidRPr="002B33CC">
        <w:t>Estación</w:t>
      </w:r>
      <w:r w:rsidRPr="002B33CC">
        <w:t>, podrá intercambiarse información directamente entre la estación y el operador de satélite a cuyos servicios se está causando interferencia perjudicial.</w:t>
      </w:r>
    </w:p>
    <w:p w:rsidR="00556E63" w:rsidRPr="002B33CC" w:rsidRDefault="00556E63" w:rsidP="00F621BF">
      <w:pPr>
        <w:pStyle w:val="enumlev1"/>
      </w:pPr>
      <w:r w:rsidRPr="002B33CC">
        <w:t>3.3.4</w:t>
      </w:r>
      <w:r w:rsidRPr="002B33CC">
        <w:tab/>
      </w:r>
      <w:r w:rsidR="008C3F69" w:rsidRPr="002B33CC">
        <w:t xml:space="preserve">En el </w:t>
      </w:r>
      <w:r w:rsidR="004B3520" w:rsidRPr="002B33CC">
        <w:t xml:space="preserve">Anexo </w:t>
      </w:r>
      <w:r w:rsidRPr="002B33CC">
        <w:t xml:space="preserve">2 </w:t>
      </w:r>
      <w:r w:rsidR="008C3F69" w:rsidRPr="002B33CC">
        <w:t>figura la lista de contactos</w:t>
      </w:r>
      <w:r w:rsidRPr="002B33CC">
        <w:t>.</w:t>
      </w:r>
    </w:p>
    <w:p w:rsidR="00DE41DF" w:rsidRPr="002B33CC" w:rsidRDefault="00D3666E" w:rsidP="001D3A2F">
      <w:pPr>
        <w:pStyle w:val="Heading1"/>
      </w:pPr>
      <w:r w:rsidRPr="002B33CC">
        <w:t>4</w:t>
      </w:r>
      <w:r w:rsidRPr="002B33CC">
        <w:tab/>
        <w:t>Disposiciones finales</w:t>
      </w:r>
    </w:p>
    <w:p w:rsidR="00DE41DF" w:rsidRPr="002B33CC" w:rsidRDefault="00D3666E" w:rsidP="00D3666E">
      <w:pPr>
        <w:pStyle w:val="Heading2"/>
      </w:pPr>
      <w:r w:rsidRPr="002B33CC">
        <w:t>4.1</w:t>
      </w:r>
      <w:r w:rsidRPr="002B33CC">
        <w:tab/>
        <w:t>Solución de controversias</w:t>
      </w:r>
    </w:p>
    <w:p w:rsidR="00DE41DF" w:rsidRPr="002B33CC" w:rsidRDefault="00DE41DF" w:rsidP="00D3666E">
      <w:r w:rsidRPr="002B33CC">
        <w:t xml:space="preserve">Las </w:t>
      </w:r>
      <w:r w:rsidR="00DA5088" w:rsidRPr="002B33CC">
        <w:t>diferencias</w:t>
      </w:r>
      <w:r w:rsidRPr="002B33CC">
        <w:t xml:space="preserve"> planteadas por el presente </w:t>
      </w:r>
      <w:r w:rsidR="00D3666E" w:rsidRPr="002B33CC">
        <w:t>Memorándum de Entendimiento</w:t>
      </w:r>
      <w:r w:rsidR="00556E63" w:rsidRPr="002B33CC">
        <w:t xml:space="preserve"> </w:t>
      </w:r>
      <w:r w:rsidRPr="002B33CC">
        <w:t>y sus Anexos, o en relación con ellos, se resolverán amistosamente mediante negociaciones directas entre l</w:t>
      </w:r>
      <w:r w:rsidR="0035366B" w:rsidRPr="002B33CC">
        <w:t>o</w:t>
      </w:r>
      <w:r w:rsidRPr="002B33CC">
        <w:t xml:space="preserve">s </w:t>
      </w:r>
      <w:r w:rsidR="00556E63" w:rsidRPr="002B33CC">
        <w:t xml:space="preserve">Participantes </w:t>
      </w:r>
      <w:r w:rsidRPr="002B33CC">
        <w:t>o por cualquier otro medio que l</w:t>
      </w:r>
      <w:r w:rsidR="0035366B" w:rsidRPr="002B33CC">
        <w:t>o</w:t>
      </w:r>
      <w:r w:rsidRPr="002B33CC">
        <w:t xml:space="preserve">s </w:t>
      </w:r>
      <w:r w:rsidR="00556E63" w:rsidRPr="002B33CC">
        <w:t xml:space="preserve">Participantes </w:t>
      </w:r>
      <w:r w:rsidR="00DA5088" w:rsidRPr="002B33CC">
        <w:t>determinen conjuntamente</w:t>
      </w:r>
      <w:r w:rsidRPr="002B33CC">
        <w:t xml:space="preserve"> por escrito.</w:t>
      </w:r>
    </w:p>
    <w:p w:rsidR="00DE41DF" w:rsidRPr="002B33CC" w:rsidRDefault="00DE41DF" w:rsidP="00997379">
      <w:pPr>
        <w:pStyle w:val="Heading2"/>
      </w:pPr>
      <w:r w:rsidRPr="002B33CC">
        <w:t>4.2</w:t>
      </w:r>
      <w:r w:rsidRPr="002B33CC">
        <w:tab/>
        <w:t>Durac</w:t>
      </w:r>
      <w:r w:rsidR="00B47DA2" w:rsidRPr="002B33CC">
        <w:t>ión, terminación y modificación</w:t>
      </w:r>
    </w:p>
    <w:p w:rsidR="00DE41DF" w:rsidRPr="002B33CC" w:rsidRDefault="00DE41DF" w:rsidP="00A07772">
      <w:pPr>
        <w:pStyle w:val="enumlev1"/>
        <w:rPr>
          <w:b/>
          <w:bCs/>
        </w:rPr>
      </w:pPr>
      <w:r w:rsidRPr="002B33CC">
        <w:t>4.2.1</w:t>
      </w:r>
      <w:r w:rsidRPr="002B33CC">
        <w:tab/>
        <w:t xml:space="preserve">El presente </w:t>
      </w:r>
      <w:r w:rsidR="00A07772" w:rsidRPr="002B33CC">
        <w:t xml:space="preserve">Memorándum de Entendimiento </w:t>
      </w:r>
      <w:r w:rsidRPr="002B33CC">
        <w:t>es válido y efectivo durante un per</w:t>
      </w:r>
      <w:r w:rsidR="0035366B" w:rsidRPr="002B33CC">
        <w:t>i</w:t>
      </w:r>
      <w:r w:rsidRPr="002B33CC">
        <w:t>odo indefinido. Podrá, no obstante, ser rescindido por iniciativa de cualquiera de l</w:t>
      </w:r>
      <w:r w:rsidR="0035366B" w:rsidRPr="002B33CC">
        <w:t>o</w:t>
      </w:r>
      <w:r w:rsidRPr="002B33CC">
        <w:t>s Part</w:t>
      </w:r>
      <w:r w:rsidR="0035366B" w:rsidRPr="002B33CC">
        <w:t>icipantes</w:t>
      </w:r>
      <w:r w:rsidRPr="002B33CC">
        <w:t>, que notificará al otr</w:t>
      </w:r>
      <w:r w:rsidR="0035366B" w:rsidRPr="002B33CC">
        <w:t>o</w:t>
      </w:r>
      <w:r w:rsidRPr="002B33CC">
        <w:t xml:space="preserve"> Part</w:t>
      </w:r>
      <w:r w:rsidR="0035366B" w:rsidRPr="002B33CC">
        <w:t>icipante</w:t>
      </w:r>
      <w:r w:rsidRPr="002B33CC">
        <w:t xml:space="preserve"> con un aviso previo </w:t>
      </w:r>
      <w:r w:rsidR="00DA5088" w:rsidRPr="002B33CC">
        <w:t xml:space="preserve">por escrito </w:t>
      </w:r>
      <w:r w:rsidRPr="002B33CC">
        <w:t>de seis meses.</w:t>
      </w:r>
    </w:p>
    <w:p w:rsidR="00DE41DF" w:rsidRPr="002B33CC" w:rsidRDefault="00DE41DF" w:rsidP="00A07772">
      <w:pPr>
        <w:pStyle w:val="enumlev1"/>
        <w:rPr>
          <w:b/>
          <w:bCs/>
        </w:rPr>
      </w:pPr>
      <w:r w:rsidRPr="002B33CC">
        <w:t>4.2.2</w:t>
      </w:r>
      <w:r w:rsidRPr="002B33CC">
        <w:tab/>
        <w:t>En caso de rescisión del Acuerdo, l</w:t>
      </w:r>
      <w:r w:rsidR="0035366B" w:rsidRPr="002B33CC">
        <w:t>o</w:t>
      </w:r>
      <w:r w:rsidRPr="002B33CC">
        <w:t>s Part</w:t>
      </w:r>
      <w:r w:rsidR="0035366B" w:rsidRPr="002B33CC">
        <w:t>icipantes</w:t>
      </w:r>
      <w:r w:rsidRPr="002B33CC">
        <w:t xml:space="preserve"> adoptarán las medidas necesarias para asegurar que dicha rescisión no perjudique las tareas en curso lle</w:t>
      </w:r>
      <w:r w:rsidR="002C28D3" w:rsidRPr="002B33CC">
        <w:t xml:space="preserve">vadas a cabo en el marco del presente </w:t>
      </w:r>
      <w:r w:rsidR="00A07772" w:rsidRPr="002B33CC">
        <w:t>Memorándum de Entendimiento</w:t>
      </w:r>
      <w:r w:rsidRPr="002B33CC">
        <w:t>.</w:t>
      </w:r>
    </w:p>
    <w:p w:rsidR="00DE41DF" w:rsidRPr="002B33CC" w:rsidRDefault="00DE41DF" w:rsidP="00347A9B">
      <w:pPr>
        <w:pStyle w:val="enumlev1"/>
        <w:rPr>
          <w:b/>
          <w:bCs/>
        </w:rPr>
      </w:pPr>
      <w:r w:rsidRPr="002B33CC">
        <w:t>4.2.3</w:t>
      </w:r>
      <w:r w:rsidRPr="002B33CC">
        <w:tab/>
        <w:t xml:space="preserve">El presente </w:t>
      </w:r>
      <w:r w:rsidR="00347A9B" w:rsidRPr="002B33CC">
        <w:t xml:space="preserve">Memorándum de Entendimiento </w:t>
      </w:r>
      <w:r w:rsidRPr="002B33CC">
        <w:t xml:space="preserve">sólo podrá ser modificado por mutuo </w:t>
      </w:r>
      <w:r w:rsidR="00DA5088" w:rsidRPr="002B33CC">
        <w:t>consentimiento</w:t>
      </w:r>
      <w:r w:rsidRPr="002B33CC">
        <w:t xml:space="preserve"> escrito </w:t>
      </w:r>
      <w:r w:rsidR="00DA5088" w:rsidRPr="002B33CC">
        <w:t>entre</w:t>
      </w:r>
      <w:r w:rsidRPr="002B33CC">
        <w:t xml:space="preserve"> </w:t>
      </w:r>
      <w:r w:rsidR="002539D2" w:rsidRPr="002B33CC">
        <w:t xml:space="preserve">los </w:t>
      </w:r>
      <w:r w:rsidRPr="002B33CC">
        <w:t>Part</w:t>
      </w:r>
      <w:r w:rsidR="002539D2" w:rsidRPr="002B33CC">
        <w:t>icipantes</w:t>
      </w:r>
      <w:r w:rsidRPr="002B33CC">
        <w:t>. Toda modificación de ese tipo d</w:t>
      </w:r>
      <w:r w:rsidR="002C28D3" w:rsidRPr="002B33CC">
        <w:t xml:space="preserve">eberá ser parte integral del presente </w:t>
      </w:r>
      <w:r w:rsidR="00A07772" w:rsidRPr="002B33CC">
        <w:t>Memorándum de Entendimiento</w:t>
      </w:r>
      <w:r w:rsidRPr="002B33CC">
        <w:t>. Cada Part</w:t>
      </w:r>
      <w:r w:rsidR="002539D2" w:rsidRPr="002B33CC">
        <w:t>icipante</w:t>
      </w:r>
      <w:r w:rsidRPr="002B33CC">
        <w:t xml:space="preserve"> tendrá plena y debidamente en cuenta cualquier propuesta de modificación formulada por la otra Part</w:t>
      </w:r>
      <w:r w:rsidR="002539D2" w:rsidRPr="002B33CC">
        <w:t>icipante</w:t>
      </w:r>
      <w:r w:rsidRPr="002B33CC">
        <w:t>.</w:t>
      </w:r>
    </w:p>
    <w:p w:rsidR="00DE41DF" w:rsidRPr="002B33CC" w:rsidRDefault="001872AF" w:rsidP="001D3A2F">
      <w:pPr>
        <w:pStyle w:val="Heading1"/>
      </w:pPr>
      <w:r w:rsidRPr="002B33CC">
        <w:t>5</w:t>
      </w:r>
      <w:r w:rsidRPr="002B33CC">
        <w:tab/>
        <w:t>Entrada en vigor</w:t>
      </w:r>
    </w:p>
    <w:p w:rsidR="00DE41DF" w:rsidRPr="002B33CC" w:rsidRDefault="00DE41DF" w:rsidP="0097653A">
      <w:r w:rsidRPr="002B33CC">
        <w:t xml:space="preserve">El presente </w:t>
      </w:r>
      <w:r w:rsidR="0097653A" w:rsidRPr="002B33CC">
        <w:t xml:space="preserve">Memorándum de Entendimiento </w:t>
      </w:r>
      <w:r w:rsidRPr="002B33CC">
        <w:t xml:space="preserve">entrará en vigor en la fecha en que sea firmado por </w:t>
      </w:r>
      <w:r w:rsidR="000733DC" w:rsidRPr="002B33CC">
        <w:t xml:space="preserve">ambos </w:t>
      </w:r>
      <w:r w:rsidRPr="002B33CC">
        <w:t>Part</w:t>
      </w:r>
      <w:r w:rsidR="000733DC" w:rsidRPr="002B33CC">
        <w:t>icipantes</w:t>
      </w:r>
      <w:r w:rsidRPr="002B33CC">
        <w:t>.</w:t>
      </w:r>
    </w:p>
    <w:p w:rsidR="00DE41DF" w:rsidRPr="002B33CC" w:rsidRDefault="00C913EF" w:rsidP="001D3A2F">
      <w:pPr>
        <w:pStyle w:val="Heading1"/>
      </w:pPr>
      <w:r w:rsidRPr="002B33CC">
        <w:t>6</w:t>
      </w:r>
      <w:r w:rsidR="00DE41DF" w:rsidRPr="002B33CC">
        <w:tab/>
      </w:r>
      <w:r w:rsidR="00DA5088" w:rsidRPr="002B33CC">
        <w:t>Entendimiento completo</w:t>
      </w:r>
    </w:p>
    <w:p w:rsidR="00DE41DF" w:rsidRPr="002B33CC" w:rsidRDefault="00C913EF" w:rsidP="001872AF">
      <w:pPr>
        <w:pStyle w:val="enumlev1"/>
        <w:rPr>
          <w:rFonts w:cs="Calibri"/>
        </w:rPr>
      </w:pPr>
      <w:r w:rsidRPr="002B33CC">
        <w:rPr>
          <w:rFonts w:cs="Calibri"/>
        </w:rPr>
        <w:t>6</w:t>
      </w:r>
      <w:r w:rsidR="00DE41DF" w:rsidRPr="002B33CC">
        <w:rPr>
          <w:rFonts w:cs="Calibri"/>
        </w:rPr>
        <w:t>.1</w:t>
      </w:r>
      <w:r w:rsidR="00DE41DF" w:rsidRPr="002B33CC">
        <w:rPr>
          <w:rFonts w:cs="Calibri"/>
        </w:rPr>
        <w:tab/>
        <w:t>El presente</w:t>
      </w:r>
      <w:r w:rsidR="002C28D3" w:rsidRPr="002B33CC">
        <w:rPr>
          <w:rFonts w:cs="Calibri"/>
        </w:rPr>
        <w:t xml:space="preserve"> </w:t>
      </w:r>
      <w:r w:rsidR="001872AF" w:rsidRPr="002B33CC">
        <w:t>Memorándum de Entendimiento</w:t>
      </w:r>
      <w:r w:rsidR="00DE41DF" w:rsidRPr="002B33CC">
        <w:rPr>
          <w:rFonts w:cs="Calibri"/>
        </w:rPr>
        <w:t xml:space="preserve">, junto con sus Anexos, constituye el único </w:t>
      </w:r>
      <w:r w:rsidR="00DA5088" w:rsidRPr="002B33CC">
        <w:rPr>
          <w:rFonts w:cs="Calibri"/>
        </w:rPr>
        <w:t xml:space="preserve">entendimiento entre los </w:t>
      </w:r>
      <w:r w:rsidR="00DA5088" w:rsidRPr="002B33CC">
        <w:t>Participantes</w:t>
      </w:r>
      <w:r w:rsidR="00DA5088" w:rsidRPr="002B33CC">
        <w:rPr>
          <w:rFonts w:cs="Calibri"/>
        </w:rPr>
        <w:t xml:space="preserve"> </w:t>
      </w:r>
      <w:r w:rsidR="00DE41DF" w:rsidRPr="002B33CC">
        <w:rPr>
          <w:rFonts w:cs="Calibri"/>
        </w:rPr>
        <w:t xml:space="preserve">con respecto al asunto tratado en el mismo y sustituye a todos los </w:t>
      </w:r>
      <w:r w:rsidR="00DA5088" w:rsidRPr="002B33CC">
        <w:rPr>
          <w:rFonts w:cs="Calibri"/>
        </w:rPr>
        <w:t>entendimientos</w:t>
      </w:r>
      <w:r w:rsidR="00DE41DF" w:rsidRPr="002B33CC">
        <w:rPr>
          <w:rFonts w:cs="Calibri"/>
        </w:rPr>
        <w:t>, comunicaciones, negociaciones u otras disposiciones anteriore</w:t>
      </w:r>
      <w:r w:rsidR="00DA5088" w:rsidRPr="002B33CC">
        <w:rPr>
          <w:rFonts w:cs="Calibri"/>
        </w:rPr>
        <w:t xml:space="preserve">s, escritas u orales, entre los Participantes </w:t>
      </w:r>
      <w:r w:rsidR="00DE41DF" w:rsidRPr="002B33CC">
        <w:rPr>
          <w:rFonts w:cs="Calibri"/>
        </w:rPr>
        <w:t>en rela</w:t>
      </w:r>
      <w:r w:rsidR="001872AF" w:rsidRPr="002B33CC">
        <w:rPr>
          <w:rFonts w:cs="Calibri"/>
        </w:rPr>
        <w:t>ción con el asunto en cuestión.</w:t>
      </w:r>
    </w:p>
    <w:p w:rsidR="00061401" w:rsidRPr="002B33CC" w:rsidRDefault="00061401" w:rsidP="00061401">
      <w:pPr>
        <w:pStyle w:val="enumlev1"/>
        <w:rPr>
          <w:rFonts w:cs="Calibri"/>
        </w:rPr>
      </w:pPr>
      <w:r w:rsidRPr="002B33CC">
        <w:rPr>
          <w:rFonts w:cs="Calibri"/>
        </w:rPr>
        <w:br w:type="page"/>
      </w:r>
    </w:p>
    <w:p w:rsidR="00DE41DF" w:rsidRPr="002B33CC" w:rsidRDefault="00C913EF" w:rsidP="00061401">
      <w:pPr>
        <w:pStyle w:val="enumlev1"/>
        <w:rPr>
          <w:rFonts w:cs="Calibri"/>
        </w:rPr>
      </w:pPr>
      <w:r w:rsidRPr="002B33CC">
        <w:rPr>
          <w:rFonts w:cs="Calibri"/>
        </w:rPr>
        <w:lastRenderedPageBreak/>
        <w:t>6</w:t>
      </w:r>
      <w:r w:rsidR="00DE41DF" w:rsidRPr="002B33CC">
        <w:rPr>
          <w:rFonts w:cs="Calibri"/>
        </w:rPr>
        <w:t>.2</w:t>
      </w:r>
      <w:r w:rsidR="00DE41DF" w:rsidRPr="002B33CC">
        <w:rPr>
          <w:rFonts w:cs="Calibri"/>
        </w:rPr>
        <w:tab/>
        <w:t xml:space="preserve">Todos y cada uno de los Anexos adjuntos al presente </w:t>
      </w:r>
      <w:r w:rsidR="00061401" w:rsidRPr="002B33CC">
        <w:t>Memorándum de Entendimiento</w:t>
      </w:r>
      <w:r w:rsidR="00061401" w:rsidRPr="002B33CC">
        <w:rPr>
          <w:rFonts w:cs="Calibri"/>
        </w:rPr>
        <w:t xml:space="preserve"> </w:t>
      </w:r>
      <w:r w:rsidR="00DE41DF" w:rsidRPr="002B33CC">
        <w:rPr>
          <w:rFonts w:cs="Calibri"/>
        </w:rPr>
        <w:t xml:space="preserve">formarán parte integral del </w:t>
      </w:r>
      <w:r w:rsidR="00DE41DF" w:rsidRPr="002B33CC">
        <w:t>mismo</w:t>
      </w:r>
      <w:r w:rsidR="00DE41DF" w:rsidRPr="002B33CC">
        <w:rPr>
          <w:rFonts w:cs="Calibri"/>
        </w:rPr>
        <w:t xml:space="preserve">. En caso de que se planteara un conflicto o </w:t>
      </w:r>
      <w:r w:rsidR="002C28D3" w:rsidRPr="002B33CC">
        <w:rPr>
          <w:rFonts w:cs="Calibri"/>
        </w:rPr>
        <w:t xml:space="preserve">una discrepancia entre el presente </w:t>
      </w:r>
      <w:r w:rsidR="00061401" w:rsidRPr="002B33CC">
        <w:t>Memorándum de Entendimiento</w:t>
      </w:r>
      <w:r w:rsidR="00DE41DF" w:rsidRPr="002B33CC">
        <w:rPr>
          <w:rFonts w:cs="Calibri"/>
        </w:rPr>
        <w:t>, por una parte, y alguno de sus Anexos, por la otra, regirán l</w:t>
      </w:r>
      <w:r w:rsidR="00DA5088" w:rsidRPr="002B33CC">
        <w:rPr>
          <w:rFonts w:cs="Calibri"/>
        </w:rPr>
        <w:t>as disposiciones del</w:t>
      </w:r>
      <w:r w:rsidR="00DE41DF" w:rsidRPr="002B33CC">
        <w:rPr>
          <w:rFonts w:cs="Calibri"/>
        </w:rPr>
        <w:t xml:space="preserve"> presente</w:t>
      </w:r>
      <w:r w:rsidR="002C28D3" w:rsidRPr="002B33CC">
        <w:rPr>
          <w:rFonts w:cs="Calibri"/>
        </w:rPr>
        <w:t xml:space="preserve"> </w:t>
      </w:r>
      <w:r w:rsidR="00061401" w:rsidRPr="002B33CC">
        <w:t>Memorándum de Entendimiento</w:t>
      </w:r>
      <w:r w:rsidRPr="002B33CC">
        <w:rPr>
          <w:rFonts w:cs="Calibri"/>
        </w:rPr>
        <w:t>.</w:t>
      </w:r>
    </w:p>
    <w:p w:rsidR="00C913EF" w:rsidRPr="002B33CC" w:rsidRDefault="00C913EF" w:rsidP="00A06EE8">
      <w:pPr>
        <w:pStyle w:val="enumlev1"/>
        <w:rPr>
          <w:rFonts w:cs="Calibri"/>
        </w:rPr>
      </w:pPr>
      <w:r w:rsidRPr="002B33CC">
        <w:rPr>
          <w:rFonts w:cs="Calibri"/>
        </w:rPr>
        <w:t>6.3.</w:t>
      </w:r>
      <w:r w:rsidRPr="002B33CC">
        <w:rPr>
          <w:rFonts w:cs="Calibri"/>
        </w:rPr>
        <w:tab/>
      </w:r>
      <w:r w:rsidR="00AE09D2" w:rsidRPr="002B33CC">
        <w:rPr>
          <w:rFonts w:cs="Calibri"/>
        </w:rPr>
        <w:t>Con este</w:t>
      </w:r>
      <w:r w:rsidRPr="002B33CC">
        <w:rPr>
          <w:rFonts w:cs="Calibri"/>
        </w:rPr>
        <w:t xml:space="preserve"> </w:t>
      </w:r>
      <w:r w:rsidR="00A06EE8" w:rsidRPr="002B33CC">
        <w:t>Memorándum de Entendimiento</w:t>
      </w:r>
      <w:r w:rsidRPr="002B33CC">
        <w:rPr>
          <w:rFonts w:cs="Calibri"/>
        </w:rPr>
        <w:t xml:space="preserve"> </w:t>
      </w:r>
      <w:r w:rsidR="00AE09D2" w:rsidRPr="002B33CC">
        <w:rPr>
          <w:rFonts w:cs="Calibri"/>
        </w:rPr>
        <w:t>no se pretende crear ningún derecho</w:t>
      </w:r>
      <w:r w:rsidR="001134A9" w:rsidRPr="002B33CC">
        <w:rPr>
          <w:rFonts w:cs="Calibri"/>
        </w:rPr>
        <w:t xml:space="preserve"> ni</w:t>
      </w:r>
      <w:r w:rsidR="00AE09D2" w:rsidRPr="002B33CC">
        <w:rPr>
          <w:rFonts w:cs="Calibri"/>
        </w:rPr>
        <w:t xml:space="preserve"> obligación jurídicamente vinculante en el marco de la legislación internacional</w:t>
      </w:r>
      <w:r w:rsidRPr="002B33CC">
        <w:rPr>
          <w:rFonts w:cs="Calibri"/>
        </w:rPr>
        <w:t>.</w:t>
      </w:r>
    </w:p>
    <w:p w:rsidR="00C913EF" w:rsidRPr="002B33CC" w:rsidRDefault="00C913EF" w:rsidP="00A06EE8">
      <w:pPr>
        <w:pStyle w:val="enumlev1"/>
        <w:rPr>
          <w:rFonts w:cs="Calibri"/>
        </w:rPr>
      </w:pPr>
      <w:r w:rsidRPr="002B33CC">
        <w:rPr>
          <w:rFonts w:cs="Calibri"/>
        </w:rPr>
        <w:t>6.4.</w:t>
      </w:r>
      <w:r w:rsidRPr="002B33CC">
        <w:rPr>
          <w:rFonts w:cs="Calibri"/>
        </w:rPr>
        <w:tab/>
      </w:r>
      <w:r w:rsidR="00AE09D2" w:rsidRPr="002B33CC">
        <w:rPr>
          <w:rFonts w:cs="Calibri"/>
        </w:rPr>
        <w:t>El presente</w:t>
      </w:r>
      <w:r w:rsidRPr="002B33CC">
        <w:rPr>
          <w:rFonts w:cs="Calibri"/>
        </w:rPr>
        <w:t xml:space="preserve"> </w:t>
      </w:r>
      <w:r w:rsidR="00A06EE8" w:rsidRPr="002B33CC">
        <w:t>Memorándum de Entendimiento</w:t>
      </w:r>
      <w:r w:rsidR="00A06EE8" w:rsidRPr="002B33CC">
        <w:rPr>
          <w:rFonts w:cs="Calibri"/>
        </w:rPr>
        <w:t xml:space="preserve"> </w:t>
      </w:r>
      <w:r w:rsidR="00AE09D2" w:rsidRPr="002B33CC">
        <w:rPr>
          <w:rFonts w:cs="Calibri"/>
        </w:rPr>
        <w:t>se aplicará en función de la disponibilidad de los recursos adecuados de los Participantes</w:t>
      </w:r>
      <w:r w:rsidRPr="002B33CC">
        <w:rPr>
          <w:rFonts w:cs="Calibri"/>
        </w:rPr>
        <w:t>.</w:t>
      </w:r>
    </w:p>
    <w:p w:rsidR="00C913EF" w:rsidRPr="002B33CC" w:rsidRDefault="00AE09D2" w:rsidP="0072076B">
      <w:pPr>
        <w:spacing w:after="480"/>
      </w:pPr>
      <w:r w:rsidRPr="002B33CC">
        <w:t xml:space="preserve">FIRMADO por duplicado en </w:t>
      </w:r>
      <w:proofErr w:type="spellStart"/>
      <w:r w:rsidRPr="002B33CC">
        <w:t>Busán</w:t>
      </w:r>
      <w:proofErr w:type="spellEnd"/>
      <w:r w:rsidR="00874A8C" w:rsidRPr="002B33CC">
        <w:t>,</w:t>
      </w:r>
      <w:r w:rsidRPr="002B33CC">
        <w:t xml:space="preserve"> el</w:t>
      </w:r>
      <w:r w:rsidR="00C913EF" w:rsidRPr="002B33CC">
        <w:t xml:space="preserve"> 26 </w:t>
      </w:r>
      <w:r w:rsidRPr="002B33CC">
        <w:t>de septiembre de</w:t>
      </w:r>
      <w:r w:rsidR="00C913EF" w:rsidRPr="002B33CC">
        <w:t xml:space="preserve"> 2017, </w:t>
      </w:r>
      <w:r w:rsidRPr="002B33CC">
        <w:t>en inglés y coreano</w:t>
      </w:r>
      <w:r w:rsidR="00C913EF" w:rsidRPr="002B33CC">
        <w:t xml:space="preserve">, </w:t>
      </w:r>
      <w:r w:rsidRPr="002B33CC">
        <w:t>ambos textos con la misma validez</w:t>
      </w:r>
      <w:r w:rsidR="00C913EF" w:rsidRPr="002B33CC">
        <w:t xml:space="preserve">. </w:t>
      </w:r>
      <w:r w:rsidRPr="002B33CC">
        <w:t xml:space="preserve">En caso de surgir dudas en la interpretación de este </w:t>
      </w:r>
      <w:r w:rsidR="00874A8C" w:rsidRPr="002B33CC">
        <w:t>Memorándum de Entendimiento</w:t>
      </w:r>
      <w:r w:rsidRPr="002B33CC">
        <w:t>, prevalecerá la versión inglesa</w:t>
      </w:r>
      <w:r w:rsidR="00C913EF" w:rsidRPr="002B33CC">
        <w:t>.</w:t>
      </w:r>
    </w:p>
    <w:tbl>
      <w:tblPr>
        <w:tblStyle w:val="TableGrid"/>
        <w:tblW w:w="0" w:type="auto"/>
        <w:tblLook w:val="04A0" w:firstRow="1" w:lastRow="0" w:firstColumn="1" w:lastColumn="0" w:noHBand="0" w:noVBand="1"/>
      </w:tblPr>
      <w:tblGrid>
        <w:gridCol w:w="4814"/>
        <w:gridCol w:w="4815"/>
      </w:tblGrid>
      <w:tr w:rsidR="0072076B" w:rsidRPr="002B33CC" w:rsidTr="00F159AB">
        <w:tc>
          <w:tcPr>
            <w:tcW w:w="4814" w:type="dxa"/>
          </w:tcPr>
          <w:p w:rsidR="0072076B" w:rsidRPr="002B33CC" w:rsidRDefault="0072076B" w:rsidP="0072076B">
            <w:pPr>
              <w:rPr>
                <w:bCs/>
              </w:rPr>
            </w:pPr>
            <w:r w:rsidRPr="002B33CC">
              <w:rPr>
                <w:rFonts w:asciiTheme="minorHAnsi" w:hAnsiTheme="minorHAnsi" w:cstheme="majorBidi"/>
                <w:bCs/>
                <w:szCs w:val="24"/>
              </w:rPr>
              <w:t>Por la Unión Internacional de Telecomunicaciones</w:t>
            </w:r>
          </w:p>
        </w:tc>
        <w:tc>
          <w:tcPr>
            <w:tcW w:w="4815" w:type="dxa"/>
          </w:tcPr>
          <w:p w:rsidR="0072076B" w:rsidRPr="002B33CC" w:rsidRDefault="0072076B" w:rsidP="00F159AB">
            <w:r w:rsidRPr="002B33CC">
              <w:rPr>
                <w:rFonts w:asciiTheme="minorHAnsi" w:hAnsiTheme="minorHAnsi" w:cstheme="majorBidi"/>
                <w:szCs w:val="24"/>
              </w:rPr>
              <w:t>Por el Servicio Central de Gestión de Radiocomunicaciones de la República de Corea</w:t>
            </w:r>
          </w:p>
        </w:tc>
      </w:tr>
      <w:tr w:rsidR="0072076B" w:rsidRPr="002B33CC" w:rsidTr="002D7353">
        <w:trPr>
          <w:trHeight w:val="1217"/>
        </w:trPr>
        <w:tc>
          <w:tcPr>
            <w:tcW w:w="4814" w:type="dxa"/>
          </w:tcPr>
          <w:p w:rsidR="0072076B" w:rsidRPr="002B33CC" w:rsidRDefault="0072076B" w:rsidP="00F159AB"/>
          <w:p w:rsidR="002D7353" w:rsidRPr="002B33CC" w:rsidRDefault="002D7353" w:rsidP="00F159AB"/>
          <w:p w:rsidR="00AA09CA" w:rsidRPr="002B33CC" w:rsidRDefault="00AA09CA" w:rsidP="00F159AB"/>
          <w:p w:rsidR="0072076B" w:rsidRPr="002B33CC" w:rsidRDefault="0072076B" w:rsidP="00F159AB">
            <w:r w:rsidRPr="002B33CC">
              <w:rPr>
                <w:noProof/>
                <w:lang w:val="en-US" w:eastAsia="zh-CN"/>
              </w:rPr>
              <mc:AlternateContent>
                <mc:Choice Requires="wps">
                  <w:drawing>
                    <wp:anchor distT="0" distB="0" distL="114300" distR="114300" simplePos="0" relativeHeight="251665408" behindDoc="0" locked="0" layoutInCell="1" allowOverlap="1" wp14:anchorId="35DEA408" wp14:editId="394793DC">
                      <wp:simplePos x="0" y="0"/>
                      <wp:positionH relativeFrom="column">
                        <wp:posOffset>120871</wp:posOffset>
                      </wp:positionH>
                      <wp:positionV relativeFrom="paragraph">
                        <wp:posOffset>170787</wp:posOffset>
                      </wp:positionV>
                      <wp:extent cx="1971923"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E890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pt,13.45pt" to="164.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" strokecolor="black [3040]"/>
                  </w:pict>
                </mc:Fallback>
              </mc:AlternateContent>
            </w:r>
          </w:p>
        </w:tc>
        <w:tc>
          <w:tcPr>
            <w:tcW w:w="4815" w:type="dxa"/>
          </w:tcPr>
          <w:p w:rsidR="0072076B" w:rsidRPr="002B33CC" w:rsidRDefault="0072076B" w:rsidP="00F159AB"/>
          <w:p w:rsidR="002D7353" w:rsidRPr="002B33CC" w:rsidRDefault="002D7353" w:rsidP="00F159AB"/>
          <w:p w:rsidR="00AA09CA" w:rsidRPr="002B33CC" w:rsidRDefault="00AA09CA" w:rsidP="00F159AB"/>
          <w:p w:rsidR="0072076B" w:rsidRPr="002B33CC" w:rsidRDefault="0072076B" w:rsidP="00F159AB">
            <w:r w:rsidRPr="002B33CC">
              <w:rPr>
                <w:noProof/>
                <w:lang w:val="en-US" w:eastAsia="zh-CN"/>
              </w:rPr>
              <mc:AlternateContent>
                <mc:Choice Requires="wps">
                  <w:drawing>
                    <wp:anchor distT="0" distB="0" distL="114300" distR="114300" simplePos="0" relativeHeight="251666432" behindDoc="0" locked="0" layoutInCell="1" allowOverlap="1" wp14:anchorId="0A00274E" wp14:editId="42F0A0A5">
                      <wp:simplePos x="0" y="0"/>
                      <wp:positionH relativeFrom="column">
                        <wp:posOffset>125316</wp:posOffset>
                      </wp:positionH>
                      <wp:positionV relativeFrom="paragraph">
                        <wp:posOffset>170787</wp:posOffset>
                      </wp:positionV>
                      <wp:extent cx="1971923"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C7F3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85pt,13.45pt" to="16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" strokecolor="black [3040]"/>
                  </w:pict>
                </mc:Fallback>
              </mc:AlternateContent>
            </w:r>
          </w:p>
        </w:tc>
      </w:tr>
      <w:tr w:rsidR="0072076B" w:rsidRPr="002B33CC" w:rsidTr="00F159AB">
        <w:tc>
          <w:tcPr>
            <w:tcW w:w="4814" w:type="dxa"/>
          </w:tcPr>
          <w:p w:rsidR="0072076B" w:rsidRPr="002B33CC" w:rsidRDefault="0072076B" w:rsidP="00F159AB">
            <w:r w:rsidRPr="002B33CC">
              <w:rPr>
                <w:rFonts w:asciiTheme="minorHAnsi" w:hAnsiTheme="minorHAnsi" w:cstheme="majorBidi"/>
                <w:szCs w:val="24"/>
              </w:rPr>
              <w:t>François Rancy</w:t>
            </w:r>
            <w:r w:rsidRPr="002B33CC">
              <w:rPr>
                <w:rFonts w:asciiTheme="minorHAnsi" w:hAnsiTheme="minorHAnsi" w:cstheme="majorBidi"/>
                <w:szCs w:val="24"/>
              </w:rPr>
              <w:br/>
              <w:t>Director de la</w:t>
            </w:r>
            <w:r w:rsidRPr="002B33CC">
              <w:rPr>
                <w:rFonts w:asciiTheme="minorHAnsi" w:hAnsiTheme="minorHAnsi" w:cstheme="majorBidi"/>
                <w:szCs w:val="24"/>
              </w:rPr>
              <w:br/>
              <w:t>Oficina de Radiocomunicaciones</w:t>
            </w:r>
          </w:p>
        </w:tc>
        <w:tc>
          <w:tcPr>
            <w:tcW w:w="4815" w:type="dxa"/>
          </w:tcPr>
          <w:p w:rsidR="0072076B" w:rsidRPr="002B33CC" w:rsidRDefault="0072076B" w:rsidP="0072076B">
            <w:pPr>
              <w:tabs>
                <w:tab w:val="clear" w:pos="567"/>
                <w:tab w:val="clear" w:pos="1134"/>
                <w:tab w:val="clear" w:pos="1701"/>
                <w:tab w:val="clear" w:pos="2268"/>
                <w:tab w:val="clear" w:pos="2835"/>
                <w:tab w:val="left" w:pos="794"/>
                <w:tab w:val="left" w:pos="1191"/>
                <w:tab w:val="left" w:pos="1588"/>
                <w:tab w:val="left" w:pos="1985"/>
              </w:tabs>
            </w:pPr>
            <w:proofErr w:type="spellStart"/>
            <w:r w:rsidRPr="002B33CC">
              <w:rPr>
                <w:rFonts w:asciiTheme="minorHAnsi" w:hAnsiTheme="minorHAnsi" w:cstheme="majorBidi"/>
                <w:szCs w:val="24"/>
              </w:rPr>
              <w:t>Sung</w:t>
            </w:r>
            <w:proofErr w:type="spellEnd"/>
            <w:r w:rsidRPr="002B33CC">
              <w:rPr>
                <w:rFonts w:asciiTheme="minorHAnsi" w:hAnsiTheme="minorHAnsi" w:cstheme="majorBidi"/>
                <w:szCs w:val="24"/>
              </w:rPr>
              <w:t xml:space="preserve"> </w:t>
            </w:r>
            <w:proofErr w:type="spellStart"/>
            <w:r w:rsidRPr="002B33CC">
              <w:rPr>
                <w:rFonts w:asciiTheme="minorHAnsi" w:hAnsiTheme="minorHAnsi" w:cstheme="majorBidi"/>
                <w:szCs w:val="24"/>
              </w:rPr>
              <w:t>Gye</w:t>
            </w:r>
            <w:proofErr w:type="spellEnd"/>
            <w:r w:rsidRPr="002B33CC">
              <w:rPr>
                <w:rFonts w:asciiTheme="minorHAnsi" w:hAnsiTheme="minorHAnsi" w:cstheme="majorBidi"/>
                <w:szCs w:val="24"/>
              </w:rPr>
              <w:t xml:space="preserve"> Moon</w:t>
            </w:r>
            <w:r w:rsidRPr="002B33CC">
              <w:rPr>
                <w:rFonts w:asciiTheme="minorHAnsi" w:hAnsiTheme="minorHAnsi" w:cstheme="majorBidi"/>
                <w:szCs w:val="24"/>
              </w:rPr>
              <w:br/>
              <w:t xml:space="preserve">Director General Servicio Central </w:t>
            </w:r>
            <w:r w:rsidRPr="002B33CC">
              <w:rPr>
                <w:rFonts w:asciiTheme="minorHAnsi" w:hAnsiTheme="minorHAnsi" w:cstheme="majorBidi"/>
                <w:szCs w:val="24"/>
              </w:rPr>
              <w:br/>
              <w:t>de Gestión de Radiocomunicaciones</w:t>
            </w:r>
          </w:p>
        </w:tc>
      </w:tr>
      <w:tr w:rsidR="0072076B" w:rsidRPr="002B33CC" w:rsidTr="00F159AB">
        <w:tc>
          <w:tcPr>
            <w:tcW w:w="4814" w:type="dxa"/>
          </w:tcPr>
          <w:p w:rsidR="0072076B" w:rsidRPr="002B33CC" w:rsidRDefault="0072076B" w:rsidP="00F159AB">
            <w:pPr>
              <w:rPr>
                <w:rFonts w:asciiTheme="minorHAnsi" w:hAnsiTheme="minorHAnsi" w:cstheme="majorBidi"/>
                <w:szCs w:val="24"/>
              </w:rPr>
            </w:pPr>
            <w:r w:rsidRPr="002B33CC">
              <w:rPr>
                <w:rFonts w:asciiTheme="minorHAnsi" w:hAnsiTheme="minorHAnsi" w:cstheme="majorBidi"/>
                <w:szCs w:val="24"/>
              </w:rPr>
              <w:t>Fecha:</w:t>
            </w:r>
          </w:p>
        </w:tc>
        <w:tc>
          <w:tcPr>
            <w:tcW w:w="4815" w:type="dxa"/>
          </w:tcPr>
          <w:p w:rsidR="0072076B" w:rsidRPr="002B33CC" w:rsidRDefault="00E11506" w:rsidP="00F159AB">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cstheme="majorBidi"/>
                <w:szCs w:val="24"/>
              </w:rPr>
            </w:pPr>
            <w:r w:rsidRPr="002B33CC">
              <w:rPr>
                <w:rFonts w:asciiTheme="minorHAnsi" w:hAnsiTheme="minorHAnsi" w:cstheme="majorBidi"/>
                <w:szCs w:val="24"/>
              </w:rPr>
              <w:t>Fecha</w:t>
            </w:r>
            <w:r w:rsidR="0072076B" w:rsidRPr="002B33CC">
              <w:rPr>
                <w:rFonts w:asciiTheme="minorHAnsi" w:hAnsiTheme="minorHAnsi" w:cstheme="majorBidi"/>
                <w:szCs w:val="24"/>
              </w:rPr>
              <w:t xml:space="preserve">: </w:t>
            </w:r>
            <w:r w:rsidR="0072076B" w:rsidRPr="002B33CC">
              <w:t>26 de septiembre de 2017</w:t>
            </w:r>
          </w:p>
        </w:tc>
      </w:tr>
      <w:tr w:rsidR="0072076B" w:rsidRPr="002B33CC" w:rsidTr="00F159AB">
        <w:tc>
          <w:tcPr>
            <w:tcW w:w="4814" w:type="dxa"/>
          </w:tcPr>
          <w:p w:rsidR="0072076B" w:rsidRPr="002B33CC" w:rsidRDefault="0072076B" w:rsidP="00F159AB">
            <w:pPr>
              <w:rPr>
                <w:rFonts w:asciiTheme="minorHAnsi" w:hAnsiTheme="minorHAnsi" w:cstheme="majorBidi"/>
                <w:szCs w:val="24"/>
              </w:rPr>
            </w:pPr>
            <w:r w:rsidRPr="002B33CC">
              <w:rPr>
                <w:rFonts w:asciiTheme="minorHAnsi" w:hAnsiTheme="minorHAnsi" w:cstheme="majorBidi"/>
                <w:szCs w:val="24"/>
              </w:rPr>
              <w:t>Lugar:</w:t>
            </w:r>
          </w:p>
        </w:tc>
        <w:tc>
          <w:tcPr>
            <w:tcW w:w="4815" w:type="dxa"/>
          </w:tcPr>
          <w:p w:rsidR="0072076B" w:rsidRPr="002B33CC" w:rsidRDefault="00E11506" w:rsidP="00F159AB">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cstheme="majorBidi"/>
                <w:szCs w:val="24"/>
              </w:rPr>
            </w:pPr>
            <w:r w:rsidRPr="002B33CC">
              <w:rPr>
                <w:rFonts w:asciiTheme="minorHAnsi" w:hAnsiTheme="minorHAnsi" w:cstheme="majorBidi"/>
                <w:szCs w:val="24"/>
              </w:rPr>
              <w:t>Lugar</w:t>
            </w:r>
            <w:r w:rsidR="0072076B" w:rsidRPr="002B33CC">
              <w:rPr>
                <w:rFonts w:asciiTheme="minorHAnsi" w:hAnsiTheme="minorHAnsi" w:cstheme="majorBidi"/>
                <w:szCs w:val="24"/>
              </w:rPr>
              <w:t xml:space="preserve">: </w:t>
            </w:r>
            <w:proofErr w:type="spellStart"/>
            <w:r w:rsidR="0072076B" w:rsidRPr="002B33CC">
              <w:rPr>
                <w:rFonts w:asciiTheme="minorHAnsi" w:hAnsiTheme="minorHAnsi" w:cstheme="majorBidi"/>
                <w:szCs w:val="24"/>
              </w:rPr>
              <w:t>Busán</w:t>
            </w:r>
            <w:proofErr w:type="spellEnd"/>
          </w:p>
        </w:tc>
      </w:tr>
    </w:tbl>
    <w:p w:rsidR="00C913EF" w:rsidRPr="002B33CC" w:rsidRDefault="00C913EF" w:rsidP="00195D14">
      <w:r w:rsidRPr="002B33CC">
        <w:br w:type="page"/>
      </w:r>
    </w:p>
    <w:p w:rsidR="00DE41DF" w:rsidRPr="002B33CC" w:rsidRDefault="00DE41DF" w:rsidP="00C12B9D">
      <w:pPr>
        <w:pStyle w:val="Headingb"/>
        <w:ind w:left="0" w:firstLine="0"/>
      </w:pPr>
      <w:r w:rsidRPr="002B33CC">
        <w:lastRenderedPageBreak/>
        <w:t xml:space="preserve">Anexo 1: </w:t>
      </w:r>
      <w:r w:rsidR="00E36FB6" w:rsidRPr="002B33CC">
        <w:t xml:space="preserve">Procedimiento </w:t>
      </w:r>
      <w:r w:rsidRPr="002B33CC">
        <w:t>relativo a la notificación y el tratamiento de casos de interferencia perjudicial (prioridad 1</w:t>
      </w:r>
      <w:r w:rsidR="00E36FB6" w:rsidRPr="002B33CC">
        <w:t xml:space="preserve"> y 2</w:t>
      </w:r>
      <w:r w:rsidRPr="002B33CC">
        <w:t>)</w:t>
      </w:r>
    </w:p>
    <w:p w:rsidR="00DE41DF" w:rsidRPr="002B33CC" w:rsidRDefault="00DE41DF" w:rsidP="00C12B9D">
      <w:r w:rsidRPr="002B33CC">
        <w:t>Para la notificación y el tratamiento de casos de interferencia perjudicial, los datos relativos a dicha interferencia se facilitarán utilizando la información y los procedimientos contemplados en el Informe UIT-R SM.2181</w:t>
      </w:r>
      <w:r w:rsidRPr="002B33CC">
        <w:rPr>
          <w:position w:val="6"/>
          <w:sz w:val="18"/>
        </w:rPr>
        <w:footnoteReference w:customMarkFollows="1" w:id="3"/>
        <w:t>*</w:t>
      </w:r>
      <w:r w:rsidR="00C12B9D" w:rsidRPr="002B33CC">
        <w:t xml:space="preserve"> </w:t>
      </w:r>
      <w:r w:rsidRPr="002B33CC">
        <w:t xml:space="preserve">sobre la Utilización del Apéndice 10 del Reglamento de Radiocomunicaciones, incluida la </w:t>
      </w:r>
      <w:r w:rsidR="00C12B9D" w:rsidRPr="002B33CC">
        <w:t>información de geolocalización.</w:t>
      </w:r>
    </w:p>
    <w:p w:rsidR="00DE41DF" w:rsidRPr="002B33CC" w:rsidRDefault="00DE41DF" w:rsidP="001D3A2F">
      <w:pPr>
        <w:rPr>
          <w:rFonts w:cs="Calibri"/>
        </w:rPr>
      </w:pPr>
      <w:r w:rsidRPr="002B33CC">
        <w:rPr>
          <w:rFonts w:cs="Calibri"/>
        </w:rPr>
        <w:br w:type="page"/>
      </w:r>
    </w:p>
    <w:p w:rsidR="00DE41DF" w:rsidRPr="002B33CC" w:rsidRDefault="00DE41DF" w:rsidP="00877A20">
      <w:pPr>
        <w:pStyle w:val="Headingb"/>
        <w:ind w:left="0" w:firstLine="0"/>
      </w:pPr>
      <w:r w:rsidRPr="002B33CC">
        <w:lastRenderedPageBreak/>
        <w:t xml:space="preserve">Anexo 2: </w:t>
      </w:r>
      <w:r w:rsidR="001A46D0" w:rsidRPr="002B33CC">
        <w:t>Lista de contactos</w:t>
      </w:r>
    </w:p>
    <w:p w:rsidR="001A46D0" w:rsidRPr="002B33CC" w:rsidRDefault="001A46D0" w:rsidP="001D3A2F">
      <w:pPr>
        <w:pStyle w:val="Heading1"/>
        <w:spacing w:after="100" w:afterAutospacing="1"/>
      </w:pPr>
      <w:r w:rsidRPr="002B33CC">
        <w:t>1</w:t>
      </w:r>
      <w:r w:rsidRPr="002B33CC">
        <w:tab/>
        <w:t>Unión Internacional de Telecomunicaciones (UIT)</w:t>
      </w:r>
    </w:p>
    <w:tbl>
      <w:tblPr>
        <w:tblW w:w="8931"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95"/>
        <w:gridCol w:w="4536"/>
      </w:tblGrid>
      <w:tr w:rsidR="002B08B8" w:rsidRPr="002B33CC" w:rsidTr="003153B9">
        <w:trPr>
          <w:trHeight w:val="1428"/>
          <w:jc w:val="center"/>
        </w:trPr>
        <w:tc>
          <w:tcPr>
            <w:tcW w:w="4395" w:type="dxa"/>
            <w:tcBorders>
              <w:top w:val="single" w:sz="2" w:space="0" w:color="000000"/>
              <w:bottom w:val="single" w:sz="2" w:space="0" w:color="000000"/>
              <w:right w:val="single" w:sz="2" w:space="0" w:color="000000"/>
            </w:tcBorders>
          </w:tcPr>
          <w:p w:rsidR="002B08B8" w:rsidRPr="002B33CC" w:rsidRDefault="002B08B8" w:rsidP="001D3A2F">
            <w:pPr>
              <w:pStyle w:val="Tabletext"/>
              <w:rPr>
                <w:rFonts w:eastAsiaTheme="minorEastAsia" w:cs="Calibri"/>
                <w:szCs w:val="22"/>
                <w:lang w:eastAsia="zh-CN"/>
              </w:rPr>
            </w:pPr>
            <w:r w:rsidRPr="002B33CC">
              <w:rPr>
                <w:rFonts w:eastAsiaTheme="minorEastAsia"/>
              </w:rPr>
              <w:t>UIT</w:t>
            </w:r>
          </w:p>
          <w:p w:rsidR="002B08B8" w:rsidRPr="002B33CC" w:rsidRDefault="002B08B8" w:rsidP="00877A20">
            <w:pPr>
              <w:pStyle w:val="Tabletext"/>
              <w:rPr>
                <w:rFonts w:cs="ÇÑÄÄ¹ÙÅÁ"/>
                <w:lang w:eastAsia="ko-KR"/>
              </w:rPr>
            </w:pPr>
            <w:r w:rsidRPr="002B33CC">
              <w:t>Oficina de Radiocomunicaciones</w:t>
            </w:r>
            <w:r w:rsidR="00877A20" w:rsidRPr="002B33CC">
              <w:br/>
            </w:r>
            <w:r w:rsidRPr="002B33CC">
              <w:rPr>
                <w:rFonts w:cs="Calibri"/>
                <w:szCs w:val="22"/>
              </w:rPr>
              <w:t>CH-1211 Ginebra 20</w:t>
            </w:r>
            <w:r w:rsidR="00877A20" w:rsidRPr="002B33CC">
              <w:rPr>
                <w:rFonts w:cs="Calibri"/>
                <w:szCs w:val="22"/>
              </w:rPr>
              <w:br/>
            </w:r>
            <w:r w:rsidRPr="002B33CC">
              <w:t>Suiza</w:t>
            </w:r>
          </w:p>
        </w:tc>
        <w:tc>
          <w:tcPr>
            <w:tcW w:w="4536" w:type="dxa"/>
            <w:tcBorders>
              <w:top w:val="single" w:sz="2" w:space="0" w:color="000000"/>
              <w:left w:val="single" w:sz="2" w:space="0" w:color="000000"/>
              <w:bottom w:val="single" w:sz="2" w:space="0" w:color="000000"/>
            </w:tcBorders>
          </w:tcPr>
          <w:p w:rsidR="002B08B8" w:rsidRPr="002B33CC" w:rsidRDefault="002B08B8" w:rsidP="00611915">
            <w:pPr>
              <w:pStyle w:val="Tabletext"/>
              <w:tabs>
                <w:tab w:val="left" w:pos="1170"/>
              </w:tabs>
              <w:rPr>
                <w:rFonts w:cs="Calibri"/>
                <w:szCs w:val="22"/>
              </w:rPr>
            </w:pPr>
            <w:r w:rsidRPr="002B33CC">
              <w:rPr>
                <w:rFonts w:eastAsiaTheme="minorEastAsia" w:cs="Calibri"/>
                <w:szCs w:val="22"/>
                <w:lang w:eastAsia="zh-CN"/>
              </w:rPr>
              <w:t>Correo-e</w:t>
            </w:r>
            <w:r w:rsidRPr="002B33CC">
              <w:rPr>
                <w:rFonts w:cs="Calibri"/>
                <w:szCs w:val="22"/>
              </w:rPr>
              <w:t>:</w:t>
            </w:r>
            <w:r w:rsidR="00611915" w:rsidRPr="002B33CC">
              <w:rPr>
                <w:rFonts w:eastAsiaTheme="minorEastAsia" w:cs="Calibri"/>
                <w:szCs w:val="22"/>
                <w:lang w:eastAsia="zh-CN"/>
              </w:rPr>
              <w:tab/>
            </w:r>
            <w:hyperlink r:id="rId15" w:history="1">
              <w:r w:rsidR="00611915" w:rsidRPr="002B33CC">
                <w:rPr>
                  <w:rStyle w:val="Hyperlink"/>
                  <w:rFonts w:cs="Calibri"/>
                  <w:szCs w:val="22"/>
                </w:rPr>
                <w:t>Space.monitoring@itu.int</w:t>
              </w:r>
            </w:hyperlink>
          </w:p>
          <w:p w:rsidR="002B08B8" w:rsidRPr="002B33CC" w:rsidRDefault="00611915" w:rsidP="00611915">
            <w:pPr>
              <w:pStyle w:val="Tabletext"/>
              <w:tabs>
                <w:tab w:val="left" w:pos="1170"/>
              </w:tabs>
              <w:rPr>
                <w:rFonts w:cs="Calibri"/>
                <w:szCs w:val="22"/>
              </w:rPr>
            </w:pPr>
            <w:r w:rsidRPr="002B33CC">
              <w:tab/>
            </w:r>
            <w:hyperlink r:id="rId16" w:history="1">
              <w:r w:rsidR="002B08B8" w:rsidRPr="002B33CC">
                <w:rPr>
                  <w:rStyle w:val="Hyperlink"/>
                  <w:rFonts w:cs="Calibri"/>
                  <w:szCs w:val="22"/>
                </w:rPr>
                <w:t>brmail@itu.int</w:t>
              </w:r>
            </w:hyperlink>
          </w:p>
          <w:p w:rsidR="002B08B8" w:rsidRPr="002B33CC" w:rsidRDefault="002B08B8" w:rsidP="00611915">
            <w:pPr>
              <w:pStyle w:val="Tabletext"/>
              <w:tabs>
                <w:tab w:val="left" w:pos="1170"/>
              </w:tabs>
              <w:rPr>
                <w:rFonts w:cs="ÇÑÄÄ¹ÙÅÁ"/>
                <w:lang w:eastAsia="ko-KR"/>
              </w:rPr>
            </w:pPr>
            <w:r w:rsidRPr="002B33CC">
              <w:rPr>
                <w:rFonts w:eastAsiaTheme="minorEastAsia" w:cs="Calibri"/>
                <w:szCs w:val="22"/>
                <w:lang w:eastAsia="zh-CN"/>
              </w:rPr>
              <w:t>Tel</w:t>
            </w:r>
            <w:r w:rsidR="00611915" w:rsidRPr="002B33CC">
              <w:rPr>
                <w:rFonts w:eastAsiaTheme="minorEastAsia" w:cs="Calibri"/>
                <w:szCs w:val="22"/>
                <w:lang w:eastAsia="zh-CN"/>
              </w:rPr>
              <w:t>éfono</w:t>
            </w:r>
            <w:r w:rsidRPr="002B33CC">
              <w:rPr>
                <w:rFonts w:cs="Calibri"/>
                <w:szCs w:val="22"/>
              </w:rPr>
              <w:t>:</w:t>
            </w:r>
            <w:r w:rsidR="00611915" w:rsidRPr="002B33CC">
              <w:rPr>
                <w:rFonts w:eastAsiaTheme="minorEastAsia" w:cs="Calibri"/>
                <w:szCs w:val="22"/>
                <w:lang w:eastAsia="zh-CN"/>
              </w:rPr>
              <w:tab/>
            </w:r>
            <w:r w:rsidRPr="002B33CC">
              <w:rPr>
                <w:rFonts w:cs="Calibri"/>
                <w:szCs w:val="22"/>
              </w:rPr>
              <w:t>+41 22 730 5536</w:t>
            </w:r>
          </w:p>
        </w:tc>
      </w:tr>
    </w:tbl>
    <w:p w:rsidR="008C278E" w:rsidRPr="002B33CC" w:rsidRDefault="008C278E" w:rsidP="001D3A2F">
      <w:pPr>
        <w:pStyle w:val="Heading1"/>
        <w:spacing w:after="100" w:afterAutospacing="1"/>
      </w:pPr>
      <w:r w:rsidRPr="002B33CC">
        <w:t>2</w:t>
      </w:r>
      <w:r w:rsidRPr="002B33CC">
        <w:tab/>
      </w:r>
      <w:r w:rsidR="00C739FF" w:rsidRPr="002B33CC">
        <w:t>Servicio Central de Gestión de Radiocomunicaciones</w:t>
      </w:r>
    </w:p>
    <w:tbl>
      <w:tblPr>
        <w:tblW w:w="8931"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95"/>
        <w:gridCol w:w="4536"/>
      </w:tblGrid>
      <w:tr w:rsidR="0028259D" w:rsidRPr="002B33CC" w:rsidTr="003153B9">
        <w:trPr>
          <w:trHeight w:val="1428"/>
          <w:jc w:val="center"/>
        </w:trPr>
        <w:tc>
          <w:tcPr>
            <w:tcW w:w="4395" w:type="dxa"/>
            <w:tcBorders>
              <w:top w:val="single" w:sz="2" w:space="0" w:color="000000"/>
              <w:bottom w:val="single" w:sz="2" w:space="0" w:color="000000"/>
              <w:right w:val="single" w:sz="2" w:space="0" w:color="000000"/>
            </w:tcBorders>
          </w:tcPr>
          <w:p w:rsidR="000F24DC" w:rsidRPr="002B33CC" w:rsidRDefault="00E259B1" w:rsidP="00E259B1">
            <w:pPr>
              <w:pStyle w:val="Tabletext"/>
              <w:rPr>
                <w:rFonts w:eastAsiaTheme="minorEastAsia"/>
              </w:rPr>
            </w:pPr>
            <w:r w:rsidRPr="002B33CC">
              <w:rPr>
                <w:rFonts w:eastAsiaTheme="minorEastAsia"/>
              </w:rPr>
              <w:t>Servicio Central de Gestión de Radiocomunicaciones</w:t>
            </w:r>
          </w:p>
          <w:p w:rsidR="000F24DC" w:rsidRPr="002B33CC" w:rsidRDefault="00170D45" w:rsidP="00E259B1">
            <w:pPr>
              <w:pStyle w:val="Tabletext"/>
              <w:rPr>
                <w:rFonts w:eastAsiaTheme="minorEastAsia"/>
              </w:rPr>
            </w:pPr>
            <w:r w:rsidRPr="002B33CC">
              <w:rPr>
                <w:rFonts w:eastAsiaTheme="minorEastAsia"/>
              </w:rPr>
              <w:t xml:space="preserve">Radio </w:t>
            </w:r>
            <w:proofErr w:type="spellStart"/>
            <w:r w:rsidRPr="002B33CC">
              <w:rPr>
                <w:rFonts w:eastAsiaTheme="minorEastAsia"/>
              </w:rPr>
              <w:t>Operation</w:t>
            </w:r>
            <w:proofErr w:type="spellEnd"/>
            <w:r w:rsidRPr="002B33CC">
              <w:rPr>
                <w:rFonts w:eastAsiaTheme="minorEastAsia"/>
              </w:rPr>
              <w:t xml:space="preserve"> Division</w:t>
            </w:r>
          </w:p>
          <w:p w:rsidR="00170D45" w:rsidRPr="002B33CC" w:rsidRDefault="00170D45" w:rsidP="00E259B1">
            <w:pPr>
              <w:pStyle w:val="Tabletext"/>
              <w:rPr>
                <w:rFonts w:cs="ÇÑÄÄ¹ÙÅÁ"/>
                <w:lang w:eastAsia="ko-KR"/>
              </w:rPr>
            </w:pPr>
            <w:proofErr w:type="spellStart"/>
            <w:r w:rsidRPr="002B33CC">
              <w:rPr>
                <w:rFonts w:cs="ÇÑÄÄ¹ÙÅÁ"/>
                <w:lang w:eastAsia="ko-KR"/>
              </w:rPr>
              <w:t>Songpa-daero</w:t>
            </w:r>
            <w:proofErr w:type="spellEnd"/>
            <w:r w:rsidRPr="002B33CC">
              <w:rPr>
                <w:rFonts w:cs="ÇÑÄÄ¹ÙÅÁ"/>
                <w:lang w:eastAsia="ko-KR"/>
              </w:rPr>
              <w:t xml:space="preserve"> 234, </w:t>
            </w:r>
            <w:proofErr w:type="spellStart"/>
            <w:r w:rsidRPr="002B33CC">
              <w:rPr>
                <w:rFonts w:cs="ÇÑÄÄ¹ÙÅÁ"/>
                <w:lang w:eastAsia="ko-KR"/>
              </w:rPr>
              <w:t>Songpa-gu</w:t>
            </w:r>
            <w:proofErr w:type="spellEnd"/>
            <w:r w:rsidR="00E259B1" w:rsidRPr="002B33CC">
              <w:rPr>
                <w:rFonts w:cs="ÇÑÄÄ¹ÙÅÁ"/>
                <w:lang w:eastAsia="ko-KR"/>
              </w:rPr>
              <w:br/>
            </w:r>
            <w:r w:rsidR="00877A20" w:rsidRPr="002B33CC">
              <w:rPr>
                <w:rFonts w:cs="ÇÑÄÄ¹ÙÅÁ"/>
                <w:lang w:eastAsia="ko-KR"/>
              </w:rPr>
              <w:t>Seú</w:t>
            </w:r>
            <w:r w:rsidRPr="002B33CC">
              <w:rPr>
                <w:rFonts w:cs="ÇÑÄÄ¹ÙÅÁ"/>
                <w:lang w:eastAsia="ko-KR"/>
              </w:rPr>
              <w:t>l</w:t>
            </w:r>
            <w:r w:rsidR="00E259B1" w:rsidRPr="002B33CC">
              <w:rPr>
                <w:rFonts w:cs="ÇÑÄÄ¹ÙÅÁ"/>
                <w:lang w:eastAsia="ko-KR"/>
              </w:rPr>
              <w:br/>
            </w:r>
            <w:r w:rsidR="00877A20" w:rsidRPr="002B33CC">
              <w:rPr>
                <w:rFonts w:cs="ÇÑÄÄ¹ÙÅÁ"/>
                <w:lang w:eastAsia="ko-KR"/>
              </w:rPr>
              <w:t>República de Corea</w:t>
            </w:r>
          </w:p>
        </w:tc>
        <w:tc>
          <w:tcPr>
            <w:tcW w:w="4536" w:type="dxa"/>
            <w:tcBorders>
              <w:top w:val="single" w:sz="2" w:space="0" w:color="000000"/>
              <w:left w:val="single" w:sz="2" w:space="0" w:color="000000"/>
              <w:bottom w:val="single" w:sz="2" w:space="0" w:color="000000"/>
            </w:tcBorders>
          </w:tcPr>
          <w:p w:rsidR="0028259D" w:rsidRPr="002B33CC" w:rsidRDefault="0028259D" w:rsidP="00BB7A04">
            <w:pPr>
              <w:pStyle w:val="Tabletext"/>
              <w:tabs>
                <w:tab w:val="left" w:pos="1147"/>
              </w:tabs>
              <w:rPr>
                <w:rFonts w:cs="Calibri"/>
                <w:szCs w:val="22"/>
              </w:rPr>
            </w:pPr>
            <w:r w:rsidRPr="002B33CC">
              <w:rPr>
                <w:rFonts w:eastAsiaTheme="minorEastAsia" w:cs="Calibri"/>
                <w:szCs w:val="22"/>
                <w:lang w:eastAsia="zh-CN"/>
              </w:rPr>
              <w:t>Correo-e</w:t>
            </w:r>
            <w:r w:rsidRPr="002B33CC">
              <w:rPr>
                <w:rFonts w:cs="Calibri"/>
                <w:szCs w:val="22"/>
              </w:rPr>
              <w:t>:</w:t>
            </w:r>
            <w:r w:rsidR="00BB7A04" w:rsidRPr="002B33CC">
              <w:rPr>
                <w:rFonts w:eastAsiaTheme="minorEastAsia" w:cs="Calibri"/>
                <w:szCs w:val="22"/>
                <w:lang w:eastAsia="zh-CN"/>
              </w:rPr>
              <w:tab/>
            </w:r>
            <w:hyperlink r:id="rId17" w:history="1">
              <w:r w:rsidR="00170D45" w:rsidRPr="002B33CC">
                <w:rPr>
                  <w:rStyle w:val="Hyperlink"/>
                  <w:rFonts w:eastAsia="Gulim" w:cs="Gulim"/>
                  <w:szCs w:val="24"/>
                </w:rPr>
                <w:t>theedge@korea.kr</w:t>
              </w:r>
            </w:hyperlink>
          </w:p>
          <w:p w:rsidR="0028259D" w:rsidRPr="002B33CC" w:rsidRDefault="00611915" w:rsidP="00BB7A04">
            <w:pPr>
              <w:pStyle w:val="Tabletext"/>
              <w:tabs>
                <w:tab w:val="left" w:pos="1170"/>
              </w:tabs>
              <w:rPr>
                <w:rFonts w:cs="ÇÑÄÄ¹ÙÅÁ"/>
                <w:lang w:eastAsia="ko-KR"/>
              </w:rPr>
            </w:pPr>
            <w:r w:rsidRPr="002B33CC">
              <w:rPr>
                <w:rFonts w:eastAsiaTheme="minorEastAsia" w:cs="Calibri"/>
                <w:szCs w:val="22"/>
                <w:lang w:eastAsia="zh-CN"/>
              </w:rPr>
              <w:t>Teléfono</w:t>
            </w:r>
            <w:r w:rsidR="0028259D" w:rsidRPr="002B33CC">
              <w:rPr>
                <w:rFonts w:cs="Calibri"/>
                <w:szCs w:val="22"/>
              </w:rPr>
              <w:t>:</w:t>
            </w:r>
            <w:r w:rsidR="00BB7A04" w:rsidRPr="002B33CC">
              <w:rPr>
                <w:rFonts w:eastAsiaTheme="minorEastAsia" w:cs="Calibri"/>
                <w:szCs w:val="22"/>
                <w:lang w:eastAsia="zh-CN"/>
              </w:rPr>
              <w:tab/>
            </w:r>
            <w:r w:rsidR="00170D45" w:rsidRPr="002B33CC">
              <w:rPr>
                <w:rFonts w:eastAsia="Gulim" w:cs="Gulim"/>
                <w:color w:val="000000"/>
                <w:szCs w:val="24"/>
              </w:rPr>
              <w:t>+82 2 3400 2467</w:t>
            </w:r>
          </w:p>
        </w:tc>
      </w:tr>
    </w:tbl>
    <w:p w:rsidR="0028259D" w:rsidRPr="002B33CC" w:rsidRDefault="0028259D" w:rsidP="001D3A2F">
      <w:pPr>
        <w:pStyle w:val="Heading1"/>
        <w:spacing w:after="100" w:afterAutospacing="1"/>
      </w:pPr>
      <w:r w:rsidRPr="002B33CC">
        <w:t>3</w:t>
      </w:r>
      <w:r w:rsidRPr="002B33CC">
        <w:tab/>
      </w:r>
      <w:r w:rsidR="00C739FF" w:rsidRPr="002B33CC">
        <w:t>La estación</w:t>
      </w:r>
    </w:p>
    <w:tbl>
      <w:tblPr>
        <w:tblW w:w="8931"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95"/>
        <w:gridCol w:w="4536"/>
      </w:tblGrid>
      <w:tr w:rsidR="0028259D" w:rsidRPr="002B33CC" w:rsidTr="003153B9">
        <w:trPr>
          <w:trHeight w:val="1428"/>
          <w:jc w:val="center"/>
        </w:trPr>
        <w:tc>
          <w:tcPr>
            <w:tcW w:w="4395" w:type="dxa"/>
            <w:tcBorders>
              <w:top w:val="single" w:sz="2" w:space="0" w:color="000000"/>
              <w:bottom w:val="single" w:sz="2" w:space="0" w:color="000000"/>
              <w:right w:val="single" w:sz="2" w:space="0" w:color="000000"/>
            </w:tcBorders>
          </w:tcPr>
          <w:p w:rsidR="000F24DC" w:rsidRPr="00EB045B" w:rsidRDefault="00194DB3" w:rsidP="00266C73">
            <w:pPr>
              <w:pStyle w:val="Tabletext"/>
              <w:rPr>
                <w:rFonts w:eastAsiaTheme="minorEastAsia"/>
                <w:lang w:val="fr-CH"/>
              </w:rPr>
            </w:pPr>
            <w:r w:rsidRPr="00EB045B">
              <w:rPr>
                <w:rFonts w:eastAsiaTheme="minorEastAsia"/>
                <w:lang w:val="fr-CH"/>
              </w:rPr>
              <w:t>Satellite Radio Monitoring Center</w:t>
            </w:r>
          </w:p>
          <w:p w:rsidR="000F24DC" w:rsidRPr="00EB045B" w:rsidRDefault="00DC72C7" w:rsidP="00266C73">
            <w:pPr>
              <w:pStyle w:val="Tabletext"/>
              <w:rPr>
                <w:rFonts w:eastAsiaTheme="minorEastAsia"/>
                <w:lang w:val="fr-CH"/>
              </w:rPr>
            </w:pPr>
            <w:r w:rsidRPr="00EB045B">
              <w:rPr>
                <w:rFonts w:eastAsiaTheme="minorEastAsia"/>
                <w:lang w:val="fr-CH"/>
              </w:rPr>
              <w:t>Satellite Management Division</w:t>
            </w:r>
          </w:p>
          <w:p w:rsidR="0028259D" w:rsidRPr="002B33CC" w:rsidRDefault="00194DB3" w:rsidP="00266C73">
            <w:pPr>
              <w:pStyle w:val="Tabletext"/>
              <w:rPr>
                <w:rFonts w:cs="ÇÑÄÄ¹ÙÅÁ"/>
                <w:lang w:eastAsia="ko-KR"/>
              </w:rPr>
            </w:pPr>
            <w:r w:rsidRPr="002B33CC">
              <w:rPr>
                <w:rFonts w:eastAsiaTheme="minorEastAsia"/>
              </w:rPr>
              <w:t xml:space="preserve">100, </w:t>
            </w:r>
            <w:proofErr w:type="spellStart"/>
            <w:r w:rsidRPr="002B33CC">
              <w:rPr>
                <w:rFonts w:eastAsiaTheme="minorEastAsia"/>
              </w:rPr>
              <w:t>Sinam</w:t>
            </w:r>
            <w:proofErr w:type="spellEnd"/>
            <w:r w:rsidRPr="002B33CC">
              <w:rPr>
                <w:rFonts w:eastAsiaTheme="minorEastAsia"/>
              </w:rPr>
              <w:t xml:space="preserve">-ro, </w:t>
            </w:r>
            <w:proofErr w:type="spellStart"/>
            <w:r w:rsidRPr="002B33CC">
              <w:rPr>
                <w:rFonts w:eastAsiaTheme="minorEastAsia"/>
              </w:rPr>
              <w:t>Seolseong-myeon</w:t>
            </w:r>
            <w:proofErr w:type="spellEnd"/>
            <w:r w:rsidR="00266C73" w:rsidRPr="002B33CC">
              <w:rPr>
                <w:rFonts w:eastAsiaTheme="minorEastAsia"/>
              </w:rPr>
              <w:br/>
            </w:r>
            <w:proofErr w:type="spellStart"/>
            <w:r w:rsidRPr="002B33CC">
              <w:rPr>
                <w:rFonts w:eastAsiaTheme="minorEastAsia"/>
              </w:rPr>
              <w:t>Icheon</w:t>
            </w:r>
            <w:proofErr w:type="spellEnd"/>
            <w:r w:rsidRPr="002B33CC">
              <w:rPr>
                <w:rFonts w:eastAsiaTheme="minorEastAsia"/>
              </w:rPr>
              <w:t xml:space="preserve">-si, </w:t>
            </w:r>
            <w:proofErr w:type="spellStart"/>
            <w:r w:rsidRPr="002B33CC">
              <w:rPr>
                <w:rFonts w:eastAsiaTheme="minorEastAsia"/>
              </w:rPr>
              <w:t>Gyeonggi</w:t>
            </w:r>
            <w:proofErr w:type="spellEnd"/>
            <w:r w:rsidRPr="002B33CC">
              <w:rPr>
                <w:rFonts w:eastAsiaTheme="minorEastAsia"/>
              </w:rPr>
              <w:t>-do</w:t>
            </w:r>
            <w:r w:rsidR="00266C73" w:rsidRPr="002B33CC">
              <w:rPr>
                <w:rFonts w:eastAsiaTheme="minorEastAsia"/>
              </w:rPr>
              <w:br/>
            </w:r>
            <w:r w:rsidR="00DC72C7" w:rsidRPr="002B33CC">
              <w:rPr>
                <w:rFonts w:cs="ÇÑÄÄ¹ÙÅÁ"/>
                <w:lang w:eastAsia="ko-KR"/>
              </w:rPr>
              <w:t>República de Corea</w:t>
            </w:r>
          </w:p>
        </w:tc>
        <w:tc>
          <w:tcPr>
            <w:tcW w:w="4536" w:type="dxa"/>
            <w:tcBorders>
              <w:top w:val="single" w:sz="2" w:space="0" w:color="000000"/>
              <w:left w:val="single" w:sz="2" w:space="0" w:color="000000"/>
              <w:bottom w:val="single" w:sz="2" w:space="0" w:color="000000"/>
            </w:tcBorders>
          </w:tcPr>
          <w:p w:rsidR="0028259D" w:rsidRPr="002B33CC" w:rsidRDefault="0028259D" w:rsidP="006C714D">
            <w:pPr>
              <w:pStyle w:val="Tabletext"/>
              <w:tabs>
                <w:tab w:val="left" w:pos="1170"/>
              </w:tabs>
              <w:rPr>
                <w:rFonts w:cs="Calibri"/>
                <w:szCs w:val="22"/>
              </w:rPr>
            </w:pPr>
            <w:r w:rsidRPr="002B33CC">
              <w:rPr>
                <w:rFonts w:eastAsiaTheme="minorEastAsia" w:cs="Calibri"/>
                <w:szCs w:val="22"/>
                <w:lang w:eastAsia="zh-CN"/>
              </w:rPr>
              <w:t>Correo-e</w:t>
            </w:r>
            <w:r w:rsidRPr="002B33CC">
              <w:rPr>
                <w:rFonts w:cs="Calibri"/>
                <w:szCs w:val="22"/>
              </w:rPr>
              <w:t>:</w:t>
            </w:r>
            <w:r w:rsidR="006C714D" w:rsidRPr="002B33CC">
              <w:rPr>
                <w:rFonts w:eastAsiaTheme="minorEastAsia" w:cs="Calibri"/>
                <w:szCs w:val="22"/>
                <w:lang w:eastAsia="zh-CN"/>
              </w:rPr>
              <w:tab/>
            </w:r>
            <w:hyperlink r:id="rId18" w:history="1">
              <w:r w:rsidR="00194DB3" w:rsidRPr="002B33CC">
                <w:rPr>
                  <w:rStyle w:val="Hyperlink"/>
                  <w:rFonts w:eastAsia="Gulim" w:cs="Gulim"/>
                  <w:szCs w:val="24"/>
                </w:rPr>
                <w:t>ohs0301@korea.kr</w:t>
              </w:r>
            </w:hyperlink>
          </w:p>
          <w:p w:rsidR="0028259D" w:rsidRPr="002B33CC" w:rsidRDefault="00611915" w:rsidP="006C714D">
            <w:pPr>
              <w:pStyle w:val="Tabletext"/>
              <w:tabs>
                <w:tab w:val="left" w:pos="1170"/>
              </w:tabs>
              <w:rPr>
                <w:rFonts w:cs="ÇÑÄÄ¹ÙÅÁ"/>
                <w:lang w:eastAsia="ko-KR"/>
              </w:rPr>
            </w:pPr>
            <w:r w:rsidRPr="002B33CC">
              <w:rPr>
                <w:rFonts w:eastAsiaTheme="minorEastAsia" w:cs="Calibri"/>
                <w:szCs w:val="22"/>
                <w:lang w:eastAsia="zh-CN"/>
              </w:rPr>
              <w:t>Teléfono</w:t>
            </w:r>
            <w:r w:rsidR="0028259D" w:rsidRPr="002B33CC">
              <w:rPr>
                <w:rFonts w:cs="Calibri"/>
                <w:szCs w:val="22"/>
              </w:rPr>
              <w:t>:</w:t>
            </w:r>
            <w:r w:rsidR="006C714D" w:rsidRPr="002B33CC">
              <w:rPr>
                <w:rFonts w:eastAsiaTheme="minorEastAsia" w:cs="Calibri"/>
                <w:szCs w:val="22"/>
                <w:lang w:eastAsia="zh-CN"/>
              </w:rPr>
              <w:tab/>
            </w:r>
            <w:r w:rsidR="00194DB3" w:rsidRPr="002B33CC">
              <w:rPr>
                <w:rFonts w:eastAsia="Gulim" w:cs="Gulim"/>
                <w:color w:val="000000"/>
                <w:szCs w:val="24"/>
              </w:rPr>
              <w:t>+82 31 644 5942</w:t>
            </w:r>
          </w:p>
        </w:tc>
      </w:tr>
    </w:tbl>
    <w:p w:rsidR="0028259D" w:rsidRPr="002B33CC" w:rsidRDefault="0028259D" w:rsidP="001D3A2F">
      <w:pPr>
        <w:pStyle w:val="Reasons"/>
      </w:pPr>
    </w:p>
    <w:p w:rsidR="0028259D" w:rsidRPr="002B33CC" w:rsidRDefault="0028259D" w:rsidP="001D3A2F">
      <w:pPr>
        <w:jc w:val="center"/>
      </w:pPr>
      <w:r w:rsidRPr="002B33CC">
        <w:t>______________</w:t>
      </w:r>
    </w:p>
    <w:sectPr w:rsidR="0028259D" w:rsidRPr="002B33CC"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B9" w:rsidRDefault="003153B9">
      <w:r>
        <w:separator/>
      </w:r>
    </w:p>
  </w:endnote>
  <w:endnote w:type="continuationSeparator" w:id="0">
    <w:p w:rsidR="003153B9" w:rsidRDefault="0031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ÇÑÄÄ¹ÙÅÁ">
    <w:altName w:val="Times New Roman"/>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5BD" w:rsidRPr="002F6A7F" w:rsidRDefault="001E15BD" w:rsidP="001E15BD">
    <w:pPr>
      <w:pStyle w:val="Footer"/>
      <w:rPr>
        <w:lang w:val="fr-CH"/>
      </w:rPr>
    </w:pPr>
    <w:r>
      <w:fldChar w:fldCharType="begin"/>
    </w:r>
    <w:r w:rsidRPr="002F6A7F">
      <w:rPr>
        <w:lang w:val="fr-CH"/>
      </w:rPr>
      <w:instrText xml:space="preserve"> FILENAME \p \* MERGEFORMAT </w:instrText>
    </w:r>
    <w:r>
      <w:fldChar w:fldCharType="separate"/>
    </w:r>
    <w:r w:rsidRPr="002F6A7F">
      <w:rPr>
        <w:lang w:val="fr-CH"/>
      </w:rPr>
      <w:t>P:\ESP\SG\CONSEIL\C18\000\059S.docx</w:t>
    </w:r>
    <w:r>
      <w:rPr>
        <w:lang w:val="en-US"/>
      </w:rPr>
      <w:fldChar w:fldCharType="end"/>
    </w:r>
    <w:r w:rsidRPr="002F6A7F">
      <w:rPr>
        <w:lang w:val="fr-CH"/>
      </w:rPr>
      <w:t xml:space="preserve"> (429748)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B9" w:rsidRDefault="003153B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B9" w:rsidRDefault="003153B9">
      <w:r>
        <w:t>____________________</w:t>
      </w:r>
    </w:p>
  </w:footnote>
  <w:footnote w:type="continuationSeparator" w:id="0">
    <w:p w:rsidR="003153B9" w:rsidRDefault="003153B9">
      <w:r>
        <w:continuationSeparator/>
      </w:r>
    </w:p>
  </w:footnote>
  <w:footnote w:id="1">
    <w:p w:rsidR="003153B9" w:rsidRPr="00D26C3E" w:rsidRDefault="003153B9" w:rsidP="00D53CEE">
      <w:pPr>
        <w:pStyle w:val="FootnoteText"/>
      </w:pPr>
      <w:r>
        <w:rPr>
          <w:rStyle w:val="FootnoteReference"/>
        </w:rPr>
        <w:footnoteRef/>
      </w:r>
      <w:r>
        <w:tab/>
        <w:t xml:space="preserve">Las estaciones de comprobación técnicas </w:t>
      </w:r>
      <w:r w:rsidRPr="00D26C3E">
        <w:rPr>
          <w:color w:val="000000"/>
        </w:rPr>
        <w:t>podrán ser explotadas por una administración, o bien por una empresa pública o privada, por un servicio común de comprobación técnica establecido por dos o más países, o por una organización internacional, en virtud de una autorización concedida por la administración correspondiente</w:t>
      </w:r>
      <w:r w:rsidRPr="00D26C3E">
        <w:t xml:space="preserve"> (</w:t>
      </w:r>
      <w:r w:rsidRPr="00A15FCA">
        <w:rPr>
          <w:rFonts w:eastAsia="SimSun" w:cs="Calibri"/>
        </w:rPr>
        <w:t>número 16.2 del Reglamento de Radiocomunicaciones de la UIT</w:t>
      </w:r>
      <w:r w:rsidRPr="00D26C3E">
        <w:t>).</w:t>
      </w:r>
    </w:p>
  </w:footnote>
  <w:footnote w:id="2">
    <w:p w:rsidR="003153B9" w:rsidRPr="00052D4C" w:rsidRDefault="003153B9" w:rsidP="00D53CEE">
      <w:pPr>
        <w:pStyle w:val="FootnoteText"/>
      </w:pPr>
      <w:r w:rsidRPr="00052D4C">
        <w:rPr>
          <w:rStyle w:val="FootnoteReference"/>
        </w:rPr>
        <w:t>*</w:t>
      </w:r>
      <w:r>
        <w:tab/>
      </w:r>
      <w:r w:rsidRPr="00052D4C">
        <w:rPr>
          <w:rFonts w:cstheme="minorHAnsi"/>
        </w:rPr>
        <w:t xml:space="preserve">El Informe UIT-R SM.2181 está disponible en: </w:t>
      </w:r>
      <w:hyperlink r:id="rId1" w:history="1">
        <w:r w:rsidRPr="00492B79">
          <w:rPr>
            <w:rStyle w:val="Hyperlink"/>
            <w:rFonts w:cstheme="minorHAnsi"/>
          </w:rPr>
          <w:t>http://www.itu.int/pub/R</w:t>
        </w:r>
        <w:r w:rsidRPr="00492B79">
          <w:rPr>
            <w:rStyle w:val="Hyperlink"/>
            <w:rFonts w:cstheme="minorHAnsi"/>
          </w:rPr>
          <w:noBreakHyphen/>
          <w:t>REP</w:t>
        </w:r>
        <w:r w:rsidRPr="00492B79">
          <w:rPr>
            <w:rStyle w:val="Hyperlink"/>
            <w:rFonts w:cstheme="minorHAnsi"/>
          </w:rPr>
          <w:noBreakHyphen/>
          <w:t>SM.2181</w:t>
        </w:r>
      </w:hyperlink>
      <w:r w:rsidRPr="00052D4C">
        <w:rPr>
          <w:rFonts w:cstheme="minorHAnsi"/>
        </w:rPr>
        <w:t>.</w:t>
      </w:r>
    </w:p>
  </w:footnote>
  <w:footnote w:id="3">
    <w:p w:rsidR="003153B9" w:rsidRPr="00052D4C" w:rsidRDefault="003153B9" w:rsidP="00E36FB6">
      <w:pPr>
        <w:pStyle w:val="FootnoteText"/>
      </w:pPr>
      <w:r w:rsidRPr="00052D4C">
        <w:rPr>
          <w:rStyle w:val="FootnoteReference"/>
        </w:rPr>
        <w:t>*</w:t>
      </w:r>
      <w:r>
        <w:tab/>
      </w:r>
      <w:r w:rsidRPr="00052D4C">
        <w:rPr>
          <w:rFonts w:cstheme="minorHAnsi"/>
        </w:rPr>
        <w:t xml:space="preserve">El Informe UIT-R SM.2181 está disponible en: </w:t>
      </w:r>
      <w:hyperlink r:id="rId2" w:history="1">
        <w:r w:rsidRPr="00052D4C">
          <w:rPr>
            <w:rStyle w:val="Hyperlink"/>
            <w:rFonts w:cstheme="minorHAnsi"/>
          </w:rPr>
          <w:t>http://www.itu.int/pub/R-REP-SM.2181</w:t>
        </w:r>
      </w:hyperlink>
      <w:r w:rsidRPr="00052D4C">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B9" w:rsidRDefault="003153B9" w:rsidP="007657F0">
    <w:pPr>
      <w:pStyle w:val="Header"/>
    </w:pPr>
    <w:r>
      <w:fldChar w:fldCharType="begin"/>
    </w:r>
    <w:r>
      <w:instrText>PAGE</w:instrText>
    </w:r>
    <w:r>
      <w:fldChar w:fldCharType="separate"/>
    </w:r>
    <w:r w:rsidR="00EB045B">
      <w:rPr>
        <w:noProof/>
      </w:rPr>
      <w:t>2</w:t>
    </w:r>
    <w:r>
      <w:rPr>
        <w:noProof/>
      </w:rPr>
      <w:fldChar w:fldCharType="end"/>
    </w:r>
  </w:p>
  <w:p w:rsidR="003153B9" w:rsidRDefault="003153B9" w:rsidP="00F57DA6">
    <w:pPr>
      <w:pStyle w:val="Header"/>
    </w:pPr>
    <w:r>
      <w:t>C18/59-S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97B"/>
    <w:multiLevelType w:val="multilevel"/>
    <w:tmpl w:val="0245397B"/>
    <w:lvl w:ilvl="0">
      <w:start w:val="1"/>
      <w:numFmt w:val="upperRoman"/>
      <w:lvlText w:val="%1"/>
      <w:lvlJc w:val="left"/>
      <w:pPr>
        <w:ind w:left="720" w:hanging="360"/>
      </w:pPr>
      <w:rPr>
        <w:rFonts w:hint="eastAsia"/>
        <w:b/>
        <w:bCs/>
      </w:rPr>
    </w:lvl>
    <w:lvl w:ilvl="1">
      <w:start w:val="1"/>
      <w:numFmt w:val="decimal"/>
      <w:lvlText w:val="%2."/>
      <w:lvlJc w:val="left"/>
      <w:pPr>
        <w:ind w:left="780" w:hanging="420"/>
      </w:pPr>
      <w:rPr>
        <w:rFonts w:hint="default"/>
        <w:b/>
        <w:bCs/>
      </w:rPr>
    </w:lvl>
    <w:lvl w:ilvl="2">
      <w:start w:val="1"/>
      <w:numFmt w:val="decimal"/>
      <w:lvlText w:val="(%3)"/>
      <w:lvlJc w:val="left"/>
      <w:pPr>
        <w:ind w:left="1004" w:hanging="720"/>
      </w:pPr>
      <w:rPr>
        <w:rFonts w:hint="eastAsia"/>
        <w:b w:val="0"/>
      </w:rPr>
    </w:lvl>
    <w:lvl w:ilvl="3">
      <w:start w:val="1"/>
      <w:numFmt w:val="decimal"/>
      <w:lvlText w:val="(%4)"/>
      <w:lvlJc w:val="left"/>
      <w:pPr>
        <w:ind w:left="1080" w:hanging="720"/>
      </w:pPr>
      <w:rPr>
        <w:rFonts w:hint="eastAsia"/>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A524874"/>
    <w:multiLevelType w:val="hybridMultilevel"/>
    <w:tmpl w:val="5672E37A"/>
    <w:lvl w:ilvl="0" w:tplc="0C06BF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ED6F52"/>
    <w:multiLevelType w:val="hybridMultilevel"/>
    <w:tmpl w:val="12FA6972"/>
    <w:lvl w:ilvl="0" w:tplc="B95234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A6"/>
    <w:rsid w:val="00013D3E"/>
    <w:rsid w:val="0001744D"/>
    <w:rsid w:val="00021A5D"/>
    <w:rsid w:val="000342A4"/>
    <w:rsid w:val="00034448"/>
    <w:rsid w:val="00061401"/>
    <w:rsid w:val="000733DC"/>
    <w:rsid w:val="00093EEB"/>
    <w:rsid w:val="000A4B47"/>
    <w:rsid w:val="000A7243"/>
    <w:rsid w:val="000B0D00"/>
    <w:rsid w:val="000B7C15"/>
    <w:rsid w:val="000D1D0F"/>
    <w:rsid w:val="000D6243"/>
    <w:rsid w:val="000D7500"/>
    <w:rsid w:val="000E7210"/>
    <w:rsid w:val="000F24DC"/>
    <w:rsid w:val="000F5290"/>
    <w:rsid w:val="0010165C"/>
    <w:rsid w:val="001134A9"/>
    <w:rsid w:val="00137AC3"/>
    <w:rsid w:val="00146BFB"/>
    <w:rsid w:val="00147F2D"/>
    <w:rsid w:val="001565BF"/>
    <w:rsid w:val="00160DCF"/>
    <w:rsid w:val="00170D45"/>
    <w:rsid w:val="00175D98"/>
    <w:rsid w:val="00185EB0"/>
    <w:rsid w:val="001872AF"/>
    <w:rsid w:val="00193D3C"/>
    <w:rsid w:val="00194DB3"/>
    <w:rsid w:val="00195D14"/>
    <w:rsid w:val="001A46D0"/>
    <w:rsid w:val="001D0E34"/>
    <w:rsid w:val="001D3A2F"/>
    <w:rsid w:val="001D6080"/>
    <w:rsid w:val="001D6A83"/>
    <w:rsid w:val="001E15BD"/>
    <w:rsid w:val="001E3D0C"/>
    <w:rsid w:val="001F14A2"/>
    <w:rsid w:val="00206CAD"/>
    <w:rsid w:val="00207ECB"/>
    <w:rsid w:val="002118A2"/>
    <w:rsid w:val="002155AC"/>
    <w:rsid w:val="002209A9"/>
    <w:rsid w:val="00221FE9"/>
    <w:rsid w:val="00233155"/>
    <w:rsid w:val="002501CE"/>
    <w:rsid w:val="002539D2"/>
    <w:rsid w:val="00263180"/>
    <w:rsid w:val="002660E6"/>
    <w:rsid w:val="00266C73"/>
    <w:rsid w:val="002801AA"/>
    <w:rsid w:val="0028259D"/>
    <w:rsid w:val="00293415"/>
    <w:rsid w:val="002A6AD5"/>
    <w:rsid w:val="002B08B8"/>
    <w:rsid w:val="002B33CC"/>
    <w:rsid w:val="002C28D3"/>
    <w:rsid w:val="002C4676"/>
    <w:rsid w:val="002C70B0"/>
    <w:rsid w:val="002D7353"/>
    <w:rsid w:val="002F3CC4"/>
    <w:rsid w:val="002F6A7F"/>
    <w:rsid w:val="00304465"/>
    <w:rsid w:val="003153B9"/>
    <w:rsid w:val="00337312"/>
    <w:rsid w:val="00347636"/>
    <w:rsid w:val="00347A9B"/>
    <w:rsid w:val="0035366B"/>
    <w:rsid w:val="0036419E"/>
    <w:rsid w:val="00371C4E"/>
    <w:rsid w:val="00393894"/>
    <w:rsid w:val="003961E3"/>
    <w:rsid w:val="00397BD0"/>
    <w:rsid w:val="00403998"/>
    <w:rsid w:val="004137C0"/>
    <w:rsid w:val="004210E8"/>
    <w:rsid w:val="004414D2"/>
    <w:rsid w:val="00441677"/>
    <w:rsid w:val="00453904"/>
    <w:rsid w:val="00463837"/>
    <w:rsid w:val="004842A8"/>
    <w:rsid w:val="004B3520"/>
    <w:rsid w:val="004D79B0"/>
    <w:rsid w:val="004E53BD"/>
    <w:rsid w:val="00513630"/>
    <w:rsid w:val="00533B04"/>
    <w:rsid w:val="00533FF5"/>
    <w:rsid w:val="00535ACD"/>
    <w:rsid w:val="00556E63"/>
    <w:rsid w:val="00560125"/>
    <w:rsid w:val="00566A98"/>
    <w:rsid w:val="00571598"/>
    <w:rsid w:val="00575C33"/>
    <w:rsid w:val="00585553"/>
    <w:rsid w:val="0059712B"/>
    <w:rsid w:val="005A7AB6"/>
    <w:rsid w:val="005B34D9"/>
    <w:rsid w:val="005C2D4A"/>
    <w:rsid w:val="005C5E8A"/>
    <w:rsid w:val="005D0CCF"/>
    <w:rsid w:val="005F3BCB"/>
    <w:rsid w:val="005F410F"/>
    <w:rsid w:val="0060149A"/>
    <w:rsid w:val="00601924"/>
    <w:rsid w:val="00611915"/>
    <w:rsid w:val="006133D7"/>
    <w:rsid w:val="00614378"/>
    <w:rsid w:val="006447EA"/>
    <w:rsid w:val="0064731F"/>
    <w:rsid w:val="00655FDF"/>
    <w:rsid w:val="0065609C"/>
    <w:rsid w:val="006710F6"/>
    <w:rsid w:val="006835EE"/>
    <w:rsid w:val="00687105"/>
    <w:rsid w:val="00694B36"/>
    <w:rsid w:val="006C1B56"/>
    <w:rsid w:val="006C62C1"/>
    <w:rsid w:val="006C714D"/>
    <w:rsid w:val="006D4761"/>
    <w:rsid w:val="006E7045"/>
    <w:rsid w:val="007038A3"/>
    <w:rsid w:val="00714C84"/>
    <w:rsid w:val="0072076B"/>
    <w:rsid w:val="00724D53"/>
    <w:rsid w:val="00726872"/>
    <w:rsid w:val="00726C2F"/>
    <w:rsid w:val="0074706D"/>
    <w:rsid w:val="00750D43"/>
    <w:rsid w:val="00751539"/>
    <w:rsid w:val="007528CB"/>
    <w:rsid w:val="00760F1C"/>
    <w:rsid w:val="007657F0"/>
    <w:rsid w:val="00767F78"/>
    <w:rsid w:val="0077252D"/>
    <w:rsid w:val="00774020"/>
    <w:rsid w:val="007869F3"/>
    <w:rsid w:val="007932A2"/>
    <w:rsid w:val="007A3D51"/>
    <w:rsid w:val="007D65C0"/>
    <w:rsid w:val="007D791E"/>
    <w:rsid w:val="007E21BD"/>
    <w:rsid w:val="007E42E0"/>
    <w:rsid w:val="007E5DD3"/>
    <w:rsid w:val="007F350B"/>
    <w:rsid w:val="00810A8A"/>
    <w:rsid w:val="00820BE4"/>
    <w:rsid w:val="00823B3B"/>
    <w:rsid w:val="008451E8"/>
    <w:rsid w:val="00852F13"/>
    <w:rsid w:val="008630C3"/>
    <w:rsid w:val="00874A8C"/>
    <w:rsid w:val="00877A20"/>
    <w:rsid w:val="008A70BF"/>
    <w:rsid w:val="008C038D"/>
    <w:rsid w:val="008C1FD2"/>
    <w:rsid w:val="008C278E"/>
    <w:rsid w:val="008C3F69"/>
    <w:rsid w:val="008C72D3"/>
    <w:rsid w:val="008F73A9"/>
    <w:rsid w:val="009115CF"/>
    <w:rsid w:val="00913B9C"/>
    <w:rsid w:val="009163E9"/>
    <w:rsid w:val="0095017D"/>
    <w:rsid w:val="00954867"/>
    <w:rsid w:val="00956E77"/>
    <w:rsid w:val="0097653A"/>
    <w:rsid w:val="00997379"/>
    <w:rsid w:val="009D64CA"/>
    <w:rsid w:val="009F4811"/>
    <w:rsid w:val="009F6EE1"/>
    <w:rsid w:val="009F7018"/>
    <w:rsid w:val="00A011A6"/>
    <w:rsid w:val="00A04BF5"/>
    <w:rsid w:val="00A04CDA"/>
    <w:rsid w:val="00A06EE8"/>
    <w:rsid w:val="00A07772"/>
    <w:rsid w:val="00A23EE1"/>
    <w:rsid w:val="00A25211"/>
    <w:rsid w:val="00A32B3D"/>
    <w:rsid w:val="00A46389"/>
    <w:rsid w:val="00A5068F"/>
    <w:rsid w:val="00A55B50"/>
    <w:rsid w:val="00A570F3"/>
    <w:rsid w:val="00AA09CA"/>
    <w:rsid w:val="00AA390C"/>
    <w:rsid w:val="00AB3BD9"/>
    <w:rsid w:val="00AD0013"/>
    <w:rsid w:val="00AE09D2"/>
    <w:rsid w:val="00AE3F2B"/>
    <w:rsid w:val="00AE7A74"/>
    <w:rsid w:val="00B0200A"/>
    <w:rsid w:val="00B1168E"/>
    <w:rsid w:val="00B26CE7"/>
    <w:rsid w:val="00B47DA2"/>
    <w:rsid w:val="00B574DB"/>
    <w:rsid w:val="00B67BA6"/>
    <w:rsid w:val="00B826C2"/>
    <w:rsid w:val="00B8298E"/>
    <w:rsid w:val="00B83F98"/>
    <w:rsid w:val="00BA4AAE"/>
    <w:rsid w:val="00BB7A04"/>
    <w:rsid w:val="00BC6043"/>
    <w:rsid w:val="00BD0723"/>
    <w:rsid w:val="00BD1A7C"/>
    <w:rsid w:val="00BD2518"/>
    <w:rsid w:val="00BD4783"/>
    <w:rsid w:val="00BF07C2"/>
    <w:rsid w:val="00BF1D1C"/>
    <w:rsid w:val="00C12B9D"/>
    <w:rsid w:val="00C20C59"/>
    <w:rsid w:val="00C27455"/>
    <w:rsid w:val="00C348A9"/>
    <w:rsid w:val="00C55B1F"/>
    <w:rsid w:val="00C6038A"/>
    <w:rsid w:val="00C71332"/>
    <w:rsid w:val="00C739FF"/>
    <w:rsid w:val="00C75B95"/>
    <w:rsid w:val="00C828FA"/>
    <w:rsid w:val="00C913EF"/>
    <w:rsid w:val="00C933ED"/>
    <w:rsid w:val="00C96263"/>
    <w:rsid w:val="00CF1A67"/>
    <w:rsid w:val="00D04324"/>
    <w:rsid w:val="00D04588"/>
    <w:rsid w:val="00D148DD"/>
    <w:rsid w:val="00D2750E"/>
    <w:rsid w:val="00D3000F"/>
    <w:rsid w:val="00D3497C"/>
    <w:rsid w:val="00D3666E"/>
    <w:rsid w:val="00D4636B"/>
    <w:rsid w:val="00D51A9F"/>
    <w:rsid w:val="00D53CEE"/>
    <w:rsid w:val="00D61047"/>
    <w:rsid w:val="00D62446"/>
    <w:rsid w:val="00D701E2"/>
    <w:rsid w:val="00D73398"/>
    <w:rsid w:val="00DA4EA2"/>
    <w:rsid w:val="00DA5088"/>
    <w:rsid w:val="00DC2F8C"/>
    <w:rsid w:val="00DC3D3E"/>
    <w:rsid w:val="00DC72C7"/>
    <w:rsid w:val="00DE2C90"/>
    <w:rsid w:val="00DE3B24"/>
    <w:rsid w:val="00DE41DF"/>
    <w:rsid w:val="00E06947"/>
    <w:rsid w:val="00E11506"/>
    <w:rsid w:val="00E259B1"/>
    <w:rsid w:val="00E3592D"/>
    <w:rsid w:val="00E36FB6"/>
    <w:rsid w:val="00E515AC"/>
    <w:rsid w:val="00E64AD3"/>
    <w:rsid w:val="00E772EF"/>
    <w:rsid w:val="00E81E0B"/>
    <w:rsid w:val="00E9057C"/>
    <w:rsid w:val="00E92DE8"/>
    <w:rsid w:val="00EB045B"/>
    <w:rsid w:val="00EB1212"/>
    <w:rsid w:val="00ED173D"/>
    <w:rsid w:val="00ED65AB"/>
    <w:rsid w:val="00EE2903"/>
    <w:rsid w:val="00F017C0"/>
    <w:rsid w:val="00F12850"/>
    <w:rsid w:val="00F257AE"/>
    <w:rsid w:val="00F33BF4"/>
    <w:rsid w:val="00F57DA6"/>
    <w:rsid w:val="00F621BF"/>
    <w:rsid w:val="00F7105E"/>
    <w:rsid w:val="00F72874"/>
    <w:rsid w:val="00F75F57"/>
    <w:rsid w:val="00F82FEE"/>
    <w:rsid w:val="00F84935"/>
    <w:rsid w:val="00F86460"/>
    <w:rsid w:val="00FA0475"/>
    <w:rsid w:val="00FA3810"/>
    <w:rsid w:val="00FD57D3"/>
    <w:rsid w:val="00FE08C5"/>
    <w:rsid w:val="00FF05EE"/>
    <w:rsid w:val="00FF0A9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3401BE-8AA7-491B-9988-10D9DC30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E9057C"/>
    <w:rPr>
      <w:rFonts w:ascii="Calibri" w:hAnsi="Calibri"/>
      <w:b/>
      <w:sz w:val="28"/>
      <w:lang w:val="es-ES_tradnl" w:eastAsia="en-US"/>
    </w:rPr>
  </w:style>
  <w:style w:type="character" w:customStyle="1" w:styleId="Artref">
    <w:name w:val="Art_ref"/>
    <w:basedOn w:val="DefaultParagraphFont"/>
    <w:rsid w:val="00E9057C"/>
  </w:style>
  <w:style w:type="character" w:customStyle="1" w:styleId="FootnoteTextChar">
    <w:name w:val="Footnote Text Char"/>
    <w:basedOn w:val="DefaultParagraphFont"/>
    <w:link w:val="FootnoteText"/>
    <w:uiPriority w:val="99"/>
    <w:rsid w:val="00E9057C"/>
    <w:rPr>
      <w:rFonts w:ascii="Calibri" w:hAnsi="Calibri"/>
      <w:sz w:val="24"/>
      <w:lang w:val="es-ES_tradnl" w:eastAsia="en-US"/>
    </w:rPr>
  </w:style>
  <w:style w:type="table" w:styleId="TableGrid">
    <w:name w:val="Table Grid"/>
    <w:basedOn w:val="TableNormal"/>
    <w:uiPriority w:val="59"/>
    <w:rsid w:val="00E9057C"/>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057C"/>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rsid w:val="00293415"/>
    <w:pPr>
      <w:widowControl w:val="0"/>
      <w:wordWrap w:val="0"/>
      <w:autoSpaceDE w:val="0"/>
      <w:autoSpaceDN w:val="0"/>
      <w:adjustRightInd w:val="0"/>
      <w:spacing w:after="200" w:line="384" w:lineRule="auto"/>
      <w:jc w:val="both"/>
      <w:textAlignment w:val="baseline"/>
    </w:pPr>
    <w:rPr>
      <w:rFonts w:ascii="ÇÑÄÄ¹ÙÅÁ" w:hAnsi="ÇÑÄÄ¹ÙÅÁ" w:cs="ÇÑÄÄ¹ÙÅÁ"/>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file:///\\blue\dfs\refinfo\REFTXT\REFTXT2018\SG\CONSEIL\C18\000\ohs0301@korea.k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uochao@srrc.org.en" TargetMode="External"/><Relationship Id="rId17" Type="http://schemas.openxmlformats.org/officeDocument/2006/relationships/hyperlink" Target="file:///\\blue\dfs\refinfo\REFTXT\REFTXT2018\SG\CONSEIL\C18\000\theedge@korea.kr" TargetMode="External"/><Relationship Id="rId2" Type="http://schemas.openxmlformats.org/officeDocument/2006/relationships/numbering" Target="numbering.xml"/><Relationship Id="rId16" Type="http://schemas.openxmlformats.org/officeDocument/2006/relationships/hyperlink" Target="file:///\\blue\dfs\refinfo\REFTXT\REFTXT2018\SG\CONSEIL\C18\000\brmail@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xx@miit.gov.cn" TargetMode="External"/><Relationship Id="rId5" Type="http://schemas.openxmlformats.org/officeDocument/2006/relationships/webSettings" Target="webSettings.xml"/><Relationship Id="rId15" Type="http://schemas.openxmlformats.org/officeDocument/2006/relationships/hyperlink" Target="mailto:Space.monitoring@itu.int" TargetMode="External"/><Relationship Id="rId23" Type="http://schemas.openxmlformats.org/officeDocument/2006/relationships/theme" Target="theme/theme1.xml"/><Relationship Id="rId10" Type="http://schemas.openxmlformats.org/officeDocument/2006/relationships/hyperlink" Target="file:///\\blue\dfs\refinfo\REFTXT\REFTXT2018\SG\CONSEIL\C18\000\brmail@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refinfo\REFTXT\REFTXT2018\SG\CONSEIL\C18\000\Space.monitoring@itu.int"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R-REP-SM.2181" TargetMode="External"/><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9B15-8929-454C-8CD9-0BE123B2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TotalTime>
  <Pages>16</Pages>
  <Words>3657</Words>
  <Characters>21625</Characters>
  <Application>Microsoft Office Word</Application>
  <DocSecurity>4</DocSecurity>
  <Lines>180</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25232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Memorandos de Entendimiento que tienen repercusiones financieras y/o estratégicas</dc:title>
  <dc:subject>Consejo 2018</dc:subject>
  <dc:creator>Spanish</dc:creator>
  <cp:keywords>C2018, C18</cp:keywords>
  <dc:description/>
  <cp:lastModifiedBy>Brouard, Ricarda</cp:lastModifiedBy>
  <cp:revision>2</cp:revision>
  <cp:lastPrinted>2006-03-24T09:51:00Z</cp:lastPrinted>
  <dcterms:created xsi:type="dcterms:W3CDTF">2018-03-28T10:03:00Z</dcterms:created>
  <dcterms:modified xsi:type="dcterms:W3CDTF">2018-03-28T10:03:00Z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