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53A4A">
        <w:trPr>
          <w:cantSplit/>
        </w:trPr>
        <w:tc>
          <w:tcPr>
            <w:tcW w:w="6912" w:type="dxa"/>
          </w:tcPr>
          <w:p w:rsidR="00520F36" w:rsidRPr="00153A4A" w:rsidRDefault="00520F36" w:rsidP="004F37D3">
            <w:pPr>
              <w:spacing w:before="360"/>
            </w:pPr>
            <w:bookmarkStart w:id="0" w:name="dc06"/>
            <w:bookmarkEnd w:id="0"/>
            <w:r w:rsidRPr="00153A4A">
              <w:rPr>
                <w:b/>
                <w:bCs/>
                <w:sz w:val="30"/>
                <w:szCs w:val="30"/>
              </w:rPr>
              <w:t>Conseil 201</w:t>
            </w:r>
            <w:r w:rsidR="004F37D3">
              <w:rPr>
                <w:b/>
                <w:bCs/>
                <w:sz w:val="30"/>
                <w:szCs w:val="30"/>
              </w:rPr>
              <w:t>8</w:t>
            </w:r>
            <w:r w:rsidRPr="00153A4A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53A4A">
              <w:rPr>
                <w:b/>
                <w:bCs/>
                <w:szCs w:val="24"/>
              </w:rPr>
              <w:t>Genève, 1</w:t>
            </w:r>
            <w:r w:rsidR="004F37D3">
              <w:rPr>
                <w:b/>
                <w:bCs/>
                <w:szCs w:val="24"/>
              </w:rPr>
              <w:t>7</w:t>
            </w:r>
            <w:r w:rsidRPr="00153A4A">
              <w:rPr>
                <w:b/>
                <w:bCs/>
                <w:szCs w:val="24"/>
              </w:rPr>
              <w:t>-2</w:t>
            </w:r>
            <w:r w:rsidR="004F37D3">
              <w:rPr>
                <w:b/>
                <w:bCs/>
                <w:szCs w:val="24"/>
              </w:rPr>
              <w:t>7</w:t>
            </w:r>
            <w:r w:rsidRPr="00153A4A">
              <w:rPr>
                <w:b/>
                <w:bCs/>
                <w:szCs w:val="24"/>
              </w:rPr>
              <w:t xml:space="preserve"> </w:t>
            </w:r>
            <w:r w:rsidR="004F37D3">
              <w:rPr>
                <w:b/>
                <w:bCs/>
                <w:szCs w:val="24"/>
              </w:rPr>
              <w:t xml:space="preserve">avril </w:t>
            </w:r>
            <w:r w:rsidRPr="00153A4A">
              <w:rPr>
                <w:b/>
                <w:bCs/>
                <w:szCs w:val="24"/>
              </w:rPr>
              <w:t>201</w:t>
            </w:r>
            <w:r w:rsidR="004F37D3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520F36" w:rsidRPr="00153A4A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153A4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53A4A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53A4A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53A4A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153A4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53A4A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53A4A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153A4A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53A4A" w:rsidRDefault="000F53B9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l'ordre du jour</w:t>
            </w:r>
            <w:r w:rsidR="006508C6">
              <w:rPr>
                <w:rFonts w:cs="Times"/>
                <w:b/>
                <w:bCs/>
                <w:szCs w:val="24"/>
              </w:rPr>
              <w:t>: ADM 4</w:t>
            </w:r>
          </w:p>
        </w:tc>
        <w:tc>
          <w:tcPr>
            <w:tcW w:w="3261" w:type="dxa"/>
          </w:tcPr>
          <w:p w:rsidR="00520F36" w:rsidRPr="00153A4A" w:rsidRDefault="004F37D3" w:rsidP="004F37D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C18</w:t>
            </w:r>
            <w:r w:rsidR="00520F36" w:rsidRPr="00153A4A">
              <w:rPr>
                <w:b/>
                <w:bCs/>
              </w:rPr>
              <w:t>/</w:t>
            </w:r>
            <w:r>
              <w:rPr>
                <w:b/>
                <w:bCs/>
              </w:rPr>
              <w:t>58</w:t>
            </w:r>
            <w:r w:rsidR="00520F36" w:rsidRPr="00153A4A">
              <w:rPr>
                <w:b/>
                <w:bCs/>
              </w:rPr>
              <w:t>-F</w:t>
            </w:r>
          </w:p>
        </w:tc>
      </w:tr>
      <w:tr w:rsidR="00520F36" w:rsidRPr="00153A4A">
        <w:trPr>
          <w:cantSplit/>
          <w:trHeight w:val="20"/>
        </w:trPr>
        <w:tc>
          <w:tcPr>
            <w:tcW w:w="6912" w:type="dxa"/>
            <w:vMerge/>
          </w:tcPr>
          <w:p w:rsidR="00520F36" w:rsidRPr="00153A4A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53A4A" w:rsidRDefault="004F37D3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2B2D2A" w:rsidRPr="00153A4A">
              <w:rPr>
                <w:b/>
                <w:bCs/>
              </w:rPr>
              <w:t>mars</w:t>
            </w:r>
            <w:r w:rsidR="00520F36" w:rsidRPr="00153A4A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</w:p>
        </w:tc>
      </w:tr>
      <w:tr w:rsidR="00520F36" w:rsidRPr="00153A4A">
        <w:trPr>
          <w:cantSplit/>
          <w:trHeight w:val="20"/>
        </w:trPr>
        <w:tc>
          <w:tcPr>
            <w:tcW w:w="6912" w:type="dxa"/>
            <w:vMerge/>
          </w:tcPr>
          <w:p w:rsidR="00520F36" w:rsidRPr="00153A4A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53A4A" w:rsidRDefault="00520F36" w:rsidP="00520F36">
            <w:pPr>
              <w:spacing w:before="0"/>
              <w:rPr>
                <w:b/>
                <w:bCs/>
              </w:rPr>
            </w:pPr>
            <w:r w:rsidRPr="00153A4A">
              <w:rPr>
                <w:b/>
                <w:bCs/>
              </w:rPr>
              <w:t>Original: anglais</w:t>
            </w:r>
          </w:p>
        </w:tc>
      </w:tr>
      <w:tr w:rsidR="00520F36" w:rsidRPr="00153A4A">
        <w:trPr>
          <w:cantSplit/>
        </w:trPr>
        <w:tc>
          <w:tcPr>
            <w:tcW w:w="10173" w:type="dxa"/>
            <w:gridSpan w:val="2"/>
          </w:tcPr>
          <w:p w:rsidR="00520F36" w:rsidRPr="00153A4A" w:rsidRDefault="002B2D2A" w:rsidP="00DF74DD">
            <w:pPr>
              <w:pStyle w:val="Source"/>
            </w:pPr>
            <w:bookmarkStart w:id="6" w:name="dsource" w:colFirst="0" w:colLast="0"/>
            <w:bookmarkEnd w:id="5"/>
            <w:r w:rsidRPr="00153A4A">
              <w:t>Rapport du Secrétaire général</w:t>
            </w:r>
          </w:p>
        </w:tc>
      </w:tr>
      <w:tr w:rsidR="00520F36" w:rsidRPr="00153A4A">
        <w:trPr>
          <w:cantSplit/>
        </w:trPr>
        <w:tc>
          <w:tcPr>
            <w:tcW w:w="10173" w:type="dxa"/>
            <w:gridSpan w:val="2"/>
          </w:tcPr>
          <w:p w:rsidR="00520F36" w:rsidRPr="00153A4A" w:rsidRDefault="003A601E" w:rsidP="00DF74DD">
            <w:pPr>
              <w:pStyle w:val="Title1"/>
            </w:pPr>
            <w:bookmarkStart w:id="7" w:name="lt_pId010"/>
            <w:bookmarkStart w:id="8" w:name="dtitle1" w:colFirst="0" w:colLast="0"/>
            <w:bookmarkEnd w:id="6"/>
            <w:r w:rsidRPr="00153A4A">
              <w:rPr>
                <w:lang w:eastAsia="fr-FR"/>
              </w:rPr>
              <w:t xml:space="preserve">Mise en oeuvre de la </w:t>
            </w:r>
            <w:r w:rsidRPr="00153A4A">
              <w:rPr>
                <w:color w:val="000000"/>
                <w:lang w:eastAsia="fr-FR"/>
              </w:rPr>
              <w:t>politique de l</w:t>
            </w:r>
            <w:r w:rsidR="000F53B9">
              <w:rPr>
                <w:color w:val="000000"/>
                <w:lang w:eastAsia="fr-FR"/>
              </w:rPr>
              <w:t>'</w:t>
            </w:r>
            <w:r w:rsidRPr="00153A4A">
              <w:rPr>
                <w:color w:val="000000"/>
                <w:lang w:eastAsia="fr-FR"/>
              </w:rPr>
              <w:t>UIT en matière d</w:t>
            </w:r>
            <w:r w:rsidR="000F53B9">
              <w:rPr>
                <w:color w:val="000000"/>
                <w:lang w:eastAsia="fr-FR"/>
              </w:rPr>
              <w:t>'</w:t>
            </w:r>
            <w:r w:rsidRPr="00153A4A">
              <w:rPr>
                <w:color w:val="000000"/>
                <w:lang w:eastAsia="fr-FR"/>
              </w:rPr>
              <w:t>accès à l</w:t>
            </w:r>
            <w:r w:rsidR="000F53B9">
              <w:rPr>
                <w:color w:val="000000"/>
                <w:lang w:eastAsia="fr-FR"/>
              </w:rPr>
              <w:t>'</w:t>
            </w:r>
            <w:r w:rsidRPr="00153A4A">
              <w:rPr>
                <w:color w:val="000000"/>
                <w:lang w:eastAsia="fr-FR"/>
              </w:rPr>
              <w:t>information/aux documents</w:t>
            </w:r>
            <w:bookmarkEnd w:id="7"/>
          </w:p>
        </w:tc>
      </w:tr>
      <w:bookmarkEnd w:id="8"/>
    </w:tbl>
    <w:p w:rsidR="00520F36" w:rsidRPr="00153A4A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153A4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153A4A" w:rsidRDefault="00520F36">
            <w:pPr>
              <w:pStyle w:val="Headingb"/>
            </w:pPr>
            <w:r w:rsidRPr="00153A4A">
              <w:t>Résumé</w:t>
            </w:r>
          </w:p>
          <w:p w:rsidR="00520F36" w:rsidRPr="00153A4A" w:rsidRDefault="003A601E" w:rsidP="00CF2E07">
            <w:bookmarkStart w:id="9" w:name="lt_pId012"/>
            <w:bookmarkStart w:id="10" w:name="_GoBack"/>
            <w:r w:rsidRPr="00153A4A">
              <w:rPr>
                <w:lang w:eastAsia="fr-FR"/>
              </w:rPr>
              <w:t xml:space="preserve">On trouvera dans le </w:t>
            </w:r>
            <w:r w:rsidR="00153A4A" w:rsidRPr="00153A4A">
              <w:rPr>
                <w:lang w:eastAsia="fr-FR"/>
              </w:rPr>
              <w:t>présent</w:t>
            </w:r>
            <w:r w:rsidRPr="00153A4A">
              <w:rPr>
                <w:lang w:eastAsia="fr-FR"/>
              </w:rPr>
              <w:t xml:space="preserve"> document un rapport </w:t>
            </w:r>
            <w:r w:rsidR="004F37D3">
              <w:rPr>
                <w:lang w:eastAsia="fr-FR"/>
              </w:rPr>
              <w:t xml:space="preserve">actualisé </w:t>
            </w:r>
            <w:r w:rsidRPr="00153A4A">
              <w:rPr>
                <w:lang w:eastAsia="fr-FR"/>
              </w:rPr>
              <w:t>sur la mise en oeuvre de la politique de l</w:t>
            </w:r>
            <w:r w:rsidR="000F53B9">
              <w:rPr>
                <w:lang w:eastAsia="fr-FR"/>
              </w:rPr>
              <w:t>'</w:t>
            </w:r>
            <w:r w:rsidRPr="00153A4A">
              <w:rPr>
                <w:lang w:eastAsia="fr-FR"/>
              </w:rPr>
              <w:t>UIT en matière d</w:t>
            </w:r>
            <w:r w:rsidR="000F53B9">
              <w:rPr>
                <w:lang w:eastAsia="fr-FR"/>
              </w:rPr>
              <w:t>'</w:t>
            </w:r>
            <w:r w:rsidRPr="00153A4A">
              <w:rPr>
                <w:lang w:eastAsia="fr-FR"/>
              </w:rPr>
              <w:t>accès à l</w:t>
            </w:r>
            <w:r w:rsidR="000F53B9">
              <w:rPr>
                <w:lang w:eastAsia="fr-FR"/>
              </w:rPr>
              <w:t>'</w:t>
            </w:r>
            <w:r w:rsidR="00A34319">
              <w:rPr>
                <w:lang w:eastAsia="fr-FR"/>
              </w:rPr>
              <w:t>information/</w:t>
            </w:r>
            <w:r w:rsidRPr="00153A4A">
              <w:rPr>
                <w:lang w:eastAsia="fr-FR"/>
              </w:rPr>
              <w:t xml:space="preserve">aux documents </w:t>
            </w:r>
            <w:r w:rsidR="004F37D3">
              <w:rPr>
                <w:lang w:eastAsia="fr-FR"/>
              </w:rPr>
              <w:t xml:space="preserve">depuis la session de 2017 du </w:t>
            </w:r>
            <w:r w:rsidRPr="00153A4A">
              <w:rPr>
                <w:lang w:eastAsia="fr-FR"/>
              </w:rPr>
              <w:t>Conseil</w:t>
            </w:r>
            <w:bookmarkEnd w:id="9"/>
            <w:bookmarkEnd w:id="10"/>
            <w:r w:rsidRPr="00153A4A">
              <w:rPr>
                <w:lang w:eastAsia="fr-FR"/>
              </w:rPr>
              <w:t>.</w:t>
            </w:r>
          </w:p>
          <w:p w:rsidR="00520F36" w:rsidRPr="00153A4A" w:rsidRDefault="00520F36">
            <w:pPr>
              <w:pStyle w:val="Headingb"/>
            </w:pPr>
            <w:r w:rsidRPr="00153A4A">
              <w:t>Suite à donner</w:t>
            </w:r>
          </w:p>
          <w:p w:rsidR="00520F36" w:rsidRPr="00153A4A" w:rsidRDefault="003A601E">
            <w:r w:rsidRPr="00153A4A">
              <w:rPr>
                <w:lang w:eastAsia="fr-FR"/>
              </w:rPr>
              <w:t xml:space="preserve">Le Conseil est invité </w:t>
            </w:r>
            <w:r w:rsidRPr="00153A4A">
              <w:rPr>
                <w:b/>
                <w:bCs/>
                <w:lang w:eastAsia="fr-FR"/>
              </w:rPr>
              <w:t>à prendre note</w:t>
            </w:r>
            <w:r w:rsidRPr="00153A4A">
              <w:rPr>
                <w:lang w:eastAsia="fr-FR"/>
              </w:rPr>
              <w:t xml:space="preserve"> du présent rapport</w:t>
            </w:r>
            <w:r w:rsidR="004F37D3">
              <w:rPr>
                <w:lang w:eastAsia="fr-FR"/>
              </w:rPr>
              <w:t xml:space="preserve"> et à soumettre la politique à la Conférence de plénipotentiaires de 2018 en vue d</w:t>
            </w:r>
            <w:r w:rsidR="000F53B9">
              <w:rPr>
                <w:lang w:eastAsia="fr-FR"/>
              </w:rPr>
              <w:t>'</w:t>
            </w:r>
            <w:r w:rsidR="004F37D3">
              <w:rPr>
                <w:lang w:eastAsia="fr-FR"/>
              </w:rPr>
              <w:t>une décision finale</w:t>
            </w:r>
            <w:r w:rsidRPr="00153A4A">
              <w:rPr>
                <w:lang w:eastAsia="fr-FR"/>
              </w:rPr>
              <w:t>.</w:t>
            </w:r>
          </w:p>
          <w:p w:rsidR="00520F36" w:rsidRPr="00153A4A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153A4A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520F36" w:rsidRPr="00153A4A" w:rsidRDefault="00520F36">
            <w:pPr>
              <w:pStyle w:val="Headingb"/>
            </w:pPr>
            <w:r w:rsidRPr="00153A4A">
              <w:t>Références</w:t>
            </w:r>
          </w:p>
          <w:p w:rsidR="00520F36" w:rsidRPr="00201B70" w:rsidRDefault="00125FC9" w:rsidP="000F53B9">
            <w:pPr>
              <w:spacing w:after="120"/>
            </w:pPr>
            <w:hyperlink r:id="rId8" w:history="1">
              <w:r w:rsidR="003A601E" w:rsidRPr="00201B70">
                <w:rPr>
                  <w:rStyle w:val="Hyperlink"/>
                  <w:lang w:eastAsia="fr-FR"/>
                </w:rPr>
                <w:t>Politique de l</w:t>
              </w:r>
              <w:r w:rsidR="000F53B9">
                <w:rPr>
                  <w:rStyle w:val="Hyperlink"/>
                  <w:lang w:eastAsia="fr-FR"/>
                </w:rPr>
                <w:t>'</w:t>
              </w:r>
              <w:r w:rsidR="003A601E" w:rsidRPr="00201B70">
                <w:rPr>
                  <w:rStyle w:val="Hyperlink"/>
                  <w:lang w:eastAsia="fr-FR"/>
                </w:rPr>
                <w:t>UIT en matière d</w:t>
              </w:r>
              <w:r w:rsidR="000F53B9">
                <w:rPr>
                  <w:rStyle w:val="Hyperlink"/>
                  <w:lang w:eastAsia="fr-FR"/>
                </w:rPr>
                <w:t>'</w:t>
              </w:r>
              <w:r w:rsidR="003A601E" w:rsidRPr="00201B70">
                <w:rPr>
                  <w:rStyle w:val="Hyperlink"/>
                  <w:lang w:eastAsia="fr-FR"/>
                </w:rPr>
                <w:t>accès à l</w:t>
              </w:r>
              <w:r w:rsidR="000F53B9">
                <w:rPr>
                  <w:rStyle w:val="Hyperlink"/>
                  <w:lang w:eastAsia="fr-FR"/>
                </w:rPr>
                <w:t>'</w:t>
              </w:r>
              <w:r w:rsidR="003A601E" w:rsidRPr="00201B70">
                <w:rPr>
                  <w:rStyle w:val="Hyperlink"/>
                  <w:lang w:eastAsia="fr-FR"/>
                </w:rPr>
                <w:t>information/aux documents</w:t>
              </w:r>
            </w:hyperlink>
            <w:r w:rsidR="000F53B9">
              <w:rPr>
                <w:rStyle w:val="Hyperlink"/>
                <w:color w:val="auto"/>
                <w:u w:val="none"/>
                <w:lang w:eastAsia="fr-FR"/>
              </w:rPr>
              <w:t>;</w:t>
            </w:r>
            <w:r w:rsidR="000F53B9">
              <w:rPr>
                <w:rStyle w:val="Hyperlink"/>
                <w:color w:val="auto"/>
                <w:u w:val="none"/>
                <w:lang w:eastAsia="fr-FR"/>
              </w:rPr>
              <w:br/>
            </w:r>
            <w:hyperlink r:id="rId9" w:history="1">
              <w:r w:rsidR="004F37D3" w:rsidRPr="00F87E01">
                <w:rPr>
                  <w:rStyle w:val="Hyperlink"/>
                  <w:lang w:val="fr-CH"/>
                </w:rPr>
                <w:t>Document C1</w:t>
              </w:r>
              <w:r w:rsidR="004F37D3">
                <w:rPr>
                  <w:rStyle w:val="Hyperlink"/>
                  <w:lang w:val="fr-CH"/>
                </w:rPr>
                <w:t>7</w:t>
              </w:r>
              <w:r w:rsidR="004F37D3" w:rsidRPr="00F87E01">
                <w:rPr>
                  <w:rStyle w:val="Hyperlink"/>
                  <w:lang w:val="fr-CH"/>
                </w:rPr>
                <w:t>/66</w:t>
              </w:r>
            </w:hyperlink>
          </w:p>
        </w:tc>
      </w:tr>
    </w:tbl>
    <w:p w:rsidR="003A601E" w:rsidRPr="00153A4A" w:rsidRDefault="003A601E" w:rsidP="003A601E">
      <w:pPr>
        <w:pStyle w:val="Heading1"/>
      </w:pPr>
      <w:bookmarkStart w:id="11" w:name="lt_pId018"/>
      <w:r w:rsidRPr="00153A4A">
        <w:t>1</w:t>
      </w:r>
      <w:r w:rsidRPr="00153A4A">
        <w:tab/>
        <w:t>Rappel</w:t>
      </w:r>
      <w:bookmarkEnd w:id="11"/>
    </w:p>
    <w:p w:rsidR="003A601E" w:rsidRPr="00153A4A" w:rsidRDefault="003A601E" w:rsidP="003A601E">
      <w:pPr>
        <w:rPr>
          <w:rFonts w:eastAsia="SimSun"/>
        </w:rPr>
      </w:pPr>
      <w:bookmarkStart w:id="12" w:name="lt_pId019"/>
      <w:r w:rsidRPr="00153A4A">
        <w:rPr>
          <w:rFonts w:eastAsia="SimSun"/>
        </w:rPr>
        <w:t>1.1</w:t>
      </w:r>
      <w:r w:rsidRPr="00153A4A">
        <w:rPr>
          <w:rFonts w:eastAsia="SimSun"/>
        </w:rPr>
        <w:tab/>
        <w:t>La Conférence de plénipotentiaires de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UIT tenue en 2014 a décidé:</w:t>
      </w:r>
    </w:p>
    <w:p w:rsidR="003A601E" w:rsidRPr="00153A4A" w:rsidRDefault="003A601E" w:rsidP="003A601E">
      <w:pPr>
        <w:pStyle w:val="enumlev1"/>
        <w:rPr>
          <w:rFonts w:eastAsia="SimSun"/>
        </w:rPr>
      </w:pPr>
      <w:r w:rsidRPr="00153A4A">
        <w:rPr>
          <w:rFonts w:eastAsia="SimSun"/>
        </w:rPr>
        <w:t>•</w:t>
      </w:r>
      <w:r w:rsidRPr="00153A4A">
        <w:rPr>
          <w:rFonts w:eastAsia="SimSun"/>
        </w:rPr>
        <w:tab/>
        <w:t>de rendre tous les documents de travail et les documents finals de toutes les conférences et assemblées de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Union accessibles au public à compter du début de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année 2015, sauf dans les cas où la divulgation risque de causer</w:t>
      </w:r>
      <w:r w:rsidR="00C06232">
        <w:rPr>
          <w:rFonts w:eastAsia="SimSun"/>
        </w:rPr>
        <w:t>,</w:t>
      </w:r>
      <w:r w:rsidRPr="00153A4A">
        <w:rPr>
          <w:rFonts w:eastAsia="SimSun"/>
        </w:rPr>
        <w:t xml:space="preserve"> à des intérêts publics ou privés légitim</w:t>
      </w:r>
      <w:r w:rsidR="00667774">
        <w:rPr>
          <w:rFonts w:eastAsia="SimSun"/>
        </w:rPr>
        <w:t>es, un préjudice que ne saurai</w:t>
      </w:r>
      <w:r w:rsidRPr="00153A4A">
        <w:rPr>
          <w:rFonts w:eastAsia="SimSun"/>
        </w:rPr>
        <w:t>t justifier les avantages de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accessibilité</w:t>
      </w:r>
      <w:bookmarkEnd w:id="12"/>
      <w:r w:rsidR="00667774">
        <w:rPr>
          <w:rFonts w:eastAsia="SimSun"/>
        </w:rPr>
        <w:t>;</w:t>
      </w:r>
    </w:p>
    <w:p w:rsidR="003A601E" w:rsidRPr="00153A4A" w:rsidRDefault="003A601E" w:rsidP="003A601E">
      <w:pPr>
        <w:pStyle w:val="enumlev1"/>
        <w:rPr>
          <w:rFonts w:eastAsia="SimSun"/>
        </w:rPr>
      </w:pPr>
      <w:bookmarkStart w:id="13" w:name="lt_pId021"/>
      <w:r w:rsidRPr="00153A4A">
        <w:rPr>
          <w:rFonts w:eastAsia="SimSun"/>
        </w:rPr>
        <w:t>•</w:t>
      </w:r>
      <w:r w:rsidRPr="00153A4A">
        <w:rPr>
          <w:rFonts w:eastAsia="SimSun"/>
        </w:rPr>
        <w:tab/>
        <w:t>de charger le Groupe de travail du Conseil sur les ressources financières et les ressources humaines (GTC-FHR), par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intermédiaire du Conseil:</w:t>
      </w:r>
      <w:bookmarkEnd w:id="13"/>
      <w:r w:rsidRPr="00153A4A">
        <w:rPr>
          <w:rFonts w:eastAsia="SimSun"/>
        </w:rPr>
        <w:t xml:space="preserve"> </w:t>
      </w:r>
    </w:p>
    <w:p w:rsidR="003A601E" w:rsidRPr="00153A4A" w:rsidRDefault="00F02E44" w:rsidP="003A601E">
      <w:pPr>
        <w:pStyle w:val="enumlev2"/>
        <w:rPr>
          <w:rFonts w:eastAsia="SimSun"/>
          <w:szCs w:val="24"/>
        </w:rPr>
      </w:pPr>
      <w:bookmarkStart w:id="14" w:name="lt_pId022"/>
      <w:r>
        <w:t>i)</w:t>
      </w:r>
      <w:r w:rsidR="003A601E" w:rsidRPr="00153A4A">
        <w:tab/>
        <w:t>de continuer de revoir la politique de l</w:t>
      </w:r>
      <w:r w:rsidR="000F53B9">
        <w:t>'</w:t>
      </w:r>
      <w:r w:rsidR="003A601E" w:rsidRPr="00153A4A">
        <w:t>UIT en matière d</w:t>
      </w:r>
      <w:r w:rsidR="000F53B9">
        <w:t>'</w:t>
      </w:r>
      <w:r w:rsidR="003A601E" w:rsidRPr="00153A4A">
        <w:t>accès aux documents, afin de déterminer dans quelle mesure les documents devraient être accessibles au public et d</w:t>
      </w:r>
      <w:r w:rsidR="000F53B9">
        <w:t>'</w:t>
      </w:r>
      <w:r w:rsidR="003A601E" w:rsidRPr="00153A4A">
        <w:t>élaborer un projet de politique en matière d</w:t>
      </w:r>
      <w:r w:rsidR="000F53B9">
        <w:t>'</w:t>
      </w:r>
      <w:r w:rsidR="003A601E" w:rsidRPr="00153A4A">
        <w:t>accès aux documents à soumettre au Conseil</w:t>
      </w:r>
      <w:r w:rsidR="003A601E" w:rsidRPr="00153A4A">
        <w:rPr>
          <w:rFonts w:eastAsia="SimSun"/>
          <w:szCs w:val="24"/>
        </w:rPr>
        <w:t>;</w:t>
      </w:r>
      <w:bookmarkEnd w:id="14"/>
    </w:p>
    <w:p w:rsidR="003A601E" w:rsidRPr="00153A4A" w:rsidRDefault="00F02E44" w:rsidP="003A601E">
      <w:pPr>
        <w:pStyle w:val="enumlev2"/>
        <w:rPr>
          <w:rFonts w:eastAsia="SimSun"/>
          <w:szCs w:val="24"/>
        </w:rPr>
      </w:pPr>
      <w:bookmarkStart w:id="15" w:name="lt_pId024"/>
      <w:r>
        <w:rPr>
          <w:rFonts w:eastAsia="SimSun"/>
          <w:szCs w:val="24"/>
        </w:rPr>
        <w:t>ii)</w:t>
      </w:r>
      <w:r w:rsidR="003A601E" w:rsidRPr="00153A4A">
        <w:rPr>
          <w:rFonts w:eastAsia="SimSun"/>
          <w:szCs w:val="24"/>
        </w:rPr>
        <w:tab/>
        <w:t>de déterminer s</w:t>
      </w:r>
      <w:r w:rsidR="000F53B9">
        <w:rPr>
          <w:rFonts w:eastAsia="SimSun"/>
          <w:szCs w:val="24"/>
        </w:rPr>
        <w:t>'</w:t>
      </w:r>
      <w:r w:rsidR="003A601E" w:rsidRPr="00153A4A">
        <w:rPr>
          <w:rFonts w:eastAsia="SimSun"/>
          <w:szCs w:val="24"/>
        </w:rPr>
        <w:t>il y a lieu de créer un groupe spécialisé à cette fin</w:t>
      </w:r>
      <w:r w:rsidR="00315FF0" w:rsidRPr="00153A4A">
        <w:rPr>
          <w:rFonts w:eastAsia="SimSun"/>
          <w:szCs w:val="24"/>
        </w:rPr>
        <w:t>;</w:t>
      </w:r>
    </w:p>
    <w:p w:rsidR="003A601E" w:rsidRPr="00153A4A" w:rsidRDefault="003A601E" w:rsidP="004F37D3">
      <w:pPr>
        <w:pStyle w:val="enumlev1"/>
        <w:keepLines/>
        <w:rPr>
          <w:rFonts w:eastAsia="SimSun"/>
        </w:rPr>
      </w:pPr>
      <w:r w:rsidRPr="00153A4A">
        <w:rPr>
          <w:rFonts w:eastAsia="SimSun"/>
        </w:rPr>
        <w:lastRenderedPageBreak/>
        <w:t>•</w:t>
      </w:r>
      <w:r w:rsidRPr="00153A4A">
        <w:rPr>
          <w:rFonts w:eastAsia="SimSun"/>
        </w:rPr>
        <w:tab/>
        <w:t xml:space="preserve">de charger le </w:t>
      </w:r>
      <w:r w:rsidR="004F37D3">
        <w:rPr>
          <w:rFonts w:eastAsia="SimSun"/>
        </w:rPr>
        <w:t>GTC-FHR</w:t>
      </w:r>
      <w:r w:rsidRPr="00153A4A">
        <w:rPr>
          <w:rFonts w:eastAsia="SimSun"/>
        </w:rPr>
        <w:t>, par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intermédiaire du Conseil, de transmettre le projet de politique en matière d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accès aux documents au Conseil pour examen, approbation provisoire et mise en oeuvre, selon qu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il conviendra</w:t>
      </w:r>
      <w:bookmarkEnd w:id="15"/>
      <w:r w:rsidR="00315FF0" w:rsidRPr="00153A4A">
        <w:rPr>
          <w:rFonts w:eastAsia="SimSun"/>
        </w:rPr>
        <w:t>;</w:t>
      </w:r>
    </w:p>
    <w:p w:rsidR="003A601E" w:rsidRPr="00153A4A" w:rsidRDefault="003A601E" w:rsidP="004F37D3">
      <w:pPr>
        <w:pStyle w:val="enumlev1"/>
        <w:rPr>
          <w:rFonts w:eastAsia="SimSun"/>
        </w:rPr>
      </w:pPr>
      <w:bookmarkStart w:id="16" w:name="lt_pId025"/>
      <w:r w:rsidRPr="00153A4A">
        <w:t>•</w:t>
      </w:r>
      <w:r w:rsidRPr="00153A4A">
        <w:tab/>
        <w:t>de charger le Conseil d</w:t>
      </w:r>
      <w:r w:rsidR="000F53B9">
        <w:t>'</w:t>
      </w:r>
      <w:r w:rsidRPr="00153A4A">
        <w:t xml:space="preserve">examiner </w:t>
      </w:r>
      <w:r w:rsidRPr="00153A4A">
        <w:rPr>
          <w:rFonts w:eastAsia="SimSun"/>
        </w:rPr>
        <w:t xml:space="preserve">le rapport du </w:t>
      </w:r>
      <w:r w:rsidR="004F37D3">
        <w:rPr>
          <w:rFonts w:eastAsia="SimSun"/>
        </w:rPr>
        <w:t xml:space="preserve">GTC-FHR </w:t>
      </w:r>
      <w:r w:rsidRPr="00153A4A">
        <w:rPr>
          <w:rFonts w:eastAsia="SimSun"/>
        </w:rPr>
        <w:t>et de lui donner les autorisations nécessaires à cet effet et, selon qu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il conviendra, d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approuver et de mettre en oeuvre ladite politique à titre provisoire;</w:t>
      </w:r>
      <w:bookmarkEnd w:id="16"/>
    </w:p>
    <w:p w:rsidR="003A601E" w:rsidRPr="00153A4A" w:rsidRDefault="003A601E" w:rsidP="003A601E">
      <w:pPr>
        <w:pStyle w:val="enumlev1"/>
        <w:rPr>
          <w:rFonts w:eastAsia="SimSun"/>
        </w:rPr>
      </w:pPr>
      <w:bookmarkStart w:id="17" w:name="lt_pId026"/>
      <w:r w:rsidRPr="00153A4A">
        <w:t>•</w:t>
      </w:r>
      <w:r w:rsidRPr="00153A4A">
        <w:tab/>
        <w:t xml:space="preserve">de charger </w:t>
      </w:r>
      <w:r w:rsidRPr="00153A4A">
        <w:rPr>
          <w:rFonts w:eastAsia="SimSun"/>
        </w:rPr>
        <w:t>le Conseil de soumettre ladite politique à la Con</w:t>
      </w:r>
      <w:r w:rsidR="000F53B9">
        <w:rPr>
          <w:rFonts w:eastAsia="SimSun"/>
        </w:rPr>
        <w:t>férence de plénipotentiaires de </w:t>
      </w:r>
      <w:r w:rsidRPr="00153A4A">
        <w:rPr>
          <w:rFonts w:eastAsia="SimSun"/>
        </w:rPr>
        <w:t>2018 en vue d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une décision finale.</w:t>
      </w:r>
      <w:bookmarkEnd w:id="17"/>
      <w:r w:rsidRPr="00153A4A">
        <w:rPr>
          <w:rFonts w:eastAsia="SimSun"/>
        </w:rPr>
        <w:t xml:space="preserve"> </w:t>
      </w:r>
    </w:p>
    <w:p w:rsidR="003A601E" w:rsidRPr="00153A4A" w:rsidRDefault="003A601E" w:rsidP="004F37D3">
      <w:pPr>
        <w:rPr>
          <w:rFonts w:eastAsia="SimSun"/>
        </w:rPr>
      </w:pPr>
      <w:bookmarkStart w:id="18" w:name="lt_pId027"/>
      <w:r w:rsidRPr="00153A4A">
        <w:rPr>
          <w:rFonts w:eastAsia="SimSun"/>
        </w:rPr>
        <w:t>1.2</w:t>
      </w:r>
      <w:r w:rsidRPr="00153A4A">
        <w:rPr>
          <w:rFonts w:eastAsia="SimSun"/>
        </w:rPr>
        <w:tab/>
        <w:t>A la réunion qu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 xml:space="preserve">il a tenue le 5 février 2015, le </w:t>
      </w:r>
      <w:r w:rsidR="004F37D3">
        <w:rPr>
          <w:rFonts w:eastAsia="SimSun"/>
        </w:rPr>
        <w:t xml:space="preserve">GTC-FHR </w:t>
      </w:r>
      <w:r w:rsidRPr="00153A4A">
        <w:rPr>
          <w:rFonts w:eastAsia="SimSun"/>
        </w:rPr>
        <w:t>a décidé de</w:t>
      </w:r>
      <w:r w:rsidR="000F53B9">
        <w:rPr>
          <w:rFonts w:eastAsia="SimSun"/>
        </w:rPr>
        <w:t xml:space="preserve"> constituer un Groupe </w:t>
      </w:r>
      <w:r w:rsidRPr="00153A4A">
        <w:rPr>
          <w:rFonts w:eastAsia="SimSun"/>
        </w:rPr>
        <w:t>spécialisé, afin de revoir la politique en matière d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accès aux documents. Le mandat du Groupe spécialisé sur la politique en matière d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accès à l</w:t>
      </w:r>
      <w:r w:rsidR="000F53B9">
        <w:rPr>
          <w:rFonts w:eastAsia="SimSun"/>
        </w:rPr>
        <w:t>'</w:t>
      </w:r>
      <w:r w:rsidRPr="00153A4A">
        <w:rPr>
          <w:rFonts w:eastAsia="SimSun"/>
        </w:rPr>
        <w:t>information/aux documents, présidé par M</w:t>
      </w:r>
      <w:r w:rsidR="000F53B9">
        <w:rPr>
          <w:rFonts w:eastAsia="SimSun"/>
        </w:rPr>
        <w:t>. Petko </w:t>
      </w:r>
      <w:r w:rsidRPr="00153A4A">
        <w:rPr>
          <w:rFonts w:eastAsia="SimSun"/>
        </w:rPr>
        <w:t>Kantchev (Bulgarie) et ouvert à tous les Etats Membres et Membres des Secteurs, peut être consulté dans le</w:t>
      </w:r>
      <w:bookmarkEnd w:id="18"/>
      <w:r w:rsidRPr="00153A4A">
        <w:rPr>
          <w:rFonts w:eastAsia="SimSun"/>
        </w:rPr>
        <w:t xml:space="preserve"> </w:t>
      </w:r>
      <w:bookmarkStart w:id="19" w:name="lt_pId028"/>
      <w:r w:rsidRPr="00153A4A">
        <w:fldChar w:fldCharType="begin"/>
      </w:r>
      <w:r w:rsidRPr="00153A4A">
        <w:instrText xml:space="preserve"> HYPERLINK "http://www.itu.int/md/S15-CLCWGFHRM4-C-0019/en" </w:instrText>
      </w:r>
      <w:r w:rsidRPr="00153A4A">
        <w:fldChar w:fldCharType="separate"/>
      </w:r>
      <w:r w:rsidRPr="00153A4A">
        <w:rPr>
          <w:rStyle w:val="Hyperlink"/>
          <w:szCs w:val="24"/>
        </w:rPr>
        <w:t>Document </w:t>
      </w:r>
      <w:r w:rsidR="00315FF0" w:rsidRPr="00153A4A">
        <w:rPr>
          <w:rStyle w:val="Hyperlink"/>
          <w:bCs/>
          <w:szCs w:val="24"/>
        </w:rPr>
        <w:t>CWG</w:t>
      </w:r>
      <w:r w:rsidR="00315FF0" w:rsidRPr="00153A4A">
        <w:rPr>
          <w:rStyle w:val="Hyperlink"/>
          <w:bCs/>
          <w:szCs w:val="24"/>
        </w:rPr>
        <w:noBreakHyphen/>
        <w:t>FHR 4/19</w:t>
      </w:r>
      <w:r w:rsidRPr="00153A4A">
        <w:rPr>
          <w:rStyle w:val="Hyperlink"/>
          <w:bCs/>
          <w:szCs w:val="24"/>
        </w:rPr>
        <w:t>(R</w:t>
      </w:r>
      <w:r w:rsidR="00315FF0" w:rsidRPr="00153A4A">
        <w:rPr>
          <w:rStyle w:val="Hyperlink"/>
          <w:bCs/>
          <w:szCs w:val="24"/>
        </w:rPr>
        <w:t>é</w:t>
      </w:r>
      <w:r w:rsidRPr="00153A4A">
        <w:rPr>
          <w:rStyle w:val="Hyperlink"/>
          <w:bCs/>
          <w:szCs w:val="24"/>
        </w:rPr>
        <w:t>v.2)</w:t>
      </w:r>
      <w:r w:rsidRPr="00153A4A">
        <w:rPr>
          <w:rStyle w:val="Hyperlink"/>
          <w:bCs/>
          <w:szCs w:val="24"/>
        </w:rPr>
        <w:fldChar w:fldCharType="end"/>
      </w:r>
      <w:r w:rsidRPr="004407D1">
        <w:rPr>
          <w:rStyle w:val="Hyperlink"/>
          <w:bCs/>
          <w:color w:val="auto"/>
          <w:szCs w:val="24"/>
          <w:u w:val="none"/>
        </w:rPr>
        <w:t>.</w:t>
      </w:r>
      <w:bookmarkEnd w:id="19"/>
      <w:r w:rsidR="004F37D3" w:rsidRPr="004407D1">
        <w:rPr>
          <w:rStyle w:val="Hyperlink"/>
          <w:bCs/>
          <w:color w:val="auto"/>
          <w:szCs w:val="24"/>
          <w:u w:val="none"/>
        </w:rPr>
        <w:t xml:space="preserve"> </w:t>
      </w:r>
      <w:bookmarkStart w:id="20" w:name="lt_pId030"/>
      <w:r w:rsidRPr="00153A4A">
        <w:rPr>
          <w:rFonts w:eastAsia="SimSun"/>
        </w:rPr>
        <w:t xml:space="preserve">Le GTC-FHR a </w:t>
      </w:r>
      <w:r w:rsidR="00153A4A" w:rsidRPr="00153A4A">
        <w:rPr>
          <w:rFonts w:eastAsia="SimSun"/>
        </w:rPr>
        <w:t>décidé</w:t>
      </w:r>
      <w:r w:rsidRPr="00153A4A">
        <w:rPr>
          <w:rFonts w:eastAsia="SimSun"/>
        </w:rPr>
        <w:t xml:space="preserve"> de soumettre le projet de politique au Conseil à sa session de 2016</w:t>
      </w:r>
      <w:bookmarkEnd w:id="20"/>
      <w:r w:rsidR="00315FF0" w:rsidRPr="00153A4A">
        <w:rPr>
          <w:rFonts w:eastAsia="SimSun"/>
        </w:rPr>
        <w:t>.</w:t>
      </w:r>
    </w:p>
    <w:p w:rsidR="003A601E" w:rsidRPr="00153A4A" w:rsidRDefault="003A601E" w:rsidP="004F37D3">
      <w:pPr>
        <w:rPr>
          <w:rFonts w:eastAsia="SimSun"/>
          <w:color w:val="000000"/>
        </w:rPr>
      </w:pPr>
      <w:bookmarkStart w:id="21" w:name="lt_pId031"/>
      <w:r w:rsidRPr="00153A4A">
        <w:rPr>
          <w:rFonts w:eastAsia="SimSun"/>
          <w:color w:val="000000"/>
        </w:rPr>
        <w:t>1.</w:t>
      </w:r>
      <w:r w:rsidR="004F37D3">
        <w:rPr>
          <w:rFonts w:eastAsia="SimSun"/>
          <w:color w:val="000000"/>
        </w:rPr>
        <w:t>3</w:t>
      </w:r>
      <w:r w:rsidRPr="00153A4A">
        <w:rPr>
          <w:rFonts w:eastAsia="SimSun"/>
          <w:color w:val="000000"/>
        </w:rPr>
        <w:tab/>
        <w:t xml:space="preserve">Le Conseil à sa session de 2016 </w:t>
      </w:r>
      <w:r w:rsidRPr="00153A4A">
        <w:t>a approuvé le projet de politique en vue de sa mise en oeuvre à titre provisoire, dans l</w:t>
      </w:r>
      <w:r w:rsidR="000F53B9">
        <w:t>'</w:t>
      </w:r>
      <w:r w:rsidRPr="00153A4A">
        <w:t>attente de son approbation définitive par la Conférence de plénipotentiaires de</w:t>
      </w:r>
      <w:bookmarkEnd w:id="21"/>
      <w:r w:rsidRPr="00153A4A">
        <w:t xml:space="preserve"> </w:t>
      </w:r>
      <w:bookmarkStart w:id="22" w:name="lt_pId032"/>
      <w:r w:rsidRPr="00153A4A">
        <w:t>2018. Le Conseil à sa session de 2016 a chargé</w:t>
      </w:r>
      <w:r w:rsidRPr="00153A4A">
        <w:rPr>
          <w:b/>
          <w:color w:val="800000"/>
        </w:rPr>
        <w:t xml:space="preserve"> </w:t>
      </w:r>
      <w:r w:rsidRPr="00153A4A">
        <w:t>le Secrétaire général de l</w:t>
      </w:r>
      <w:r w:rsidR="000F53B9">
        <w:t>'</w:t>
      </w:r>
      <w:r w:rsidRPr="00153A4A">
        <w:t>UIT de mettre en place les procédures et les processus nécessaires et de commencer à mettre en oeuvre cette politique à compter du 1er janvier 2017. En outre, le Conseil a chargé le Secrétaire général de rendre compte au Conseil, à ses sessions de 2017 et 2018, de la mise en oeuvre de ladite politique, et notamment de formuler des suggestions éventuelles concernant la manière d</w:t>
      </w:r>
      <w:r w:rsidR="000F53B9">
        <w:t>'</w:t>
      </w:r>
      <w:r w:rsidRPr="00153A4A">
        <w:t>améliorer cette politique</w:t>
      </w:r>
      <w:bookmarkEnd w:id="22"/>
      <w:r w:rsidRPr="00153A4A">
        <w:t>.</w:t>
      </w:r>
    </w:p>
    <w:p w:rsidR="004F37D3" w:rsidRPr="00740560" w:rsidRDefault="000F53B9" w:rsidP="00667774">
      <w:pPr>
        <w:tabs>
          <w:tab w:val="clear" w:pos="567"/>
          <w:tab w:val="clear" w:pos="1134"/>
          <w:tab w:val="left" w:pos="709"/>
        </w:tabs>
        <w:snapToGrid w:val="0"/>
        <w:spacing w:after="120"/>
        <w:rPr>
          <w:rFonts w:eastAsia="SimSun"/>
          <w:szCs w:val="24"/>
          <w:lang w:val="fr-CH"/>
        </w:rPr>
      </w:pPr>
      <w:bookmarkStart w:id="23" w:name="lt_pId042"/>
      <w:r>
        <w:rPr>
          <w:rFonts w:eastAsia="SimSun"/>
          <w:szCs w:val="24"/>
          <w:lang w:val="fr-CH" w:eastAsia="zh-CN"/>
        </w:rPr>
        <w:t>1.4</w:t>
      </w:r>
      <w:r w:rsidR="004F37D3" w:rsidRPr="00740560">
        <w:rPr>
          <w:rFonts w:eastAsia="SimSun"/>
          <w:szCs w:val="24"/>
          <w:lang w:val="fr-CH" w:eastAsia="zh-CN"/>
        </w:rPr>
        <w:tab/>
      </w:r>
      <w:r w:rsidR="005B626F" w:rsidRPr="00740560">
        <w:rPr>
          <w:rFonts w:eastAsia="SimSun"/>
          <w:szCs w:val="24"/>
          <w:lang w:val="fr-CH" w:eastAsia="zh-CN"/>
        </w:rPr>
        <w:t xml:space="preserve">A sa session de </w:t>
      </w:r>
      <w:r w:rsidR="004F37D3" w:rsidRPr="00740560">
        <w:rPr>
          <w:rFonts w:eastAsia="SimSun"/>
          <w:szCs w:val="24"/>
          <w:lang w:val="fr-CH" w:eastAsia="zh-CN"/>
        </w:rPr>
        <w:t>2017</w:t>
      </w:r>
      <w:r w:rsidR="005B626F" w:rsidRPr="00740560">
        <w:rPr>
          <w:rFonts w:eastAsia="SimSun"/>
          <w:szCs w:val="24"/>
          <w:lang w:val="fr-CH" w:eastAsia="zh-CN"/>
        </w:rPr>
        <w:t xml:space="preserve">, le Conseil a pris note du </w:t>
      </w:r>
      <w:r w:rsidR="004F37D3" w:rsidRPr="00740560">
        <w:rPr>
          <w:rFonts w:eastAsia="SimSun"/>
          <w:szCs w:val="24"/>
          <w:lang w:val="fr-CH" w:eastAsia="zh-CN"/>
        </w:rPr>
        <w:t>r</w:t>
      </w:r>
      <w:r w:rsidR="005B626F" w:rsidRPr="00740560">
        <w:rPr>
          <w:rFonts w:eastAsia="SimSun"/>
          <w:szCs w:val="24"/>
          <w:lang w:val="fr-CH" w:eastAsia="zh-CN"/>
        </w:rPr>
        <w:t>ap</w:t>
      </w:r>
      <w:r w:rsidR="004F37D3" w:rsidRPr="00740560">
        <w:rPr>
          <w:rFonts w:eastAsia="SimSun"/>
          <w:szCs w:val="24"/>
          <w:lang w:val="fr-CH" w:eastAsia="zh-CN"/>
        </w:rPr>
        <w:t xml:space="preserve">port </w:t>
      </w:r>
      <w:r w:rsidR="005B626F" w:rsidRPr="00740560">
        <w:rPr>
          <w:rFonts w:eastAsia="SimSun"/>
          <w:szCs w:val="24"/>
          <w:lang w:val="fr-CH" w:eastAsia="zh-CN"/>
        </w:rPr>
        <w:t xml:space="preserve">du Secrétaire général </w:t>
      </w:r>
      <w:r>
        <w:rPr>
          <w:rFonts w:eastAsia="SimSun"/>
          <w:szCs w:val="24"/>
          <w:lang w:val="fr-CH" w:eastAsia="zh-CN"/>
        </w:rPr>
        <w:t>(D</w:t>
      </w:r>
      <w:r w:rsidR="004F37D3" w:rsidRPr="00740560">
        <w:rPr>
          <w:rFonts w:eastAsia="SimSun"/>
          <w:szCs w:val="24"/>
          <w:lang w:val="fr-CH" w:eastAsia="zh-CN"/>
        </w:rPr>
        <w:t>ocuments</w:t>
      </w:r>
      <w:r>
        <w:rPr>
          <w:rFonts w:eastAsia="SimSun"/>
          <w:szCs w:val="24"/>
          <w:lang w:val="fr-CH" w:eastAsia="zh-CN"/>
        </w:rPr>
        <w:t> </w:t>
      </w:r>
      <w:hyperlink r:id="rId10" w:history="1">
        <w:r w:rsidR="004F37D3" w:rsidRPr="00740560">
          <w:rPr>
            <w:rFonts w:eastAsia="SimSun"/>
            <w:color w:val="0000FF"/>
            <w:szCs w:val="24"/>
            <w:u w:val="single"/>
            <w:lang w:val="fr-CH" w:eastAsia="zh-CN"/>
          </w:rPr>
          <w:t>C17/66</w:t>
        </w:r>
      </w:hyperlink>
      <w:r w:rsidR="004F37D3" w:rsidRPr="00740560">
        <w:rPr>
          <w:rFonts w:eastAsia="SimSun"/>
          <w:szCs w:val="24"/>
          <w:lang w:val="fr-CH" w:eastAsia="zh-CN"/>
        </w:rPr>
        <w:t xml:space="preserve"> </w:t>
      </w:r>
      <w:r w:rsidR="005B626F" w:rsidRPr="00740560">
        <w:rPr>
          <w:rFonts w:eastAsia="SimSun"/>
          <w:szCs w:val="24"/>
          <w:lang w:val="fr-CH" w:eastAsia="zh-CN"/>
        </w:rPr>
        <w:t xml:space="preserve">et </w:t>
      </w:r>
      <w:hyperlink r:id="rId11" w:history="1">
        <w:r w:rsidR="004F37D3" w:rsidRPr="00740560">
          <w:rPr>
            <w:rFonts w:eastAsia="SimSun"/>
            <w:color w:val="0000FF"/>
            <w:szCs w:val="24"/>
            <w:u w:val="single"/>
            <w:lang w:val="fr-CH"/>
          </w:rPr>
          <w:t>C17/120</w:t>
        </w:r>
      </w:hyperlink>
      <w:r w:rsidR="004F37D3" w:rsidRPr="000F53B9">
        <w:rPr>
          <w:rFonts w:eastAsia="SimSun"/>
          <w:szCs w:val="24"/>
          <w:lang w:val="fr-CH"/>
        </w:rPr>
        <w:t>).</w:t>
      </w:r>
      <w:r w:rsidR="004F37D3" w:rsidRPr="00740560">
        <w:rPr>
          <w:rFonts w:eastAsia="SimSun"/>
          <w:szCs w:val="24"/>
          <w:lang w:val="fr-CH"/>
        </w:rPr>
        <w:t xml:space="preserve"> </w:t>
      </w:r>
    </w:p>
    <w:p w:rsidR="004F37D3" w:rsidRPr="00740560" w:rsidRDefault="004F37D3" w:rsidP="000F53B9">
      <w:pPr>
        <w:pStyle w:val="Heading1"/>
        <w:rPr>
          <w:rFonts w:eastAsiaTheme="minorEastAsia"/>
          <w:lang w:val="fr-CH" w:eastAsia="zh-CN"/>
        </w:rPr>
      </w:pPr>
      <w:r w:rsidRPr="00740560">
        <w:rPr>
          <w:rFonts w:eastAsiaTheme="minorEastAsia"/>
          <w:lang w:val="fr-CH" w:eastAsia="zh-CN"/>
        </w:rPr>
        <w:t>2</w:t>
      </w:r>
      <w:r w:rsidRPr="00740560">
        <w:rPr>
          <w:rFonts w:eastAsiaTheme="minorEastAsia"/>
          <w:lang w:val="fr-CH" w:eastAsia="zh-CN"/>
        </w:rPr>
        <w:tab/>
      </w:r>
      <w:r w:rsidR="005B626F" w:rsidRPr="00740560">
        <w:rPr>
          <w:rFonts w:eastAsiaTheme="minorEastAsia"/>
          <w:lang w:val="fr-CH" w:eastAsia="zh-CN"/>
        </w:rPr>
        <w:t>Poursuite de la mise en oeuvre de la politiq</w:t>
      </w:r>
      <w:r w:rsidR="000F53B9">
        <w:rPr>
          <w:rFonts w:eastAsiaTheme="minorEastAsia"/>
          <w:lang w:val="fr-CH" w:eastAsia="zh-CN"/>
        </w:rPr>
        <w:t>ue depuis la session de 2017 du </w:t>
      </w:r>
      <w:r w:rsidR="005B626F" w:rsidRPr="00740560">
        <w:rPr>
          <w:rFonts w:eastAsiaTheme="minorEastAsia"/>
          <w:lang w:val="fr-CH" w:eastAsia="zh-CN"/>
        </w:rPr>
        <w:t>Conseil</w:t>
      </w:r>
    </w:p>
    <w:p w:rsidR="00334554" w:rsidRDefault="00334554" w:rsidP="005B626F">
      <w:pPr>
        <w:rPr>
          <w:szCs w:val="24"/>
        </w:rPr>
      </w:pPr>
      <w:bookmarkStart w:id="24" w:name="lt_pId044"/>
      <w:bookmarkEnd w:id="23"/>
      <w:r w:rsidRPr="00740560">
        <w:rPr>
          <w:rFonts w:asciiTheme="minorHAnsi" w:eastAsia="SimSun" w:hAnsiTheme="minorHAnsi" w:cstheme="minorBidi"/>
          <w:color w:val="000000"/>
          <w:szCs w:val="24"/>
          <w:lang w:val="fr-CH" w:eastAsia="zh-CN"/>
        </w:rPr>
        <w:t>2.1</w:t>
      </w:r>
      <w:r w:rsidRPr="00740560">
        <w:rPr>
          <w:rFonts w:asciiTheme="minorHAnsi" w:eastAsia="SimSun" w:hAnsiTheme="minorHAnsi" w:cstheme="minorBidi"/>
          <w:color w:val="000000"/>
          <w:szCs w:val="24"/>
          <w:lang w:val="fr-CH" w:eastAsia="zh-CN"/>
        </w:rPr>
        <w:tab/>
      </w:r>
      <w:r>
        <w:rPr>
          <w:rFonts w:eastAsia="SimSun"/>
          <w:color w:val="000000"/>
          <w:szCs w:val="24"/>
        </w:rPr>
        <w:t>D</w:t>
      </w:r>
      <w:r w:rsidRPr="00153A4A">
        <w:rPr>
          <w:rFonts w:eastAsia="SimSun"/>
          <w:color w:val="000000"/>
          <w:szCs w:val="24"/>
        </w:rPr>
        <w:t xml:space="preserve">ans les invitations à participer aux réunions de </w:t>
      </w:r>
      <w:r w:rsidRPr="00153A4A">
        <w:rPr>
          <w:szCs w:val="24"/>
        </w:rPr>
        <w:t>l</w:t>
      </w:r>
      <w:r w:rsidR="000F53B9">
        <w:rPr>
          <w:szCs w:val="24"/>
        </w:rPr>
        <w:t>'</w:t>
      </w:r>
      <w:r w:rsidRPr="00153A4A">
        <w:rPr>
          <w:szCs w:val="24"/>
        </w:rPr>
        <w:t>UIT</w:t>
      </w:r>
      <w:r w:rsidRPr="00153A4A">
        <w:rPr>
          <w:rFonts w:eastAsia="SimSun"/>
          <w:color w:val="000000"/>
          <w:szCs w:val="24"/>
        </w:rPr>
        <w:t xml:space="preserve"> visées par la politique, </w:t>
      </w:r>
      <w:r>
        <w:rPr>
          <w:rFonts w:eastAsia="SimSun"/>
          <w:color w:val="000000"/>
          <w:szCs w:val="24"/>
        </w:rPr>
        <w:t xml:space="preserve">les délégués </w:t>
      </w:r>
      <w:r w:rsidRPr="00153A4A">
        <w:rPr>
          <w:rFonts w:eastAsia="SimSun"/>
          <w:color w:val="000000"/>
          <w:szCs w:val="24"/>
        </w:rPr>
        <w:t xml:space="preserve">ont </w:t>
      </w:r>
      <w:r>
        <w:rPr>
          <w:rFonts w:eastAsia="SimSun"/>
          <w:color w:val="000000"/>
          <w:szCs w:val="24"/>
        </w:rPr>
        <w:t xml:space="preserve">été </w:t>
      </w:r>
      <w:r w:rsidRPr="00153A4A">
        <w:rPr>
          <w:rFonts w:eastAsia="SimSun"/>
          <w:color w:val="000000"/>
          <w:szCs w:val="24"/>
        </w:rPr>
        <w:t>informés</w:t>
      </w:r>
      <w:r>
        <w:rPr>
          <w:rFonts w:eastAsia="SimSun"/>
          <w:color w:val="000000"/>
          <w:szCs w:val="24"/>
        </w:rPr>
        <w:t xml:space="preserve"> de la politique</w:t>
      </w:r>
      <w:r w:rsidRPr="00153A4A">
        <w:rPr>
          <w:rFonts w:eastAsia="SimSun"/>
          <w:color w:val="000000"/>
          <w:szCs w:val="24"/>
        </w:rPr>
        <w:t>.</w:t>
      </w:r>
    </w:p>
    <w:p w:rsidR="003A601E" w:rsidRPr="00153A4A" w:rsidRDefault="00315FF0" w:rsidP="005B626F">
      <w:pPr>
        <w:rPr>
          <w:rFonts w:eastAsia="SimSun"/>
          <w:color w:val="000000"/>
          <w:szCs w:val="24"/>
        </w:rPr>
      </w:pPr>
      <w:r w:rsidRPr="00153A4A">
        <w:rPr>
          <w:szCs w:val="24"/>
        </w:rPr>
        <w:t>2.</w:t>
      </w:r>
      <w:r w:rsidR="005B626F">
        <w:rPr>
          <w:szCs w:val="24"/>
        </w:rPr>
        <w:t>2</w:t>
      </w:r>
      <w:r w:rsidRPr="00153A4A">
        <w:rPr>
          <w:szCs w:val="24"/>
        </w:rPr>
        <w:tab/>
      </w:r>
      <w:r w:rsidR="003A601E" w:rsidRPr="00153A4A">
        <w:rPr>
          <w:szCs w:val="24"/>
        </w:rPr>
        <w:t xml:space="preserve">Conformément au point </w:t>
      </w:r>
      <w:r w:rsidR="003A601E" w:rsidRPr="00153A4A">
        <w:rPr>
          <w:rFonts w:cs="Calibri"/>
          <w:szCs w:val="24"/>
        </w:rPr>
        <w:t xml:space="preserve">4.4 de la politique, le </w:t>
      </w:r>
      <w:r w:rsidR="00201B70">
        <w:rPr>
          <w:rFonts w:cs="Calibri"/>
          <w:szCs w:val="24"/>
        </w:rPr>
        <w:t>Secrétariat</w:t>
      </w:r>
      <w:r w:rsidR="003A601E" w:rsidRPr="00153A4A">
        <w:rPr>
          <w:rFonts w:cs="Calibri"/>
          <w:szCs w:val="24"/>
        </w:rPr>
        <w:t xml:space="preserve"> a posté sur le site web de </w:t>
      </w:r>
      <w:r w:rsidR="003A601E" w:rsidRPr="00153A4A">
        <w:rPr>
          <w:szCs w:val="24"/>
        </w:rPr>
        <w:t>l</w:t>
      </w:r>
      <w:r w:rsidR="000F53B9">
        <w:rPr>
          <w:szCs w:val="24"/>
        </w:rPr>
        <w:t>'</w:t>
      </w:r>
      <w:r w:rsidR="003A601E" w:rsidRPr="00153A4A">
        <w:rPr>
          <w:szCs w:val="24"/>
        </w:rPr>
        <w:t xml:space="preserve">UIT la </w:t>
      </w:r>
      <w:r w:rsidR="003A601E" w:rsidRPr="00153A4A">
        <w:rPr>
          <w:rFonts w:eastAsia="SimSun"/>
          <w:color w:val="000000"/>
          <w:szCs w:val="24"/>
        </w:rPr>
        <w:t>politique en matière d</w:t>
      </w:r>
      <w:r w:rsidR="000F53B9">
        <w:rPr>
          <w:rFonts w:eastAsia="SimSun"/>
          <w:color w:val="000000"/>
          <w:szCs w:val="24"/>
        </w:rPr>
        <w:t>'</w:t>
      </w:r>
      <w:r w:rsidR="003A601E" w:rsidRPr="00153A4A">
        <w:rPr>
          <w:rFonts w:eastAsia="SimSun"/>
          <w:color w:val="000000"/>
          <w:szCs w:val="24"/>
        </w:rPr>
        <w:t>accès à l</w:t>
      </w:r>
      <w:r w:rsidR="000F53B9">
        <w:rPr>
          <w:rFonts w:eastAsia="SimSun"/>
          <w:color w:val="000000"/>
          <w:szCs w:val="24"/>
        </w:rPr>
        <w:t>'</w:t>
      </w:r>
      <w:r w:rsidR="003A601E" w:rsidRPr="00153A4A">
        <w:rPr>
          <w:rFonts w:eastAsia="SimSun"/>
          <w:color w:val="000000"/>
          <w:szCs w:val="24"/>
        </w:rPr>
        <w:t>information/aux documents dans les six langues</w:t>
      </w:r>
      <w:bookmarkEnd w:id="24"/>
      <w:r w:rsidR="003A601E" w:rsidRPr="00153A4A">
        <w:rPr>
          <w:rFonts w:eastAsia="SimSun"/>
          <w:color w:val="000000"/>
          <w:szCs w:val="24"/>
        </w:rPr>
        <w:t xml:space="preserve">. Une page </w:t>
      </w:r>
      <w:r w:rsidR="003A601E" w:rsidRPr="00153A4A">
        <w:rPr>
          <w:rFonts w:cs="Calibri"/>
          <w:szCs w:val="24"/>
        </w:rPr>
        <w:t>web</w:t>
      </w:r>
      <w:r w:rsidR="003A601E" w:rsidRPr="00153A4A">
        <w:rPr>
          <w:rFonts w:eastAsia="SimSun"/>
          <w:color w:val="000000"/>
          <w:szCs w:val="24"/>
        </w:rPr>
        <w:t xml:space="preserve"> spéciale</w:t>
      </w:r>
      <w:r w:rsidR="005B626F">
        <w:rPr>
          <w:rFonts w:eastAsia="SimSun"/>
          <w:color w:val="000000"/>
          <w:szCs w:val="24"/>
        </w:rPr>
        <w:t>,</w:t>
      </w:r>
      <w:r w:rsidR="003A601E" w:rsidRPr="00153A4A">
        <w:rPr>
          <w:rFonts w:eastAsia="SimSun"/>
          <w:color w:val="000000"/>
          <w:szCs w:val="24"/>
        </w:rPr>
        <w:t xml:space="preserve"> </w:t>
      </w:r>
      <w:r w:rsidR="005B626F">
        <w:rPr>
          <w:rFonts w:eastAsia="SimSun"/>
          <w:color w:val="000000"/>
          <w:szCs w:val="24"/>
        </w:rPr>
        <w:t>accessible depuis la page d</w:t>
      </w:r>
      <w:r w:rsidR="000F53B9">
        <w:rPr>
          <w:rFonts w:eastAsia="SimSun"/>
          <w:color w:val="000000"/>
          <w:szCs w:val="24"/>
        </w:rPr>
        <w:t>'</w:t>
      </w:r>
      <w:r w:rsidR="005B626F">
        <w:rPr>
          <w:rFonts w:eastAsia="SimSun"/>
          <w:color w:val="000000"/>
          <w:szCs w:val="24"/>
        </w:rPr>
        <w:t xml:space="preserve">accueil de </w:t>
      </w:r>
      <w:bookmarkStart w:id="25" w:name="lt_pId046"/>
      <w:r w:rsidR="003A601E" w:rsidRPr="00153A4A">
        <w:rPr>
          <w:szCs w:val="24"/>
        </w:rPr>
        <w:t>l</w:t>
      </w:r>
      <w:r w:rsidR="000F53B9">
        <w:rPr>
          <w:szCs w:val="24"/>
        </w:rPr>
        <w:t>'</w:t>
      </w:r>
      <w:r w:rsidR="003A601E" w:rsidRPr="00153A4A">
        <w:rPr>
          <w:szCs w:val="24"/>
        </w:rPr>
        <w:t>UIT</w:t>
      </w:r>
      <w:r w:rsidR="003A601E" w:rsidRPr="00153A4A">
        <w:rPr>
          <w:rFonts w:cs="Calibri"/>
          <w:szCs w:val="24"/>
        </w:rPr>
        <w:t xml:space="preserve"> sous la rubrique </w:t>
      </w:r>
      <w:r w:rsidRPr="00153A4A">
        <w:rPr>
          <w:rFonts w:cs="Calibri"/>
          <w:szCs w:val="24"/>
        </w:rPr>
        <w:t>"</w:t>
      </w:r>
      <w:r w:rsidR="003A601E" w:rsidRPr="00153A4A">
        <w:rPr>
          <w:rFonts w:cs="Calibri"/>
          <w:szCs w:val="24"/>
        </w:rPr>
        <w:t>Gouvernance</w:t>
      </w:r>
      <w:r w:rsidRPr="00153A4A">
        <w:rPr>
          <w:rFonts w:cs="Calibri"/>
          <w:szCs w:val="24"/>
        </w:rPr>
        <w:t>"</w:t>
      </w:r>
      <w:bookmarkEnd w:id="25"/>
      <w:r w:rsidR="005B626F">
        <w:rPr>
          <w:rFonts w:cs="Calibri"/>
          <w:szCs w:val="24"/>
        </w:rPr>
        <w:t>, a été créée</w:t>
      </w:r>
      <w:r w:rsidR="00C06232">
        <w:rPr>
          <w:rFonts w:cs="Calibri"/>
          <w:szCs w:val="24"/>
        </w:rPr>
        <w:t>.</w:t>
      </w:r>
    </w:p>
    <w:p w:rsidR="003A601E" w:rsidRPr="00153A4A" w:rsidRDefault="00315FF0" w:rsidP="00CB4B9F">
      <w:bookmarkStart w:id="26" w:name="lt_pId050"/>
      <w:r w:rsidRPr="00153A4A">
        <w:t>2.</w:t>
      </w:r>
      <w:r w:rsidR="00CB4B9F">
        <w:t>3</w:t>
      </w:r>
      <w:r w:rsidRPr="00153A4A">
        <w:tab/>
      </w:r>
      <w:r w:rsidR="003A601E" w:rsidRPr="00153A4A">
        <w:t xml:space="preserve">Depuis le </w:t>
      </w:r>
      <w:r w:rsidR="00CB4B9F">
        <w:t xml:space="preserve">dernier rapport soumis au Conseil à sa session </w:t>
      </w:r>
      <w:r w:rsidR="003A601E" w:rsidRPr="00153A4A">
        <w:t xml:space="preserve">2017, la politique </w:t>
      </w:r>
      <w:r w:rsidR="00CB4B9F">
        <w:t xml:space="preserve">a été </w:t>
      </w:r>
      <w:r w:rsidR="003A601E" w:rsidRPr="00153A4A">
        <w:t xml:space="preserve">appliquée aux documents de travail et aux documents finals des Réunions préparatoires régionales </w:t>
      </w:r>
      <w:r w:rsidR="00334554">
        <w:t xml:space="preserve">en vue </w:t>
      </w:r>
      <w:r w:rsidR="003A601E" w:rsidRPr="00153A4A">
        <w:t xml:space="preserve">de la CMDT-17, </w:t>
      </w:r>
      <w:r w:rsidR="00CB4B9F">
        <w:t xml:space="preserve">de la CMDT-17, </w:t>
      </w:r>
      <w:r w:rsidR="003A601E" w:rsidRPr="00153A4A">
        <w:t>du groupe de réunions des groupes de travail du Conseil</w:t>
      </w:r>
      <w:r w:rsidR="00CB4B9F">
        <w:t xml:space="preserve"> de septembre 2017 et de janvier 2018, </w:t>
      </w:r>
      <w:r w:rsidR="003A601E" w:rsidRPr="00153A4A">
        <w:t xml:space="preserve">des réunions </w:t>
      </w:r>
      <w:r w:rsidR="00CB4B9F">
        <w:t xml:space="preserve">de 2018 </w:t>
      </w:r>
      <w:r w:rsidR="003A601E" w:rsidRPr="00153A4A">
        <w:t>du GCR, du GCNT et du GCDT et de la session de 201</w:t>
      </w:r>
      <w:r w:rsidR="00CB4B9F">
        <w:t>8</w:t>
      </w:r>
      <w:r w:rsidR="003A601E" w:rsidRPr="00153A4A">
        <w:t xml:space="preserve"> du Conseil</w:t>
      </w:r>
      <w:bookmarkEnd w:id="26"/>
      <w:r w:rsidR="003A601E" w:rsidRPr="00153A4A">
        <w:t xml:space="preserve">. </w:t>
      </w:r>
    </w:p>
    <w:p w:rsidR="003A601E" w:rsidRPr="00153A4A" w:rsidRDefault="00315FF0" w:rsidP="00051008">
      <w:bookmarkStart w:id="27" w:name="lt_pId053"/>
      <w:r w:rsidRPr="00153A4A">
        <w:t>2.</w:t>
      </w:r>
      <w:r w:rsidR="00CB4B9F">
        <w:t>4</w:t>
      </w:r>
      <w:r w:rsidRPr="00153A4A">
        <w:tab/>
      </w:r>
      <w:r w:rsidR="004C0C4A">
        <w:t xml:space="preserve">Les entités </w:t>
      </w:r>
      <w:r w:rsidR="00051008">
        <w:t xml:space="preserve">qui ont soumis </w:t>
      </w:r>
      <w:r w:rsidR="004C0C4A">
        <w:t>des documents ont été systématiquement contactées concernant l</w:t>
      </w:r>
      <w:r w:rsidR="000F53B9">
        <w:t>'</w:t>
      </w:r>
      <w:r w:rsidR="004C0C4A">
        <w:t xml:space="preserve">accès à leurs documents. </w:t>
      </w:r>
      <w:r w:rsidR="003A601E" w:rsidRPr="00153A4A">
        <w:t xml:space="preserve">Les demandes des entités qui </w:t>
      </w:r>
      <w:r w:rsidR="00051008">
        <w:t xml:space="preserve">ont </w:t>
      </w:r>
      <w:r w:rsidR="003A601E" w:rsidRPr="00153A4A">
        <w:t>soum</w:t>
      </w:r>
      <w:r w:rsidR="00051008">
        <w:t xml:space="preserve">is </w:t>
      </w:r>
      <w:r w:rsidR="003A601E" w:rsidRPr="00153A4A">
        <w:t>des documents visant à interdire l</w:t>
      </w:r>
      <w:r w:rsidR="000F53B9">
        <w:t>'</w:t>
      </w:r>
      <w:r w:rsidR="003A601E" w:rsidRPr="00153A4A">
        <w:t>accès à certains documents conformément à l</w:t>
      </w:r>
      <w:r w:rsidR="000F53B9">
        <w:t>'</w:t>
      </w:r>
      <w:r w:rsidR="003A601E" w:rsidRPr="00153A4A">
        <w:t>Article 3.2 de la politique ont été traitées dans le Système de gestion des documents</w:t>
      </w:r>
      <w:bookmarkEnd w:id="27"/>
      <w:r w:rsidRPr="00153A4A">
        <w:t>.</w:t>
      </w:r>
    </w:p>
    <w:p w:rsidR="00571EEA" w:rsidRDefault="00315FF0" w:rsidP="0026502B">
      <w:pPr>
        <w:rPr>
          <w:szCs w:val="24"/>
        </w:rPr>
      </w:pPr>
      <w:bookmarkStart w:id="28" w:name="lt_pId055"/>
      <w:r w:rsidRPr="00153A4A">
        <w:rPr>
          <w:szCs w:val="24"/>
        </w:rPr>
        <w:t>2.</w:t>
      </w:r>
      <w:r w:rsidR="00CB4B9F">
        <w:rPr>
          <w:szCs w:val="24"/>
        </w:rPr>
        <w:t>5</w:t>
      </w:r>
      <w:r w:rsidRPr="00153A4A">
        <w:rPr>
          <w:szCs w:val="24"/>
        </w:rPr>
        <w:tab/>
      </w:r>
      <w:r w:rsidR="003A601E" w:rsidRPr="00153A4A">
        <w:rPr>
          <w:szCs w:val="24"/>
        </w:rPr>
        <w:t xml:space="preserve">Depuis le 1er janvier 2017, </w:t>
      </w:r>
      <w:r w:rsidR="001C61C8">
        <w:rPr>
          <w:szCs w:val="24"/>
        </w:rPr>
        <w:t xml:space="preserve">cinq </w:t>
      </w:r>
      <w:r w:rsidR="003A601E" w:rsidRPr="00153A4A">
        <w:rPr>
          <w:szCs w:val="24"/>
        </w:rPr>
        <w:t xml:space="preserve">demandes de documents </w:t>
      </w:r>
      <w:r w:rsidR="0026502B">
        <w:rPr>
          <w:szCs w:val="24"/>
        </w:rPr>
        <w:t xml:space="preserve">non disponibles sur le site web </w:t>
      </w:r>
      <w:r w:rsidR="003A601E" w:rsidRPr="00153A4A">
        <w:rPr>
          <w:szCs w:val="24"/>
        </w:rPr>
        <w:t>ont été reçues</w:t>
      </w:r>
      <w:r w:rsidR="0026502B">
        <w:rPr>
          <w:szCs w:val="24"/>
        </w:rPr>
        <w:t xml:space="preserve"> </w:t>
      </w:r>
      <w:r w:rsidR="0026502B" w:rsidRPr="00153A4A">
        <w:rPr>
          <w:szCs w:val="24"/>
        </w:rPr>
        <w:t>du grand public</w:t>
      </w:r>
      <w:r w:rsidR="003A601E" w:rsidRPr="00153A4A">
        <w:rPr>
          <w:szCs w:val="24"/>
        </w:rPr>
        <w:t>. L</w:t>
      </w:r>
      <w:r w:rsidR="000F53B9">
        <w:rPr>
          <w:szCs w:val="24"/>
        </w:rPr>
        <w:t>'</w:t>
      </w:r>
      <w:r w:rsidR="003A601E" w:rsidRPr="00153A4A">
        <w:rPr>
          <w:szCs w:val="24"/>
        </w:rPr>
        <w:t>équipe chargée du traitement des demandes a répondu à ces demandes</w:t>
      </w:r>
      <w:bookmarkEnd w:id="28"/>
      <w:r w:rsidR="003A601E" w:rsidRPr="00153A4A">
        <w:rPr>
          <w:szCs w:val="24"/>
        </w:rPr>
        <w:t>.</w:t>
      </w:r>
    </w:p>
    <w:p w:rsidR="00764950" w:rsidRPr="000F53B9" w:rsidRDefault="000F53B9" w:rsidP="000F53B9">
      <w:pPr>
        <w:pStyle w:val="Heading1"/>
        <w:rPr>
          <w:rFonts w:eastAsia="SimSun"/>
          <w:lang w:val="fr-CH"/>
        </w:rPr>
      </w:pPr>
      <w:r>
        <w:rPr>
          <w:rFonts w:eastAsia="SimSun"/>
          <w:lang w:val="fr-CH"/>
        </w:rPr>
        <w:t>3</w:t>
      </w:r>
      <w:r w:rsidR="00764950" w:rsidRPr="000F53B9">
        <w:rPr>
          <w:rFonts w:eastAsia="SimSun"/>
          <w:lang w:val="fr-CH"/>
        </w:rPr>
        <w:tab/>
        <w:t>Soumission de la politique à la PP-18</w:t>
      </w:r>
    </w:p>
    <w:p w:rsidR="00764950" w:rsidRPr="00740560" w:rsidRDefault="00051008" w:rsidP="00051008">
      <w:pPr>
        <w:snapToGrid w:val="0"/>
        <w:spacing w:after="120"/>
        <w:rPr>
          <w:rFonts w:eastAsia="SimSun"/>
          <w:color w:val="000000"/>
          <w:szCs w:val="24"/>
          <w:lang w:val="fr-CH"/>
        </w:rPr>
      </w:pPr>
      <w:r w:rsidRPr="00740560">
        <w:rPr>
          <w:rFonts w:eastAsia="SimSun"/>
          <w:color w:val="000000"/>
          <w:szCs w:val="24"/>
          <w:lang w:val="fr-CH"/>
        </w:rPr>
        <w:t>Comme l</w:t>
      </w:r>
      <w:r w:rsidR="000F53B9">
        <w:rPr>
          <w:rFonts w:eastAsia="SimSun"/>
          <w:color w:val="000000"/>
          <w:szCs w:val="24"/>
          <w:lang w:val="fr-CH"/>
        </w:rPr>
        <w:t>'</w:t>
      </w:r>
      <w:r w:rsidRPr="00740560">
        <w:rPr>
          <w:rFonts w:eastAsia="SimSun"/>
          <w:color w:val="000000"/>
          <w:szCs w:val="24"/>
          <w:lang w:val="fr-CH"/>
        </w:rPr>
        <w:t>a</w:t>
      </w:r>
      <w:r w:rsidR="00764950" w:rsidRPr="00740560">
        <w:rPr>
          <w:rFonts w:eastAsia="SimSun"/>
          <w:color w:val="000000"/>
          <w:szCs w:val="24"/>
          <w:lang w:val="fr-CH"/>
        </w:rPr>
        <w:t xml:space="preserve"> </w:t>
      </w:r>
      <w:r w:rsidRPr="00740560">
        <w:rPr>
          <w:rFonts w:eastAsia="SimSun"/>
          <w:color w:val="000000"/>
          <w:szCs w:val="24"/>
          <w:lang w:val="fr-CH"/>
        </w:rPr>
        <w:t>demandé</w:t>
      </w:r>
      <w:r w:rsidR="00764950" w:rsidRPr="00740560">
        <w:rPr>
          <w:rFonts w:eastAsia="SimSun"/>
          <w:color w:val="000000"/>
          <w:szCs w:val="24"/>
          <w:lang w:val="fr-CH"/>
        </w:rPr>
        <w:t xml:space="preserve"> la PP-14, le Conseil est invité à soumettre la politique reproduite dans l</w:t>
      </w:r>
      <w:r w:rsidR="000F53B9">
        <w:rPr>
          <w:rFonts w:eastAsia="SimSun"/>
          <w:color w:val="000000"/>
          <w:szCs w:val="24"/>
          <w:lang w:val="fr-CH"/>
        </w:rPr>
        <w:t>'</w:t>
      </w:r>
      <w:r w:rsidR="00764950" w:rsidRPr="00740560">
        <w:rPr>
          <w:rFonts w:eastAsia="SimSun"/>
          <w:color w:val="000000"/>
          <w:szCs w:val="24"/>
          <w:lang w:val="fr-CH"/>
        </w:rPr>
        <w:t>annexe à la Conférence de plénipotentiaires de 2018 en vue d</w:t>
      </w:r>
      <w:r w:rsidR="000F53B9">
        <w:rPr>
          <w:rFonts w:eastAsia="SimSun"/>
          <w:color w:val="000000"/>
          <w:szCs w:val="24"/>
          <w:lang w:val="fr-CH"/>
        </w:rPr>
        <w:t>'</w:t>
      </w:r>
      <w:r w:rsidR="00764950" w:rsidRPr="00740560">
        <w:rPr>
          <w:rFonts w:eastAsia="SimSun"/>
          <w:color w:val="000000"/>
          <w:szCs w:val="24"/>
          <w:lang w:val="fr-CH"/>
        </w:rPr>
        <w:t xml:space="preserve">une décision finale. </w:t>
      </w:r>
    </w:p>
    <w:p w:rsidR="00764950" w:rsidRPr="00764950" w:rsidRDefault="00764950" w:rsidP="000F53B9">
      <w:pPr>
        <w:snapToGrid w:val="0"/>
        <w:spacing w:before="3480" w:after="120"/>
        <w:jc w:val="both"/>
        <w:rPr>
          <w:rFonts w:eastAsia="SimSun"/>
          <w:color w:val="000000"/>
          <w:szCs w:val="24"/>
          <w:lang w:val="fr-CH"/>
        </w:rPr>
      </w:pPr>
      <w:r w:rsidRPr="00764950">
        <w:rPr>
          <w:rFonts w:eastAsia="SimSun"/>
          <w:b/>
          <w:bCs/>
          <w:color w:val="000000"/>
          <w:szCs w:val="24"/>
          <w:lang w:val="fr-CH"/>
        </w:rPr>
        <w:t>Annex</w:t>
      </w:r>
      <w:r>
        <w:rPr>
          <w:rFonts w:eastAsia="SimSun"/>
          <w:b/>
          <w:bCs/>
          <w:color w:val="000000"/>
          <w:szCs w:val="24"/>
          <w:lang w:val="fr-CH"/>
        </w:rPr>
        <w:t>e</w:t>
      </w:r>
      <w:r w:rsidRPr="00764950">
        <w:rPr>
          <w:rFonts w:eastAsia="SimSun"/>
          <w:color w:val="000000"/>
          <w:szCs w:val="24"/>
          <w:lang w:val="fr-CH"/>
        </w:rPr>
        <w:t>: Politique de l</w:t>
      </w:r>
      <w:r w:rsidR="000F53B9">
        <w:rPr>
          <w:rFonts w:eastAsia="SimSun"/>
          <w:color w:val="000000"/>
          <w:szCs w:val="24"/>
          <w:lang w:val="fr-CH"/>
        </w:rPr>
        <w:t>'</w:t>
      </w:r>
      <w:r w:rsidRPr="00764950">
        <w:rPr>
          <w:rFonts w:eastAsia="SimSun"/>
          <w:color w:val="000000"/>
          <w:szCs w:val="24"/>
          <w:lang w:val="fr-CH"/>
        </w:rPr>
        <w:t>UIT en matière d</w:t>
      </w:r>
      <w:r w:rsidR="000F53B9">
        <w:rPr>
          <w:rFonts w:eastAsia="SimSun"/>
          <w:color w:val="000000"/>
          <w:szCs w:val="24"/>
          <w:lang w:val="fr-CH"/>
        </w:rPr>
        <w:t>'</w:t>
      </w:r>
      <w:r w:rsidRPr="00764950">
        <w:rPr>
          <w:rFonts w:eastAsia="SimSun"/>
          <w:color w:val="000000"/>
          <w:szCs w:val="24"/>
          <w:lang w:val="fr-CH"/>
        </w:rPr>
        <w:t>accès à l</w:t>
      </w:r>
      <w:r w:rsidR="000F53B9">
        <w:rPr>
          <w:rFonts w:eastAsia="SimSun"/>
          <w:color w:val="000000"/>
          <w:szCs w:val="24"/>
          <w:lang w:val="fr-CH"/>
        </w:rPr>
        <w:t>'</w:t>
      </w:r>
      <w:r w:rsidRPr="00764950">
        <w:rPr>
          <w:rFonts w:eastAsia="SimSun"/>
          <w:color w:val="000000"/>
          <w:szCs w:val="24"/>
          <w:lang w:val="fr-CH"/>
        </w:rPr>
        <w:t>information/aux documents</w:t>
      </w:r>
    </w:p>
    <w:p w:rsidR="00764950" w:rsidRPr="00740560" w:rsidRDefault="00764950" w:rsidP="007649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caps/>
          <w:sz w:val="28"/>
          <w:lang w:val="fr-CH"/>
        </w:rPr>
      </w:pPr>
      <w:r w:rsidRPr="00740560">
        <w:rPr>
          <w:b/>
          <w:bCs/>
          <w:caps/>
          <w:sz w:val="28"/>
          <w:lang w:val="fr-CH"/>
        </w:rPr>
        <w:br w:type="page"/>
      </w:r>
    </w:p>
    <w:p w:rsidR="00764950" w:rsidRPr="00740560" w:rsidRDefault="00764950" w:rsidP="000F53B9">
      <w:pPr>
        <w:pStyle w:val="AnnexNo"/>
        <w:rPr>
          <w:lang w:val="fr-CH"/>
        </w:rPr>
      </w:pPr>
      <w:r w:rsidRPr="00740560">
        <w:rPr>
          <w:lang w:val="fr-CH"/>
        </w:rPr>
        <w:t>ANNEXE</w:t>
      </w:r>
    </w:p>
    <w:p w:rsidR="00764950" w:rsidRPr="00764950" w:rsidRDefault="00764950" w:rsidP="000F53B9">
      <w:pPr>
        <w:pStyle w:val="Annextitle"/>
      </w:pPr>
      <w:r w:rsidRPr="00764950">
        <w:t>Politique de l</w:t>
      </w:r>
      <w:r w:rsidR="000F53B9">
        <w:t>'</w:t>
      </w:r>
      <w:r w:rsidRPr="00764950">
        <w:t>UIT en matière d</w:t>
      </w:r>
      <w:r w:rsidR="000F53B9">
        <w:t>'</w:t>
      </w:r>
      <w:r w:rsidRPr="00764950">
        <w:t>accès à l</w:t>
      </w:r>
      <w:r w:rsidR="000F53B9">
        <w:t>'</w:t>
      </w:r>
      <w:r w:rsidRPr="00764950">
        <w:t>information/aux documents</w:t>
      </w:r>
    </w:p>
    <w:p w:rsidR="00764950" w:rsidRPr="000F53B9" w:rsidRDefault="00764950" w:rsidP="00764950">
      <w:pPr>
        <w:spacing w:before="240" w:after="240"/>
        <w:jc w:val="center"/>
        <w:rPr>
          <w:bCs/>
          <w:sz w:val="28"/>
          <w:lang w:val="fr-CH"/>
        </w:rPr>
      </w:pPr>
      <w:r w:rsidRPr="000F53B9">
        <w:rPr>
          <w:bCs/>
          <w:sz w:val="28"/>
          <w:lang w:val="fr-CH"/>
        </w:rPr>
        <w:t>Telle qu</w:t>
      </w:r>
      <w:r w:rsidR="000F53B9" w:rsidRPr="000F53B9">
        <w:rPr>
          <w:bCs/>
          <w:sz w:val="28"/>
          <w:lang w:val="fr-CH"/>
        </w:rPr>
        <w:t>'</w:t>
      </w:r>
      <w:r w:rsidRPr="000F53B9">
        <w:rPr>
          <w:bCs/>
          <w:sz w:val="28"/>
          <w:lang w:val="fr-CH"/>
        </w:rPr>
        <w:t>approuvée lors de la session 2016 du Conseil</w:t>
      </w:r>
    </w:p>
    <w:p w:rsidR="00764950" w:rsidRPr="00764950" w:rsidRDefault="00764950" w:rsidP="000F53B9">
      <w:pPr>
        <w:pStyle w:val="Heading1"/>
      </w:pPr>
      <w:r w:rsidRPr="00764950">
        <w:t>I</w:t>
      </w:r>
      <w:r w:rsidRPr="00764950">
        <w:tab/>
        <w:t xml:space="preserve">INTRODUCTION 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1.1</w:t>
      </w:r>
      <w:r w:rsidRPr="00764950">
        <w:rPr>
          <w:lang w:val="fr-CH"/>
        </w:rPr>
        <w:tab/>
        <w:t>L</w:t>
      </w:r>
      <w:r w:rsidR="000F53B9">
        <w:rPr>
          <w:lang w:val="fr-CH"/>
        </w:rPr>
        <w:t>'</w:t>
      </w:r>
      <w:r w:rsidRPr="00764950">
        <w:rPr>
          <w:lang w:val="fr-CH"/>
        </w:rPr>
        <w:t>Union internationale des télécommunications ("UIT") considère que l</w:t>
      </w:r>
      <w:r w:rsidR="000F53B9">
        <w:rPr>
          <w:lang w:val="fr-CH"/>
        </w:rPr>
        <w:t>'</w:t>
      </w:r>
      <w:r w:rsidRPr="00764950">
        <w:rPr>
          <w:lang w:val="fr-CH"/>
        </w:rPr>
        <w:t>accès du public à l</w:t>
      </w:r>
      <w:r w:rsidR="000F53B9">
        <w:rPr>
          <w:lang w:val="fr-CH"/>
        </w:rPr>
        <w:t>'</w:t>
      </w:r>
      <w:r w:rsidRPr="00764950">
        <w:rPr>
          <w:lang w:val="fr-CH"/>
        </w:rPr>
        <w:t>information/aux documents (ci-après dénommés "les informations ") contribue à mieux faire connaître et mieux faire comprendre la mission unique de l</w:t>
      </w:r>
      <w:r w:rsidR="000F53B9">
        <w:rPr>
          <w:lang w:val="fr-CH"/>
        </w:rPr>
        <w:t>'</w:t>
      </w:r>
      <w:r w:rsidRPr="00764950">
        <w:rPr>
          <w:lang w:val="fr-CH"/>
        </w:rPr>
        <w:t>UIT. Une amélioration de l</w:t>
      </w:r>
      <w:r w:rsidR="000F53B9">
        <w:rPr>
          <w:lang w:val="fr-CH"/>
        </w:rPr>
        <w:t>'</w:t>
      </w:r>
      <w:r w:rsidRPr="00764950">
        <w:rPr>
          <w:lang w:val="fr-CH"/>
        </w:rPr>
        <w:t>accès du public aux informations détenues, gérées ou créées par l</w:t>
      </w:r>
      <w:r w:rsidR="000F53B9">
        <w:rPr>
          <w:lang w:val="fr-CH"/>
        </w:rPr>
        <w:t>'</w:t>
      </w:r>
      <w:r w:rsidRPr="00764950">
        <w:rPr>
          <w:lang w:val="fr-CH"/>
        </w:rPr>
        <w:t>UIT facilite la transparence et la responsabilisation s</w:t>
      </w:r>
      <w:r w:rsidR="000F53B9">
        <w:rPr>
          <w:lang w:val="fr-CH"/>
        </w:rPr>
        <w:t>'</w:t>
      </w:r>
      <w:r w:rsidRPr="00764950">
        <w:rPr>
          <w:lang w:val="fr-CH"/>
        </w:rPr>
        <w:t>agissant des activités de l</w:t>
      </w:r>
      <w:r w:rsidR="000F53B9">
        <w:rPr>
          <w:lang w:val="fr-CH"/>
        </w:rPr>
        <w:t>'</w:t>
      </w:r>
      <w:r w:rsidRPr="00764950">
        <w:rPr>
          <w:lang w:val="fr-CH"/>
        </w:rPr>
        <w:t>UIT.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1.2</w:t>
      </w:r>
      <w:r w:rsidRPr="00764950">
        <w:rPr>
          <w:lang w:val="fr-CH"/>
        </w:rPr>
        <w:tab/>
        <w:t>Le respect de la présente politique incombe au Secrétaire général de l</w:t>
      </w:r>
      <w:r w:rsidR="000F53B9">
        <w:rPr>
          <w:lang w:val="fr-CH"/>
        </w:rPr>
        <w:t>'</w:t>
      </w:r>
      <w:r w:rsidRPr="00764950">
        <w:rPr>
          <w:lang w:val="fr-CH"/>
        </w:rPr>
        <w:t>UIT.</w:t>
      </w:r>
    </w:p>
    <w:p w:rsidR="00764950" w:rsidRPr="00764950" w:rsidRDefault="00764950" w:rsidP="000F53B9">
      <w:pPr>
        <w:pStyle w:val="Heading1"/>
      </w:pPr>
      <w:r w:rsidRPr="00764950">
        <w:t>II</w:t>
      </w:r>
      <w:r w:rsidRPr="00764950">
        <w:tab/>
        <w:t>ACCÈ</w:t>
      </w:r>
      <w:r w:rsidR="000F53B9">
        <w:t>S DU PUBLIC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2.1</w:t>
      </w:r>
      <w:r w:rsidRPr="00764950">
        <w:rPr>
          <w:lang w:val="fr-CH"/>
        </w:rPr>
        <w:tab/>
        <w:t>La politique de l</w:t>
      </w:r>
      <w:r w:rsidR="000F53B9">
        <w:rPr>
          <w:lang w:val="fr-CH"/>
        </w:rPr>
        <w:t>'</w:t>
      </w:r>
      <w:r w:rsidRPr="00764950">
        <w:rPr>
          <w:lang w:val="fr-CH"/>
        </w:rPr>
        <w:t>UIT en matière d</w:t>
      </w:r>
      <w:r w:rsidR="000F53B9">
        <w:rPr>
          <w:lang w:val="fr-CH"/>
        </w:rPr>
        <w:t>'</w:t>
      </w:r>
      <w:r w:rsidRPr="00764950">
        <w:rPr>
          <w:lang w:val="fr-CH"/>
        </w:rPr>
        <w:t>accès à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information/aux documents détermine </w:t>
      </w:r>
      <w:r w:rsidRPr="00764950">
        <w:rPr>
          <w:color w:val="000000"/>
          <w:lang w:val="fr-CH"/>
        </w:rPr>
        <w:t>dans quelle mesure les documents devraient être accessibles au public</w:t>
      </w:r>
      <w:r w:rsidRPr="00764950">
        <w:rPr>
          <w:lang w:val="fr-CH"/>
        </w:rPr>
        <w:t xml:space="preserve"> et garantit l</w:t>
      </w:r>
      <w:r w:rsidR="000F53B9">
        <w:rPr>
          <w:lang w:val="fr-CH"/>
        </w:rPr>
        <w:t>'</w:t>
      </w:r>
      <w:r w:rsidRPr="00764950">
        <w:rPr>
          <w:lang w:val="fr-CH"/>
        </w:rPr>
        <w:t>accès du public aux informations détenues, gérées ou créées par l</w:t>
      </w:r>
      <w:r w:rsidR="000F53B9">
        <w:rPr>
          <w:lang w:val="fr-CH"/>
        </w:rPr>
        <w:t>'</w:t>
      </w:r>
      <w:r w:rsidRPr="00764950">
        <w:rPr>
          <w:lang w:val="fr-CH"/>
        </w:rPr>
        <w:t>UIT. La présente politique s</w:t>
      </w:r>
      <w:r w:rsidR="000F53B9">
        <w:rPr>
          <w:lang w:val="fr-CH"/>
        </w:rPr>
        <w:t>'</w:t>
      </w:r>
      <w:r w:rsidRPr="00764950">
        <w:rPr>
          <w:lang w:val="fr-CH"/>
        </w:rPr>
        <w:t>applique aux catégories d</w:t>
      </w:r>
      <w:r w:rsidR="000F53B9">
        <w:rPr>
          <w:lang w:val="fr-CH"/>
        </w:rPr>
        <w:t>'</w:t>
      </w:r>
      <w:r w:rsidRPr="00764950">
        <w:rPr>
          <w:lang w:val="fr-CH"/>
        </w:rPr>
        <w:t>informations générales suivantes:</w:t>
      </w:r>
    </w:p>
    <w:p w:rsidR="00764950" w:rsidRPr="00764950" w:rsidRDefault="00764950" w:rsidP="00764950">
      <w:pPr>
        <w:spacing w:before="86"/>
        <w:ind w:left="567" w:hanging="567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Informations générales sur le mandat, les activités et l</w:t>
      </w:r>
      <w:r w:rsidR="000F53B9">
        <w:rPr>
          <w:lang w:val="fr-CH"/>
        </w:rPr>
        <w:t>'</w:t>
      </w:r>
      <w:r w:rsidRPr="00764950">
        <w:rPr>
          <w:lang w:val="fr-CH"/>
        </w:rPr>
        <w:t>histoire de l</w:t>
      </w:r>
      <w:r w:rsidR="000F53B9">
        <w:rPr>
          <w:lang w:val="fr-CH"/>
        </w:rPr>
        <w:t>'UIT</w:t>
      </w:r>
    </w:p>
    <w:p w:rsidR="00764950" w:rsidRPr="00764950" w:rsidRDefault="00764950" w:rsidP="00764950">
      <w:pPr>
        <w:spacing w:before="86"/>
        <w:ind w:left="567" w:hanging="567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Informations des conférences de l</w:t>
      </w:r>
      <w:r w:rsidR="000F53B9">
        <w:rPr>
          <w:lang w:val="fr-CH"/>
        </w:rPr>
        <w:t>'</w:t>
      </w:r>
      <w:r w:rsidRPr="00764950">
        <w:rPr>
          <w:lang w:val="fr-CH"/>
        </w:rPr>
        <w:t>UIT hab</w:t>
      </w:r>
      <w:r w:rsidR="000F53B9">
        <w:rPr>
          <w:lang w:val="fr-CH"/>
        </w:rPr>
        <w:t>ilitées à conclure des traités</w:t>
      </w:r>
    </w:p>
    <w:p w:rsidR="00764950" w:rsidRPr="00764950" w:rsidRDefault="00764950" w:rsidP="00764950">
      <w:pPr>
        <w:spacing w:before="86"/>
        <w:ind w:left="567" w:hanging="567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Informations relatives à la gouvernance et à la gestion de l</w:t>
      </w:r>
      <w:r w:rsidR="000F53B9">
        <w:rPr>
          <w:lang w:val="fr-CH"/>
        </w:rPr>
        <w:t>'UIT</w:t>
      </w:r>
    </w:p>
    <w:p w:rsidR="00764950" w:rsidRPr="00764950" w:rsidRDefault="00764950" w:rsidP="00764950">
      <w:pPr>
        <w:spacing w:before="86"/>
        <w:ind w:left="567" w:hanging="567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Informations relatives aux activités opérationnelles menées par l</w:t>
      </w:r>
      <w:r w:rsidR="000F53B9">
        <w:rPr>
          <w:lang w:val="fr-CH"/>
        </w:rPr>
        <w:t>'UIT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2.2</w:t>
      </w:r>
      <w:r w:rsidRPr="00764950">
        <w:rPr>
          <w:lang w:val="fr-CH"/>
        </w:rPr>
        <w:tab/>
        <w:t>Sous réserve de la Section III ci-dessous, les types d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informations mises à la disposition du public sont énumérés dans </w:t>
      </w:r>
      <w:hyperlink w:anchor="annex1" w:history="1">
        <w:r w:rsidRPr="00764950">
          <w:rPr>
            <w:color w:val="000000" w:themeColor="text1"/>
            <w:lang w:val="fr-CH"/>
          </w:rPr>
          <w:t>l</w:t>
        </w:r>
        <w:r w:rsidR="000F53B9">
          <w:rPr>
            <w:color w:val="000000" w:themeColor="text1"/>
            <w:lang w:val="fr-CH"/>
          </w:rPr>
          <w:t>'</w:t>
        </w:r>
        <w:r w:rsidRPr="00764950">
          <w:rPr>
            <w:color w:val="0000FF"/>
            <w:u w:val="single"/>
            <w:lang w:val="fr-CH"/>
          </w:rPr>
          <w:t>Annexe 1</w:t>
        </w:r>
      </w:hyperlink>
      <w:r w:rsidRPr="00764950">
        <w:rPr>
          <w:lang w:val="fr-CH"/>
        </w:rPr>
        <w:t>.</w:t>
      </w:r>
    </w:p>
    <w:p w:rsidR="00764950" w:rsidRPr="000F53B9" w:rsidRDefault="00764950" w:rsidP="000F53B9">
      <w:pPr>
        <w:pStyle w:val="Heading1"/>
      </w:pPr>
      <w:r w:rsidRPr="00764950">
        <w:t>III</w:t>
      </w:r>
      <w:r w:rsidRPr="00764950">
        <w:tab/>
        <w:t>NON-DIVULGATION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3.1</w:t>
      </w:r>
      <w:r w:rsidRPr="00764950">
        <w:rPr>
          <w:lang w:val="fr-CH"/>
        </w:rPr>
        <w:tab/>
        <w:t>Bien que l</w:t>
      </w:r>
      <w:r w:rsidR="000F53B9">
        <w:rPr>
          <w:lang w:val="fr-CH"/>
        </w:rPr>
        <w:t>'</w:t>
      </w:r>
      <w:r w:rsidRPr="00764950">
        <w:rPr>
          <w:lang w:val="fr-CH"/>
        </w:rPr>
        <w:t>UIT soit résolue à améliorer l</w:t>
      </w:r>
      <w:r w:rsidR="000F53B9">
        <w:rPr>
          <w:lang w:val="fr-CH"/>
        </w:rPr>
        <w:t>'</w:t>
      </w:r>
      <w:r w:rsidRPr="00764950">
        <w:rPr>
          <w:lang w:val="fr-CH"/>
        </w:rPr>
        <w:t>accès du public à l</w:t>
      </w:r>
      <w:r w:rsidR="000F53B9">
        <w:rPr>
          <w:lang w:val="fr-CH"/>
        </w:rPr>
        <w:t>'</w:t>
      </w:r>
      <w:r w:rsidRPr="00764950">
        <w:rPr>
          <w:lang w:val="fr-CH"/>
        </w:rPr>
        <w:t>information, il existe des raisons impérieuses de protéger certains types d</w:t>
      </w:r>
      <w:r w:rsidR="000F53B9">
        <w:rPr>
          <w:lang w:val="fr-CH"/>
        </w:rPr>
        <w:t>'</w:t>
      </w:r>
      <w:r w:rsidRPr="00764950">
        <w:rPr>
          <w:lang w:val="fr-CH"/>
        </w:rPr>
        <w:t>informations.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UIT ne rend pas accessibles au public les informations dont la </w:t>
      </w:r>
      <w:r w:rsidRPr="00764950">
        <w:rPr>
          <w:color w:val="000000"/>
          <w:lang w:val="fr-CH"/>
        </w:rPr>
        <w:t>divulgation risque de porter préjudice à des intérêts publics ou privés légitimes</w:t>
      </w:r>
      <w:r w:rsidRPr="00764950">
        <w:rPr>
          <w:lang w:val="fr-CH"/>
        </w:rPr>
        <w:t>. Ainsi, l</w:t>
      </w:r>
      <w:r w:rsidR="000F53B9">
        <w:rPr>
          <w:lang w:val="fr-CH"/>
        </w:rPr>
        <w:t>'</w:t>
      </w:r>
      <w:r w:rsidRPr="00764950">
        <w:rPr>
          <w:lang w:val="fr-CH"/>
        </w:rPr>
        <w:t>UIT ne rend pas accessibles au public les informations énumérées ci-dessous.</w:t>
      </w:r>
    </w:p>
    <w:p w:rsidR="00764950" w:rsidRPr="00764950" w:rsidRDefault="00764950" w:rsidP="00667774">
      <w:pPr>
        <w:rPr>
          <w:lang w:val="fr-CH"/>
        </w:rPr>
      </w:pPr>
      <w:r w:rsidRPr="00764950">
        <w:rPr>
          <w:lang w:val="fr-CH"/>
        </w:rPr>
        <w:t>3.1.1</w:t>
      </w:r>
      <w:r w:rsidRPr="00764950">
        <w:rPr>
          <w:lang w:val="fr-CH"/>
        </w:rPr>
        <w:tab/>
        <w:t>Informations personnelles, par exemple:</w:t>
      </w:r>
    </w:p>
    <w:p w:rsidR="00764950" w:rsidRPr="00764950" w:rsidRDefault="00764950" w:rsidP="00764950">
      <w:pPr>
        <w:spacing w:before="86"/>
        <w:ind w:left="567" w:hanging="567"/>
        <w:rPr>
          <w:rFonts w:cs="Calibri"/>
          <w:lang w:val="fr-CH"/>
        </w:rPr>
      </w:pPr>
      <w:r w:rsidRPr="00764950">
        <w:rPr>
          <w:rFonts w:cs="Calibri"/>
          <w:lang w:val="fr-CH"/>
        </w:rPr>
        <w:t>a)</w:t>
      </w:r>
      <w:r w:rsidRPr="00764950">
        <w:rPr>
          <w:rFonts w:cs="Calibri"/>
          <w:lang w:val="fr-CH"/>
        </w:rPr>
        <w:tab/>
      </w:r>
      <w:hyperlink r:id="rId12" w:anchor="safety" w:history="1">
        <w:r w:rsidR="00667774" w:rsidRPr="00764950">
          <w:t>I</w:t>
        </w:r>
        <w:r w:rsidRPr="00764950">
          <w:t>nformations dont la divulgation est susceptible de mettre en danger la sécurité d</w:t>
        </w:r>
        <w:r w:rsidR="000F53B9">
          <w:t>'</w:t>
        </w:r>
        <w:r w:rsidRPr="00764950">
          <w:t>une personne, d</w:t>
        </w:r>
        <w:r w:rsidR="000F53B9">
          <w:t>'</w:t>
        </w:r>
        <w:r w:rsidRPr="00764950">
          <w:t>enfreindre ses droits ou de porter atteinte à sa vie privée</w:t>
        </w:r>
      </w:hyperlink>
      <w:r w:rsidR="00667774">
        <w:t>.</w:t>
      </w:r>
    </w:p>
    <w:p w:rsidR="00764950" w:rsidRPr="00764950" w:rsidRDefault="00764950" w:rsidP="00764950">
      <w:pPr>
        <w:spacing w:before="86"/>
        <w:ind w:left="567" w:hanging="567"/>
        <w:rPr>
          <w:lang w:val="fr-CH"/>
        </w:rPr>
      </w:pPr>
      <w:r w:rsidRPr="00764950">
        <w:rPr>
          <w:rFonts w:cs="Calibri"/>
          <w:lang w:val="fr-CH"/>
        </w:rPr>
        <w:t>b)</w:t>
      </w:r>
      <w:r w:rsidRPr="00764950">
        <w:rPr>
          <w:rFonts w:cs="Calibri"/>
          <w:lang w:val="fr-CH"/>
        </w:rPr>
        <w:tab/>
      </w:r>
      <w:r w:rsidR="00667774" w:rsidRPr="00764950">
        <w:rPr>
          <w:rFonts w:cs="Calibri"/>
          <w:lang w:val="fr-CH"/>
        </w:rPr>
        <w:t>I</w:t>
      </w:r>
      <w:r w:rsidRPr="00764950">
        <w:rPr>
          <w:rFonts w:cs="Calibri"/>
          <w:lang w:val="fr-CH"/>
        </w:rPr>
        <w:t>nformations d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ordre personnel ou médical, ou relatives à la sécurité ou à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emploi des membres du personnel.</w:t>
      </w:r>
      <w:r w:rsidRPr="00764950">
        <w:t>Cela comprend, entre autres, les évaluations de performance, les informations médicales personnelles, les informations relatives à la nomination du personnel et au processus de sélection et les communications personnelles</w:t>
      </w:r>
      <w:r w:rsidRPr="00764950">
        <w:rPr>
          <w:lang w:val="fr-CH"/>
        </w:rPr>
        <w:t>.</w:t>
      </w:r>
    </w:p>
    <w:p w:rsidR="000F53B9" w:rsidRDefault="000F53B9" w:rsidP="00764950">
      <w:pPr>
        <w:rPr>
          <w:lang w:val="fr-CH"/>
        </w:rPr>
      </w:pPr>
      <w:r>
        <w:rPr>
          <w:lang w:val="fr-CH"/>
        </w:rPr>
        <w:br w:type="page"/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3.1.2</w:t>
      </w:r>
      <w:r w:rsidRPr="00764950">
        <w:rPr>
          <w:lang w:val="fr-CH"/>
        </w:rPr>
        <w:tab/>
        <w:t>Informations relatives à des questions juridiques ou disciplinaires ou à des enquêtes, par exemple:</w:t>
      </w:r>
    </w:p>
    <w:p w:rsidR="00764950" w:rsidRPr="00764950" w:rsidRDefault="00667774" w:rsidP="000F53B9">
      <w:pPr>
        <w:pStyle w:val="enumlev1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>I</w:t>
      </w:r>
      <w:r w:rsidR="00764950" w:rsidRPr="00764950">
        <w:rPr>
          <w:lang w:val="fr-CH"/>
        </w:rPr>
        <w:t>nformations relatives à des rapports d</w:t>
      </w:r>
      <w:r w:rsidR="000F53B9">
        <w:rPr>
          <w:lang w:val="fr-CH"/>
        </w:rPr>
        <w:t>'</w:t>
      </w:r>
      <w:r w:rsidR="00764950" w:rsidRPr="00764950">
        <w:rPr>
          <w:lang w:val="fr-CH"/>
        </w:rPr>
        <w:t xml:space="preserve">enquête ou </w:t>
      </w:r>
      <w:r>
        <w:rPr>
          <w:lang w:val="fr-CH"/>
        </w:rPr>
        <w:t>à des procédures disciplinaires</w:t>
      </w:r>
    </w:p>
    <w:p w:rsidR="00764950" w:rsidRPr="00764950" w:rsidRDefault="00764950" w:rsidP="000F53B9">
      <w:pPr>
        <w:pStyle w:val="enumlev1"/>
        <w:rPr>
          <w:lang w:val="fr-CH"/>
        </w:rPr>
      </w:pPr>
      <w:r w:rsidRPr="00764950">
        <w:rPr>
          <w:lang w:val="fr-CH"/>
        </w:rPr>
        <w:t>b)</w:t>
      </w:r>
      <w:r w:rsidRPr="00764950">
        <w:rPr>
          <w:lang w:val="fr-CH"/>
        </w:rPr>
        <w:tab/>
      </w:r>
      <w:r w:rsidR="00667774">
        <w:t>I</w:t>
      </w:r>
      <w:r w:rsidRPr="00764950">
        <w:t>nformations couvertes par les privilèges juridiques, y compris, notamment, les communications fournies et/ou reçues par l</w:t>
      </w:r>
      <w:r w:rsidR="000F53B9">
        <w:t>'</w:t>
      </w:r>
      <w:r w:rsidRPr="00764950">
        <w:t>Unité des affaires juridiques de l</w:t>
      </w:r>
      <w:r w:rsidR="000F53B9">
        <w:t>'UIT.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3.1.3</w:t>
      </w:r>
      <w:r w:rsidRPr="00764950">
        <w:rPr>
          <w:lang w:val="fr-CH"/>
        </w:rPr>
        <w:tab/>
        <w:t>Informations susceptibles de compromettre la sûreté et la sécurité, par exemple:</w:t>
      </w:r>
    </w:p>
    <w:p w:rsidR="00764950" w:rsidRPr="00764950" w:rsidRDefault="00667774" w:rsidP="000F53B9">
      <w:pPr>
        <w:pStyle w:val="enumlev1"/>
      </w:pPr>
      <w:r>
        <w:t>a)</w:t>
      </w:r>
      <w:r>
        <w:tab/>
        <w:t>I</w:t>
      </w:r>
      <w:r w:rsidR="00764950" w:rsidRPr="00764950">
        <w:t>nformations dont la divulgation est susceptible de mettre en danger la sécurité des membres de l</w:t>
      </w:r>
      <w:r w:rsidR="000F53B9">
        <w:t>'</w:t>
      </w:r>
      <w:r w:rsidR="00764950" w:rsidRPr="00764950">
        <w:t>UIT ou de nuire à la sécurité ou à la bonne conduite d</w:t>
      </w:r>
      <w:r w:rsidR="000F53B9">
        <w:t>'</w:t>
      </w:r>
      <w:r w:rsidR="00764950" w:rsidRPr="00764950">
        <w:t>une opération ou activité de l</w:t>
      </w:r>
      <w:r w:rsidR="000F53B9">
        <w:t>'</w:t>
      </w:r>
      <w:r w:rsidR="00764950" w:rsidRPr="00764950">
        <w:t>UIT.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3.1.4</w:t>
      </w:r>
      <w:r w:rsidRPr="00764950">
        <w:rPr>
          <w:lang w:val="fr-CH"/>
        </w:rPr>
        <w:tab/>
        <w:t>Informations commerciales et financières, par exemple:</w:t>
      </w:r>
    </w:p>
    <w:p w:rsidR="00764950" w:rsidRPr="00764950" w:rsidDel="00A74169" w:rsidRDefault="00764950" w:rsidP="000F53B9">
      <w:pPr>
        <w:pStyle w:val="enumlev1"/>
      </w:pPr>
      <w:r w:rsidRPr="00764950">
        <w:t>a)</w:t>
      </w:r>
      <w:r w:rsidRPr="00764950">
        <w:tab/>
      </w:r>
      <w:hyperlink r:id="rId13" w:anchor="commercialinformation" w:history="1">
        <w:r w:rsidR="00667774">
          <w:t>I</w:t>
        </w:r>
        <w:r w:rsidRPr="00764950">
          <w:t>nformations commerciales, financières, scientifiques ou techniques dont la divulgation nuirait aux intérêts financiers de l</w:t>
        </w:r>
        <w:r w:rsidR="000F53B9">
          <w:t>'</w:t>
        </w:r>
        <w:r w:rsidRPr="00764950">
          <w:t>UIT ou à ceux des membres de l</w:t>
        </w:r>
        <w:r w:rsidR="000F53B9">
          <w:t>'</w:t>
        </w:r>
        <w:r w:rsidRPr="00764950">
          <w:t>UIT</w:t>
        </w:r>
      </w:hyperlink>
      <w:r w:rsidR="000F53B9">
        <w:t>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3.2</w:t>
      </w:r>
      <w:r w:rsidRPr="00764950">
        <w:rPr>
          <w:lang w:val="fr-CH"/>
        </w:rPr>
        <w:tab/>
        <w:t>Les personnes qui soumettent des informations aux conférences, assemblées et réunions de l</w:t>
      </w:r>
      <w:r w:rsidR="000F53B9">
        <w:rPr>
          <w:lang w:val="fr-CH"/>
        </w:rPr>
        <w:t>'</w:t>
      </w:r>
      <w:r w:rsidRPr="00764950">
        <w:rPr>
          <w:lang w:val="fr-CH"/>
        </w:rPr>
        <w:t>UIT sont seules habilitées à déterminer si les informations en question, ou une partie de ces informations, contiennent des informations qui relèvent de l</w:t>
      </w:r>
      <w:r w:rsidR="000F53B9">
        <w:rPr>
          <w:lang w:val="fr-CH"/>
        </w:rPr>
        <w:t>'</w:t>
      </w:r>
      <w:r w:rsidRPr="00764950">
        <w:rPr>
          <w:lang w:val="fr-CH"/>
        </w:rPr>
        <w:t>une des catégories énumérées ci</w:t>
      </w:r>
      <w:r w:rsidRPr="00764950">
        <w:rPr>
          <w:lang w:val="fr-CH"/>
        </w:rPr>
        <w:noBreakHyphen/>
        <w:t xml:space="preserve">dessus ou ont un caractère sensible et, par conséquent, à indiquer que le document est assujetti à un accès restreint. En pareil cas, les personnes qui soumettent des informations sont encouragées à fournir, chaque fois que possible, une version caviardée </w:t>
      </w:r>
      <w:r w:rsidRPr="00764950">
        <w:rPr>
          <w:color w:val="000000"/>
          <w:lang w:val="fr-CH"/>
        </w:rPr>
        <w:t>accessible au public</w:t>
      </w:r>
      <w:r w:rsidRPr="00764950">
        <w:rPr>
          <w:lang w:val="fr-CH"/>
        </w:rPr>
        <w:t>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3.3</w:t>
      </w:r>
      <w:r w:rsidRPr="00764950">
        <w:rPr>
          <w:lang w:val="fr-CH"/>
        </w:rPr>
        <w:tab/>
        <w:t>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accès aux informations </w:t>
      </w:r>
      <w:r w:rsidRPr="00764950">
        <w:rPr>
          <w:color w:val="000000"/>
          <w:lang w:val="fr-CH"/>
        </w:rPr>
        <w:t>à diffusion restreinte</w:t>
      </w:r>
      <w:r w:rsidRPr="00764950">
        <w:rPr>
          <w:lang w:val="fr-CH"/>
        </w:rPr>
        <w:t xml:space="preserve"> restera limité  jusqu</w:t>
      </w:r>
      <w:r w:rsidR="000F53B9">
        <w:rPr>
          <w:lang w:val="fr-CH"/>
        </w:rPr>
        <w:t>'</w:t>
      </w:r>
      <w:r w:rsidRPr="00764950">
        <w:rPr>
          <w:lang w:val="fr-CH"/>
        </w:rPr>
        <w:t>à ce que ces informations ne répondent plus aux critères indiqués dans l</w:t>
      </w:r>
      <w:r w:rsidR="000F53B9">
        <w:rPr>
          <w:lang w:val="fr-CH"/>
        </w:rPr>
        <w:t>'</w:t>
      </w:r>
      <w:r w:rsidRPr="00764950">
        <w:rPr>
          <w:lang w:val="fr-CH"/>
        </w:rPr>
        <w:t>une des exceptions décrites ci-dessus, ou jusqu</w:t>
      </w:r>
      <w:r w:rsidR="000F53B9">
        <w:rPr>
          <w:lang w:val="fr-CH"/>
        </w:rPr>
        <w:t>'</w:t>
      </w:r>
      <w:r w:rsidRPr="00764950">
        <w:rPr>
          <w:lang w:val="fr-CH"/>
        </w:rPr>
        <w:t>à ce que la personne qui soumet des informations informe l</w:t>
      </w:r>
      <w:r w:rsidR="000F53B9">
        <w:rPr>
          <w:lang w:val="fr-CH"/>
        </w:rPr>
        <w:t>'</w:t>
      </w:r>
      <w:r w:rsidRPr="00764950">
        <w:rPr>
          <w:lang w:val="fr-CH"/>
        </w:rPr>
        <w:t>UIT que les informations en question peuvent être mises à la disposition du public.</w:t>
      </w:r>
    </w:p>
    <w:p w:rsidR="00764950" w:rsidRPr="00764950" w:rsidRDefault="00764950" w:rsidP="000F53B9">
      <w:pPr>
        <w:pStyle w:val="Heading1"/>
      </w:pPr>
      <w:r w:rsidRPr="00764950">
        <w:t>IV</w:t>
      </w:r>
      <w:r w:rsidRPr="00764950">
        <w:tab/>
        <w:t xml:space="preserve">MISE EN OEUVRE 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lang w:val="fr-CH"/>
        </w:rPr>
        <w:t>4.1</w:t>
      </w:r>
      <w:r w:rsidRPr="00764950">
        <w:rPr>
          <w:lang w:val="fr-CH"/>
        </w:rPr>
        <w:tab/>
        <w:t>L</w:t>
      </w:r>
      <w:r w:rsidR="000F53B9">
        <w:rPr>
          <w:lang w:val="fr-CH"/>
        </w:rPr>
        <w:t>'</w:t>
      </w:r>
      <w:r w:rsidRPr="00764950">
        <w:rPr>
          <w:lang w:val="fr-CH"/>
        </w:rPr>
        <w:t>UIT diffuse des informations au public par différents moyens, notamment sur son site web</w:t>
      </w:r>
      <w:r w:rsidRPr="00764950">
        <w:rPr>
          <w:color w:val="000000"/>
          <w:lang w:val="fr-CH"/>
        </w:rPr>
        <w:t xml:space="preserve"> accessible au public </w:t>
      </w:r>
      <w:r w:rsidRPr="00764950">
        <w:rPr>
          <w:lang w:val="fr-CH"/>
        </w:rPr>
        <w:t>(</w:t>
      </w:r>
      <w:hyperlink r:id="rId14" w:history="1">
        <w:r w:rsidRPr="00764950">
          <w:rPr>
            <w:color w:val="0000FF"/>
            <w:u w:val="single"/>
            <w:lang w:val="fr-CH"/>
          </w:rPr>
          <w:t>www.itu.int</w:t>
        </w:r>
      </w:hyperlink>
      <w:r w:rsidRPr="00764950">
        <w:rPr>
          <w:lang w:val="fr-CH"/>
        </w:rPr>
        <w:t>), par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intermédiaire du </w:t>
      </w:r>
      <w:r w:rsidRPr="00764950">
        <w:rPr>
          <w:color w:val="000000"/>
          <w:lang w:val="fr-CH"/>
        </w:rPr>
        <w:t>Service des ventes des publications de l</w:t>
      </w:r>
      <w:r w:rsidR="000F53B9">
        <w:rPr>
          <w:color w:val="000000"/>
          <w:lang w:val="fr-CH"/>
        </w:rPr>
        <w:t>'</w:t>
      </w:r>
      <w:r w:rsidRPr="00764950">
        <w:rPr>
          <w:color w:val="000000"/>
          <w:lang w:val="fr-CH"/>
        </w:rPr>
        <w:t xml:space="preserve">UIT, sur le </w:t>
      </w:r>
      <w:r w:rsidRPr="00764950">
        <w:rPr>
          <w:lang w:val="fr-CH"/>
        </w:rPr>
        <w:t>portail mondial web pour les fournisseurs des organismes des Nations Unies (</w:t>
      </w:r>
      <w:hyperlink r:id="rId15" w:history="1">
        <w:r w:rsidRPr="00764950">
          <w:rPr>
            <w:color w:val="0000FF"/>
            <w:u w:val="single"/>
            <w:lang w:val="fr-CH"/>
          </w:rPr>
          <w:t>www.ungm.org</w:t>
        </w:r>
      </w:hyperlink>
      <w:r w:rsidRPr="00764950">
        <w:rPr>
          <w:lang w:val="fr-CH"/>
        </w:rPr>
        <w:t xml:space="preserve">), et par le biais de communiqués de presse et de </w:t>
      </w:r>
      <w:r w:rsidRPr="00764950">
        <w:rPr>
          <w:color w:val="000000"/>
          <w:lang w:val="fr-CH"/>
        </w:rPr>
        <w:t>porte-paroles.</w:t>
      </w:r>
    </w:p>
    <w:p w:rsidR="00764950" w:rsidRPr="00764950" w:rsidRDefault="00764950" w:rsidP="00764950">
      <w:pPr>
        <w:rPr>
          <w:lang w:val="fr-CH"/>
        </w:rPr>
      </w:pPr>
      <w:r w:rsidRPr="00764950">
        <w:rPr>
          <w:rFonts w:cs="Calibri"/>
          <w:lang w:val="fr-CH"/>
        </w:rPr>
        <w:t>4.2</w:t>
      </w:r>
      <w:r w:rsidRPr="00764950">
        <w:rPr>
          <w:rFonts w:cs="Calibri"/>
          <w:lang w:val="fr-CH"/>
        </w:rPr>
        <w:tab/>
        <w:t xml:space="preserve">Toute personne ou organisation peut demander les informations mentionnées dans </w:t>
      </w:r>
      <w:hyperlink w:anchor="annex1" w:history="1">
        <w:r w:rsidRPr="00764950">
          <w:rPr>
            <w:rFonts w:cs="Calibri"/>
            <w:color w:val="000000" w:themeColor="text1"/>
            <w:lang w:val="fr-CH"/>
          </w:rPr>
          <w:t>l</w:t>
        </w:r>
        <w:r w:rsidR="000F53B9">
          <w:rPr>
            <w:rFonts w:cs="Calibri"/>
            <w:color w:val="000000" w:themeColor="text1"/>
            <w:lang w:val="fr-CH"/>
          </w:rPr>
          <w:t>'</w:t>
        </w:r>
        <w:r w:rsidR="000F53B9">
          <w:rPr>
            <w:rFonts w:cs="Calibri"/>
            <w:color w:val="0000FF"/>
            <w:u w:val="single"/>
            <w:lang w:val="fr-CH"/>
          </w:rPr>
          <w:t>Annexe </w:t>
        </w:r>
        <w:r w:rsidRPr="00764950">
          <w:rPr>
            <w:rFonts w:cs="Calibri"/>
            <w:color w:val="0000FF"/>
            <w:u w:val="single"/>
            <w:lang w:val="fr-CH"/>
          </w:rPr>
          <w:t>1</w:t>
        </w:r>
      </w:hyperlink>
      <w:r w:rsidRPr="00764950">
        <w:rPr>
          <w:rFonts w:cs="Calibri"/>
          <w:color w:val="000000" w:themeColor="text1"/>
          <w:lang w:val="fr-CH"/>
        </w:rPr>
        <w:t xml:space="preserve">, </w:t>
      </w:r>
      <w:r w:rsidRPr="00764950">
        <w:rPr>
          <w:rFonts w:cs="Calibri"/>
          <w:lang w:val="fr-CH"/>
        </w:rPr>
        <w:t>si ces informations ne sont pas déjà accessibles par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intermédiaire du site web de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 xml:space="preserve">UIT accessible au public, du </w:t>
      </w:r>
      <w:r w:rsidRPr="00764950">
        <w:rPr>
          <w:color w:val="000000"/>
          <w:lang w:val="fr-CH"/>
        </w:rPr>
        <w:t>Service des ventes des publications de l</w:t>
      </w:r>
      <w:r w:rsidR="000F53B9">
        <w:rPr>
          <w:color w:val="000000"/>
          <w:lang w:val="fr-CH"/>
        </w:rPr>
        <w:t>'</w:t>
      </w:r>
      <w:r w:rsidRPr="00764950">
        <w:rPr>
          <w:color w:val="000000"/>
          <w:lang w:val="fr-CH"/>
        </w:rPr>
        <w:t>UIT</w:t>
      </w:r>
      <w:r w:rsidRPr="00764950">
        <w:rPr>
          <w:rFonts w:cs="Calibri"/>
          <w:lang w:val="fr-CH"/>
        </w:rPr>
        <w:t xml:space="preserve"> ou par d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 xml:space="preserve">autres moyens. Ces demandes devraient être soumises par écrit à </w:t>
      </w:r>
      <w:hyperlink r:id="rId16" w:history="1">
        <w:r w:rsidRPr="00764950">
          <w:rPr>
            <w:rFonts w:cs="Calibri"/>
            <w:color w:val="0000FF"/>
            <w:u w:val="single"/>
            <w:lang w:val="fr-CH"/>
          </w:rPr>
          <w:t>access@itu.int</w:t>
        </w:r>
      </w:hyperlink>
      <w:r w:rsidRPr="00764950">
        <w:rPr>
          <w:rFonts w:cs="Calibri"/>
          <w:color w:val="C00000"/>
          <w:lang w:val="fr-CH"/>
        </w:rPr>
        <w:t xml:space="preserve"> </w:t>
      </w:r>
      <w:r w:rsidRPr="00764950">
        <w:rPr>
          <w:rFonts w:cs="Calibri"/>
          <w:lang w:val="fr-CH"/>
        </w:rPr>
        <w:t>et doivent comprendre le nom complet et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adresse du demandeur.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 xml:space="preserve">UIT peut </w:t>
      </w:r>
      <w:r w:rsidRPr="00764950">
        <w:rPr>
          <w:color w:val="000000"/>
          <w:lang w:val="fr-CH"/>
        </w:rPr>
        <w:t>exiger le paiement de frais</w:t>
      </w:r>
      <w:r w:rsidRPr="00764950">
        <w:rPr>
          <w:rFonts w:cs="Calibri"/>
          <w:lang w:val="fr-CH"/>
        </w:rPr>
        <w:t xml:space="preserve"> pour couvrir les</w:t>
      </w:r>
      <w:r w:rsidRPr="00764950">
        <w:rPr>
          <w:color w:val="000000"/>
          <w:lang w:val="fr-CH"/>
        </w:rPr>
        <w:t xml:space="preserve"> coûts de matériel et de main-d</w:t>
      </w:r>
      <w:r w:rsidR="000F53B9">
        <w:rPr>
          <w:color w:val="000000"/>
          <w:lang w:val="fr-CH"/>
        </w:rPr>
        <w:t>'</w:t>
      </w:r>
      <w:r w:rsidRPr="00764950">
        <w:rPr>
          <w:color w:val="000000"/>
          <w:lang w:val="fr-CH"/>
        </w:rPr>
        <w:t>oeuvre</w:t>
      </w:r>
      <w:r w:rsidRPr="00764950">
        <w:rPr>
          <w:rFonts w:cs="Calibri"/>
          <w:lang w:val="fr-CH"/>
        </w:rPr>
        <w:t xml:space="preserve"> </w:t>
      </w:r>
    </w:p>
    <w:p w:rsidR="00764950" w:rsidRPr="00764950" w:rsidRDefault="00764950" w:rsidP="00764950">
      <w:pPr>
        <w:keepLines/>
        <w:rPr>
          <w:rFonts w:cs="Calibri"/>
          <w:lang w:val="fr-CH"/>
        </w:rPr>
      </w:pPr>
      <w:r w:rsidRPr="00764950">
        <w:rPr>
          <w:rFonts w:cs="Calibri"/>
          <w:lang w:val="fr-CH"/>
        </w:rPr>
        <w:t>4.3</w:t>
      </w:r>
      <w:r w:rsidRPr="00764950">
        <w:rPr>
          <w:rFonts w:cs="Calibri"/>
          <w:lang w:val="fr-CH"/>
        </w:rPr>
        <w:tab/>
        <w:t>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UIT se réserve le droit de refuser toute demande qui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obligerait à créer, concevoir ou recueillir des informations ou des données qui n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existent pas déjà, ou qui ne sont pas disponibles dans les systèmes informatiques de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Union.</w:t>
      </w:r>
    </w:p>
    <w:p w:rsidR="00764950" w:rsidRPr="00764950" w:rsidRDefault="00764950" w:rsidP="00764950">
      <w:pPr>
        <w:keepLines/>
        <w:rPr>
          <w:rFonts w:cs="Calibri"/>
          <w:lang w:val="fr-CH"/>
        </w:rPr>
      </w:pPr>
      <w:r w:rsidRPr="00764950">
        <w:rPr>
          <w:rFonts w:cs="Calibri"/>
          <w:lang w:val="fr-CH"/>
        </w:rPr>
        <w:t>4.4</w:t>
      </w:r>
      <w:r w:rsidRPr="00764950">
        <w:rPr>
          <w:rFonts w:cs="Calibri"/>
          <w:lang w:val="fr-CH"/>
        </w:rPr>
        <w:tab/>
        <w:t>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UIT postera la politique en matière d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accès à l</w:t>
      </w:r>
      <w:r w:rsidR="000F53B9">
        <w:rPr>
          <w:rFonts w:cs="Calibri"/>
          <w:lang w:val="fr-CH"/>
        </w:rPr>
        <w:t>'</w:t>
      </w:r>
      <w:r w:rsidRPr="00764950">
        <w:rPr>
          <w:rFonts w:cs="Calibri"/>
          <w:lang w:val="fr-CH"/>
        </w:rPr>
        <w:t>information/aux documents sur son site web.</w:t>
      </w:r>
    </w:p>
    <w:p w:rsidR="00764950" w:rsidRPr="00764950" w:rsidRDefault="00764950" w:rsidP="000F53B9">
      <w:pPr>
        <w:pStyle w:val="Headingb"/>
        <w:rPr>
          <w:lang w:val="fr-CH"/>
        </w:rPr>
      </w:pPr>
      <w:r w:rsidRPr="00764950">
        <w:rPr>
          <w:lang w:val="fr-CH"/>
        </w:rPr>
        <w:t xml:space="preserve">Entrée en vigueur </w:t>
      </w:r>
    </w:p>
    <w:p w:rsidR="00764950" w:rsidRPr="00764950" w:rsidRDefault="00764950" w:rsidP="00764950">
      <w:pPr>
        <w:rPr>
          <w:rFonts w:cs="Calibri"/>
          <w:lang w:val="fr-CH"/>
        </w:rPr>
      </w:pPr>
      <w:r w:rsidRPr="00764950">
        <w:rPr>
          <w:rFonts w:cs="Calibri"/>
          <w:lang w:val="fr-CH"/>
        </w:rPr>
        <w:t>La présente Politique entrera provisoirement en vigueur le 1er janvier 2017.</w:t>
      </w:r>
    </w:p>
    <w:p w:rsidR="00764950" w:rsidRPr="00764950" w:rsidRDefault="00764950" w:rsidP="000F53B9">
      <w:pPr>
        <w:pStyle w:val="AnnexNo"/>
        <w:rPr>
          <w:lang w:val="fr-CH"/>
        </w:rPr>
      </w:pPr>
      <w:r w:rsidRPr="00764950">
        <w:rPr>
          <w:lang w:val="fr-CH"/>
        </w:rPr>
        <w:t>AnnexE 1 de la politique</w:t>
      </w:r>
    </w:p>
    <w:p w:rsidR="00764950" w:rsidRPr="00764950" w:rsidRDefault="00764950" w:rsidP="000F53B9">
      <w:pPr>
        <w:pStyle w:val="Annextitle"/>
        <w:rPr>
          <w:lang w:val="fr-CH"/>
        </w:rPr>
      </w:pPr>
      <w:r w:rsidRPr="00764950">
        <w:rPr>
          <w:lang w:val="fr-CH"/>
        </w:rPr>
        <w:t>Informations accessibles au public</w:t>
      </w:r>
    </w:p>
    <w:p w:rsidR="00764950" w:rsidRPr="00764950" w:rsidRDefault="00764950" w:rsidP="00764950">
      <w:pPr>
        <w:spacing w:after="240"/>
        <w:rPr>
          <w:lang w:val="fr-CH"/>
        </w:rPr>
      </w:pPr>
      <w:r w:rsidRPr="00764950">
        <w:rPr>
          <w:lang w:val="fr-CH"/>
        </w:rPr>
        <w:t>Sous réserve de la Section III de la politique en matière d</w:t>
      </w:r>
      <w:r w:rsidR="000F53B9">
        <w:rPr>
          <w:lang w:val="fr-CH"/>
        </w:rPr>
        <w:t>'</w:t>
      </w:r>
      <w:r w:rsidRPr="00764950">
        <w:rPr>
          <w:lang w:val="fr-CH"/>
        </w:rPr>
        <w:t>accès à l</w:t>
      </w:r>
      <w:r w:rsidR="000F53B9">
        <w:rPr>
          <w:lang w:val="fr-CH"/>
        </w:rPr>
        <w:t>'</w:t>
      </w:r>
      <w:r w:rsidRPr="00764950">
        <w:rPr>
          <w:lang w:val="fr-CH"/>
        </w:rPr>
        <w:t>information/aux documents, les types d</w:t>
      </w:r>
      <w:r w:rsidR="000F53B9">
        <w:rPr>
          <w:lang w:val="fr-CH"/>
        </w:rPr>
        <w:t>'</w:t>
      </w:r>
      <w:r w:rsidRPr="00764950">
        <w:rPr>
          <w:lang w:val="fr-CH"/>
        </w:rPr>
        <w:t>informations ci-après sont mis à la disposition du public.</w:t>
      </w:r>
    </w:p>
    <w:p w:rsidR="00764950" w:rsidRPr="00764950" w:rsidRDefault="00764950" w:rsidP="00667774">
      <w:pPr>
        <w:pStyle w:val="Headingi"/>
        <w:rPr>
          <w:lang w:val="fr-CH"/>
        </w:rPr>
      </w:pPr>
      <w:r w:rsidRPr="00764950">
        <w:rPr>
          <w:lang w:val="fr-CH"/>
        </w:rPr>
        <w:t>A</w:t>
      </w:r>
      <w:r w:rsidRPr="00764950">
        <w:rPr>
          <w:lang w:val="fr-CH"/>
        </w:rPr>
        <w:tab/>
        <w:t>Informations générales concernant le mandat, les activités et l</w:t>
      </w:r>
      <w:r w:rsidR="000F53B9">
        <w:rPr>
          <w:lang w:val="fr-CH"/>
        </w:rPr>
        <w:t>'</w:t>
      </w:r>
      <w:r w:rsidRPr="00764950">
        <w:rPr>
          <w:lang w:val="fr-CH"/>
        </w:rPr>
        <w:t>histoire de l</w:t>
      </w:r>
      <w:r w:rsidR="000F53B9">
        <w:rPr>
          <w:lang w:val="fr-CH"/>
        </w:rPr>
        <w:t>'</w:t>
      </w:r>
      <w:r w:rsidRPr="00764950">
        <w:rPr>
          <w:lang w:val="fr-CH"/>
        </w:rPr>
        <w:t>UIT di</w:t>
      </w:r>
      <w:r w:rsidR="00667774">
        <w:rPr>
          <w:lang w:val="fr-CH"/>
        </w:rPr>
        <w:t>ffusées sur différents supports</w:t>
      </w:r>
    </w:p>
    <w:p w:rsidR="00764950" w:rsidRPr="00764950" w:rsidRDefault="00764950" w:rsidP="00667774">
      <w:pPr>
        <w:pStyle w:val="Headingi"/>
        <w:rPr>
          <w:lang w:val="fr-CH"/>
        </w:rPr>
      </w:pPr>
      <w:r w:rsidRPr="00764950">
        <w:rPr>
          <w:lang w:val="fr-CH"/>
        </w:rPr>
        <w:t>B</w:t>
      </w:r>
      <w:r w:rsidRPr="00764950">
        <w:rPr>
          <w:lang w:val="fr-CH"/>
        </w:rPr>
        <w:tab/>
        <w:t>Informations relatives aux conférences de l</w:t>
      </w:r>
      <w:r w:rsidR="000F53B9">
        <w:rPr>
          <w:lang w:val="fr-CH"/>
        </w:rPr>
        <w:t>'</w:t>
      </w:r>
      <w:r w:rsidR="00667774">
        <w:rPr>
          <w:lang w:val="fr-CH"/>
        </w:rPr>
        <w:t>UIT habilitées à conclure des traités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Conférences de plénipotentiaires (PP)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Textes fondamentaux (Constitution et Convention de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UIT, Règles générales régissant les conférences, assemblées et réunions, Protocole facultatif, décisions, résolutions et recommandations en vigueur)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Actes finals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 la conférence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à la conférence, subordonnés à la décision de la personne qui les soumet conformément au § 3.2 de la politique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Conférences mondiales et régionales des radiocommunications (CMR et CRR)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Editions du Règlement des radiocommunications et des Accords régionaux </w:t>
      </w:r>
    </w:p>
    <w:p w:rsidR="00764950" w:rsidRPr="00764950" w:rsidRDefault="0075504E" w:rsidP="00667774">
      <w:pPr>
        <w:pStyle w:val="enumlev2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Actes finals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 la conférence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à la conférence, subordonnés à la décision de la personne qui les soumet conformément au § 3.2 de la politique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Conférences mondiales des télécommunications internationales (CMTI)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Editions du Règlement des télécommunications internationales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Actes finals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 la conférence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à la conférence, subordonnés à la décision de la personne qui les soumet conformément au § 3.2 de la politique</w:t>
      </w:r>
    </w:p>
    <w:p w:rsidR="00764950" w:rsidRPr="00764950" w:rsidRDefault="00764950" w:rsidP="00667774">
      <w:pPr>
        <w:pStyle w:val="Headingi"/>
        <w:rPr>
          <w:lang w:val="fr-CH"/>
        </w:rPr>
      </w:pPr>
      <w:r w:rsidRPr="00764950">
        <w:rPr>
          <w:lang w:val="fr-CH"/>
        </w:rPr>
        <w:t>C</w:t>
      </w:r>
      <w:r w:rsidRPr="00764950">
        <w:rPr>
          <w:lang w:val="fr-CH"/>
        </w:rPr>
        <w:tab/>
        <w:t>Informations relatives à la gouvernance et à la gestion de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UIT 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Communication officielle avec les membres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Lettres circulaires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Circulaires administratives 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Sessions du Conseil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Règlement intérieur du Conseil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Résolutions et Décisions du Conseil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du Conseil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au Conseil, subordonnés à la décision de la personne qui les soumet conformément au § 3.2 de la politique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Réunions des groupes de travail du Conseil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des groupes de travail du Conseil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aux Groupes de travail du Conseil, subordonnés à la décision de la personne qui les soumet conformément au § 3.2 de la politique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Assemblées des radiocommunications (AR), Assemblées mondiales de normalisation des télécommunications (AMNT), Conférences mondiales de développement des télécommunications (CMDT)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Actes de l</w:t>
      </w:r>
      <w:r w:rsidR="000F53B9">
        <w:rPr>
          <w:lang w:val="fr-CH"/>
        </w:rPr>
        <w:t>'</w:t>
      </w:r>
      <w:r w:rsidRPr="00764950">
        <w:rPr>
          <w:lang w:val="fr-CH"/>
        </w:rPr>
        <w:t>AMNT; Livre des Résolutions de l</w:t>
      </w:r>
      <w:r w:rsidR="000F53B9">
        <w:rPr>
          <w:lang w:val="fr-CH"/>
        </w:rPr>
        <w:t>'</w:t>
      </w:r>
      <w:r w:rsidRPr="00764950">
        <w:rPr>
          <w:lang w:val="fr-CH"/>
        </w:rPr>
        <w:t>UIT-R; Rapport final de la CMDT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des assemblées/conférences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aux assemblées/conférences, subordonnés à la décision de la personne qui les soumet conformément au § 3.2 de la politique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des réunions préparatoires régionales en vue de</w:t>
      </w:r>
      <w:r w:rsidRPr="00764950">
        <w:rPr>
          <w:color w:val="000000"/>
          <w:lang w:val="fr-CH"/>
        </w:rPr>
        <w:t xml:space="preserve"> la CMDT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par les réunions préparatoires régionales en vue de</w:t>
      </w:r>
      <w:r w:rsidRPr="00764950">
        <w:rPr>
          <w:color w:val="000000"/>
          <w:lang w:val="fr-CH"/>
        </w:rPr>
        <w:t xml:space="preserve"> la CMDT</w:t>
      </w:r>
      <w:r w:rsidRPr="00764950">
        <w:rPr>
          <w:lang w:val="fr-CH"/>
        </w:rPr>
        <w:t xml:space="preserve"> et subordonnés à la décision de la personne qui les soumet conformément au § 3.2 de la politique 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Réunions des Groupes consultatifs des Secteurs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issus des groupes consultatifs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soumis aux groupes consultatifs, subordonnés à la décision de la personne qui les soumet conformément au § 3.2 de la politique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Stratégie et planification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Plans stratégiques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Plans opérationnels 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Gestion financière et gestion des ressources humaines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Règlement financier et Règles financières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Statut et Règlement du personnel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Organigramme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Plans financiers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Budgets approuvés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Rapports de gestion financière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Avis de vacance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Contrôle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Rapports du Comité consultatif indépendant pour </w:t>
      </w:r>
      <w:r w:rsidR="0075504E">
        <w:rPr>
          <w:lang w:val="fr-CH"/>
        </w:rPr>
        <w:t>les questions de gestion (CCIG)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Rapports du Vér</w:t>
      </w:r>
      <w:r w:rsidR="0075504E">
        <w:rPr>
          <w:lang w:val="fr-CH"/>
        </w:rPr>
        <w:t>ificateur extérieur des comptes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Rapports annuels de l</w:t>
      </w:r>
      <w:r w:rsidR="000F53B9">
        <w:rPr>
          <w:lang w:val="fr-CH"/>
        </w:rPr>
        <w:t>'</w:t>
      </w:r>
      <w:r w:rsidR="0075504E">
        <w:rPr>
          <w:lang w:val="fr-CH"/>
        </w:rPr>
        <w:t>Auditeur interne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Passation des marchés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Appels d</w:t>
      </w:r>
      <w:r w:rsidR="000F53B9">
        <w:rPr>
          <w:lang w:val="fr-CH"/>
        </w:rPr>
        <w:t>'</w:t>
      </w:r>
      <w:r w:rsidRPr="00764950">
        <w:rPr>
          <w:lang w:val="fr-CH"/>
        </w:rPr>
        <w:t>offres publics et attribution des contrats pour toute acquisition qui implique des dépenses dont le montant estimatif est supérieur à 20 000 CHF</w:t>
      </w:r>
    </w:p>
    <w:p w:rsidR="00764950" w:rsidRPr="00764950" w:rsidRDefault="00764950" w:rsidP="00667774">
      <w:pPr>
        <w:pStyle w:val="Headingi"/>
        <w:rPr>
          <w:iCs/>
          <w:lang w:val="fr-CH"/>
        </w:rPr>
      </w:pPr>
      <w:r w:rsidRPr="00764950">
        <w:rPr>
          <w:iCs/>
          <w:lang w:val="fr-CH"/>
        </w:rPr>
        <w:t>D</w:t>
      </w:r>
      <w:r w:rsidRPr="00764950">
        <w:rPr>
          <w:iCs/>
          <w:lang w:val="fr-CH"/>
        </w:rPr>
        <w:tab/>
        <w:t xml:space="preserve">Informations relatives aux </w:t>
      </w:r>
      <w:r w:rsidRPr="00764950">
        <w:rPr>
          <w:lang w:val="fr-CH"/>
        </w:rPr>
        <w:t>activités opérationnelles de l</w:t>
      </w:r>
      <w:r w:rsidR="000F53B9">
        <w:rPr>
          <w:lang w:val="fr-CH"/>
        </w:rPr>
        <w:t>'</w:t>
      </w:r>
      <w:r w:rsidRPr="00764950">
        <w:rPr>
          <w:lang w:val="fr-CH"/>
        </w:rPr>
        <w:t>UIT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Elaboration de normes, de m</w:t>
      </w:r>
      <w:r w:rsidR="0075504E">
        <w:rPr>
          <w:lang w:val="fr-CH"/>
        </w:rPr>
        <w:t>anuels et de lignes directrices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Procédures et méthodes de travail des commissions d</w:t>
      </w:r>
      <w:r w:rsidR="000F53B9">
        <w:rPr>
          <w:lang w:val="fr-CH"/>
        </w:rPr>
        <w:t>'</w:t>
      </w:r>
      <w:r w:rsidR="0075504E">
        <w:rPr>
          <w:lang w:val="fr-CH"/>
        </w:rPr>
        <w:t>études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Documents </w:t>
      </w:r>
      <w:r w:rsidRPr="00764950">
        <w:rPr>
          <w:color w:val="000000"/>
          <w:lang w:val="fr-CH"/>
        </w:rPr>
        <w:t>des Groupes spécialisés de l</w:t>
      </w:r>
      <w:r w:rsidR="000F53B9">
        <w:rPr>
          <w:color w:val="000000"/>
          <w:lang w:val="fr-CH"/>
        </w:rPr>
        <w:t>'</w:t>
      </w:r>
      <w:r w:rsidRPr="00764950">
        <w:rPr>
          <w:color w:val="000000"/>
          <w:lang w:val="fr-CH"/>
        </w:rPr>
        <w:t>UIT-T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Recommandations, rapports, Questions, Voeux et Manuels 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Gestion de l</w:t>
      </w:r>
      <w:r w:rsidR="000F53B9">
        <w:rPr>
          <w:lang w:val="fr-CH"/>
        </w:rPr>
        <w:t>'</w:t>
      </w:r>
      <w:r w:rsidRPr="00764950">
        <w:rPr>
          <w:lang w:val="fr-CH"/>
        </w:rPr>
        <w:t>attribution et de l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utilisation du spectre des fréquences radioélectriques et des orbites de satellite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</w:r>
      <w:r w:rsidRPr="00764950">
        <w:rPr>
          <w:color w:val="000000"/>
          <w:lang w:val="fr-CH"/>
        </w:rPr>
        <w:t>Publications de service</w:t>
      </w:r>
      <w:r w:rsidRPr="00764950">
        <w:rPr>
          <w:lang w:val="fr-CH"/>
        </w:rPr>
        <w:t xml:space="preserve"> et informations relatives aux assignations de fréquence, aux notifications et aux demandes de coordination concernant les stations/systèmes des services spatiaux/de Terre (BR IFIC, MARS, GLAD, SNS, SNL)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Résultats des travaux du Comité du Règlement des radiocommunications (RRB) (résumé des décisions, procès-verbaux approuvés et Règles de procédure)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Fonctions d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enregistrement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 xml:space="preserve">Listes des ressources de numérotage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Bulletin d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exploitation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Liste des exploitations reconnues (ER)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 xml:space="preserve">Coordination et mise en oeuvre des activités et projets de développement des télécommunications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Liste des projets d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assistance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</w:r>
      <w:r w:rsidRPr="00764950">
        <w:rPr>
          <w:color w:val="000000"/>
          <w:lang w:val="fr-CH"/>
        </w:rPr>
        <w:t>Kits pratiques,</w:t>
      </w:r>
      <w:r w:rsidRPr="00764950">
        <w:rPr>
          <w:lang w:val="fr-CH"/>
        </w:rPr>
        <w:t xml:space="preserve"> </w:t>
      </w:r>
      <w:r w:rsidRPr="00764950">
        <w:rPr>
          <w:color w:val="000000"/>
          <w:lang w:val="fr-CH"/>
        </w:rPr>
        <w:t>lignes directrices,</w:t>
      </w:r>
      <w:r w:rsidRPr="00764950">
        <w:rPr>
          <w:lang w:val="fr-CH"/>
        </w:rPr>
        <w:t xml:space="preserve"> </w:t>
      </w:r>
      <w:r w:rsidRPr="00764950">
        <w:rPr>
          <w:color w:val="000000"/>
          <w:lang w:val="fr-CH"/>
        </w:rPr>
        <w:t>manuels, études de cas et</w:t>
      </w:r>
      <w:r w:rsidRPr="00764950">
        <w:rPr>
          <w:lang w:val="fr-CH"/>
        </w:rPr>
        <w:t xml:space="preserve"> rapports sur la stratégie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Organisation de forums, de colloques, d</w:t>
      </w:r>
      <w:r w:rsidR="000F53B9">
        <w:rPr>
          <w:lang w:val="fr-CH"/>
        </w:rPr>
        <w:t>'</w:t>
      </w:r>
      <w:r w:rsidRPr="00764950">
        <w:rPr>
          <w:lang w:val="fr-CH"/>
        </w:rPr>
        <w:t>ateliers et d</w:t>
      </w:r>
      <w:r w:rsidR="000F53B9">
        <w:rPr>
          <w:lang w:val="fr-CH"/>
        </w:rPr>
        <w:t>'</w:t>
      </w:r>
      <w:r w:rsidRPr="00764950">
        <w:rPr>
          <w:lang w:val="fr-CH"/>
        </w:rPr>
        <w:t xml:space="preserve">expositions 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relatifs au Forum mondial des politiques de télécommunication (FMPT)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Documents relatifs au Forum du Sommet mondial sur la société de l</w:t>
      </w:r>
      <w:r w:rsidR="000F53B9">
        <w:rPr>
          <w:lang w:val="fr-CH"/>
        </w:rPr>
        <w:t>'</w:t>
      </w:r>
      <w:r w:rsidR="00667774">
        <w:rPr>
          <w:lang w:val="fr-CH"/>
        </w:rPr>
        <w:t>information (SMSI)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Faits marquants de TELECOM et rapports de présentation des r</w:t>
      </w:r>
      <w:r w:rsidR="0075504E">
        <w:rPr>
          <w:lang w:val="fr-CH"/>
        </w:rPr>
        <w:t>ésultats de cette manifestation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Autres forums, colloques et ateliers organisés par l</w:t>
      </w:r>
      <w:r w:rsidR="000F53B9">
        <w:rPr>
          <w:lang w:val="fr-CH"/>
        </w:rPr>
        <w:t>'</w:t>
      </w:r>
      <w:r w:rsidRPr="00764950">
        <w:rPr>
          <w:lang w:val="fr-CH"/>
        </w:rPr>
        <w:t>UIT: documents établis par la manifestation</w:t>
      </w:r>
    </w:p>
    <w:p w:rsidR="00764950" w:rsidRPr="00764950" w:rsidRDefault="00764950" w:rsidP="00667774">
      <w:pPr>
        <w:pStyle w:val="enumlev1"/>
        <w:rPr>
          <w:lang w:val="fr-CH"/>
        </w:rPr>
      </w:pPr>
      <w:r w:rsidRPr="00764950">
        <w:rPr>
          <w:lang w:val="fr-CH"/>
        </w:rPr>
        <w:t>•</w:t>
      </w:r>
      <w:r w:rsidRPr="00764950">
        <w:rPr>
          <w:lang w:val="fr-CH"/>
        </w:rPr>
        <w:tab/>
        <w:t>Suivi et analyse des tendances et des mar</w:t>
      </w:r>
      <w:r w:rsidR="0075504E">
        <w:rPr>
          <w:lang w:val="fr-CH"/>
        </w:rPr>
        <w:t>chés des télécommunications/TIC</w:t>
      </w:r>
    </w:p>
    <w:p w:rsidR="00764950" w:rsidRPr="00764950" w:rsidRDefault="0075504E" w:rsidP="00667774">
      <w:pPr>
        <w:pStyle w:val="enumlev2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Statistiques et indicateurs</w:t>
      </w:r>
    </w:p>
    <w:p w:rsidR="00764950" w:rsidRPr="00764950" w:rsidRDefault="0075504E" w:rsidP="00667774">
      <w:pPr>
        <w:pStyle w:val="enumlev2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Enquêtes</w:t>
      </w:r>
    </w:p>
    <w:p w:rsidR="00764950" w:rsidRPr="00764950" w:rsidRDefault="00764950" w:rsidP="00667774">
      <w:pPr>
        <w:pStyle w:val="enumlev2"/>
        <w:rPr>
          <w:lang w:val="fr-CH"/>
        </w:rPr>
      </w:pPr>
      <w:r w:rsidRPr="00764950">
        <w:rPr>
          <w:lang w:val="fr-CH"/>
        </w:rPr>
        <w:t>–</w:t>
      </w:r>
      <w:r w:rsidRPr="00764950">
        <w:rPr>
          <w:lang w:val="fr-CH"/>
        </w:rPr>
        <w:tab/>
        <w:t>Rapports sur les tendances dans le secteur des TIC</w:t>
      </w:r>
    </w:p>
    <w:p w:rsidR="003A601E" w:rsidRPr="00153A4A" w:rsidRDefault="003A601E" w:rsidP="00667774"/>
    <w:p w:rsidR="003A601E" w:rsidRPr="00153A4A" w:rsidRDefault="003A601E">
      <w:pPr>
        <w:jc w:val="center"/>
      </w:pPr>
      <w:r w:rsidRPr="00153A4A">
        <w:t>______________</w:t>
      </w:r>
    </w:p>
    <w:sectPr w:rsidR="003A601E" w:rsidRPr="00153A4A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2A" w:rsidRDefault="002B2D2A">
      <w:r>
        <w:separator/>
      </w:r>
    </w:p>
  </w:endnote>
  <w:endnote w:type="continuationSeparator" w:id="0">
    <w:p w:rsidR="002B2D2A" w:rsidRDefault="002B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25FC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01B70">
      <w:t>P:\FRA\SG\CONSEIL\C17\000\066F.docx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19.03.18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01B70">
      <w:t>13.04.17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25FC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F53B9">
      <w:t>P:\FRA\SG\CONSEIL\C18\000\058F.docx</w:t>
    </w:r>
    <w:r>
      <w:fldChar w:fldCharType="end"/>
    </w:r>
    <w:r w:rsidR="000F53B9">
      <w:t xml:space="preserve"> (429746</w:t>
    </w:r>
    <w:r w:rsidR="00315FF0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19.03.18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01B70">
      <w:t>13.04.17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4407D1" w:rsidP="00315FF0">
    <w:pPr>
      <w:pStyle w:val="Footer"/>
    </w:pPr>
    <w:fldSimple w:instr=" FILENAME \p \* MERGEFORMAT ">
      <w:r w:rsidR="000F53B9">
        <w:t>P:\FRA\SG\CONSEIL\C18\000\058F.docx</w:t>
      </w:r>
    </w:fldSimple>
    <w:r w:rsidR="000F53B9">
      <w:t xml:space="preserve"> (429746</w:t>
    </w:r>
    <w:r w:rsidR="00315FF0">
      <w:t>)</w:t>
    </w:r>
    <w:r w:rsidR="00315FF0">
      <w:tab/>
    </w:r>
    <w:r w:rsidR="00315FF0">
      <w:fldChar w:fldCharType="begin"/>
    </w:r>
    <w:r w:rsidR="00315FF0">
      <w:instrText xml:space="preserve"> savedate \@ dd.MM.yy </w:instrText>
    </w:r>
    <w:r w:rsidR="00315FF0">
      <w:fldChar w:fldCharType="separate"/>
    </w:r>
    <w:r w:rsidR="00125FC9">
      <w:t>19.03.18</w:t>
    </w:r>
    <w:r w:rsidR="00315FF0">
      <w:fldChar w:fldCharType="end"/>
    </w:r>
    <w:r w:rsidR="00315FF0">
      <w:tab/>
    </w:r>
    <w:r w:rsidR="00315FF0">
      <w:fldChar w:fldCharType="begin"/>
    </w:r>
    <w:r w:rsidR="00315FF0">
      <w:instrText xml:space="preserve"> printdate \@ dd.MM.yy </w:instrText>
    </w:r>
    <w:r w:rsidR="00315FF0">
      <w:fldChar w:fldCharType="separate"/>
    </w:r>
    <w:r w:rsidR="00201B70">
      <w:t>13.04.17</w:t>
    </w:r>
    <w:r w:rsidR="00315F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2A" w:rsidRDefault="002B2D2A">
      <w:r>
        <w:t>____________________</w:t>
      </w:r>
    </w:p>
  </w:footnote>
  <w:footnote w:type="continuationSeparator" w:id="0">
    <w:p w:rsidR="002B2D2A" w:rsidRDefault="002B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25FC9">
      <w:rPr>
        <w:noProof/>
      </w:rPr>
      <w:t>8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0F53B9">
      <w:t>8/58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9C7"/>
    <w:multiLevelType w:val="multilevel"/>
    <w:tmpl w:val="C5A85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202A0"/>
    <w:multiLevelType w:val="hybridMultilevel"/>
    <w:tmpl w:val="E49CCE94"/>
    <w:lvl w:ilvl="0" w:tplc="57EEA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50C9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A3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E86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45A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8263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70D9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AD4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E6A0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51660"/>
    <w:multiLevelType w:val="multilevel"/>
    <w:tmpl w:val="0CA8C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510723"/>
    <w:multiLevelType w:val="hybridMultilevel"/>
    <w:tmpl w:val="87B80C1E"/>
    <w:lvl w:ilvl="0" w:tplc="8F505F32">
      <w:start w:val="1"/>
      <w:numFmt w:val="lowerRoman"/>
      <w:lvlText w:val="%1)"/>
      <w:lvlJc w:val="left"/>
      <w:pPr>
        <w:ind w:left="1497" w:hanging="720"/>
      </w:pPr>
    </w:lvl>
    <w:lvl w:ilvl="1" w:tplc="7B82A832">
      <w:start w:val="1"/>
      <w:numFmt w:val="lowerLetter"/>
      <w:lvlText w:val="%2."/>
      <w:lvlJc w:val="left"/>
      <w:pPr>
        <w:ind w:left="1857" w:hanging="360"/>
      </w:pPr>
    </w:lvl>
    <w:lvl w:ilvl="2" w:tplc="1690F0BC">
      <w:start w:val="1"/>
      <w:numFmt w:val="lowerRoman"/>
      <w:lvlText w:val="%3."/>
      <w:lvlJc w:val="right"/>
      <w:pPr>
        <w:ind w:left="2577" w:hanging="180"/>
      </w:pPr>
    </w:lvl>
    <w:lvl w:ilvl="3" w:tplc="EAC2DB6E">
      <w:start w:val="1"/>
      <w:numFmt w:val="decimal"/>
      <w:lvlText w:val="%4."/>
      <w:lvlJc w:val="left"/>
      <w:pPr>
        <w:ind w:left="3297" w:hanging="360"/>
      </w:pPr>
    </w:lvl>
    <w:lvl w:ilvl="4" w:tplc="BB9E199E">
      <w:start w:val="1"/>
      <w:numFmt w:val="lowerLetter"/>
      <w:lvlText w:val="%5."/>
      <w:lvlJc w:val="left"/>
      <w:pPr>
        <w:ind w:left="4017" w:hanging="360"/>
      </w:pPr>
    </w:lvl>
    <w:lvl w:ilvl="5" w:tplc="24984214">
      <w:start w:val="1"/>
      <w:numFmt w:val="lowerRoman"/>
      <w:lvlText w:val="%6."/>
      <w:lvlJc w:val="right"/>
      <w:pPr>
        <w:ind w:left="4737" w:hanging="180"/>
      </w:pPr>
    </w:lvl>
    <w:lvl w:ilvl="6" w:tplc="4C049456">
      <w:start w:val="1"/>
      <w:numFmt w:val="decimal"/>
      <w:lvlText w:val="%7."/>
      <w:lvlJc w:val="left"/>
      <w:pPr>
        <w:ind w:left="5457" w:hanging="360"/>
      </w:pPr>
    </w:lvl>
    <w:lvl w:ilvl="7" w:tplc="0B0ABF6C">
      <w:start w:val="1"/>
      <w:numFmt w:val="lowerLetter"/>
      <w:lvlText w:val="%8."/>
      <w:lvlJc w:val="left"/>
      <w:pPr>
        <w:ind w:left="6177" w:hanging="360"/>
      </w:pPr>
    </w:lvl>
    <w:lvl w:ilvl="8" w:tplc="0D70FC94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7AB2E64"/>
    <w:multiLevelType w:val="multilevel"/>
    <w:tmpl w:val="62ACC5E8"/>
    <w:lvl w:ilvl="0">
      <w:start w:val="1"/>
      <w:numFmt w:val="decimal"/>
      <w:lvlText w:val="%1.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000" w:hanging="360"/>
      </w:pPr>
    </w:lvl>
    <w:lvl w:ilvl="2">
      <w:start w:val="1"/>
      <w:numFmt w:val="decimal"/>
      <w:isLgl/>
      <w:lvlText w:val="%1.%2.%3"/>
      <w:lvlJc w:val="left"/>
      <w:pPr>
        <w:ind w:left="10360" w:hanging="720"/>
      </w:pPr>
    </w:lvl>
    <w:lvl w:ilvl="3">
      <w:start w:val="1"/>
      <w:numFmt w:val="decimal"/>
      <w:isLgl/>
      <w:lvlText w:val="%1.%2.%3.%4"/>
      <w:lvlJc w:val="left"/>
      <w:pPr>
        <w:ind w:left="10360" w:hanging="720"/>
      </w:pPr>
    </w:lvl>
    <w:lvl w:ilvl="4">
      <w:start w:val="1"/>
      <w:numFmt w:val="decimal"/>
      <w:isLgl/>
      <w:lvlText w:val="%1.%2.%3.%4.%5"/>
      <w:lvlJc w:val="left"/>
      <w:pPr>
        <w:ind w:left="10720" w:hanging="1080"/>
      </w:pPr>
    </w:lvl>
    <w:lvl w:ilvl="5">
      <w:start w:val="1"/>
      <w:numFmt w:val="decimal"/>
      <w:isLgl/>
      <w:lvlText w:val="%1.%2.%3.%4.%5.%6"/>
      <w:lvlJc w:val="left"/>
      <w:pPr>
        <w:ind w:left="10720" w:hanging="1080"/>
      </w:pPr>
    </w:lvl>
    <w:lvl w:ilvl="6">
      <w:start w:val="1"/>
      <w:numFmt w:val="decimal"/>
      <w:isLgl/>
      <w:lvlText w:val="%1.%2.%3.%4.%5.%6.%7"/>
      <w:lvlJc w:val="left"/>
      <w:pPr>
        <w:ind w:left="11080" w:hanging="1440"/>
      </w:pPr>
    </w:lvl>
    <w:lvl w:ilvl="7">
      <w:start w:val="1"/>
      <w:numFmt w:val="decimal"/>
      <w:isLgl/>
      <w:lvlText w:val="%1.%2.%3.%4.%5.%6.%7.%8"/>
      <w:lvlJc w:val="left"/>
      <w:pPr>
        <w:ind w:left="11080" w:hanging="1440"/>
      </w:pPr>
    </w:lvl>
    <w:lvl w:ilvl="8">
      <w:start w:val="1"/>
      <w:numFmt w:val="decimal"/>
      <w:isLgl/>
      <w:lvlText w:val="%1.%2.%3.%4.%5.%6.%7.%8.%9"/>
      <w:lvlJc w:val="left"/>
      <w:pPr>
        <w:ind w:left="11080" w:hanging="1440"/>
      </w:pPr>
    </w:lvl>
  </w:abstractNum>
  <w:abstractNum w:abstractNumId="5" w15:restartNumberingAfterBreak="0">
    <w:nsid w:val="4ED22651"/>
    <w:multiLevelType w:val="hybridMultilevel"/>
    <w:tmpl w:val="3168E792"/>
    <w:lvl w:ilvl="0" w:tplc="14E2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1C25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96F9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7EF6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A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CBD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F841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44BF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AABD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2A"/>
    <w:rsid w:val="00003CC3"/>
    <w:rsid w:val="00051008"/>
    <w:rsid w:val="000D0D0A"/>
    <w:rsid w:val="000F53B9"/>
    <w:rsid w:val="00103163"/>
    <w:rsid w:val="00115D93"/>
    <w:rsid w:val="001247A8"/>
    <w:rsid w:val="00125FC9"/>
    <w:rsid w:val="001378C0"/>
    <w:rsid w:val="00153A4A"/>
    <w:rsid w:val="0018694A"/>
    <w:rsid w:val="001A3287"/>
    <w:rsid w:val="001A6508"/>
    <w:rsid w:val="001C61C8"/>
    <w:rsid w:val="001D4C31"/>
    <w:rsid w:val="001E4D21"/>
    <w:rsid w:val="00201B70"/>
    <w:rsid w:val="00207CD1"/>
    <w:rsid w:val="002477A2"/>
    <w:rsid w:val="00263A51"/>
    <w:rsid w:val="0026502B"/>
    <w:rsid w:val="00267E02"/>
    <w:rsid w:val="002A5D44"/>
    <w:rsid w:val="002B2D2A"/>
    <w:rsid w:val="002E0BC4"/>
    <w:rsid w:val="002F1B76"/>
    <w:rsid w:val="00315FF0"/>
    <w:rsid w:val="00334554"/>
    <w:rsid w:val="00355FF5"/>
    <w:rsid w:val="00361350"/>
    <w:rsid w:val="003A601E"/>
    <w:rsid w:val="004038CB"/>
    <w:rsid w:val="0040546F"/>
    <w:rsid w:val="0042404A"/>
    <w:rsid w:val="004407D1"/>
    <w:rsid w:val="0044618F"/>
    <w:rsid w:val="0046769A"/>
    <w:rsid w:val="00475FB3"/>
    <w:rsid w:val="004C0C4A"/>
    <w:rsid w:val="004C37A9"/>
    <w:rsid w:val="004F259E"/>
    <w:rsid w:val="004F37D3"/>
    <w:rsid w:val="00511F1D"/>
    <w:rsid w:val="00520F36"/>
    <w:rsid w:val="00540615"/>
    <w:rsid w:val="00540A6D"/>
    <w:rsid w:val="00571EEA"/>
    <w:rsid w:val="00575417"/>
    <w:rsid w:val="005768E1"/>
    <w:rsid w:val="005B626F"/>
    <w:rsid w:val="005C3890"/>
    <w:rsid w:val="005F7BFE"/>
    <w:rsid w:val="00600017"/>
    <w:rsid w:val="006235CA"/>
    <w:rsid w:val="006508C6"/>
    <w:rsid w:val="006643AB"/>
    <w:rsid w:val="00667774"/>
    <w:rsid w:val="007210CD"/>
    <w:rsid w:val="00732045"/>
    <w:rsid w:val="007369DB"/>
    <w:rsid w:val="00740560"/>
    <w:rsid w:val="0075504E"/>
    <w:rsid w:val="00764950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8F79EE"/>
    <w:rsid w:val="0092392D"/>
    <w:rsid w:val="0093234A"/>
    <w:rsid w:val="009C307F"/>
    <w:rsid w:val="00A2113E"/>
    <w:rsid w:val="00A23A51"/>
    <w:rsid w:val="00A24607"/>
    <w:rsid w:val="00A25CD3"/>
    <w:rsid w:val="00A34319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06232"/>
    <w:rsid w:val="00C25D29"/>
    <w:rsid w:val="00C27A7C"/>
    <w:rsid w:val="00CA08ED"/>
    <w:rsid w:val="00CB4B9F"/>
    <w:rsid w:val="00CF183B"/>
    <w:rsid w:val="00CF2E07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02E44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02435AF-FF0A-4778-8694-F2353466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3A601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access-policy/Documents/ITU-Information-access-policy-en.pdf" TargetMode="External"/><Relationship Id="rId13" Type="http://schemas.openxmlformats.org/officeDocument/2006/relationships/hyperlink" Target="http://www.undp.org/content/undp/fr/home/operations/transparency/information_disclosure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undp.org/content/undp/fr/home/operations/transparency/information_disclosurepolic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ccess@itu.in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20/en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blue\dfs\refinfo\REFTXT\REFTXT2016\SG\CONSEIL\C16\000\www.ungm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-C-0066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66/en" TargetMode="External"/><Relationship Id="rId14" Type="http://schemas.openxmlformats.org/officeDocument/2006/relationships/hyperlink" Target="http://www.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2410</Words>
  <Characters>14646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17022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Alidra, Patricia</dc:creator>
  <cp:keywords>C2018, C18</cp:keywords>
  <dc:description/>
  <cp:lastModifiedBy>Janin</cp:lastModifiedBy>
  <cp:revision>2</cp:revision>
  <cp:lastPrinted>2017-04-13T06:56:00Z</cp:lastPrinted>
  <dcterms:created xsi:type="dcterms:W3CDTF">2018-03-20T09:09:00Z</dcterms:created>
  <dcterms:modified xsi:type="dcterms:W3CDTF">2018-03-20T09:09:00Z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