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CA7F1F" w:rsidRPr="00813E5E" w:rsidTr="00CA7F1F">
        <w:trPr>
          <w:cantSplit/>
        </w:trPr>
        <w:tc>
          <w:tcPr>
            <w:tcW w:w="6521" w:type="dxa"/>
            <w:vAlign w:val="center"/>
          </w:tcPr>
          <w:p w:rsidR="00CA7F1F" w:rsidRPr="0018430E" w:rsidRDefault="00053D61" w:rsidP="00053D61">
            <w:pPr>
              <w:spacing w:before="360" w:after="48" w:line="240" w:lineRule="atLeast"/>
              <w:rPr>
                <w:rFonts w:cs="Calibri"/>
                <w:b/>
                <w:bCs/>
                <w:position w:val="6"/>
                <w:szCs w:val="24"/>
              </w:rPr>
            </w:pPr>
            <w:bookmarkStart w:id="0" w:name="dc06"/>
            <w:bookmarkEnd w:id="0"/>
            <w:r w:rsidRPr="0074614A">
              <w:rPr>
                <w:b/>
                <w:bCs/>
                <w:position w:val="6"/>
                <w:sz w:val="30"/>
                <w:szCs w:val="30"/>
                <w:lang w:val="en-US"/>
              </w:rPr>
              <w:t>Council 2018</w:t>
            </w:r>
            <w:r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74614A">
              <w:rPr>
                <w:b/>
                <w:bCs/>
                <w:position w:val="6"/>
                <w:szCs w:val="24"/>
                <w:lang w:val="en-US"/>
              </w:rPr>
              <w:t>Geneva, 17-27 April 2018</w:t>
            </w:r>
            <w:r w:rsidR="00CA7F1F" w:rsidRPr="00EC281A">
              <w:rPr>
                <w:rFonts w:cs="Times"/>
                <w:b/>
                <w:position w:val="6"/>
                <w:szCs w:val="24"/>
              </w:rPr>
              <w:br/>
            </w:r>
          </w:p>
        </w:tc>
        <w:tc>
          <w:tcPr>
            <w:tcW w:w="3510" w:type="dxa"/>
          </w:tcPr>
          <w:p w:rsidR="00CA7F1F" w:rsidRPr="00813E5E" w:rsidRDefault="00CA7F1F" w:rsidP="0018430E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C281A">
              <w:rPr>
                <w:noProof/>
                <w:szCs w:val="24"/>
                <w:lang w:val="en-US"/>
              </w:rPr>
              <w:drawing>
                <wp:inline distT="0" distB="0" distL="0" distR="0" wp14:anchorId="3CF17F98" wp14:editId="17B8C509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29C" w:rsidRPr="00813E5E" w:rsidTr="00CA7F1F">
        <w:trPr>
          <w:cantSplit/>
        </w:trPr>
        <w:tc>
          <w:tcPr>
            <w:tcW w:w="6521" w:type="dxa"/>
            <w:vAlign w:val="center"/>
          </w:tcPr>
          <w:p w:rsidR="0012629C" w:rsidRPr="0074614A" w:rsidRDefault="0012629C" w:rsidP="0012629C">
            <w:pPr>
              <w:spacing w:before="0"/>
              <w:rPr>
                <w:b/>
                <w:bCs/>
                <w:position w:val="6"/>
                <w:sz w:val="30"/>
                <w:szCs w:val="30"/>
                <w:lang w:val="en-US"/>
              </w:rPr>
            </w:pPr>
          </w:p>
        </w:tc>
        <w:tc>
          <w:tcPr>
            <w:tcW w:w="3510" w:type="dxa"/>
          </w:tcPr>
          <w:p w:rsidR="0012629C" w:rsidRPr="00EC281A" w:rsidRDefault="0012629C" w:rsidP="0012629C">
            <w:pPr>
              <w:spacing w:before="0"/>
              <w:jc w:val="right"/>
              <w:rPr>
                <w:noProof/>
                <w:szCs w:val="24"/>
                <w:lang w:val="en-US" w:eastAsia="zh-CN"/>
              </w:rPr>
            </w:pPr>
          </w:p>
        </w:tc>
      </w:tr>
      <w:tr w:rsidR="00405122" w:rsidRPr="00813E5E" w:rsidTr="0018430E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405122" w:rsidRPr="00813E5E" w:rsidRDefault="0040512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405122" w:rsidRPr="00813E5E" w:rsidRDefault="00405122">
            <w:pPr>
              <w:spacing w:before="0" w:line="240" w:lineRule="atLeast"/>
              <w:rPr>
                <w:szCs w:val="24"/>
              </w:rPr>
            </w:pPr>
          </w:p>
        </w:tc>
      </w:tr>
      <w:tr w:rsidR="00053D61" w:rsidRPr="00813E5E" w:rsidTr="0018430E">
        <w:trPr>
          <w:cantSplit/>
        </w:trPr>
        <w:tc>
          <w:tcPr>
            <w:tcW w:w="6521" w:type="dxa"/>
          </w:tcPr>
          <w:p w:rsidR="00053D61" w:rsidRPr="0074614A" w:rsidRDefault="00053D61" w:rsidP="000E749C">
            <w:pPr>
              <w:spacing w:before="0" w:after="48" w:line="240" w:lineRule="atLeast"/>
              <w:rPr>
                <w:b/>
                <w:bCs/>
                <w:smallCaps/>
                <w:szCs w:val="24"/>
              </w:rPr>
            </w:pPr>
            <w:r w:rsidRPr="0074614A">
              <w:rPr>
                <w:b/>
                <w:bCs/>
              </w:rPr>
              <w:t xml:space="preserve">Agenda </w:t>
            </w:r>
            <w:r w:rsidRPr="00DB7194">
              <w:rPr>
                <w:b/>
                <w:bCs/>
              </w:rPr>
              <w:t xml:space="preserve">item: </w:t>
            </w:r>
            <w:r w:rsidRPr="0012629C">
              <w:rPr>
                <w:b/>
                <w:bCs/>
              </w:rPr>
              <w:t>PL</w:t>
            </w:r>
            <w:r w:rsidR="0012629C" w:rsidRPr="0012629C">
              <w:rPr>
                <w:b/>
                <w:bCs/>
              </w:rPr>
              <w:t xml:space="preserve"> 1.3</w:t>
            </w:r>
          </w:p>
        </w:tc>
        <w:tc>
          <w:tcPr>
            <w:tcW w:w="3510" w:type="dxa"/>
          </w:tcPr>
          <w:p w:rsidR="00053D61" w:rsidRPr="00642A51" w:rsidRDefault="00642A51" w:rsidP="002A03AA">
            <w:pPr>
              <w:spacing w:before="0" w:line="240" w:lineRule="atLeast"/>
              <w:rPr>
                <w:b/>
                <w:bCs/>
                <w:szCs w:val="24"/>
              </w:rPr>
            </w:pPr>
            <w:r w:rsidRPr="002025C0">
              <w:rPr>
                <w:b/>
                <w:bCs/>
              </w:rPr>
              <w:t>Document C18/</w:t>
            </w:r>
            <w:r w:rsidR="0012629C" w:rsidRPr="002025C0">
              <w:rPr>
                <w:b/>
                <w:bCs/>
              </w:rPr>
              <w:t>51</w:t>
            </w:r>
            <w:r w:rsidR="0012629C">
              <w:rPr>
                <w:b/>
                <w:bCs/>
              </w:rPr>
              <w:t>-E</w:t>
            </w:r>
          </w:p>
        </w:tc>
      </w:tr>
      <w:tr w:rsidR="00053D61" w:rsidRPr="00813E5E" w:rsidTr="00B74489">
        <w:trPr>
          <w:cantSplit/>
          <w:trHeight w:val="70"/>
        </w:trPr>
        <w:tc>
          <w:tcPr>
            <w:tcW w:w="6521" w:type="dxa"/>
            <w:vMerge w:val="restart"/>
          </w:tcPr>
          <w:p w:rsidR="00053D61" w:rsidRPr="005032C9" w:rsidRDefault="00053D61" w:rsidP="00053D61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510" w:type="dxa"/>
            <w:shd w:val="clear" w:color="auto" w:fill="auto"/>
          </w:tcPr>
          <w:p w:rsidR="00053D61" w:rsidRPr="00BE5A9D" w:rsidRDefault="00642A51" w:rsidP="00053D61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032C9" w:rsidRPr="00BE5A9D">
              <w:rPr>
                <w:b/>
                <w:bCs/>
              </w:rPr>
              <w:t xml:space="preserve"> March </w:t>
            </w:r>
            <w:r w:rsidR="00053D61" w:rsidRPr="00BE5A9D">
              <w:rPr>
                <w:b/>
                <w:bCs/>
              </w:rPr>
              <w:t>2018</w:t>
            </w:r>
          </w:p>
        </w:tc>
      </w:tr>
      <w:tr w:rsidR="00642A51" w:rsidRPr="00813E5E" w:rsidTr="00A21DCB">
        <w:trPr>
          <w:cantSplit/>
          <w:trHeight w:val="586"/>
        </w:trPr>
        <w:tc>
          <w:tcPr>
            <w:tcW w:w="6521" w:type="dxa"/>
            <w:vMerge/>
          </w:tcPr>
          <w:p w:rsidR="00642A51" w:rsidRPr="0074614A" w:rsidRDefault="00642A51" w:rsidP="00053D61">
            <w:pPr>
              <w:tabs>
                <w:tab w:val="left" w:pos="851"/>
              </w:tabs>
              <w:spacing w:line="240" w:lineRule="atLeast"/>
              <w:rPr>
                <w:b/>
                <w:bC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510" w:type="dxa"/>
          </w:tcPr>
          <w:p w:rsidR="002A03AA" w:rsidRPr="0074614A" w:rsidRDefault="00642A51" w:rsidP="0012629C">
            <w:pPr>
              <w:tabs>
                <w:tab w:val="left" w:pos="993"/>
              </w:tabs>
              <w:spacing w:before="0"/>
              <w:rPr>
                <w:b/>
                <w:bCs/>
              </w:rPr>
            </w:pPr>
            <w:r w:rsidRPr="0074614A">
              <w:rPr>
                <w:b/>
                <w:bCs/>
              </w:rPr>
              <w:t>Original: English</w:t>
            </w:r>
          </w:p>
        </w:tc>
      </w:tr>
      <w:tr w:rsidR="0018430E" w:rsidRPr="00593E5B">
        <w:trPr>
          <w:cantSplit/>
        </w:trPr>
        <w:tc>
          <w:tcPr>
            <w:tcW w:w="10031" w:type="dxa"/>
            <w:gridSpan w:val="2"/>
          </w:tcPr>
          <w:p w:rsidR="0018430E" w:rsidRPr="00593E5B" w:rsidRDefault="002A03AA" w:rsidP="00843092">
            <w:pPr>
              <w:pStyle w:val="Title1"/>
              <w:framePr w:hSpace="0" w:wrap="auto" w:hAnchor="text" w:yAlign="inline"/>
            </w:pPr>
            <w:bookmarkStart w:id="5" w:name="dsource" w:colFirst="0" w:colLast="0"/>
            <w:bookmarkEnd w:id="4"/>
            <w:r>
              <w:rPr>
                <w:rStyle w:val="None"/>
                <w:lang w:val="en-US"/>
              </w:rPr>
              <w:t xml:space="preserve">Report by the Chairman of the Council Working Group on </w:t>
            </w:r>
            <w:r>
              <w:rPr>
                <w:rStyle w:val="None"/>
                <w:lang w:val="en-US"/>
              </w:rPr>
              <w:br/>
              <w:t>International Internet-Related Public Policy Issues (CWG-Internet)</w:t>
            </w:r>
          </w:p>
        </w:tc>
      </w:tr>
      <w:bookmarkEnd w:id="5"/>
    </w:tbl>
    <w:p w:rsidR="002E2753" w:rsidRPr="00593E5B" w:rsidRDefault="002E2753" w:rsidP="00BF3D35">
      <w:pPr>
        <w:spacing w:before="0"/>
      </w:pPr>
    </w:p>
    <w:tbl>
      <w:tblPr>
        <w:tblW w:w="8363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</w:tblGrid>
      <w:tr w:rsidR="002E2753" w:rsidRPr="00593E5B" w:rsidTr="00BF3D35">
        <w:trPr>
          <w:trHeight w:val="3372"/>
        </w:trPr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753" w:rsidRDefault="002E2753">
            <w:pPr>
              <w:pStyle w:val="Headingb"/>
            </w:pPr>
            <w:r w:rsidRPr="00593E5B">
              <w:t>Summary</w:t>
            </w:r>
          </w:p>
          <w:p w:rsidR="0012629C" w:rsidRDefault="002A03AA" w:rsidP="00A37152">
            <w:pPr>
              <w:jc w:val="both"/>
            </w:pPr>
            <w:r w:rsidRPr="002A03AA">
              <w:t>This report summarizes the main results of the tenth and eleventh meetings of CWG-Internet, held on 20-22 September 2017 and 25-26 January 2018, in line with PP-14 Resolutions 102 (Rev. Busan, 2014) and 140 (Rev. Busan, 2014), and Council Resolutions 1305 (2009), 1336 (Mod. 2015), and 1344 (Mod. 2015).</w:t>
            </w:r>
          </w:p>
          <w:p w:rsidR="002A03AA" w:rsidRPr="002A03AA" w:rsidRDefault="002A03AA" w:rsidP="0012629C">
            <w:pPr>
              <w:spacing w:before="240"/>
              <w:rPr>
                <w:b/>
                <w:bCs/>
                <w:lang w:val="en-US"/>
              </w:rPr>
            </w:pPr>
            <w:r w:rsidRPr="002A03AA">
              <w:rPr>
                <w:b/>
                <w:bCs/>
                <w:lang w:val="en-US"/>
              </w:rPr>
              <w:t>Action required</w:t>
            </w:r>
          </w:p>
          <w:p w:rsidR="002A03AA" w:rsidRPr="002A03AA" w:rsidRDefault="002A03AA" w:rsidP="002A03AA">
            <w:r w:rsidRPr="002A03AA">
              <w:rPr>
                <w:lang w:val="en-US"/>
              </w:rPr>
              <w:t xml:space="preserve">The Council is invited to </w:t>
            </w:r>
            <w:r w:rsidRPr="002A03AA">
              <w:rPr>
                <w:b/>
                <w:bCs/>
                <w:lang w:val="en-US"/>
              </w:rPr>
              <w:t>note</w:t>
            </w:r>
            <w:r w:rsidRPr="002A03AA">
              <w:rPr>
                <w:lang w:val="en-US"/>
              </w:rPr>
              <w:t xml:space="preserve"> the report.</w:t>
            </w:r>
          </w:p>
          <w:p w:rsidR="002E2753" w:rsidRPr="00593E5B" w:rsidRDefault="002E2753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593E5B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91049F" w:rsidRDefault="002E2753" w:rsidP="0091049F">
            <w:pPr>
              <w:pStyle w:val="Headingb"/>
            </w:pPr>
            <w:r w:rsidRPr="00593E5B">
              <w:t>References</w:t>
            </w:r>
          </w:p>
          <w:p w:rsidR="0091049F" w:rsidRPr="0091049F" w:rsidRDefault="00A37152" w:rsidP="0091049F">
            <w:pPr>
              <w:pStyle w:val="Headingb"/>
              <w:rPr>
                <w:rFonts w:eastAsia="Calibri" w:cs="Calibri"/>
                <w:b w:val="0"/>
                <w:bCs/>
                <w:i/>
                <w:iCs/>
                <w:color w:val="000000"/>
                <w:szCs w:val="24"/>
                <w:u w:color="000000"/>
                <w:bdr w:val="nil"/>
                <w:lang w:val="en-US" w:eastAsia="zh-CN"/>
              </w:rPr>
            </w:pPr>
            <w:hyperlink r:id="rId12" w:history="1">
              <w:r w:rsidR="0091049F" w:rsidRPr="0091049F">
                <w:rPr>
                  <w:rFonts w:eastAsia="Calibri" w:cs="Calibri"/>
                  <w:b w:val="0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Resolution 102 (Rev. Busan, 2014)</w:t>
              </w:r>
            </w:hyperlink>
            <w:r w:rsidR="0091049F" w:rsidRPr="0091049F">
              <w:rPr>
                <w:rFonts w:eastAsia="Calibri" w:cs="Calibri"/>
                <w:b w:val="0"/>
                <w:bCs/>
                <w:i/>
                <w:iCs/>
                <w:color w:val="0000FF"/>
                <w:szCs w:val="24"/>
                <w:u w:val="single" w:color="0000FF"/>
                <w:bdr w:val="nil"/>
                <w:lang w:val="en-US" w:eastAsia="zh-CN"/>
              </w:rPr>
              <w:t>,</w:t>
            </w:r>
            <w:r w:rsidR="0091049F" w:rsidRPr="0091049F">
              <w:rPr>
                <w:rFonts w:eastAsia="Calibri" w:cs="Calibri"/>
                <w:b w:val="0"/>
                <w:bCs/>
                <w:i/>
                <w:iCs/>
                <w:color w:val="000000"/>
                <w:szCs w:val="24"/>
                <w:u w:color="000000"/>
                <w:bdr w:val="nil"/>
                <w:lang w:val="en-US" w:eastAsia="zh-CN"/>
              </w:rPr>
              <w:t xml:space="preserve"> </w:t>
            </w:r>
            <w:hyperlink r:id="rId13" w:history="1">
              <w:r w:rsidR="0091049F" w:rsidRPr="0091049F">
                <w:rPr>
                  <w:rFonts w:eastAsia="Calibri" w:cs="Calibri"/>
                  <w:b w:val="0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en-US" w:eastAsia="zh-CN"/>
                </w:rPr>
                <w:t>Resolution 140 (Rev. Busan, 2014)</w:t>
              </w:r>
            </w:hyperlink>
          </w:p>
          <w:p w:rsidR="002E2753" w:rsidRPr="00593E5B" w:rsidRDefault="0091049F" w:rsidP="0091049F">
            <w:pPr>
              <w:spacing w:before="0" w:after="120"/>
              <w:rPr>
                <w:i/>
                <w:iCs/>
              </w:rPr>
            </w:pPr>
            <w:r w:rsidRPr="0091049F">
              <w:rPr>
                <w:rFonts w:eastAsia="Calibri" w:cs="Calibri"/>
                <w:i/>
                <w:iCs/>
                <w:szCs w:val="24"/>
                <w:bdr w:val="nil"/>
                <w:lang w:val="en-US"/>
              </w:rPr>
              <w:t xml:space="preserve">Council Resolutions </w:t>
            </w:r>
            <w:hyperlink r:id="rId14" w:history="1">
              <w:r w:rsidRPr="0091049F">
                <w:rPr>
                  <w:rFonts w:eastAsia="Calibri" w:cs="Calibri"/>
                  <w:i/>
                  <w:iCs/>
                  <w:color w:val="0000FF"/>
                  <w:szCs w:val="24"/>
                  <w:u w:val="single" w:color="0000FF"/>
                  <w:bdr w:val="nil"/>
                  <w:lang w:val="en-US"/>
                </w:rPr>
                <w:t>1305</w:t>
              </w:r>
            </w:hyperlink>
            <w:r w:rsidRPr="0091049F">
              <w:rPr>
                <w:rFonts w:eastAsia="Calibri" w:cs="Calibri"/>
                <w:i/>
                <w:iCs/>
                <w:color w:val="0000FF"/>
                <w:szCs w:val="24"/>
                <w:u w:val="single" w:color="0000FF"/>
                <w:bdr w:val="nil"/>
                <w:lang w:val="en-US"/>
              </w:rPr>
              <w:t xml:space="preserve"> (2009)</w:t>
            </w:r>
            <w:r w:rsidRPr="0091049F">
              <w:rPr>
                <w:rFonts w:eastAsia="Calibri" w:cs="Calibri"/>
                <w:i/>
                <w:iCs/>
                <w:szCs w:val="24"/>
                <w:bdr w:val="nil"/>
                <w:lang w:val="en-US"/>
              </w:rPr>
              <w:t xml:space="preserve">, </w:t>
            </w:r>
            <w:hyperlink r:id="rId15" w:history="1">
              <w:r w:rsidRPr="0091049F">
                <w:rPr>
                  <w:rFonts w:eastAsia="Calibri" w:cs="Calibri"/>
                  <w:i/>
                  <w:iCs/>
                  <w:color w:val="0000FF"/>
                  <w:szCs w:val="24"/>
                  <w:u w:val="single" w:color="0000FF"/>
                  <w:bdr w:val="nil"/>
                  <w:lang w:val="en-US"/>
                </w:rPr>
                <w:t>1336 (Mod. 2015</w:t>
              </w:r>
            </w:hyperlink>
            <w:r w:rsidRPr="0091049F">
              <w:rPr>
                <w:rFonts w:eastAsia="Calibri" w:cs="Calibri"/>
                <w:i/>
                <w:iCs/>
                <w:color w:val="0000FF"/>
                <w:szCs w:val="24"/>
                <w:u w:val="single" w:color="0000FF"/>
                <w:bdr w:val="nil"/>
                <w:lang w:val="en-US"/>
              </w:rPr>
              <w:t>)</w:t>
            </w:r>
            <w:r w:rsidRPr="0091049F">
              <w:rPr>
                <w:rFonts w:eastAsia="Calibri" w:cs="Calibri"/>
                <w:i/>
                <w:iCs/>
                <w:szCs w:val="24"/>
                <w:u w:val="single"/>
                <w:bdr w:val="nil"/>
                <w:lang w:val="en-US"/>
              </w:rPr>
              <w:t xml:space="preserve">, </w:t>
            </w:r>
            <w:r w:rsidRPr="0091049F">
              <w:rPr>
                <w:rFonts w:ascii="Times New Roman" w:eastAsia="Arial Unicode MS" w:hAnsi="Times New Roman"/>
                <w:szCs w:val="24"/>
                <w:bdr w:val="nil"/>
                <w:lang w:val="en-US"/>
              </w:rPr>
              <w:t xml:space="preserve">and </w:t>
            </w:r>
            <w:hyperlink r:id="rId16" w:history="1">
              <w:r w:rsidRPr="0091049F">
                <w:rPr>
                  <w:rFonts w:eastAsia="Calibri" w:cs="Calibri"/>
                  <w:i/>
                  <w:iCs/>
                  <w:color w:val="0000FF"/>
                  <w:szCs w:val="24"/>
                  <w:u w:val="single" w:color="0000FF"/>
                  <w:bdr w:val="nil"/>
                  <w:lang w:val="en-US"/>
                </w:rPr>
                <w:t>1344 (Mod. 2015)</w:t>
              </w:r>
            </w:hyperlink>
          </w:p>
        </w:tc>
      </w:tr>
    </w:tbl>
    <w:p w:rsidR="0091049F" w:rsidRDefault="002E2753" w:rsidP="0091049F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 w:after="120"/>
        <w:jc w:val="both"/>
        <w:rPr>
          <w:rStyle w:val="None"/>
          <w:b/>
          <w:bCs/>
        </w:rPr>
      </w:pPr>
      <w:bookmarkStart w:id="6" w:name="dstart"/>
      <w:bookmarkStart w:id="7" w:name="dbreak"/>
      <w:bookmarkEnd w:id="6"/>
      <w:bookmarkEnd w:id="7"/>
      <w:r w:rsidRPr="0091049F">
        <w:rPr>
          <w:b/>
          <w:bCs/>
          <w:szCs w:val="24"/>
          <w:lang w:val="en-US"/>
        </w:rPr>
        <w:t>1.</w:t>
      </w:r>
      <w:r w:rsidRPr="00593E5B">
        <w:rPr>
          <w:szCs w:val="24"/>
          <w:lang w:val="en-US"/>
        </w:rPr>
        <w:tab/>
      </w:r>
      <w:r w:rsidR="0091049F">
        <w:rPr>
          <w:rStyle w:val="None"/>
          <w:rFonts w:eastAsia="Calibri" w:cs="Calibri"/>
          <w:b/>
          <w:bCs/>
          <w:lang w:val="en-US"/>
        </w:rPr>
        <w:t>Introduction</w:t>
      </w:r>
    </w:p>
    <w:p w:rsidR="0091049F" w:rsidRDefault="0091049F" w:rsidP="0091049F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20" w:after="120"/>
        <w:jc w:val="both"/>
      </w:pPr>
      <w:r w:rsidRPr="00A37152">
        <w:rPr>
          <w:rStyle w:val="None"/>
          <w:rFonts w:eastAsia="Calibri" w:cs="Calibri"/>
          <w:bCs/>
          <w:lang w:val="en-US"/>
        </w:rPr>
        <w:t>1.1</w:t>
      </w:r>
      <w:r w:rsidRPr="00A37152">
        <w:tab/>
      </w:r>
      <w:r w:rsidRPr="00A37152">
        <w:rPr>
          <w:rStyle w:val="None"/>
          <w:lang w:val="en-US"/>
        </w:rPr>
        <w:t>The</w:t>
      </w:r>
      <w:r>
        <w:rPr>
          <w:rStyle w:val="None"/>
          <w:lang w:val="en-US"/>
        </w:rPr>
        <w:t xml:space="preserve"> </w:t>
      </w:r>
      <w:hyperlink r:id="rId17" w:history="1">
        <w:r w:rsidRPr="00B075BE">
          <w:rPr>
            <w:rStyle w:val="Hyperlink"/>
            <w:lang w:val="en-US"/>
          </w:rPr>
          <w:t>ITU Council Working Group on International Internet-related Public Policy Issues (CWG-Internet)</w:t>
        </w:r>
      </w:hyperlink>
      <w:r>
        <w:rPr>
          <w:lang w:val="en-US"/>
        </w:rPr>
        <w:t xml:space="preserve"> was established as a separate group by Council Resolution 1336 (Mod. 2015), in accordance with Resolutions 102 and 140 of the ITU Plenipotentiary Conference (Rev. Busan, 2014). CWG-Internet is limited to Member States, with open consultation to all stakeholders.</w:t>
      </w:r>
    </w:p>
    <w:p w:rsidR="0091049F" w:rsidRDefault="0091049F" w:rsidP="0091049F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20" w:after="120"/>
        <w:jc w:val="both"/>
      </w:pPr>
      <w:r w:rsidRPr="00A37152">
        <w:rPr>
          <w:rStyle w:val="None"/>
          <w:rFonts w:eastAsia="Calibri" w:cs="Calibri"/>
          <w:bCs/>
          <w:lang w:val="en-US"/>
        </w:rPr>
        <w:t>1.2</w:t>
      </w:r>
      <w:r w:rsidRPr="00A37152">
        <w:tab/>
        <w:t>The</w:t>
      </w:r>
      <w:r>
        <w:t xml:space="preserve"> terms of reference for CWG-Internet, specified in Council Resolution 1336 (Mod. 2015), </w:t>
      </w:r>
      <w:r>
        <w:rPr>
          <w:rStyle w:val="None"/>
          <w:lang w:val="en-US"/>
        </w:rPr>
        <w:t>are to identify, study and develop matters related to international Internet-related public policy issues, including those issues identified in Council Resolution 1305 (2009), and in this regard, as appropriate:</w:t>
      </w:r>
    </w:p>
    <w:p w:rsidR="0091049F" w:rsidRDefault="0091049F" w:rsidP="00A37152">
      <w:pPr>
        <w:pStyle w:val="BodyA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 w:after="100"/>
        <w:ind w:left="709"/>
        <w:jc w:val="both"/>
      </w:pPr>
      <w:r>
        <w:t>a)</w:t>
      </w:r>
      <w:r>
        <w:tab/>
        <w:t>Disseminate its outputs throughout ITU</w:t>
      </w:r>
      <w:r w:rsidR="00A37152">
        <w:t>’</w:t>
      </w:r>
      <w:r>
        <w:t>s membership and to all relevant international organizations and stakeholders actively involved in such matters for their consideration in their policy-making processes</w:t>
      </w:r>
      <w:proofErr w:type="gramStart"/>
      <w:r>
        <w:t>;</w:t>
      </w:r>
      <w:proofErr w:type="gramEnd"/>
    </w:p>
    <w:p w:rsidR="0091049F" w:rsidRDefault="0091049F" w:rsidP="00A37152">
      <w:pPr>
        <w:pStyle w:val="BodyA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 w:after="100"/>
        <w:ind w:left="709"/>
        <w:jc w:val="both"/>
      </w:pPr>
      <w:r>
        <w:t>b)</w:t>
      </w:r>
      <w:r>
        <w:tab/>
        <w:t xml:space="preserve">Consider and discuss the activities of the Secretary-General and the Directors of the </w:t>
      </w:r>
      <w:proofErr w:type="spellStart"/>
      <w:r>
        <w:t>Bureaux</w:t>
      </w:r>
      <w:proofErr w:type="spellEnd"/>
      <w:r>
        <w:t xml:space="preserve"> in relation to implementation of Resolution 102 (Rev. Busan, 2014) and prepare inputs into these activities as appropriate</w:t>
      </w:r>
      <w:proofErr w:type="gramStart"/>
      <w:r>
        <w:t>;</w:t>
      </w:r>
      <w:proofErr w:type="gramEnd"/>
    </w:p>
    <w:p w:rsidR="0091049F" w:rsidRDefault="0091049F" w:rsidP="00A37152">
      <w:pPr>
        <w:pStyle w:val="BodyA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 w:after="100"/>
        <w:ind w:left="709"/>
        <w:jc w:val="both"/>
      </w:pPr>
      <w:r>
        <w:lastRenderedPageBreak/>
        <w:t>c)</w:t>
      </w:r>
      <w:r>
        <w:tab/>
        <w:t>Initiate and conduct open consultations with all stakeholders in an open and inclusive manner; and the output of the open consultations will be presented for consideration in the deliberations of the Council Working Group.</w:t>
      </w:r>
    </w:p>
    <w:p w:rsidR="0091049F" w:rsidRPr="00A37152" w:rsidRDefault="0091049F" w:rsidP="0091049F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20" w:after="120"/>
        <w:jc w:val="both"/>
      </w:pPr>
      <w:r w:rsidRPr="00A37152">
        <w:rPr>
          <w:rStyle w:val="None"/>
          <w:rFonts w:eastAsia="Calibri" w:cs="Calibri"/>
          <w:bCs/>
          <w:lang w:val="en-US"/>
        </w:rPr>
        <w:t>1.3</w:t>
      </w:r>
      <w:r w:rsidRPr="00A37152">
        <w:tab/>
        <w:t>Plenipotentiary Conference Resolution 102 (Rev. Busan, 2014) instructed the Council to revise its Resolution 1344, to direct the CWG-Internet, limited to Member States with open consultation to all stakeholders, and to conduct such open consultation according to the guidelines mentioned in the Resolution.</w:t>
      </w:r>
    </w:p>
    <w:p w:rsidR="0091049F" w:rsidRPr="00A37152" w:rsidRDefault="0091049F" w:rsidP="0091049F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20" w:after="120"/>
        <w:jc w:val="both"/>
      </w:pPr>
      <w:r w:rsidRPr="00A37152">
        <w:rPr>
          <w:rStyle w:val="None"/>
          <w:rFonts w:eastAsia="Calibri" w:cs="Calibri"/>
          <w:bCs/>
          <w:lang w:val="en-US"/>
        </w:rPr>
        <w:t>1.4</w:t>
      </w:r>
      <w:r w:rsidRPr="00A37152">
        <w:tab/>
        <w:t>Council Resolution 1344 (Mod. 2015) decided the modality of open consultation for the CWG-Internet.</w:t>
      </w:r>
    </w:p>
    <w:p w:rsidR="0091049F" w:rsidRDefault="0091049F" w:rsidP="0091049F">
      <w:pPr>
        <w:pStyle w:val="Normalaftertitle"/>
        <w:rPr>
          <w:rStyle w:val="None"/>
          <w:b/>
          <w:bCs/>
        </w:rPr>
      </w:pPr>
      <w:r>
        <w:rPr>
          <w:rStyle w:val="None"/>
          <w:rFonts w:eastAsia="Calibri" w:cs="Calibri"/>
          <w:b/>
          <w:bCs/>
          <w:lang w:val="en-US"/>
        </w:rPr>
        <w:t>2</w:t>
      </w:r>
      <w:r>
        <w:rPr>
          <w:rStyle w:val="None"/>
          <w:rFonts w:eastAsia="Calibri" w:cs="Calibri"/>
          <w:b/>
          <w:bCs/>
          <w:lang w:val="en-US"/>
        </w:rPr>
        <w:tab/>
        <w:t>CWG-Internet activities</w:t>
      </w:r>
    </w:p>
    <w:p w:rsidR="0091049F" w:rsidRPr="00A37152" w:rsidRDefault="0091049F" w:rsidP="001E5285">
      <w:pPr>
        <w:pStyle w:val="BodyA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00"/>
        <w:jc w:val="both"/>
      </w:pPr>
      <w:r w:rsidRPr="00A37152">
        <w:rPr>
          <w:rStyle w:val="None"/>
          <w:bCs/>
        </w:rPr>
        <w:t>2.1</w:t>
      </w:r>
      <w:r w:rsidRPr="00A37152">
        <w:rPr>
          <w:rStyle w:val="None"/>
        </w:rPr>
        <w:tab/>
        <w:t xml:space="preserve">The </w:t>
      </w:r>
      <w:r w:rsidRPr="00A37152">
        <w:t>CWG-Internet held its tenth and eleventh meetings</w:t>
      </w:r>
      <w:r w:rsidR="001E5285" w:rsidRPr="00A37152">
        <w:t xml:space="preserve"> </w:t>
      </w:r>
      <w:r w:rsidR="00B075BE" w:rsidRPr="00A37152">
        <w:t xml:space="preserve">at the ITU Headquarters </w:t>
      </w:r>
      <w:r w:rsidR="001E5285" w:rsidRPr="00A37152">
        <w:t>in Geneva, Switzerland</w:t>
      </w:r>
      <w:r w:rsidRPr="00A37152">
        <w:t xml:space="preserve">, on 20-22 September 2017 and 25-26 January 2018, respectively. </w:t>
      </w:r>
    </w:p>
    <w:p w:rsidR="0091049F" w:rsidRPr="00A37152" w:rsidRDefault="0091049F" w:rsidP="0091049F">
      <w:pPr>
        <w:pStyle w:val="BodyA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 w:after="100"/>
        <w:jc w:val="both"/>
      </w:pPr>
      <w:r w:rsidRPr="00A37152">
        <w:rPr>
          <w:rStyle w:val="None"/>
          <w:bCs/>
        </w:rPr>
        <w:t>2.2</w:t>
      </w:r>
      <w:r w:rsidRPr="00A37152">
        <w:tab/>
        <w:t xml:space="preserve">The Reports of the </w:t>
      </w:r>
      <w:hyperlink r:id="rId18" w:history="1">
        <w:r w:rsidRPr="00A37152">
          <w:rPr>
            <w:rStyle w:val="Hyperlink3"/>
          </w:rPr>
          <w:t>tenth</w:t>
        </w:r>
      </w:hyperlink>
      <w:r w:rsidRPr="00A37152">
        <w:t xml:space="preserve"> and </w:t>
      </w:r>
      <w:hyperlink r:id="rId19" w:history="1">
        <w:r w:rsidRPr="00A37152">
          <w:rPr>
            <w:rStyle w:val="Hyperlink3"/>
          </w:rPr>
          <w:t>eleventh</w:t>
        </w:r>
      </w:hyperlink>
      <w:r w:rsidRPr="00A37152">
        <w:t xml:space="preserve"> meeting of CWG-Internet were approved by the Group. </w:t>
      </w:r>
    </w:p>
    <w:p w:rsidR="0091049F" w:rsidRPr="00A37152" w:rsidRDefault="0091049F" w:rsidP="0091049F">
      <w:pPr>
        <w:pStyle w:val="BodyA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 w:after="100"/>
        <w:jc w:val="both"/>
      </w:pPr>
      <w:r w:rsidRPr="00A37152">
        <w:rPr>
          <w:rStyle w:val="None"/>
          <w:bCs/>
        </w:rPr>
        <w:t>2.3</w:t>
      </w:r>
      <w:r w:rsidRPr="00A37152">
        <w:tab/>
        <w:t>These Reports were disseminated throughout ITU</w:t>
      </w:r>
      <w:r w:rsidR="00A37152">
        <w:t>’</w:t>
      </w:r>
      <w:r w:rsidRPr="00A37152">
        <w:t>s membership and to all relevant international organizations and stakeholders actively involved in such matters for their consideration in their policy-making processes.</w:t>
      </w:r>
    </w:p>
    <w:p w:rsidR="0091049F" w:rsidRPr="00A37152" w:rsidRDefault="0091049F" w:rsidP="0091049F">
      <w:pPr>
        <w:pStyle w:val="BodyA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 w:after="100"/>
        <w:jc w:val="both"/>
      </w:pPr>
      <w:r w:rsidRPr="00A37152">
        <w:rPr>
          <w:rStyle w:val="None"/>
          <w:bCs/>
        </w:rPr>
        <w:t>2.4</w:t>
      </w:r>
      <w:r w:rsidRPr="00A37152">
        <w:tab/>
        <w:t xml:space="preserve">The CWG-Internet further conducted two rounds of Online and Physical Open Consultations: </w:t>
      </w:r>
    </w:p>
    <w:p w:rsidR="0091049F" w:rsidRDefault="0091049F" w:rsidP="00A37152">
      <w:pPr>
        <w:pStyle w:val="BodyA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 w:after="100"/>
        <w:ind w:left="709"/>
        <w:jc w:val="both"/>
      </w:pPr>
      <w:r w:rsidRPr="00A37152">
        <w:rPr>
          <w:bCs/>
        </w:rPr>
        <w:t>a)</w:t>
      </w:r>
      <w:r w:rsidR="002025C0" w:rsidRPr="00A37152">
        <w:rPr>
          <w:bCs/>
        </w:rPr>
        <w:tab/>
      </w:r>
      <w:r w:rsidRPr="00A37152">
        <w:t xml:space="preserve">From June to September 2017 on the topic of the </w:t>
      </w:r>
      <w:hyperlink r:id="rId20" w:history="1">
        <w:r w:rsidR="00A37152">
          <w:rPr>
            <w:rStyle w:val="Hyperlink"/>
          </w:rPr>
          <w:t>“</w:t>
        </w:r>
        <w:r w:rsidRPr="00A37152">
          <w:rPr>
            <w:rStyle w:val="Hyperlink"/>
          </w:rPr>
          <w:t>Public Policy considerations for OTTs</w:t>
        </w:r>
        <w:r w:rsidR="00A37152">
          <w:rPr>
            <w:rStyle w:val="Hyperlink"/>
          </w:rPr>
          <w:t>”</w:t>
        </w:r>
      </w:hyperlink>
      <w:proofErr w:type="gramStart"/>
      <w:r w:rsidRPr="00A37152">
        <w:t>,</w:t>
      </w:r>
      <w:proofErr w:type="gramEnd"/>
      <w:r w:rsidRPr="00A37152">
        <w:t xml:space="preserve"> followed</w:t>
      </w:r>
      <w:r>
        <w:t xml:space="preserve"> by a physical open consultation meeting on 18 September 2017. During this </w:t>
      </w:r>
      <w:r w:rsidR="00A37152">
        <w:t>consultation,</w:t>
      </w:r>
      <w:r>
        <w:t xml:space="preserve"> 71 responses were received from a variet</w:t>
      </w:r>
      <w:r w:rsidR="00A37152">
        <w:t>y of stakeholders and regions (ten</w:t>
      </w:r>
      <w:r>
        <w:t xml:space="preserve"> Government and public sector entities, 44 Private Sector </w:t>
      </w:r>
      <w:r w:rsidR="001E5285">
        <w:t xml:space="preserve">entities </w:t>
      </w:r>
      <w:r>
        <w:t xml:space="preserve">and Industry Associations, 13 Civil Society representatives, </w:t>
      </w:r>
      <w:r w:rsidR="00A37152">
        <w:t>two from Academia and two</w:t>
      </w:r>
      <w:r>
        <w:t xml:space="preserve"> from IGOs). The responses provided rich inputs, sharing different views with regard to the five questions of the consultation. </w:t>
      </w:r>
    </w:p>
    <w:p w:rsidR="0091049F" w:rsidRPr="00A37152" w:rsidRDefault="0091049F" w:rsidP="00A37152">
      <w:pPr>
        <w:pStyle w:val="BodyA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 w:after="100"/>
        <w:ind w:left="709"/>
        <w:jc w:val="both"/>
      </w:pPr>
      <w:r w:rsidRPr="00A37152">
        <w:rPr>
          <w:rStyle w:val="None"/>
          <w:bCs/>
        </w:rPr>
        <w:t>b)</w:t>
      </w:r>
      <w:r w:rsidR="002025C0" w:rsidRPr="00A37152">
        <w:rPr>
          <w:rStyle w:val="None"/>
        </w:rPr>
        <w:tab/>
      </w:r>
      <w:r w:rsidRPr="00A37152">
        <w:t>From</w:t>
      </w:r>
      <w:r w:rsidRPr="00A37152">
        <w:rPr>
          <w:rStyle w:val="None"/>
        </w:rPr>
        <w:t xml:space="preserve"> October 2017 to January 2018 on the topic of </w:t>
      </w:r>
      <w:hyperlink r:id="rId21" w:history="1">
        <w:r w:rsidR="00A37152" w:rsidRPr="00A37152">
          <w:rPr>
            <w:rStyle w:val="Hyperlink"/>
          </w:rPr>
          <w:t>“</w:t>
        </w:r>
        <w:r w:rsidRPr="00A37152">
          <w:rPr>
            <w:rStyle w:val="Hyperlink"/>
          </w:rPr>
          <w:t>Bridging the Digital Gender Divide</w:t>
        </w:r>
        <w:r w:rsidR="00A37152" w:rsidRPr="00A37152">
          <w:rPr>
            <w:rStyle w:val="Hyperlink"/>
          </w:rPr>
          <w:t>”</w:t>
        </w:r>
      </w:hyperlink>
      <w:proofErr w:type="gramStart"/>
      <w:r w:rsidRPr="00A37152">
        <w:rPr>
          <w:rStyle w:val="None"/>
        </w:rPr>
        <w:t>,</w:t>
      </w:r>
      <w:proofErr w:type="gramEnd"/>
      <w:r w:rsidRPr="00A37152">
        <w:rPr>
          <w:rStyle w:val="None"/>
        </w:rPr>
        <w:t xml:space="preserve"> followed by a physical open consultation meeting on 22 January 2018. During this </w:t>
      </w:r>
      <w:r w:rsidR="00A37152" w:rsidRPr="00A37152">
        <w:rPr>
          <w:rStyle w:val="None"/>
        </w:rPr>
        <w:t>consultation,</w:t>
      </w:r>
      <w:r w:rsidRPr="00A37152">
        <w:rPr>
          <w:rStyle w:val="None"/>
        </w:rPr>
        <w:t xml:space="preserve"> 52 responses were received from a variety of stakeholders and regions (21 Government entities, 22 Civil Society and</w:t>
      </w:r>
      <w:r w:rsidR="00A37152" w:rsidRPr="00A37152">
        <w:rPr>
          <w:rStyle w:val="None"/>
        </w:rPr>
        <w:t xml:space="preserve"> Technical Community entities, </w:t>
      </w:r>
      <w:proofErr w:type="gramStart"/>
      <w:r w:rsidR="00A37152" w:rsidRPr="00A37152">
        <w:rPr>
          <w:rStyle w:val="None"/>
        </w:rPr>
        <w:t>seven</w:t>
      </w:r>
      <w:proofErr w:type="gramEnd"/>
      <w:r w:rsidRPr="00A37152">
        <w:rPr>
          <w:rStyle w:val="None"/>
        </w:rPr>
        <w:t xml:space="preserve"> Private Sector entities and Industry Associations and </w:t>
      </w:r>
      <w:r w:rsidR="00A37152" w:rsidRPr="00A37152">
        <w:rPr>
          <w:rStyle w:val="None"/>
        </w:rPr>
        <w:t>two</w:t>
      </w:r>
      <w:r w:rsidRPr="00A37152">
        <w:rPr>
          <w:rStyle w:val="None"/>
        </w:rPr>
        <w:t xml:space="preserve"> </w:t>
      </w:r>
      <w:r w:rsidR="0070288B" w:rsidRPr="00A37152">
        <w:rPr>
          <w:rStyle w:val="None"/>
        </w:rPr>
        <w:t>IGOs</w:t>
      </w:r>
      <w:r w:rsidRPr="00A37152">
        <w:rPr>
          <w:rStyle w:val="None"/>
        </w:rPr>
        <w:t xml:space="preserve">). The responses provided rich inputs, sharing different views with regard to the five questions of the consultation. </w:t>
      </w:r>
    </w:p>
    <w:p w:rsidR="0091049F" w:rsidRDefault="0091049F" w:rsidP="0091049F">
      <w:pPr>
        <w:pStyle w:val="BodyA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 w:after="120"/>
        <w:jc w:val="both"/>
        <w:rPr>
          <w:rStyle w:val="Hyperlink3"/>
        </w:rPr>
      </w:pPr>
      <w:r w:rsidRPr="00A37152">
        <w:rPr>
          <w:rStyle w:val="None"/>
          <w:bCs/>
        </w:rPr>
        <w:t>2.5</w:t>
      </w:r>
      <w:r w:rsidRPr="00A37152">
        <w:tab/>
        <w:t>All responses received to the Online Open Consultations, as well as the brief summaries of the physical</w:t>
      </w:r>
      <w:r>
        <w:t xml:space="preserve"> consultation meetings approved by the meeting participants, are publicly available on the </w:t>
      </w:r>
      <w:hyperlink r:id="rId22" w:history="1">
        <w:r>
          <w:rPr>
            <w:rStyle w:val="Hyperlink3"/>
          </w:rPr>
          <w:t>ITU CWG-Internet website</w:t>
        </w:r>
      </w:hyperlink>
      <w:r>
        <w:rPr>
          <w:rStyle w:val="Hyperlink3"/>
        </w:rPr>
        <w:t>.</w:t>
      </w:r>
    </w:p>
    <w:p w:rsidR="0091049F" w:rsidRDefault="0091049F" w:rsidP="0091049F">
      <w:pPr>
        <w:pStyle w:val="Normalaftertitle"/>
        <w:rPr>
          <w:rStyle w:val="None"/>
          <w:b/>
          <w:bCs/>
        </w:rPr>
      </w:pPr>
      <w:r>
        <w:rPr>
          <w:rStyle w:val="None"/>
          <w:rFonts w:eastAsia="Calibri" w:cs="Calibri"/>
          <w:b/>
          <w:bCs/>
          <w:lang w:val="en-US"/>
        </w:rPr>
        <w:t>3</w:t>
      </w:r>
      <w:r>
        <w:tab/>
      </w:r>
      <w:r>
        <w:rPr>
          <w:rStyle w:val="None"/>
          <w:rFonts w:eastAsia="Calibri" w:cs="Calibri"/>
          <w:b/>
          <w:bCs/>
          <w:lang w:val="en-US"/>
        </w:rPr>
        <w:t xml:space="preserve">Issues related to PP-18 </w:t>
      </w:r>
    </w:p>
    <w:p w:rsidR="002025C0" w:rsidRPr="00A37152" w:rsidRDefault="0091049F" w:rsidP="00A37152">
      <w:pPr>
        <w:pStyle w:val="Body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60" w:line="252" w:lineRule="auto"/>
        <w:jc w:val="both"/>
        <w:rPr>
          <w:rStyle w:val="None"/>
        </w:rPr>
      </w:pPr>
      <w:r w:rsidRPr="00A37152">
        <w:rPr>
          <w:rStyle w:val="None"/>
          <w:bCs/>
        </w:rPr>
        <w:t>3.1</w:t>
      </w:r>
      <w:r w:rsidRPr="00A37152">
        <w:rPr>
          <w:rStyle w:val="None"/>
        </w:rPr>
        <w:tab/>
        <w:t>During the eleventh meeting the Group thanked UAE for their generous support in hosting PP-18.</w:t>
      </w:r>
    </w:p>
    <w:p w:rsidR="00B075BE" w:rsidRPr="00A37152" w:rsidRDefault="0091049F" w:rsidP="002025C0">
      <w:pPr>
        <w:pStyle w:val="Body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60" w:line="252" w:lineRule="auto"/>
        <w:jc w:val="both"/>
        <w:rPr>
          <w:rStyle w:val="None"/>
        </w:rPr>
      </w:pPr>
      <w:r w:rsidRPr="00A37152">
        <w:rPr>
          <w:rStyle w:val="None"/>
          <w:bCs/>
        </w:rPr>
        <w:t>3.2</w:t>
      </w:r>
      <w:r w:rsidRPr="00A37152">
        <w:tab/>
      </w:r>
      <w:r w:rsidR="00B075BE" w:rsidRPr="00A37152">
        <w:rPr>
          <w:rStyle w:val="None"/>
        </w:rPr>
        <w:t>All Member States were encouraged to use the discussions and outcomes of the CWG-Internet meetings in their preparations towards PP-18.</w:t>
      </w:r>
    </w:p>
    <w:p w:rsidR="0091049F" w:rsidRDefault="0091049F" w:rsidP="00B075BE">
      <w:pPr>
        <w:pStyle w:val="Body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 w:after="160" w:line="252" w:lineRule="auto"/>
        <w:jc w:val="both"/>
        <w:rPr>
          <w:rStyle w:val="None"/>
        </w:rPr>
      </w:pPr>
      <w:r w:rsidRPr="00A37152">
        <w:rPr>
          <w:rStyle w:val="None"/>
          <w:bCs/>
        </w:rPr>
        <w:t>3.3</w:t>
      </w:r>
      <w:r w:rsidRPr="00A37152">
        <w:tab/>
      </w:r>
      <w:r>
        <w:rPr>
          <w:rStyle w:val="None"/>
        </w:rPr>
        <w:t xml:space="preserve">All regional groups gave an </w:t>
      </w:r>
      <w:bookmarkStart w:id="8" w:name="dbreak2"/>
      <w:r>
        <w:rPr>
          <w:rStyle w:val="None"/>
        </w:rPr>
        <w:t>overview of their preparatory process for PP-18</w:t>
      </w:r>
      <w:bookmarkEnd w:id="8"/>
      <w:r>
        <w:rPr>
          <w:rStyle w:val="None"/>
        </w:rPr>
        <w:t xml:space="preserve">. </w:t>
      </w:r>
    </w:p>
    <w:p w:rsidR="0091049F" w:rsidRDefault="00B075BE" w:rsidP="002025C0">
      <w:pPr>
        <w:pStyle w:val="Normalaftertitle"/>
        <w:keepNext/>
        <w:rPr>
          <w:rStyle w:val="None"/>
          <w:b/>
          <w:bCs/>
        </w:rPr>
      </w:pPr>
      <w:bookmarkStart w:id="9" w:name="dbreak3"/>
      <w:r>
        <w:rPr>
          <w:rStyle w:val="None"/>
          <w:rFonts w:eastAsia="Calibri" w:cs="Calibri"/>
          <w:b/>
          <w:bCs/>
          <w:lang w:val="en-US"/>
        </w:rPr>
        <w:lastRenderedPageBreak/>
        <w:t>4.</w:t>
      </w:r>
      <w:r w:rsidR="0091049F">
        <w:rPr>
          <w:rStyle w:val="None"/>
          <w:rFonts w:eastAsia="Calibri" w:cs="Calibri"/>
          <w:b/>
          <w:bCs/>
          <w:lang w:val="en-US"/>
        </w:rPr>
        <w:tab/>
        <w:t>Conclusions</w:t>
      </w:r>
    </w:p>
    <w:p w:rsidR="0091049F" w:rsidRPr="00A37152" w:rsidRDefault="00B075BE" w:rsidP="00A37152">
      <w:pPr>
        <w:pStyle w:val="BodyA"/>
        <w:keepNext/>
        <w:jc w:val="both"/>
      </w:pPr>
      <w:r w:rsidRPr="00A37152">
        <w:rPr>
          <w:rStyle w:val="None"/>
          <w:bCs/>
        </w:rPr>
        <w:t>4</w:t>
      </w:r>
      <w:r w:rsidR="0091049F" w:rsidRPr="00A37152">
        <w:rPr>
          <w:rStyle w:val="None"/>
          <w:bCs/>
        </w:rPr>
        <w:t>.1</w:t>
      </w:r>
      <w:r w:rsidR="0091049F" w:rsidRPr="00A37152">
        <w:tab/>
      </w:r>
      <w:r w:rsidR="0091049F" w:rsidRPr="00A37152">
        <w:rPr>
          <w:rStyle w:val="None"/>
          <w:spacing w:val="-4"/>
        </w:rPr>
        <w:t>The Council is invited to note the reports of the tenth and eleventh meeting of the CWG-Internet.</w:t>
      </w:r>
    </w:p>
    <w:p w:rsidR="0091049F" w:rsidRDefault="00B075BE" w:rsidP="00B075BE">
      <w:pPr>
        <w:pStyle w:val="BodyA"/>
        <w:jc w:val="both"/>
      </w:pPr>
      <w:r w:rsidRPr="00A37152">
        <w:rPr>
          <w:rStyle w:val="None"/>
          <w:bCs/>
        </w:rPr>
        <w:t>4</w:t>
      </w:r>
      <w:r w:rsidR="0091049F" w:rsidRPr="00A37152">
        <w:rPr>
          <w:rStyle w:val="None"/>
          <w:bCs/>
        </w:rPr>
        <w:t>.2</w:t>
      </w:r>
      <w:r w:rsidR="0091049F" w:rsidRPr="00A37152">
        <w:rPr>
          <w:rStyle w:val="None"/>
        </w:rPr>
        <w:tab/>
        <w:t>On</w:t>
      </w:r>
      <w:r w:rsidR="0091049F">
        <w:rPr>
          <w:rStyle w:val="None"/>
        </w:rPr>
        <w:t xml:space="preserve"> behalf of CWG-Internet, the Chairman extends his personal thanks to all the ITU Member States who </w:t>
      </w:r>
      <w:proofErr w:type="gramStart"/>
      <w:r w:rsidR="0091049F">
        <w:rPr>
          <w:rStyle w:val="None"/>
        </w:rPr>
        <w:t>made con</w:t>
      </w:r>
      <w:bookmarkStart w:id="10" w:name="_GoBack"/>
      <w:bookmarkEnd w:id="10"/>
      <w:r w:rsidR="0091049F">
        <w:rPr>
          <w:rStyle w:val="None"/>
        </w:rPr>
        <w:t>tributions</w:t>
      </w:r>
      <w:proofErr w:type="gramEnd"/>
      <w:r w:rsidR="0091049F">
        <w:rPr>
          <w:rStyle w:val="None"/>
        </w:rPr>
        <w:t xml:space="preserve"> and participated in the work of the Group, the Vice</w:t>
      </w:r>
      <w:r>
        <w:rPr>
          <w:rStyle w:val="None"/>
        </w:rPr>
        <w:t>-</w:t>
      </w:r>
      <w:r w:rsidR="002F5417">
        <w:rPr>
          <w:rStyle w:val="None"/>
        </w:rPr>
        <w:t>C</w:t>
      </w:r>
      <w:r w:rsidR="0091049F">
        <w:rPr>
          <w:rStyle w:val="None"/>
        </w:rPr>
        <w:t>hairm</w:t>
      </w:r>
      <w:r w:rsidR="002F5417">
        <w:rPr>
          <w:rStyle w:val="None"/>
        </w:rPr>
        <w:t>e</w:t>
      </w:r>
      <w:r w:rsidR="0091049F">
        <w:rPr>
          <w:rStyle w:val="None"/>
        </w:rPr>
        <w:t>n, the Secretary-General, Deputy Secretary-General, Directors of TSB, BR, and BDT, and the General Secretariat</w:t>
      </w:r>
      <w:r>
        <w:rPr>
          <w:rStyle w:val="None"/>
        </w:rPr>
        <w:t xml:space="preserve"> </w:t>
      </w:r>
      <w:r w:rsidR="0091049F">
        <w:rPr>
          <w:rStyle w:val="None"/>
        </w:rPr>
        <w:t xml:space="preserve">for their efficient assistance during the </w:t>
      </w:r>
      <w:r w:rsidRPr="00B075BE">
        <w:rPr>
          <w:rStyle w:val="None"/>
        </w:rPr>
        <w:t xml:space="preserve">tenth and eleventh </w:t>
      </w:r>
      <w:r w:rsidR="0091049F">
        <w:rPr>
          <w:rStyle w:val="None"/>
        </w:rPr>
        <w:t>meeting of the CWG-Internet.</w:t>
      </w:r>
      <w:r w:rsidR="006270CB">
        <w:rPr>
          <w:rStyle w:val="None"/>
        </w:rPr>
        <w:br/>
      </w:r>
    </w:p>
    <w:p w:rsidR="0091049F" w:rsidRDefault="0091049F" w:rsidP="0091049F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5387"/>
        <w:rPr>
          <w:rStyle w:val="None"/>
          <w:b/>
          <w:bCs/>
        </w:rPr>
      </w:pPr>
      <w:r>
        <w:tab/>
      </w:r>
      <w:proofErr w:type="gramStart"/>
      <w:r>
        <w:rPr>
          <w:rStyle w:val="None"/>
          <w:rFonts w:eastAsia="Calibri" w:cs="Calibri"/>
          <w:b/>
          <w:bCs/>
          <w:lang w:val="en-US"/>
        </w:rPr>
        <w:t>Chairman</w:t>
      </w:r>
      <w:proofErr w:type="gramEnd"/>
      <w:r>
        <w:rPr>
          <w:rStyle w:val="None"/>
          <w:rFonts w:eastAsia="Calibri" w:cs="Calibri"/>
          <w:b/>
          <w:bCs/>
          <w:lang w:val="en-US"/>
        </w:rPr>
        <w:t xml:space="preserve">: </w:t>
      </w:r>
      <w:proofErr w:type="spellStart"/>
      <w:r>
        <w:rPr>
          <w:rStyle w:val="None"/>
          <w:rFonts w:eastAsia="Calibri" w:cs="Calibri"/>
          <w:b/>
          <w:bCs/>
          <w:lang w:val="en-US"/>
        </w:rPr>
        <w:t>Majed</w:t>
      </w:r>
      <w:proofErr w:type="spellEnd"/>
      <w:r>
        <w:rPr>
          <w:rStyle w:val="None"/>
          <w:rFonts w:eastAsia="Calibri" w:cs="Calibri"/>
          <w:b/>
          <w:bCs/>
          <w:lang w:val="en-US"/>
        </w:rPr>
        <w:t xml:space="preserve"> M. Al-</w:t>
      </w:r>
      <w:proofErr w:type="spellStart"/>
      <w:r>
        <w:rPr>
          <w:rStyle w:val="None"/>
          <w:rFonts w:eastAsia="Calibri" w:cs="Calibri"/>
          <w:b/>
          <w:bCs/>
          <w:lang w:val="en-US"/>
        </w:rPr>
        <w:t>Mazyed</w:t>
      </w:r>
      <w:proofErr w:type="spellEnd"/>
    </w:p>
    <w:p w:rsidR="0091049F" w:rsidRDefault="0091049F" w:rsidP="0091049F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ind w:left="5387"/>
      </w:pPr>
      <w:r>
        <w:rPr>
          <w:rStyle w:val="None"/>
          <w:rFonts w:eastAsia="Calibri" w:cs="Calibri"/>
          <w:b/>
          <w:bCs/>
        </w:rPr>
        <w:tab/>
        <w:t>(KINGDOM OF SAUDI ARABIA)</w:t>
      </w:r>
      <w:bookmarkEnd w:id="9"/>
    </w:p>
    <w:p w:rsidR="0091049F" w:rsidRPr="0091049F" w:rsidRDefault="0091049F" w:rsidP="0091049F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0" w:firstLine="0"/>
        <w:jc w:val="both"/>
      </w:pPr>
    </w:p>
    <w:p w:rsidR="002E2753" w:rsidRPr="004E2B50" w:rsidRDefault="002E2753" w:rsidP="00AA6A64">
      <w:pPr>
        <w:pStyle w:val="normalWSIS"/>
        <w:numPr>
          <w:ilvl w:val="0"/>
          <w:numId w:val="0"/>
        </w:numPr>
        <w:tabs>
          <w:tab w:val="clear" w:pos="426"/>
        </w:tabs>
        <w:snapToGrid w:val="0"/>
        <w:spacing w:before="360" w:after="0" w:line="240" w:lineRule="auto"/>
        <w:jc w:val="center"/>
        <w:rPr>
          <w:lang w:val="en-US"/>
        </w:rPr>
      </w:pPr>
    </w:p>
    <w:sectPr w:rsidR="002E2753" w:rsidRPr="004E2B50" w:rsidSect="004D1851">
      <w:head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9764AA" w16cid:durableId="1E33FFD3"/>
  <w16cid:commentId w16cid:paraId="21156A76" w16cid:durableId="1E33ED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86" w:rsidRDefault="00B71986">
      <w:r>
        <w:separator/>
      </w:r>
    </w:p>
  </w:endnote>
  <w:endnote w:type="continuationSeparator" w:id="0">
    <w:p w:rsidR="00B71986" w:rsidRDefault="00B7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11A" w:rsidRDefault="0041411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86" w:rsidRDefault="00B71986">
      <w:r>
        <w:t>____________________</w:t>
      </w:r>
    </w:p>
  </w:footnote>
  <w:footnote w:type="continuationSeparator" w:id="0">
    <w:p w:rsidR="00B71986" w:rsidRDefault="00B7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11A" w:rsidRDefault="0041411A" w:rsidP="0012629C">
    <w:pPr>
      <w:pStyle w:val="Header"/>
    </w:pPr>
    <w:r>
      <w:fldChar w:fldCharType="begin"/>
    </w:r>
    <w:r>
      <w:instrText>PAGE</w:instrText>
    </w:r>
    <w:r>
      <w:fldChar w:fldCharType="separate"/>
    </w:r>
    <w:r w:rsidR="00A37152">
      <w:rPr>
        <w:noProof/>
      </w:rPr>
      <w:t>2</w:t>
    </w:r>
    <w:r>
      <w:rPr>
        <w:noProof/>
      </w:rPr>
      <w:fldChar w:fldCharType="end"/>
    </w:r>
    <w:r w:rsidR="00642A51">
      <w:rPr>
        <w:noProof/>
      </w:rPr>
      <w:br/>
      <w:t>C18/</w:t>
    </w:r>
    <w:r w:rsidR="0012629C">
      <w:rPr>
        <w:noProof/>
      </w:rPr>
      <w:t>51</w:t>
    </w:r>
    <w:r w:rsidR="00642A51"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BA4A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E8F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E9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BEEB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DCDB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3E1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726B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62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DEF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3A4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7E7B95"/>
    <w:multiLevelType w:val="hybridMultilevel"/>
    <w:tmpl w:val="27A663E2"/>
    <w:lvl w:ilvl="0" w:tplc="2AC298B0">
      <w:start w:val="2004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72E9E"/>
    <w:multiLevelType w:val="hybridMultilevel"/>
    <w:tmpl w:val="24B4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E3561"/>
    <w:multiLevelType w:val="hybridMultilevel"/>
    <w:tmpl w:val="8DC67212"/>
    <w:lvl w:ilvl="0" w:tplc="469A1012">
      <w:start w:val="1"/>
      <w:numFmt w:val="decimal"/>
      <w:pStyle w:val="normalWSIS"/>
      <w:lvlText w:val="%1."/>
      <w:lvlJc w:val="left"/>
      <w:pPr>
        <w:ind w:left="928" w:hanging="360"/>
      </w:pPr>
      <w:rPr>
        <w:rFonts w:asciiTheme="minorHAnsi" w:hAnsiTheme="minorHAnsi" w:hint="default"/>
        <w:b w:val="0"/>
        <w:bCs w:val="0"/>
        <w:i w:val="0"/>
        <w:iCs w:val="0"/>
        <w:color w:val="auto"/>
        <w:sz w:val="20"/>
        <w:szCs w:val="20"/>
        <w:lang w:val="en-US"/>
      </w:rPr>
    </w:lvl>
    <w:lvl w:ilvl="1" w:tplc="04090019">
      <w:start w:val="1"/>
      <w:numFmt w:val="lowerLetter"/>
      <w:lvlText w:val="%2."/>
      <w:lvlJc w:val="left"/>
      <w:pPr>
        <w:ind w:left="447" w:hanging="360"/>
      </w:pPr>
    </w:lvl>
    <w:lvl w:ilvl="2" w:tplc="0409001B">
      <w:start w:val="1"/>
      <w:numFmt w:val="lowerRoman"/>
      <w:lvlText w:val="%3."/>
      <w:lvlJc w:val="right"/>
      <w:pPr>
        <w:ind w:left="1167" w:hanging="180"/>
      </w:pPr>
    </w:lvl>
    <w:lvl w:ilvl="3" w:tplc="0409000F">
      <w:start w:val="1"/>
      <w:numFmt w:val="decimal"/>
      <w:lvlText w:val="%4."/>
      <w:lvlJc w:val="left"/>
      <w:pPr>
        <w:ind w:left="1887" w:hanging="360"/>
      </w:pPr>
    </w:lvl>
    <w:lvl w:ilvl="4" w:tplc="04090019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53"/>
    <w:rsid w:val="0000011B"/>
    <w:rsid w:val="000029A5"/>
    <w:rsid w:val="00002CE8"/>
    <w:rsid w:val="00002DF8"/>
    <w:rsid w:val="00010756"/>
    <w:rsid w:val="00014FC2"/>
    <w:rsid w:val="000210D4"/>
    <w:rsid w:val="00026DA3"/>
    <w:rsid w:val="00030FB0"/>
    <w:rsid w:val="000322E8"/>
    <w:rsid w:val="00036CF6"/>
    <w:rsid w:val="000525A1"/>
    <w:rsid w:val="00053D61"/>
    <w:rsid w:val="000557AE"/>
    <w:rsid w:val="00063016"/>
    <w:rsid w:val="00066795"/>
    <w:rsid w:val="00071700"/>
    <w:rsid w:val="00076AF6"/>
    <w:rsid w:val="000823D1"/>
    <w:rsid w:val="00083C96"/>
    <w:rsid w:val="00084E6E"/>
    <w:rsid w:val="00085CF2"/>
    <w:rsid w:val="0009179D"/>
    <w:rsid w:val="000948BE"/>
    <w:rsid w:val="000963D2"/>
    <w:rsid w:val="000A14E7"/>
    <w:rsid w:val="000B15F0"/>
    <w:rsid w:val="000B1705"/>
    <w:rsid w:val="000B5B08"/>
    <w:rsid w:val="000C5AA1"/>
    <w:rsid w:val="000D238E"/>
    <w:rsid w:val="000D3EBD"/>
    <w:rsid w:val="000D41DC"/>
    <w:rsid w:val="000D75B2"/>
    <w:rsid w:val="000E2AF7"/>
    <w:rsid w:val="000E6A74"/>
    <w:rsid w:val="000E749C"/>
    <w:rsid w:val="00106370"/>
    <w:rsid w:val="00111B43"/>
    <w:rsid w:val="001121F5"/>
    <w:rsid w:val="00121B2B"/>
    <w:rsid w:val="00122008"/>
    <w:rsid w:val="0012629C"/>
    <w:rsid w:val="00134B85"/>
    <w:rsid w:val="001400DC"/>
    <w:rsid w:val="00140CE1"/>
    <w:rsid w:val="0014216F"/>
    <w:rsid w:val="00143C83"/>
    <w:rsid w:val="00144F88"/>
    <w:rsid w:val="00152D7A"/>
    <w:rsid w:val="00153A68"/>
    <w:rsid w:val="001631D6"/>
    <w:rsid w:val="001632D2"/>
    <w:rsid w:val="00174A2D"/>
    <w:rsid w:val="0017539C"/>
    <w:rsid w:val="00175AC2"/>
    <w:rsid w:val="0017609F"/>
    <w:rsid w:val="0018430E"/>
    <w:rsid w:val="00193C06"/>
    <w:rsid w:val="00193E5B"/>
    <w:rsid w:val="0019671E"/>
    <w:rsid w:val="001973F2"/>
    <w:rsid w:val="001A2DAA"/>
    <w:rsid w:val="001A6C6A"/>
    <w:rsid w:val="001B15DD"/>
    <w:rsid w:val="001B602D"/>
    <w:rsid w:val="001C628E"/>
    <w:rsid w:val="001D5362"/>
    <w:rsid w:val="001E0F7B"/>
    <w:rsid w:val="001E3B2E"/>
    <w:rsid w:val="001E5285"/>
    <w:rsid w:val="001F2861"/>
    <w:rsid w:val="001F2E25"/>
    <w:rsid w:val="002025C0"/>
    <w:rsid w:val="00202C7B"/>
    <w:rsid w:val="002119FD"/>
    <w:rsid w:val="00213050"/>
    <w:rsid w:val="002130E0"/>
    <w:rsid w:val="00213AF4"/>
    <w:rsid w:val="0021414C"/>
    <w:rsid w:val="002264F4"/>
    <w:rsid w:val="002471CD"/>
    <w:rsid w:val="002569B7"/>
    <w:rsid w:val="002572D3"/>
    <w:rsid w:val="00257571"/>
    <w:rsid w:val="00257CB3"/>
    <w:rsid w:val="00264425"/>
    <w:rsid w:val="00264FAF"/>
    <w:rsid w:val="00265875"/>
    <w:rsid w:val="00272350"/>
    <w:rsid w:val="00272F30"/>
    <w:rsid w:val="0027303B"/>
    <w:rsid w:val="002741E2"/>
    <w:rsid w:val="00280A9F"/>
    <w:rsid w:val="0028109B"/>
    <w:rsid w:val="00283A04"/>
    <w:rsid w:val="00292194"/>
    <w:rsid w:val="00293CD8"/>
    <w:rsid w:val="002A03AA"/>
    <w:rsid w:val="002B1F58"/>
    <w:rsid w:val="002B2A8A"/>
    <w:rsid w:val="002B50CB"/>
    <w:rsid w:val="002C1C7A"/>
    <w:rsid w:val="002C2B01"/>
    <w:rsid w:val="002C372D"/>
    <w:rsid w:val="002C7C48"/>
    <w:rsid w:val="002D02ED"/>
    <w:rsid w:val="002D06AF"/>
    <w:rsid w:val="002D1393"/>
    <w:rsid w:val="002D4AD0"/>
    <w:rsid w:val="002D4FAA"/>
    <w:rsid w:val="002E2753"/>
    <w:rsid w:val="002F1E54"/>
    <w:rsid w:val="002F5417"/>
    <w:rsid w:val="0030150D"/>
    <w:rsid w:val="0030160F"/>
    <w:rsid w:val="00302C62"/>
    <w:rsid w:val="00304949"/>
    <w:rsid w:val="00311D59"/>
    <w:rsid w:val="00313AC6"/>
    <w:rsid w:val="003204F6"/>
    <w:rsid w:val="00322D0D"/>
    <w:rsid w:val="00331429"/>
    <w:rsid w:val="00341B83"/>
    <w:rsid w:val="00341D92"/>
    <w:rsid w:val="00343986"/>
    <w:rsid w:val="003517D3"/>
    <w:rsid w:val="00361BEB"/>
    <w:rsid w:val="00362B88"/>
    <w:rsid w:val="00366C0C"/>
    <w:rsid w:val="00370F2A"/>
    <w:rsid w:val="00373358"/>
    <w:rsid w:val="00376AD8"/>
    <w:rsid w:val="0037727E"/>
    <w:rsid w:val="0037730B"/>
    <w:rsid w:val="003823E7"/>
    <w:rsid w:val="00382DFC"/>
    <w:rsid w:val="003863B4"/>
    <w:rsid w:val="00390281"/>
    <w:rsid w:val="003923B5"/>
    <w:rsid w:val="00392F26"/>
    <w:rsid w:val="003942D4"/>
    <w:rsid w:val="003958A8"/>
    <w:rsid w:val="003B0AB1"/>
    <w:rsid w:val="003B287C"/>
    <w:rsid w:val="003B61FD"/>
    <w:rsid w:val="003C20FE"/>
    <w:rsid w:val="003C2533"/>
    <w:rsid w:val="003D18CB"/>
    <w:rsid w:val="003D7036"/>
    <w:rsid w:val="003F3B99"/>
    <w:rsid w:val="003F77D4"/>
    <w:rsid w:val="00400872"/>
    <w:rsid w:val="004017AC"/>
    <w:rsid w:val="004041F3"/>
    <w:rsid w:val="0040435A"/>
    <w:rsid w:val="00405122"/>
    <w:rsid w:val="00407195"/>
    <w:rsid w:val="004078A8"/>
    <w:rsid w:val="00411AD0"/>
    <w:rsid w:val="00411EC7"/>
    <w:rsid w:val="0041411A"/>
    <w:rsid w:val="00416A24"/>
    <w:rsid w:val="00422CB2"/>
    <w:rsid w:val="00425942"/>
    <w:rsid w:val="00431D9E"/>
    <w:rsid w:val="00433CE8"/>
    <w:rsid w:val="00434A5C"/>
    <w:rsid w:val="0043593C"/>
    <w:rsid w:val="004423C3"/>
    <w:rsid w:val="00443A79"/>
    <w:rsid w:val="00452AC2"/>
    <w:rsid w:val="004544D9"/>
    <w:rsid w:val="00454860"/>
    <w:rsid w:val="004635CA"/>
    <w:rsid w:val="0046476E"/>
    <w:rsid w:val="00466C99"/>
    <w:rsid w:val="00467326"/>
    <w:rsid w:val="00471CCB"/>
    <w:rsid w:val="00476F22"/>
    <w:rsid w:val="0048244D"/>
    <w:rsid w:val="00490E72"/>
    <w:rsid w:val="00491157"/>
    <w:rsid w:val="004921C8"/>
    <w:rsid w:val="004929D4"/>
    <w:rsid w:val="004948FD"/>
    <w:rsid w:val="0049715B"/>
    <w:rsid w:val="004A416D"/>
    <w:rsid w:val="004A58FF"/>
    <w:rsid w:val="004B3471"/>
    <w:rsid w:val="004C3BBC"/>
    <w:rsid w:val="004C6A19"/>
    <w:rsid w:val="004D1851"/>
    <w:rsid w:val="004D2F13"/>
    <w:rsid w:val="004D4146"/>
    <w:rsid w:val="004D599D"/>
    <w:rsid w:val="004E089C"/>
    <w:rsid w:val="004E2EA5"/>
    <w:rsid w:val="004E3527"/>
    <w:rsid w:val="004E35C3"/>
    <w:rsid w:val="004E3AEB"/>
    <w:rsid w:val="004F4593"/>
    <w:rsid w:val="004F45D7"/>
    <w:rsid w:val="004F4E13"/>
    <w:rsid w:val="004F5C36"/>
    <w:rsid w:val="004F763F"/>
    <w:rsid w:val="0050223C"/>
    <w:rsid w:val="005032C9"/>
    <w:rsid w:val="005045D5"/>
    <w:rsid w:val="0051388C"/>
    <w:rsid w:val="00516220"/>
    <w:rsid w:val="00516C7D"/>
    <w:rsid w:val="00517DDF"/>
    <w:rsid w:val="005243FF"/>
    <w:rsid w:val="00527E50"/>
    <w:rsid w:val="00540EE6"/>
    <w:rsid w:val="005458AA"/>
    <w:rsid w:val="0055073F"/>
    <w:rsid w:val="00550A3C"/>
    <w:rsid w:val="00556548"/>
    <w:rsid w:val="00557A3A"/>
    <w:rsid w:val="00561235"/>
    <w:rsid w:val="0056392C"/>
    <w:rsid w:val="00563E3E"/>
    <w:rsid w:val="0056454A"/>
    <w:rsid w:val="00564FBC"/>
    <w:rsid w:val="0056768D"/>
    <w:rsid w:val="00576794"/>
    <w:rsid w:val="005801D9"/>
    <w:rsid w:val="00581F2B"/>
    <w:rsid w:val="00582442"/>
    <w:rsid w:val="005865F9"/>
    <w:rsid w:val="00587843"/>
    <w:rsid w:val="00593E5B"/>
    <w:rsid w:val="0059426E"/>
    <w:rsid w:val="00595A60"/>
    <w:rsid w:val="005A1BDA"/>
    <w:rsid w:val="005A57BB"/>
    <w:rsid w:val="005B0B24"/>
    <w:rsid w:val="005B29B6"/>
    <w:rsid w:val="005B5245"/>
    <w:rsid w:val="005B791E"/>
    <w:rsid w:val="005C181E"/>
    <w:rsid w:val="005E0116"/>
    <w:rsid w:val="005E0C50"/>
    <w:rsid w:val="00601542"/>
    <w:rsid w:val="00601551"/>
    <w:rsid w:val="00602FC8"/>
    <w:rsid w:val="006110DE"/>
    <w:rsid w:val="00612213"/>
    <w:rsid w:val="006270CB"/>
    <w:rsid w:val="0063472E"/>
    <w:rsid w:val="00635E09"/>
    <w:rsid w:val="00636B8C"/>
    <w:rsid w:val="006412A9"/>
    <w:rsid w:val="00642A51"/>
    <w:rsid w:val="00645AD9"/>
    <w:rsid w:val="0064737F"/>
    <w:rsid w:val="006535F1"/>
    <w:rsid w:val="0065557D"/>
    <w:rsid w:val="0065561B"/>
    <w:rsid w:val="0065636F"/>
    <w:rsid w:val="006569AB"/>
    <w:rsid w:val="0066008C"/>
    <w:rsid w:val="006624C2"/>
    <w:rsid w:val="00662984"/>
    <w:rsid w:val="006633CB"/>
    <w:rsid w:val="006707BF"/>
    <w:rsid w:val="006716AB"/>
    <w:rsid w:val="006716BB"/>
    <w:rsid w:val="00674217"/>
    <w:rsid w:val="00680E69"/>
    <w:rsid w:val="0068748E"/>
    <w:rsid w:val="00691CA0"/>
    <w:rsid w:val="00691F93"/>
    <w:rsid w:val="00693127"/>
    <w:rsid w:val="006A1823"/>
    <w:rsid w:val="006A20A4"/>
    <w:rsid w:val="006A30E3"/>
    <w:rsid w:val="006A5CA4"/>
    <w:rsid w:val="006A6858"/>
    <w:rsid w:val="006A79CE"/>
    <w:rsid w:val="006B4799"/>
    <w:rsid w:val="006B6680"/>
    <w:rsid w:val="006B6DCC"/>
    <w:rsid w:val="006B7131"/>
    <w:rsid w:val="006D20DE"/>
    <w:rsid w:val="006D38AD"/>
    <w:rsid w:val="006E18F4"/>
    <w:rsid w:val="006E7E3C"/>
    <w:rsid w:val="0070288B"/>
    <w:rsid w:val="00702DEF"/>
    <w:rsid w:val="00706861"/>
    <w:rsid w:val="00721B91"/>
    <w:rsid w:val="00723DE1"/>
    <w:rsid w:val="00724461"/>
    <w:rsid w:val="0072761C"/>
    <w:rsid w:val="00733685"/>
    <w:rsid w:val="00736B7C"/>
    <w:rsid w:val="00741AE9"/>
    <w:rsid w:val="0074614A"/>
    <w:rsid w:val="0075051B"/>
    <w:rsid w:val="00753E49"/>
    <w:rsid w:val="00755371"/>
    <w:rsid w:val="0076389B"/>
    <w:rsid w:val="00764A0B"/>
    <w:rsid w:val="00764A88"/>
    <w:rsid w:val="00766527"/>
    <w:rsid w:val="00776345"/>
    <w:rsid w:val="0078060E"/>
    <w:rsid w:val="0078105A"/>
    <w:rsid w:val="007901C4"/>
    <w:rsid w:val="00794D34"/>
    <w:rsid w:val="007A0730"/>
    <w:rsid w:val="007A7B0A"/>
    <w:rsid w:val="007B1B24"/>
    <w:rsid w:val="007B4C74"/>
    <w:rsid w:val="007B5377"/>
    <w:rsid w:val="007B55A7"/>
    <w:rsid w:val="007C436D"/>
    <w:rsid w:val="007C47B9"/>
    <w:rsid w:val="007C7B60"/>
    <w:rsid w:val="007D0F27"/>
    <w:rsid w:val="007D2F77"/>
    <w:rsid w:val="007D6D70"/>
    <w:rsid w:val="007E378E"/>
    <w:rsid w:val="007E5DF7"/>
    <w:rsid w:val="007E6947"/>
    <w:rsid w:val="007F63DE"/>
    <w:rsid w:val="00806021"/>
    <w:rsid w:val="00806044"/>
    <w:rsid w:val="00807D4D"/>
    <w:rsid w:val="00813E5E"/>
    <w:rsid w:val="00826782"/>
    <w:rsid w:val="0083581B"/>
    <w:rsid w:val="00835B90"/>
    <w:rsid w:val="008425C5"/>
    <w:rsid w:val="00843092"/>
    <w:rsid w:val="008447D8"/>
    <w:rsid w:val="00851589"/>
    <w:rsid w:val="0085161B"/>
    <w:rsid w:val="00857588"/>
    <w:rsid w:val="00864AFF"/>
    <w:rsid w:val="0086646A"/>
    <w:rsid w:val="00867EA4"/>
    <w:rsid w:val="00870FC3"/>
    <w:rsid w:val="0088197F"/>
    <w:rsid w:val="00884A57"/>
    <w:rsid w:val="00885EA3"/>
    <w:rsid w:val="00890C87"/>
    <w:rsid w:val="0089480C"/>
    <w:rsid w:val="008A0AA6"/>
    <w:rsid w:val="008B2C66"/>
    <w:rsid w:val="008B48D5"/>
    <w:rsid w:val="008B4A6A"/>
    <w:rsid w:val="008C6EAF"/>
    <w:rsid w:val="008C7E27"/>
    <w:rsid w:val="008D2FEB"/>
    <w:rsid w:val="008D34A4"/>
    <w:rsid w:val="008D56D3"/>
    <w:rsid w:val="008D742D"/>
    <w:rsid w:val="008E12A6"/>
    <w:rsid w:val="008F2B5C"/>
    <w:rsid w:val="008F367B"/>
    <w:rsid w:val="008F6E87"/>
    <w:rsid w:val="00901070"/>
    <w:rsid w:val="00907FB3"/>
    <w:rsid w:val="0091049F"/>
    <w:rsid w:val="009173EF"/>
    <w:rsid w:val="00917D22"/>
    <w:rsid w:val="009227BC"/>
    <w:rsid w:val="009325E1"/>
    <w:rsid w:val="00932906"/>
    <w:rsid w:val="009334F0"/>
    <w:rsid w:val="009440C0"/>
    <w:rsid w:val="00946271"/>
    <w:rsid w:val="00946ED0"/>
    <w:rsid w:val="00947C84"/>
    <w:rsid w:val="00951C24"/>
    <w:rsid w:val="009547DE"/>
    <w:rsid w:val="00955AB9"/>
    <w:rsid w:val="00960414"/>
    <w:rsid w:val="00961B0B"/>
    <w:rsid w:val="009814F3"/>
    <w:rsid w:val="00985134"/>
    <w:rsid w:val="00991997"/>
    <w:rsid w:val="00994ED0"/>
    <w:rsid w:val="009A6ABA"/>
    <w:rsid w:val="009B1205"/>
    <w:rsid w:val="009B38C3"/>
    <w:rsid w:val="009C12E1"/>
    <w:rsid w:val="009C72EF"/>
    <w:rsid w:val="009D032F"/>
    <w:rsid w:val="009D1985"/>
    <w:rsid w:val="009D3711"/>
    <w:rsid w:val="009D38B1"/>
    <w:rsid w:val="009D7D83"/>
    <w:rsid w:val="009E0145"/>
    <w:rsid w:val="009E17BD"/>
    <w:rsid w:val="009E3F3D"/>
    <w:rsid w:val="00A004DE"/>
    <w:rsid w:val="00A04CEC"/>
    <w:rsid w:val="00A105FE"/>
    <w:rsid w:val="00A15394"/>
    <w:rsid w:val="00A27503"/>
    <w:rsid w:val="00A27F92"/>
    <w:rsid w:val="00A32257"/>
    <w:rsid w:val="00A36D20"/>
    <w:rsid w:val="00A37152"/>
    <w:rsid w:val="00A41E62"/>
    <w:rsid w:val="00A42FFF"/>
    <w:rsid w:val="00A55622"/>
    <w:rsid w:val="00A55ACC"/>
    <w:rsid w:val="00A61195"/>
    <w:rsid w:val="00A62FF1"/>
    <w:rsid w:val="00A70918"/>
    <w:rsid w:val="00A73915"/>
    <w:rsid w:val="00A74688"/>
    <w:rsid w:val="00A76078"/>
    <w:rsid w:val="00A802DF"/>
    <w:rsid w:val="00A83502"/>
    <w:rsid w:val="00A84A21"/>
    <w:rsid w:val="00A913B7"/>
    <w:rsid w:val="00A913EC"/>
    <w:rsid w:val="00AA6981"/>
    <w:rsid w:val="00AA6A64"/>
    <w:rsid w:val="00AA7642"/>
    <w:rsid w:val="00AB279E"/>
    <w:rsid w:val="00AC7323"/>
    <w:rsid w:val="00AD15B3"/>
    <w:rsid w:val="00AD66A0"/>
    <w:rsid w:val="00AE11C5"/>
    <w:rsid w:val="00AE5747"/>
    <w:rsid w:val="00AE66CE"/>
    <w:rsid w:val="00AE71C8"/>
    <w:rsid w:val="00AF3074"/>
    <w:rsid w:val="00AF598B"/>
    <w:rsid w:val="00AF6E49"/>
    <w:rsid w:val="00B028FC"/>
    <w:rsid w:val="00B04A67"/>
    <w:rsid w:val="00B04F2F"/>
    <w:rsid w:val="00B0583C"/>
    <w:rsid w:val="00B075BE"/>
    <w:rsid w:val="00B12F7F"/>
    <w:rsid w:val="00B1602D"/>
    <w:rsid w:val="00B1660B"/>
    <w:rsid w:val="00B25470"/>
    <w:rsid w:val="00B310EA"/>
    <w:rsid w:val="00B317DA"/>
    <w:rsid w:val="00B37E18"/>
    <w:rsid w:val="00B40A81"/>
    <w:rsid w:val="00B43A9D"/>
    <w:rsid w:val="00B44910"/>
    <w:rsid w:val="00B45845"/>
    <w:rsid w:val="00B53D04"/>
    <w:rsid w:val="00B575A1"/>
    <w:rsid w:val="00B630BD"/>
    <w:rsid w:val="00B647A5"/>
    <w:rsid w:val="00B66FE0"/>
    <w:rsid w:val="00B67EC1"/>
    <w:rsid w:val="00B71672"/>
    <w:rsid w:val="00B71986"/>
    <w:rsid w:val="00B72267"/>
    <w:rsid w:val="00B74489"/>
    <w:rsid w:val="00B75057"/>
    <w:rsid w:val="00B7693F"/>
    <w:rsid w:val="00B76EB6"/>
    <w:rsid w:val="00B7737B"/>
    <w:rsid w:val="00B80E5B"/>
    <w:rsid w:val="00B824C8"/>
    <w:rsid w:val="00B933A6"/>
    <w:rsid w:val="00BA589D"/>
    <w:rsid w:val="00BA5AAA"/>
    <w:rsid w:val="00BB328C"/>
    <w:rsid w:val="00BB5D91"/>
    <w:rsid w:val="00BB6C2D"/>
    <w:rsid w:val="00BC251A"/>
    <w:rsid w:val="00BC2EF4"/>
    <w:rsid w:val="00BC61F5"/>
    <w:rsid w:val="00BD008A"/>
    <w:rsid w:val="00BD032B"/>
    <w:rsid w:val="00BD03FE"/>
    <w:rsid w:val="00BE07B1"/>
    <w:rsid w:val="00BE2640"/>
    <w:rsid w:val="00BE2E37"/>
    <w:rsid w:val="00BE59B1"/>
    <w:rsid w:val="00BE5A9D"/>
    <w:rsid w:val="00BF3D35"/>
    <w:rsid w:val="00BF5330"/>
    <w:rsid w:val="00BF6CDF"/>
    <w:rsid w:val="00C01189"/>
    <w:rsid w:val="00C15598"/>
    <w:rsid w:val="00C16486"/>
    <w:rsid w:val="00C2053C"/>
    <w:rsid w:val="00C252DF"/>
    <w:rsid w:val="00C2689E"/>
    <w:rsid w:val="00C349EF"/>
    <w:rsid w:val="00C34A92"/>
    <w:rsid w:val="00C34A9B"/>
    <w:rsid w:val="00C34BDF"/>
    <w:rsid w:val="00C3544E"/>
    <w:rsid w:val="00C37116"/>
    <w:rsid w:val="00C374DE"/>
    <w:rsid w:val="00C41FD5"/>
    <w:rsid w:val="00C47AD4"/>
    <w:rsid w:val="00C52D81"/>
    <w:rsid w:val="00C53F25"/>
    <w:rsid w:val="00C55198"/>
    <w:rsid w:val="00C56BE1"/>
    <w:rsid w:val="00C67E52"/>
    <w:rsid w:val="00C70583"/>
    <w:rsid w:val="00C72B4F"/>
    <w:rsid w:val="00C960A7"/>
    <w:rsid w:val="00CA0372"/>
    <w:rsid w:val="00CA6393"/>
    <w:rsid w:val="00CA7E91"/>
    <w:rsid w:val="00CA7F1F"/>
    <w:rsid w:val="00CB18FF"/>
    <w:rsid w:val="00CB1C89"/>
    <w:rsid w:val="00CB5CB5"/>
    <w:rsid w:val="00CB6C74"/>
    <w:rsid w:val="00CB7019"/>
    <w:rsid w:val="00CC503F"/>
    <w:rsid w:val="00CD0C08"/>
    <w:rsid w:val="00CD1EE6"/>
    <w:rsid w:val="00CD515B"/>
    <w:rsid w:val="00CE03FB"/>
    <w:rsid w:val="00CE064B"/>
    <w:rsid w:val="00CE2A02"/>
    <w:rsid w:val="00CE3190"/>
    <w:rsid w:val="00CE35E0"/>
    <w:rsid w:val="00CE3762"/>
    <w:rsid w:val="00CE433C"/>
    <w:rsid w:val="00CE5AB0"/>
    <w:rsid w:val="00CF16EE"/>
    <w:rsid w:val="00CF33F3"/>
    <w:rsid w:val="00D0214D"/>
    <w:rsid w:val="00D06183"/>
    <w:rsid w:val="00D127D2"/>
    <w:rsid w:val="00D13EAE"/>
    <w:rsid w:val="00D15FED"/>
    <w:rsid w:val="00D16F70"/>
    <w:rsid w:val="00D210D8"/>
    <w:rsid w:val="00D22C42"/>
    <w:rsid w:val="00D23C52"/>
    <w:rsid w:val="00D314C6"/>
    <w:rsid w:val="00D326AF"/>
    <w:rsid w:val="00D40D91"/>
    <w:rsid w:val="00D41E4E"/>
    <w:rsid w:val="00D5157D"/>
    <w:rsid w:val="00D52285"/>
    <w:rsid w:val="00D5279E"/>
    <w:rsid w:val="00D52C63"/>
    <w:rsid w:val="00D52CD8"/>
    <w:rsid w:val="00D562F8"/>
    <w:rsid w:val="00D65041"/>
    <w:rsid w:val="00D77A4D"/>
    <w:rsid w:val="00D81A5D"/>
    <w:rsid w:val="00D9232D"/>
    <w:rsid w:val="00D97B37"/>
    <w:rsid w:val="00DA4FCB"/>
    <w:rsid w:val="00DB384B"/>
    <w:rsid w:val="00DB7194"/>
    <w:rsid w:val="00DB7905"/>
    <w:rsid w:val="00DC49D3"/>
    <w:rsid w:val="00DC4A4D"/>
    <w:rsid w:val="00DC7508"/>
    <w:rsid w:val="00DE21D9"/>
    <w:rsid w:val="00DF3BD9"/>
    <w:rsid w:val="00DF5BF0"/>
    <w:rsid w:val="00DF5D9B"/>
    <w:rsid w:val="00DF7C85"/>
    <w:rsid w:val="00E02052"/>
    <w:rsid w:val="00E0412C"/>
    <w:rsid w:val="00E0552C"/>
    <w:rsid w:val="00E07700"/>
    <w:rsid w:val="00E10E80"/>
    <w:rsid w:val="00E124F0"/>
    <w:rsid w:val="00E1419C"/>
    <w:rsid w:val="00E24A3F"/>
    <w:rsid w:val="00E36C26"/>
    <w:rsid w:val="00E404A1"/>
    <w:rsid w:val="00E4675A"/>
    <w:rsid w:val="00E52E05"/>
    <w:rsid w:val="00E60F04"/>
    <w:rsid w:val="00E70DE7"/>
    <w:rsid w:val="00E74BA5"/>
    <w:rsid w:val="00E854E4"/>
    <w:rsid w:val="00E93A5B"/>
    <w:rsid w:val="00EA1B4D"/>
    <w:rsid w:val="00EA79A7"/>
    <w:rsid w:val="00EB0D6F"/>
    <w:rsid w:val="00EB2232"/>
    <w:rsid w:val="00EB5100"/>
    <w:rsid w:val="00EC5337"/>
    <w:rsid w:val="00ED482F"/>
    <w:rsid w:val="00ED677F"/>
    <w:rsid w:val="00EE2555"/>
    <w:rsid w:val="00EE34C7"/>
    <w:rsid w:val="00EE6CA6"/>
    <w:rsid w:val="00EF2C9C"/>
    <w:rsid w:val="00EF749E"/>
    <w:rsid w:val="00EF7EED"/>
    <w:rsid w:val="00F0188A"/>
    <w:rsid w:val="00F06DEB"/>
    <w:rsid w:val="00F13AC1"/>
    <w:rsid w:val="00F2019E"/>
    <w:rsid w:val="00F2150A"/>
    <w:rsid w:val="00F231D8"/>
    <w:rsid w:val="00F30360"/>
    <w:rsid w:val="00F3149D"/>
    <w:rsid w:val="00F31E85"/>
    <w:rsid w:val="00F37731"/>
    <w:rsid w:val="00F377DE"/>
    <w:rsid w:val="00F43CE7"/>
    <w:rsid w:val="00F46C5F"/>
    <w:rsid w:val="00F470FF"/>
    <w:rsid w:val="00F479E7"/>
    <w:rsid w:val="00F51F54"/>
    <w:rsid w:val="00F56140"/>
    <w:rsid w:val="00F631BA"/>
    <w:rsid w:val="00F64048"/>
    <w:rsid w:val="00F67C83"/>
    <w:rsid w:val="00F73D9F"/>
    <w:rsid w:val="00F758D5"/>
    <w:rsid w:val="00F81F48"/>
    <w:rsid w:val="00F834C1"/>
    <w:rsid w:val="00F83685"/>
    <w:rsid w:val="00F94A63"/>
    <w:rsid w:val="00F954FC"/>
    <w:rsid w:val="00F95AAF"/>
    <w:rsid w:val="00FA1C28"/>
    <w:rsid w:val="00FA3BCD"/>
    <w:rsid w:val="00FA6AF3"/>
    <w:rsid w:val="00FA705F"/>
    <w:rsid w:val="00FB00ED"/>
    <w:rsid w:val="00FB24A8"/>
    <w:rsid w:val="00FB4AEA"/>
    <w:rsid w:val="00FB7596"/>
    <w:rsid w:val="00FC777B"/>
    <w:rsid w:val="00FD2447"/>
    <w:rsid w:val="00FD5C0D"/>
    <w:rsid w:val="00FD7D77"/>
    <w:rsid w:val="00FE0C84"/>
    <w:rsid w:val="00FE0E2A"/>
    <w:rsid w:val="00FE3410"/>
    <w:rsid w:val="00FE4077"/>
    <w:rsid w:val="00FE77D2"/>
    <w:rsid w:val="00FF367D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2FAEB1F"/>
  <w15:docId w15:val="{FB14B5A7-4F78-4EE3-9994-3631D2B7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42A51"/>
    <w:pPr>
      <w:framePr w:hSpace="180" w:wrap="around" w:hAnchor="margin" w:y="-675"/>
      <w:tabs>
        <w:tab w:val="left" w:pos="1185"/>
        <w:tab w:val="center" w:pos="4907"/>
      </w:tabs>
      <w:spacing w:before="72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aliases w:val="超级链接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E2753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apple-style-span">
    <w:name w:val="apple-style-span"/>
    <w:basedOn w:val="DefaultParagraphFont"/>
    <w:rsid w:val="002E2753"/>
  </w:style>
  <w:style w:type="paragraph" w:styleId="NormalWeb">
    <w:name w:val="Normal (Web)"/>
    <w:basedOn w:val="Normal"/>
    <w:uiPriority w:val="99"/>
    <w:rsid w:val="002E275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Times New Roman" w:eastAsiaTheme="minorEastAsia" w:hAnsi="Times New Roman" w:cstheme="minorBidi"/>
      <w:sz w:val="22"/>
      <w:szCs w:val="24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2E2753"/>
    <w:rPr>
      <w:rFonts w:ascii="Calibri" w:hAnsi="Calibri"/>
      <w:b/>
      <w:sz w:val="28"/>
      <w:lang w:val="en-GB" w:eastAsia="en-US"/>
    </w:rPr>
  </w:style>
  <w:style w:type="paragraph" w:customStyle="1" w:styleId="Style2">
    <w:name w:val="Style2"/>
    <w:basedOn w:val="Normal"/>
    <w:uiPriority w:val="99"/>
    <w:rsid w:val="002E2753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69" w:lineRule="atLeast"/>
      <w:ind w:hanging="346"/>
      <w:jc w:val="both"/>
      <w:textAlignment w:val="auto"/>
    </w:pPr>
    <w:rPr>
      <w:rFonts w:asciiTheme="minorHAnsi" w:eastAsia="SimSun" w:hAnsiTheme="minorHAnsi" w:cstheme="minorBidi"/>
      <w:sz w:val="22"/>
      <w:szCs w:val="24"/>
      <w:lang w:val="fr-CH" w:eastAsia="zh-CN"/>
    </w:rPr>
  </w:style>
  <w:style w:type="paragraph" w:customStyle="1" w:styleId="normalWSIS">
    <w:name w:val="normal WSIS"/>
    <w:basedOn w:val="ListParagraph"/>
    <w:link w:val="normalWSISChar"/>
    <w:qFormat/>
    <w:rsid w:val="002E2753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before="0" w:after="200" w:line="276" w:lineRule="auto"/>
      <w:contextualSpacing w:val="0"/>
      <w:jc w:val="both"/>
      <w:textAlignment w:val="auto"/>
    </w:pPr>
    <w:rPr>
      <w:rFonts w:asciiTheme="minorHAnsi" w:eastAsia="SimSun" w:hAnsiTheme="minorHAnsi" w:cs="Arial"/>
      <w:sz w:val="22"/>
      <w:szCs w:val="22"/>
      <w:lang w:val="fr-CH" w:eastAsia="zh-CN"/>
    </w:rPr>
  </w:style>
  <w:style w:type="character" w:customStyle="1" w:styleId="normalWSISChar">
    <w:name w:val="normal WSIS Char"/>
    <w:basedOn w:val="DefaultParagraphFont"/>
    <w:link w:val="normalWSIS"/>
    <w:rsid w:val="002E2753"/>
    <w:rPr>
      <w:rFonts w:asciiTheme="minorHAnsi" w:eastAsia="SimSun" w:hAnsiTheme="minorHAnsi" w:cs="Arial"/>
      <w:sz w:val="22"/>
      <w:szCs w:val="22"/>
      <w:lang w:val="fr-CH"/>
    </w:rPr>
  </w:style>
  <w:style w:type="paragraph" w:styleId="ListParagraph">
    <w:name w:val="List Paragraph"/>
    <w:basedOn w:val="Normal"/>
    <w:uiPriority w:val="34"/>
    <w:qFormat/>
    <w:rsid w:val="002E275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E319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3190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334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34F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34F0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3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34F0"/>
    <w:rPr>
      <w:rFonts w:ascii="Calibri" w:hAnsi="Calibri"/>
      <w:b/>
      <w:bCs/>
      <w:lang w:val="en-GB" w:eastAsia="en-US"/>
    </w:rPr>
  </w:style>
  <w:style w:type="character" w:styleId="Strong">
    <w:name w:val="Strong"/>
    <w:basedOn w:val="DefaultParagraphFont"/>
    <w:uiPriority w:val="22"/>
    <w:qFormat/>
    <w:rsid w:val="00F13AC1"/>
    <w:rPr>
      <w:b/>
      <w:bCs/>
    </w:rPr>
  </w:style>
  <w:style w:type="paragraph" w:styleId="Revision">
    <w:name w:val="Revision"/>
    <w:hidden/>
    <w:uiPriority w:val="99"/>
    <w:semiHidden/>
    <w:rsid w:val="00F37731"/>
    <w:rPr>
      <w:rFonts w:ascii="Calibri" w:hAnsi="Calibri"/>
      <w:sz w:val="24"/>
      <w:lang w:val="en-GB" w:eastAsia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2D4FAA"/>
    <w:rPr>
      <w:color w:val="808080"/>
      <w:shd w:val="clear" w:color="auto" w:fill="E6E6E6"/>
    </w:rPr>
  </w:style>
  <w:style w:type="paragraph" w:styleId="Date">
    <w:name w:val="Date"/>
    <w:basedOn w:val="Normal"/>
    <w:next w:val="Normal"/>
    <w:link w:val="DateChar"/>
    <w:rsid w:val="00576794"/>
  </w:style>
  <w:style w:type="character" w:customStyle="1" w:styleId="DateChar">
    <w:name w:val="Date Char"/>
    <w:basedOn w:val="DefaultParagraphFont"/>
    <w:link w:val="Date"/>
    <w:rsid w:val="00576794"/>
    <w:rPr>
      <w:rFonts w:ascii="Calibri" w:hAnsi="Calibri"/>
      <w:sz w:val="24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71CD"/>
    <w:rPr>
      <w:color w:val="808080"/>
      <w:shd w:val="clear" w:color="auto" w:fill="E6E6E6"/>
    </w:rPr>
  </w:style>
  <w:style w:type="paragraph" w:customStyle="1" w:styleId="Default">
    <w:name w:val="Default"/>
    <w:rsid w:val="00B310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ne">
    <w:name w:val="None"/>
    <w:rsid w:val="002A03AA"/>
  </w:style>
  <w:style w:type="paragraph" w:customStyle="1" w:styleId="BodyA">
    <w:name w:val="Body A"/>
    <w:rsid w:val="0091049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customStyle="1" w:styleId="BodyAA">
    <w:name w:val="Body A A"/>
    <w:rsid w:val="0091049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None"/>
    <w:rsid w:val="0091049F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71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71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en/action/internet/Documents/Resolution_140_pp14.pdf" TargetMode="External"/><Relationship Id="rId18" Type="http://schemas.openxmlformats.org/officeDocument/2006/relationships/hyperlink" Target="https://www.itu.int/md/S17-RCLINTPOL10-C-0009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council/cwg-internet/Pages/consultation-oct2017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tu.int/en/action/internet/Documents/Resolution_102_pp14.pdf" TargetMode="External"/><Relationship Id="rId17" Type="http://schemas.openxmlformats.org/officeDocument/2006/relationships/hyperlink" Target="https://www.itu.int/en/council/cwg-internet/Pages/default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S15-CL-C-0112/en" TargetMode="External"/><Relationship Id="rId20" Type="http://schemas.openxmlformats.org/officeDocument/2006/relationships/hyperlink" Target="https://www.itu.int/en/council/cwg-internet/Pages/consultation-june2017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itu.int/md/S15-CL-C-0113/en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18-RCLINTPOL11-C-0011/en" TargetMode="External"/><Relationship Id="rId94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S09-CL-C-0105" TargetMode="External"/><Relationship Id="rId22" Type="http://schemas.openxmlformats.org/officeDocument/2006/relationships/hyperlink" Target="http://www.itu.int/en/council/cwg-internet/Pages/open-consultations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CFAE3DE746A4685A8753B6C2499EA" ma:contentTypeVersion="0" ma:contentTypeDescription="Create a new document." ma:contentTypeScope="" ma:versionID="7a8b0435e6fb22d8444e7940a317a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BCEA-4CFA-44C4-95E8-708FA2E5D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A6360-4A4B-48CA-A3A4-245E820E9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A6CCEC-3181-4912-B0A7-A75F45BBBBD4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C8240BE-9F66-4A13-803D-F6A900FE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785</Words>
  <Characters>5386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ITU Internet activities: Res. 101, 102, 133 and 180</vt:lpstr>
      <vt:lpstr>ITU Internet activities: Res. 101, 102, 133 and 180</vt:lpstr>
    </vt:vector>
  </TitlesOfParts>
  <Manager>General Secretariat - Pool</Manager>
  <Company>International Telecommunication Union (ITU)</Company>
  <LinksUpToDate>false</LinksUpToDate>
  <CharactersWithSpaces>6159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CWG-Internet</dc:title>
  <dc:subject>Council 2017</dc:subject>
  <dc:creator>Brouard, Ricarda</dc:creator>
  <cp:keywords>C2018, C18</cp:keywords>
  <dc:description/>
  <cp:lastModifiedBy>Elizabeth Aschenbrener</cp:lastModifiedBy>
  <cp:revision>5</cp:revision>
  <cp:lastPrinted>2017-08-08T10:17:00Z</cp:lastPrinted>
  <dcterms:created xsi:type="dcterms:W3CDTF">2018-03-07T12:12:00Z</dcterms:created>
  <dcterms:modified xsi:type="dcterms:W3CDTF">2018-03-07T12:23:00Z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0x010100439CFAE3DE746A4685A8753B6C2499EA</vt:lpwstr>
  </property>
</Properties>
</file>