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A225C7">
        <w:trPr>
          <w:cantSplit/>
        </w:trPr>
        <w:tc>
          <w:tcPr>
            <w:tcW w:w="6911" w:type="dxa"/>
          </w:tcPr>
          <w:p w:rsidR="00BC7BC0" w:rsidRPr="00A225C7" w:rsidRDefault="000569B4" w:rsidP="00A138B1">
            <w:pPr>
              <w:spacing w:before="360" w:after="48"/>
              <w:rPr>
                <w:position w:val="6"/>
                <w:szCs w:val="22"/>
              </w:rPr>
            </w:pPr>
            <w:r>
              <w:rPr>
                <w:b/>
                <w:smallCaps/>
                <w:sz w:val="28"/>
              </w:rPr>
              <w:t>СОВЕТ 2018</w:t>
            </w:r>
            <w:r>
              <w:rPr>
                <w:b/>
                <w:smallCaps/>
                <w:sz w:val="24"/>
                <w:szCs w:val="24"/>
              </w:rPr>
              <w:br/>
            </w:r>
            <w:r>
              <w:rPr>
                <w:b/>
              </w:rPr>
              <w:t>Женева, 17</w:t>
            </w:r>
            <w:r>
              <w:t>−</w:t>
            </w:r>
            <w:r>
              <w:rPr>
                <w:b/>
              </w:rPr>
              <w:t>27 апреля 2018 года</w:t>
            </w:r>
          </w:p>
        </w:tc>
        <w:tc>
          <w:tcPr>
            <w:tcW w:w="3120" w:type="dxa"/>
          </w:tcPr>
          <w:p w:rsidR="00BC7BC0" w:rsidRPr="00A225C7" w:rsidRDefault="009C1C89" w:rsidP="00D92EEA">
            <w:pPr>
              <w:spacing w:before="0" w:line="240" w:lineRule="atLeast"/>
              <w:jc w:val="right"/>
              <w:rPr>
                <w:szCs w:val="22"/>
              </w:rPr>
            </w:pPr>
            <w:bookmarkStart w:id="0" w:name="ditulogo"/>
            <w:bookmarkEnd w:id="0"/>
            <w:r>
              <w:rPr>
                <w:noProof/>
                <w:lang w:val="en-US" w:eastAsia="zh-CN" w:bidi="ar-SA"/>
              </w:rPr>
              <w:drawing>
                <wp:inline distT="0" distB="0" distL="0" distR="0" wp14:anchorId="0966FBE9" wp14:editId="4EDADD4E">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A225C7">
        <w:trPr>
          <w:cantSplit/>
        </w:trPr>
        <w:tc>
          <w:tcPr>
            <w:tcW w:w="6911" w:type="dxa"/>
            <w:tcBorders>
              <w:bottom w:val="single" w:sz="12" w:space="0" w:color="auto"/>
            </w:tcBorders>
          </w:tcPr>
          <w:p w:rsidR="00BC7BC0" w:rsidRPr="00A225C7" w:rsidRDefault="00BC7BC0" w:rsidP="00BC7BC0">
            <w:pPr>
              <w:spacing w:before="0" w:after="48" w:line="240" w:lineRule="atLeast"/>
              <w:rPr>
                <w:b/>
                <w:smallCaps/>
                <w:szCs w:val="22"/>
              </w:rPr>
            </w:pPr>
          </w:p>
        </w:tc>
        <w:tc>
          <w:tcPr>
            <w:tcW w:w="3120" w:type="dxa"/>
            <w:tcBorders>
              <w:bottom w:val="single" w:sz="12" w:space="0" w:color="auto"/>
            </w:tcBorders>
          </w:tcPr>
          <w:p w:rsidR="00BC7BC0" w:rsidRPr="00A225C7" w:rsidRDefault="00BC7BC0" w:rsidP="00BC7BC0">
            <w:pPr>
              <w:spacing w:before="0" w:line="240" w:lineRule="atLeast"/>
              <w:rPr>
                <w:szCs w:val="22"/>
              </w:rPr>
            </w:pPr>
          </w:p>
        </w:tc>
      </w:tr>
      <w:tr w:rsidR="00BC7BC0" w:rsidRPr="00A225C7">
        <w:trPr>
          <w:cantSplit/>
        </w:trPr>
        <w:tc>
          <w:tcPr>
            <w:tcW w:w="6911" w:type="dxa"/>
            <w:tcBorders>
              <w:top w:val="single" w:sz="12" w:space="0" w:color="auto"/>
            </w:tcBorders>
          </w:tcPr>
          <w:p w:rsidR="00BC7BC0" w:rsidRPr="00A225C7" w:rsidRDefault="00BC7BC0" w:rsidP="004D0129">
            <w:pPr>
              <w:spacing w:before="0" w:line="240" w:lineRule="atLeast"/>
              <w:rPr>
                <w:b/>
                <w:smallCaps/>
                <w:szCs w:val="22"/>
              </w:rPr>
            </w:pPr>
          </w:p>
        </w:tc>
        <w:tc>
          <w:tcPr>
            <w:tcW w:w="3120" w:type="dxa"/>
            <w:tcBorders>
              <w:top w:val="single" w:sz="12" w:space="0" w:color="auto"/>
            </w:tcBorders>
          </w:tcPr>
          <w:p w:rsidR="00BC7BC0" w:rsidRPr="00A225C7" w:rsidRDefault="00BC7BC0" w:rsidP="004D0129">
            <w:pPr>
              <w:spacing w:before="0" w:line="240" w:lineRule="atLeast"/>
              <w:rPr>
                <w:szCs w:val="22"/>
              </w:rPr>
            </w:pPr>
          </w:p>
        </w:tc>
      </w:tr>
      <w:tr w:rsidR="00BC7BC0" w:rsidRPr="00A225C7">
        <w:trPr>
          <w:cantSplit/>
          <w:trHeight w:val="23"/>
        </w:trPr>
        <w:tc>
          <w:tcPr>
            <w:tcW w:w="6911" w:type="dxa"/>
            <w:vMerge w:val="restart"/>
          </w:tcPr>
          <w:p w:rsidR="00BC7BC0" w:rsidRPr="00A225C7" w:rsidRDefault="00BC7BC0" w:rsidP="00E6325E">
            <w:pPr>
              <w:tabs>
                <w:tab w:val="left" w:pos="851"/>
              </w:tabs>
              <w:spacing w:before="0" w:line="240" w:lineRule="atLeast"/>
              <w:rPr>
                <w:b/>
                <w:szCs w:val="22"/>
              </w:rPr>
            </w:pPr>
            <w:r>
              <w:rPr>
                <w:b/>
              </w:rPr>
              <w:t>Пункт повестки дня:</w:t>
            </w:r>
            <w:r>
              <w:rPr>
                <w:b/>
                <w:caps/>
              </w:rPr>
              <w:t xml:space="preserve"> </w:t>
            </w:r>
            <w:r>
              <w:rPr>
                <w:b/>
              </w:rPr>
              <w:t>ADM 3</w:t>
            </w:r>
          </w:p>
        </w:tc>
        <w:tc>
          <w:tcPr>
            <w:tcW w:w="3120" w:type="dxa"/>
          </w:tcPr>
          <w:p w:rsidR="00BC7BC0" w:rsidRPr="00A225C7" w:rsidRDefault="00BC7BC0" w:rsidP="007A4564">
            <w:pPr>
              <w:tabs>
                <w:tab w:val="left" w:pos="851"/>
              </w:tabs>
              <w:spacing w:before="0" w:line="240" w:lineRule="atLeast"/>
              <w:rPr>
                <w:b/>
                <w:bCs/>
                <w:szCs w:val="22"/>
              </w:rPr>
            </w:pPr>
            <w:r>
              <w:rPr>
                <w:b/>
              </w:rPr>
              <w:t>Документ C18/50-R</w:t>
            </w:r>
          </w:p>
        </w:tc>
      </w:tr>
      <w:tr w:rsidR="00BC7BC0" w:rsidRPr="00A225C7">
        <w:trPr>
          <w:cantSplit/>
          <w:trHeight w:val="23"/>
        </w:trPr>
        <w:tc>
          <w:tcPr>
            <w:tcW w:w="6911" w:type="dxa"/>
            <w:vMerge/>
          </w:tcPr>
          <w:p w:rsidR="00BC7BC0" w:rsidRPr="00A225C7" w:rsidRDefault="00BC7BC0" w:rsidP="00BC7BC0">
            <w:pPr>
              <w:tabs>
                <w:tab w:val="left" w:pos="851"/>
              </w:tabs>
              <w:spacing w:line="240" w:lineRule="atLeast"/>
              <w:rPr>
                <w:b/>
                <w:szCs w:val="22"/>
              </w:rPr>
            </w:pPr>
          </w:p>
        </w:tc>
        <w:tc>
          <w:tcPr>
            <w:tcW w:w="3120" w:type="dxa"/>
          </w:tcPr>
          <w:p w:rsidR="00BC7BC0" w:rsidRPr="00A225C7" w:rsidRDefault="00E930AE" w:rsidP="00E930AE">
            <w:pPr>
              <w:tabs>
                <w:tab w:val="left" w:pos="993"/>
              </w:tabs>
              <w:spacing w:before="0"/>
              <w:rPr>
                <w:b/>
                <w:bCs/>
                <w:szCs w:val="22"/>
              </w:rPr>
            </w:pPr>
            <w:r>
              <w:rPr>
                <w:b/>
              </w:rPr>
              <w:t>8 февраля 2018 года</w:t>
            </w:r>
          </w:p>
        </w:tc>
      </w:tr>
      <w:tr w:rsidR="00BC7BC0" w:rsidRPr="00A225C7">
        <w:trPr>
          <w:cantSplit/>
          <w:trHeight w:val="23"/>
        </w:trPr>
        <w:tc>
          <w:tcPr>
            <w:tcW w:w="6911" w:type="dxa"/>
            <w:vMerge/>
          </w:tcPr>
          <w:p w:rsidR="00BC7BC0" w:rsidRPr="00A225C7" w:rsidRDefault="00BC7BC0" w:rsidP="00BC7BC0">
            <w:pPr>
              <w:tabs>
                <w:tab w:val="left" w:pos="851"/>
              </w:tabs>
              <w:spacing w:line="240" w:lineRule="atLeast"/>
              <w:rPr>
                <w:b/>
                <w:szCs w:val="22"/>
              </w:rPr>
            </w:pPr>
          </w:p>
        </w:tc>
        <w:tc>
          <w:tcPr>
            <w:tcW w:w="3120" w:type="dxa"/>
          </w:tcPr>
          <w:p w:rsidR="00BC7BC0" w:rsidRPr="00A225C7" w:rsidRDefault="00BC7BC0" w:rsidP="00BC7BC0">
            <w:pPr>
              <w:tabs>
                <w:tab w:val="left" w:pos="993"/>
              </w:tabs>
              <w:spacing w:before="0"/>
              <w:rPr>
                <w:b/>
                <w:bCs/>
                <w:szCs w:val="22"/>
              </w:rPr>
            </w:pPr>
            <w:r>
              <w:rPr>
                <w:b/>
              </w:rPr>
              <w:t>Оригинал: английский</w:t>
            </w:r>
          </w:p>
        </w:tc>
      </w:tr>
      <w:tr w:rsidR="00BC7BC0" w:rsidRPr="00A225C7">
        <w:trPr>
          <w:cantSplit/>
        </w:trPr>
        <w:tc>
          <w:tcPr>
            <w:tcW w:w="10031" w:type="dxa"/>
            <w:gridSpan w:val="2"/>
          </w:tcPr>
          <w:p w:rsidR="00BC7BC0" w:rsidRPr="00A225C7" w:rsidRDefault="00BC7BC0" w:rsidP="0044707C">
            <w:pPr>
              <w:pStyle w:val="Source"/>
              <w:rPr>
                <w:szCs w:val="22"/>
              </w:rPr>
            </w:pPr>
            <w:bookmarkStart w:id="1" w:name="dtitle2" w:colFirst="0" w:colLast="0"/>
          </w:p>
        </w:tc>
      </w:tr>
      <w:tr w:rsidR="00BC7BC0" w:rsidRPr="00A225C7">
        <w:trPr>
          <w:cantSplit/>
        </w:trPr>
        <w:tc>
          <w:tcPr>
            <w:tcW w:w="10031" w:type="dxa"/>
            <w:gridSpan w:val="2"/>
          </w:tcPr>
          <w:p w:rsidR="00BC7BC0" w:rsidRPr="00A225C7" w:rsidRDefault="00E930AE" w:rsidP="00E6325E">
            <w:pPr>
              <w:pStyle w:val="Title1"/>
              <w:rPr>
                <w:szCs w:val="22"/>
              </w:rPr>
            </w:pPr>
            <w:bookmarkStart w:id="2" w:name="dtitle3"/>
            <w:bookmarkEnd w:id="1"/>
            <w:r>
              <w:t xml:space="preserve">отчет Председателя Рабочей группы Совета </w:t>
            </w:r>
            <w:r>
              <w:br/>
              <w:t>по финансовым и людским ресурсам (РГС-ФЛР)</w:t>
            </w:r>
          </w:p>
        </w:tc>
      </w:tr>
      <w:bookmarkEnd w:id="2"/>
    </w:tbl>
    <w:p w:rsidR="002D2F57" w:rsidRPr="00A225C7" w:rsidRDefault="002D2F5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A225C7">
        <w:trPr>
          <w:trHeight w:val="3372"/>
        </w:trPr>
        <w:tc>
          <w:tcPr>
            <w:tcW w:w="8080" w:type="dxa"/>
            <w:tcBorders>
              <w:top w:val="single" w:sz="12" w:space="0" w:color="auto"/>
              <w:left w:val="single" w:sz="12" w:space="0" w:color="auto"/>
              <w:bottom w:val="single" w:sz="12" w:space="0" w:color="auto"/>
              <w:right w:val="single" w:sz="12" w:space="0" w:color="auto"/>
            </w:tcBorders>
          </w:tcPr>
          <w:p w:rsidR="006D7CA6" w:rsidRPr="00A225C7" w:rsidRDefault="006D7CA6" w:rsidP="006D7CA6">
            <w:pPr>
              <w:pStyle w:val="Headingb"/>
            </w:pPr>
            <w:r>
              <w:t>Резюме</w:t>
            </w:r>
          </w:p>
          <w:p w:rsidR="006D7CA6" w:rsidRPr="00A225C7" w:rsidRDefault="006D7CA6" w:rsidP="006D7CA6">
            <w:pPr>
              <w:rPr>
                <w:szCs w:val="22"/>
              </w:rPr>
            </w:pPr>
            <w:r>
              <w:t>В настоящем документе представлен отчет о результатах обсуждений в РГС-ФЛР, которые состоялись 22 и 23 января 2018 года.</w:t>
            </w:r>
          </w:p>
          <w:p w:rsidR="006D7CA6" w:rsidRPr="00A225C7" w:rsidRDefault="006D7CA6" w:rsidP="006D7CA6">
            <w:pPr>
              <w:pStyle w:val="Headingb"/>
              <w:rPr>
                <w:szCs w:val="22"/>
              </w:rPr>
            </w:pPr>
            <w:r>
              <w:t>Необходимые действия</w:t>
            </w:r>
          </w:p>
          <w:p w:rsidR="006D7CA6" w:rsidRPr="00A225C7" w:rsidRDefault="006D7CA6" w:rsidP="006D7CA6">
            <w:pPr>
              <w:rPr>
                <w:szCs w:val="22"/>
              </w:rPr>
            </w:pPr>
            <w:r>
              <w:t xml:space="preserve">Совету предлагается </w:t>
            </w:r>
            <w:r>
              <w:rPr>
                <w:b/>
              </w:rPr>
              <w:t xml:space="preserve">принять к сведению </w:t>
            </w:r>
            <w:r>
              <w:t xml:space="preserve">работу РГС-ФЛР, а также </w:t>
            </w:r>
            <w:r>
              <w:rPr>
                <w:b/>
              </w:rPr>
              <w:t xml:space="preserve">рассмотреть </w:t>
            </w:r>
            <w:r>
              <w:t>и</w:t>
            </w:r>
            <w:r>
              <w:rPr>
                <w:b/>
              </w:rPr>
              <w:t> высказать мнения</w:t>
            </w:r>
            <w:r>
              <w:t>, в зависимости от случая, по мерам, определенным в настоящем отчете.</w:t>
            </w:r>
          </w:p>
          <w:p w:rsidR="002D2F57" w:rsidRPr="00A225C7" w:rsidRDefault="002D2F57" w:rsidP="004D0129">
            <w:pPr>
              <w:spacing w:before="0"/>
              <w:jc w:val="center"/>
              <w:rPr>
                <w:caps/>
                <w:szCs w:val="22"/>
              </w:rPr>
            </w:pPr>
            <w:r>
              <w:rPr>
                <w:caps/>
              </w:rPr>
              <w:t>____________</w:t>
            </w:r>
          </w:p>
          <w:p w:rsidR="002D2F57" w:rsidRPr="00A225C7" w:rsidRDefault="002D2F57">
            <w:pPr>
              <w:pStyle w:val="Headingb"/>
              <w:rPr>
                <w:szCs w:val="22"/>
              </w:rPr>
            </w:pPr>
            <w:r>
              <w:t>Справочные материалы</w:t>
            </w:r>
          </w:p>
          <w:p w:rsidR="002D2F57" w:rsidRPr="00A225C7" w:rsidRDefault="009D1DA2" w:rsidP="006D7CA6">
            <w:pPr>
              <w:spacing w:after="120"/>
              <w:rPr>
                <w:i/>
                <w:iCs/>
              </w:rPr>
            </w:pPr>
            <w:hyperlink r:id="rId9">
              <w:r w:rsidR="00862E7C">
                <w:rPr>
                  <w:i/>
                  <w:color w:val="0000FF"/>
                  <w:u w:val="single"/>
                </w:rPr>
                <w:t>C17/50</w:t>
              </w:r>
            </w:hyperlink>
            <w:r w:rsidR="00862E7C">
              <w:rPr>
                <w:i/>
              </w:rPr>
              <w:t xml:space="preserve"> и </w:t>
            </w:r>
            <w:hyperlink r:id="rId10">
              <w:r w:rsidR="00862E7C">
                <w:rPr>
                  <w:i/>
                  <w:color w:val="0000FF"/>
                  <w:u w:val="single"/>
                </w:rPr>
                <w:t>Решение 563 Совета</w:t>
              </w:r>
            </w:hyperlink>
          </w:p>
        </w:tc>
      </w:tr>
    </w:tbl>
    <w:p w:rsidR="006D7CA6" w:rsidRPr="00A225C7" w:rsidRDefault="006D7CA6" w:rsidP="006D7CA6">
      <w:pPr>
        <w:spacing w:before="600" w:after="120"/>
        <w:jc w:val="both"/>
        <w:rPr>
          <w:rFonts w:asciiTheme="minorHAnsi" w:hAnsiTheme="minorHAnsi"/>
          <w:szCs w:val="22"/>
        </w:rPr>
      </w:pPr>
      <w:r>
        <w:t>После сессии Совета 2017 года было проведено одно собрание Рабочей группы Совета по финансовым и людским ресурсам (РГС-ФЛР). Собрание проходило в Женеве 22−23 января 2018 года под председательством г</w:t>
      </w:r>
      <w:r>
        <w:noBreakHyphen/>
        <w:t>на</w:t>
      </w:r>
      <w:r w:rsidR="00254A63">
        <w:rPr>
          <w:lang w:val="en-US"/>
        </w:rPr>
        <w:t> </w:t>
      </w:r>
      <w:r w:rsidR="00254A63">
        <w:t xml:space="preserve">Дитмара </w:t>
      </w:r>
      <w:proofErr w:type="spellStart"/>
      <w:r w:rsidR="00254A63">
        <w:t>Плессе</w:t>
      </w:r>
      <w:proofErr w:type="spellEnd"/>
      <w:r w:rsidR="00254A63">
        <w:t xml:space="preserve"> </w:t>
      </w:r>
      <w:r>
        <w:t>(Германия). С полным отчетом о последнем собрании (22−23 января 2018 г</w:t>
      </w:r>
      <w:r w:rsidR="00D60366">
        <w:t>ода</w:t>
      </w:r>
      <w:r>
        <w:t xml:space="preserve">) можно ознакомиться по адресу </w:t>
      </w:r>
      <w:hyperlink r:id="rId11">
        <w:r>
          <w:rPr>
            <w:color w:val="0000FF"/>
            <w:u w:val="single"/>
          </w:rPr>
          <w:t>https://www.itu.int/md/S18-CLCWGFHRM8-C-0028/en</w:t>
        </w:r>
      </w:hyperlink>
      <w:r>
        <w:t xml:space="preserve">. Для подробного изложения различных мнений, </w:t>
      </w:r>
      <w:r w:rsidR="00776771">
        <w:t>высказанных</w:t>
      </w:r>
      <w:r>
        <w:t xml:space="preserve"> в ходе обсуждений, делегатам Совета следует ссылаться на этот отчет.</w:t>
      </w:r>
    </w:p>
    <w:p w:rsidR="00E930AE" w:rsidRPr="00A225C7" w:rsidRDefault="00E930AE" w:rsidP="006D7CA6">
      <w:r>
        <w:br w:type="page"/>
      </w:r>
      <w:bookmarkStart w:id="3" w:name="_GoBack"/>
      <w:bookmarkEnd w:id="3"/>
    </w:p>
    <w:p w:rsidR="00067524" w:rsidRPr="00CC6D25" w:rsidRDefault="00067524" w:rsidP="002141A2">
      <w:pPr>
        <w:pStyle w:val="Heading1"/>
        <w:rPr>
          <w:sz w:val="22"/>
          <w:szCs w:val="22"/>
        </w:rPr>
      </w:pPr>
      <w:r w:rsidRPr="00CC6D25">
        <w:rPr>
          <w:sz w:val="22"/>
          <w:szCs w:val="22"/>
        </w:rPr>
        <w:lastRenderedPageBreak/>
        <w:t>1</w:t>
      </w:r>
      <w:r w:rsidRPr="00CC6D25">
        <w:rPr>
          <w:sz w:val="22"/>
          <w:szCs w:val="22"/>
        </w:rPr>
        <w:tab/>
        <w:t>Меры, вытекающие из решений Совета</w:t>
      </w:r>
      <w:r w:rsidR="00D60366" w:rsidRPr="00CC6D25">
        <w:rPr>
          <w:sz w:val="22"/>
          <w:szCs w:val="22"/>
        </w:rPr>
        <w:t xml:space="preserve"> 20</w:t>
      </w:r>
      <w:r w:rsidRPr="00CC6D25">
        <w:rPr>
          <w:sz w:val="22"/>
          <w:szCs w:val="22"/>
        </w:rPr>
        <w:t>17</w:t>
      </w:r>
      <w:r w:rsidR="00D60366" w:rsidRPr="00CC6D25">
        <w:rPr>
          <w:sz w:val="22"/>
          <w:szCs w:val="22"/>
        </w:rPr>
        <w:t xml:space="preserve"> года</w:t>
      </w:r>
    </w:p>
    <w:p w:rsidR="00067524" w:rsidRPr="00D60366" w:rsidRDefault="00067524" w:rsidP="00D60366">
      <w:pPr>
        <w:pStyle w:val="ListParagraph"/>
        <w:ind w:left="1191" w:hanging="471"/>
        <w:rPr>
          <w:b/>
          <w:szCs w:val="22"/>
        </w:rPr>
      </w:pPr>
      <w:r>
        <w:rPr>
          <w:b/>
        </w:rPr>
        <w:t>−</w:t>
      </w:r>
      <w:r>
        <w:tab/>
      </w:r>
      <w:r w:rsidRPr="00D60366">
        <w:rPr>
          <w:b/>
        </w:rPr>
        <w:t>Отчет о ходе работы по проекту "Варембе-2", связанному с помещениями штаб-квартиры Союза: состояние дел и подробные технические условия (устное представление)</w:t>
      </w:r>
    </w:p>
    <w:p w:rsidR="00067524" w:rsidRPr="00A225C7" w:rsidRDefault="00067524" w:rsidP="00067524">
      <w:pPr>
        <w:rPr>
          <w:szCs w:val="22"/>
        </w:rPr>
      </w:pPr>
      <w:r>
        <w:t>1.1</w:t>
      </w:r>
      <w:r>
        <w:tab/>
        <w:t xml:space="preserve">Заместитель Генерального секретаря проинформировал </w:t>
      </w:r>
      <w:r w:rsidR="00776771">
        <w:t xml:space="preserve">участников </w:t>
      </w:r>
      <w:r>
        <w:t>собрани</w:t>
      </w:r>
      <w:r w:rsidR="00776771">
        <w:t>я</w:t>
      </w:r>
      <w:r>
        <w:t xml:space="preserve"> о ходе работ по проекту "Варембе-2", связанному с помещениями штаб-квартиры Союза.</w:t>
      </w:r>
    </w:p>
    <w:p w:rsidR="00067524" w:rsidRPr="00A225C7" w:rsidRDefault="00067524" w:rsidP="00067524">
      <w:pPr>
        <w:rPr>
          <w:szCs w:val="22"/>
        </w:rPr>
      </w:pPr>
      <w:r>
        <w:t>1.2</w:t>
      </w:r>
      <w:r>
        <w:tab/>
        <w:t xml:space="preserve">Конкурс, проводившийся </w:t>
      </w:r>
      <w:r w:rsidR="00776771">
        <w:t>в течение</w:t>
      </w:r>
      <w:r>
        <w:t xml:space="preserve"> десяти месяцев 2017 года, </w:t>
      </w:r>
      <w:r w:rsidR="00776771">
        <w:t>оказался</w:t>
      </w:r>
      <w:r>
        <w:t xml:space="preserve"> успешным</w:t>
      </w:r>
      <w:r w:rsidR="00D60366">
        <w:t xml:space="preserve"> –</w:t>
      </w:r>
      <w:r>
        <w:t xml:space="preserve"> </w:t>
      </w:r>
      <w:r w:rsidR="00776771">
        <w:t>было</w:t>
      </w:r>
      <w:r>
        <w:t xml:space="preserve"> подано 94</w:t>
      </w:r>
      <w:r w:rsidR="00776771">
        <w:t> </w:t>
      </w:r>
      <w:r>
        <w:t xml:space="preserve">заявки из 16 стран, и в первом раунде на рассмотрение </w:t>
      </w:r>
      <w:r w:rsidR="003237D8">
        <w:t xml:space="preserve">было </w:t>
      </w:r>
      <w:r>
        <w:t>представлено 74</w:t>
      </w:r>
      <w:r w:rsidR="003237D8">
        <w:t> </w:t>
      </w:r>
      <w:r>
        <w:t>проекта. В</w:t>
      </w:r>
      <w:r w:rsidR="003237D8">
        <w:t> </w:t>
      </w:r>
      <w:r>
        <w:t xml:space="preserve">состав жюри входили профессиональные архитекторы из каждого </w:t>
      </w:r>
      <w:r w:rsidR="00376C2D">
        <w:t>региона</w:t>
      </w:r>
      <w:r>
        <w:t xml:space="preserve"> МСЭ, заместитель Генерального секретаря МСЭ, должностные лица и </w:t>
      </w:r>
      <w:r w:rsidR="00376C2D">
        <w:t xml:space="preserve">члены </w:t>
      </w:r>
      <w:r>
        <w:t>Совет</w:t>
      </w:r>
      <w:r w:rsidR="00376C2D">
        <w:t>а</w:t>
      </w:r>
      <w:r>
        <w:t xml:space="preserve"> персонала МСЭ, председатель КГГЧ, а также швейцарские официальные лица на федеральном уровне и на уровне кантонов. Жюри отобрало 15 прошедших во второй раунд</w:t>
      </w:r>
      <w:r w:rsidR="00376C2D" w:rsidRPr="00376C2D">
        <w:t xml:space="preserve"> </w:t>
      </w:r>
      <w:r w:rsidR="00376C2D">
        <w:t>проектов</w:t>
      </w:r>
      <w:r>
        <w:t xml:space="preserve">, а затем </w:t>
      </w:r>
      <w:r w:rsidR="00376C2D">
        <w:t>определило</w:t>
      </w:r>
      <w:r>
        <w:t xml:space="preserve"> победителя и трех лауреатов.</w:t>
      </w:r>
    </w:p>
    <w:p w:rsidR="00067524" w:rsidRPr="00A225C7" w:rsidRDefault="00067524" w:rsidP="00067524">
      <w:pPr>
        <w:rPr>
          <w:szCs w:val="22"/>
        </w:rPr>
      </w:pPr>
      <w:r>
        <w:t>1.3</w:t>
      </w:r>
      <w:r>
        <w:tab/>
        <w:t xml:space="preserve">Конкурс был полностью анонимным. Победителем стал архитектор из Швейцарии, второе место присуждено участнику из Дании, третье </w:t>
      </w:r>
      <w:r w:rsidR="00A84560">
        <w:t xml:space="preserve">– французскому конкурсанту, а четвертое место занял еще один </w:t>
      </w:r>
      <w:r>
        <w:t xml:space="preserve">представитель Швейцарии. </w:t>
      </w:r>
      <w:r w:rsidR="00627D89">
        <w:t>Экспозиция п</w:t>
      </w:r>
      <w:r>
        <w:t>роект</w:t>
      </w:r>
      <w:r w:rsidR="00627D89">
        <w:t xml:space="preserve">ов, разработанных ими, будет организована в здании </w:t>
      </w:r>
      <w:proofErr w:type="spellStart"/>
      <w:r>
        <w:t>Монбрийан</w:t>
      </w:r>
      <w:proofErr w:type="spellEnd"/>
      <w:r>
        <w:t xml:space="preserve"> 26</w:t>
      </w:r>
      <w:r w:rsidR="00627D89">
        <w:t> </w:t>
      </w:r>
      <w:r>
        <w:t>января 2018</w:t>
      </w:r>
      <w:r w:rsidR="00627D89">
        <w:t> </w:t>
      </w:r>
      <w:r>
        <w:t>года для делегатов</w:t>
      </w:r>
      <w:r w:rsidR="00627D89">
        <w:t>,</w:t>
      </w:r>
      <w:r>
        <w:t xml:space="preserve"> </w:t>
      </w:r>
      <w:r w:rsidR="00627D89">
        <w:t>а</w:t>
      </w:r>
      <w:r>
        <w:t xml:space="preserve"> всю следующую неделю </w:t>
      </w:r>
      <w:r w:rsidR="00627D89">
        <w:t>–</w:t>
      </w:r>
      <w:r>
        <w:t xml:space="preserve"> для широкой публики. 29</w:t>
      </w:r>
      <w:r w:rsidR="00627D89">
        <w:t> </w:t>
      </w:r>
      <w:r>
        <w:t>января 2018</w:t>
      </w:r>
      <w:r w:rsidR="00627D89">
        <w:t> </w:t>
      </w:r>
      <w:r>
        <w:t>года состоится награждение архитекторов-лауреатов почетными грамотами МСЭ.</w:t>
      </w:r>
    </w:p>
    <w:p w:rsidR="00067524" w:rsidRPr="00A225C7" w:rsidRDefault="00067524" w:rsidP="00067524">
      <w:pPr>
        <w:rPr>
          <w:szCs w:val="22"/>
        </w:rPr>
      </w:pPr>
      <w:r>
        <w:t>1.4</w:t>
      </w:r>
      <w:r>
        <w:tab/>
      </w:r>
      <w:r w:rsidR="00FF07D5">
        <w:t xml:space="preserve">После </w:t>
      </w:r>
      <w:r>
        <w:t xml:space="preserve">первого раунда </w:t>
      </w:r>
      <w:r w:rsidR="00FF07D5">
        <w:t xml:space="preserve">конкурса </w:t>
      </w:r>
      <w:r>
        <w:t>в требования были внесены поправки</w:t>
      </w:r>
      <w:r w:rsidR="00FF07D5">
        <w:t>, с тем чтобы</w:t>
      </w:r>
      <w:r>
        <w:t xml:space="preserve"> обеспеч</w:t>
      </w:r>
      <w:r w:rsidR="00FF07D5">
        <w:t>ить</w:t>
      </w:r>
      <w:r>
        <w:t xml:space="preserve"> полное соответствие </w:t>
      </w:r>
      <w:r w:rsidR="00FF07D5">
        <w:t xml:space="preserve">реализуемого проекта </w:t>
      </w:r>
      <w:r>
        <w:t>руководящим указаниям ООН по безопасности, предусмотре</w:t>
      </w:r>
      <w:r w:rsidR="00FF07D5">
        <w:t>ть</w:t>
      </w:r>
      <w:r>
        <w:t xml:space="preserve"> нов</w:t>
      </w:r>
      <w:r w:rsidR="00FF07D5">
        <w:t>ую</w:t>
      </w:r>
      <w:r>
        <w:t xml:space="preserve"> дорог</w:t>
      </w:r>
      <w:r w:rsidR="00FF07D5">
        <w:t>у</w:t>
      </w:r>
      <w:r>
        <w:t xml:space="preserve"> от улицы Джузеппе </w:t>
      </w:r>
      <w:proofErr w:type="spellStart"/>
      <w:r>
        <w:t>Мотта</w:t>
      </w:r>
      <w:proofErr w:type="spellEnd"/>
      <w:r>
        <w:t xml:space="preserve"> к </w:t>
      </w:r>
      <w:r w:rsidR="00FF07D5">
        <w:t>новому</w:t>
      </w:r>
      <w:r>
        <w:t xml:space="preserve"> здани</w:t>
      </w:r>
      <w:r w:rsidR="00FF07D5">
        <w:t>ю</w:t>
      </w:r>
      <w:r>
        <w:t xml:space="preserve">, </w:t>
      </w:r>
      <w:r w:rsidR="00FF07D5">
        <w:t>фасад и главный вход которого должны выходить</w:t>
      </w:r>
      <w:r>
        <w:t xml:space="preserve"> на площадь Наций, и увелич</w:t>
      </w:r>
      <w:r w:rsidR="00E36A1E">
        <w:t>ить</w:t>
      </w:r>
      <w:r>
        <w:t xml:space="preserve"> число конференц-залов.</w:t>
      </w:r>
      <w:r w:rsidR="00E36A1E">
        <w:t xml:space="preserve"> На въезде на</w:t>
      </w:r>
      <w:r>
        <w:t xml:space="preserve"> дорог</w:t>
      </w:r>
      <w:r w:rsidR="00E36A1E">
        <w:t>у</w:t>
      </w:r>
      <w:r>
        <w:t>, ведущ</w:t>
      </w:r>
      <w:r w:rsidR="00A07F10">
        <w:t>ую</w:t>
      </w:r>
      <w:r>
        <w:t xml:space="preserve"> к новому зданию, будет размещен </w:t>
      </w:r>
      <w:r w:rsidR="00A07F10">
        <w:t>пост охраны</w:t>
      </w:r>
      <w:r>
        <w:t xml:space="preserve">. Победивший в конкурсе проект предусматривает стеклянные стены, выходящие в </w:t>
      </w:r>
      <w:r w:rsidR="00A07F10">
        <w:t>открытый</w:t>
      </w:r>
      <w:r>
        <w:t xml:space="preserve"> внутренний двор. Среди причин, по которым был выбран этот проект, можно </w:t>
      </w:r>
      <w:r w:rsidR="00A07F10">
        <w:t>назвать</w:t>
      </w:r>
      <w:r>
        <w:t xml:space="preserve"> больш</w:t>
      </w:r>
      <w:r w:rsidR="00A07F10">
        <w:t>ую общую</w:t>
      </w:r>
      <w:r>
        <w:t xml:space="preserve"> </w:t>
      </w:r>
      <w:r w:rsidR="00A07F10">
        <w:t>площадь здания,</w:t>
      </w:r>
      <w:r>
        <w:t xml:space="preserve"> удачно решенные помещения для </w:t>
      </w:r>
      <w:r w:rsidR="00A07F10">
        <w:t xml:space="preserve">проведения </w:t>
      </w:r>
      <w:r>
        <w:t>конференций и высок</w:t>
      </w:r>
      <w:r w:rsidR="00A07F10">
        <w:t>ую</w:t>
      </w:r>
      <w:r>
        <w:t xml:space="preserve"> дол</w:t>
      </w:r>
      <w:r w:rsidR="00A07F10">
        <w:t>ю</w:t>
      </w:r>
      <w:r>
        <w:t xml:space="preserve"> естественного освещения. Это самое высокое здание из предложенных, и именно ему отдали предпочтение представители Совета персонала МСЭ.</w:t>
      </w:r>
    </w:p>
    <w:p w:rsidR="00067524" w:rsidRPr="00A225C7" w:rsidRDefault="00067524" w:rsidP="004843D4">
      <w:pPr>
        <w:rPr>
          <w:szCs w:val="22"/>
        </w:rPr>
      </w:pPr>
      <w:r>
        <w:t>1.5</w:t>
      </w:r>
      <w:r>
        <w:tab/>
        <w:t>Помимо необходимых помещений и оснащения, которые уже имеются в здани</w:t>
      </w:r>
      <w:r w:rsidR="004843D4">
        <w:t>ях</w:t>
      </w:r>
      <w:r>
        <w:t xml:space="preserve"> </w:t>
      </w:r>
      <w:r w:rsidR="004843D4">
        <w:t>"</w:t>
      </w:r>
      <w:proofErr w:type="spellStart"/>
      <w:r>
        <w:t>Варембе</w:t>
      </w:r>
      <w:proofErr w:type="spellEnd"/>
      <w:r w:rsidR="004843D4">
        <w:t>"</w:t>
      </w:r>
      <w:r>
        <w:t xml:space="preserve"> и "Башн</w:t>
      </w:r>
      <w:r w:rsidR="004843D4">
        <w:t>я</w:t>
      </w:r>
      <w:r>
        <w:t xml:space="preserve">", в новом здании предусмотрен второй главный конференц-зал на 500 мест, который </w:t>
      </w:r>
      <w:r w:rsidR="0095143D">
        <w:t>можно разде</w:t>
      </w:r>
      <w:r w:rsidR="00D60366">
        <w:t>л</w:t>
      </w:r>
      <w:r w:rsidR="0095143D">
        <w:t>ить</w:t>
      </w:r>
      <w:r>
        <w:t xml:space="preserve"> на дв</w:t>
      </w:r>
      <w:r w:rsidR="0095143D">
        <w:t>а зала</w:t>
      </w:r>
      <w:r>
        <w:t xml:space="preserve">. Он служит дополнением к конференц-залу на 500 мест, который </w:t>
      </w:r>
      <w:r w:rsidR="00CB3678">
        <w:t>делится</w:t>
      </w:r>
      <w:r>
        <w:t xml:space="preserve"> на четыре </w:t>
      </w:r>
      <w:r w:rsidR="00CB3678">
        <w:t>зала</w:t>
      </w:r>
      <w:r>
        <w:t xml:space="preserve">. </w:t>
      </w:r>
    </w:p>
    <w:p w:rsidR="00067524" w:rsidRPr="00A225C7" w:rsidRDefault="00067524" w:rsidP="00067524">
      <w:pPr>
        <w:rPr>
          <w:szCs w:val="22"/>
        </w:rPr>
      </w:pPr>
      <w:r>
        <w:t>1.6</w:t>
      </w:r>
      <w:r>
        <w:tab/>
        <w:t xml:space="preserve">Что касается людских ресурсов, 1 марта 2018 года к проекту присоединится старший советник по строительным проектам (P5) (архитектор, в настоящее время работающий над стратегическим планом </w:t>
      </w:r>
      <w:r w:rsidR="0081196C">
        <w:t xml:space="preserve">по </w:t>
      </w:r>
      <w:r>
        <w:t>сохранени</w:t>
      </w:r>
      <w:r w:rsidR="0081196C">
        <w:t>ю</w:t>
      </w:r>
      <w:r>
        <w:t xml:space="preserve"> наследия ООН), открыта вакансия </w:t>
      </w:r>
      <w:r w:rsidR="0081196C">
        <w:t>сотрудника</w:t>
      </w:r>
      <w:r>
        <w:t xml:space="preserve"> по </w:t>
      </w:r>
      <w:r w:rsidR="0081196C">
        <w:t>закупкам </w:t>
      </w:r>
      <w:r>
        <w:t>(P4) с опытом работы в строительных проектах, и предполагается увеличение административного содействия.</w:t>
      </w:r>
    </w:p>
    <w:p w:rsidR="00067524" w:rsidRPr="00A225C7" w:rsidRDefault="00067524" w:rsidP="00067524">
      <w:pPr>
        <w:rPr>
          <w:szCs w:val="22"/>
        </w:rPr>
      </w:pPr>
      <w:r>
        <w:t>1.7</w:t>
      </w:r>
      <w:r>
        <w:tab/>
        <w:t xml:space="preserve">В отношении финансовых </w:t>
      </w:r>
      <w:r w:rsidR="0081196C">
        <w:t>вопросов</w:t>
      </w:r>
      <w:r>
        <w:t xml:space="preserve"> </w:t>
      </w:r>
      <w:r w:rsidR="0081196C">
        <w:t>следует отметить</w:t>
      </w:r>
      <w:r>
        <w:t xml:space="preserve">, что </w:t>
      </w:r>
      <w:r w:rsidR="0081196C">
        <w:t xml:space="preserve">завершившийся </w:t>
      </w:r>
      <w:r>
        <w:t xml:space="preserve">конкурс </w:t>
      </w:r>
      <w:r w:rsidR="0081196C">
        <w:t>не вышел за рамки</w:t>
      </w:r>
      <w:r>
        <w:t xml:space="preserve"> бюджета. Ожидается, что этап проектирования также будет </w:t>
      </w:r>
      <w:r w:rsidR="0081196C">
        <w:t>реализован</w:t>
      </w:r>
      <w:r>
        <w:t xml:space="preserve"> в рамках бюджета. По итогам обсуждений с архитектором в проект был внесен ряд изменений с целью исключить некоторые необязательные элементы и привести затраты на</w:t>
      </w:r>
      <w:r w:rsidR="005426BA">
        <w:t xml:space="preserve"> проектирование,</w:t>
      </w:r>
      <w:r>
        <w:t xml:space="preserve"> строительство и весь проект в </w:t>
      </w:r>
      <w:r w:rsidR="005426BA">
        <w:t xml:space="preserve">целом в </w:t>
      </w:r>
      <w:r>
        <w:t>соответстви</w:t>
      </w:r>
      <w:r w:rsidR="00D60366">
        <w:t>е</w:t>
      </w:r>
      <w:r w:rsidR="005426BA">
        <w:t xml:space="preserve"> с</w:t>
      </w:r>
      <w:r>
        <w:t xml:space="preserve"> бюджет</w:t>
      </w:r>
      <w:r w:rsidR="005426BA">
        <w:t>ом</w:t>
      </w:r>
      <w:r>
        <w:t>, выделенн</w:t>
      </w:r>
      <w:r w:rsidR="005426BA">
        <w:t>ы</w:t>
      </w:r>
      <w:r>
        <w:t>м Советом.</w:t>
      </w:r>
    </w:p>
    <w:p w:rsidR="00067524" w:rsidRPr="00A225C7" w:rsidRDefault="00067524" w:rsidP="004843D4">
      <w:pPr>
        <w:rPr>
          <w:szCs w:val="22"/>
        </w:rPr>
      </w:pPr>
      <w:r>
        <w:t>1.8</w:t>
      </w:r>
      <w:r>
        <w:tab/>
        <w:t>Имеются все предпосылки для реализации проекта по согласованному Советом</w:t>
      </w:r>
      <w:r w:rsidR="004C137F" w:rsidRPr="004C137F">
        <w:t xml:space="preserve"> </w:t>
      </w:r>
      <w:r w:rsidR="004C137F">
        <w:t>графику</w:t>
      </w:r>
      <w:r>
        <w:t xml:space="preserve">: демонтаж здания </w:t>
      </w:r>
      <w:r w:rsidR="004843D4">
        <w:t>"</w:t>
      </w:r>
      <w:proofErr w:type="spellStart"/>
      <w:r>
        <w:t>Варембе</w:t>
      </w:r>
      <w:proofErr w:type="spellEnd"/>
      <w:r w:rsidR="004843D4">
        <w:t>"</w:t>
      </w:r>
      <w:r>
        <w:t xml:space="preserve"> намечен на 2020 год, а открытие нового здания с одновременным выставлением на продажу здания "Башня" </w:t>
      </w:r>
      <w:r w:rsidR="004C137F">
        <w:t xml:space="preserve">– </w:t>
      </w:r>
      <w:r>
        <w:t>на конец 2023</w:t>
      </w:r>
      <w:r w:rsidR="004C137F">
        <w:t> </w:t>
      </w:r>
      <w:r>
        <w:t xml:space="preserve">года. </w:t>
      </w:r>
      <w:r w:rsidR="004C137F">
        <w:t>Н</w:t>
      </w:r>
      <w:r>
        <w:t>ово</w:t>
      </w:r>
      <w:r w:rsidR="004C137F">
        <w:t>е</w:t>
      </w:r>
      <w:r>
        <w:t xml:space="preserve"> здани</w:t>
      </w:r>
      <w:r w:rsidR="004C137F">
        <w:t>е</w:t>
      </w:r>
      <w:r>
        <w:t xml:space="preserve"> </w:t>
      </w:r>
      <w:r w:rsidR="004C137F">
        <w:t>вместит</w:t>
      </w:r>
      <w:r>
        <w:t xml:space="preserve"> все помещения</w:t>
      </w:r>
      <w:r w:rsidR="004C137F">
        <w:t xml:space="preserve"> и оборудование</w:t>
      </w:r>
      <w:r>
        <w:t>, имеющиеся в зданиях "</w:t>
      </w:r>
      <w:proofErr w:type="spellStart"/>
      <w:r>
        <w:t>Монбрийан</w:t>
      </w:r>
      <w:proofErr w:type="spellEnd"/>
      <w:r>
        <w:t>" и "Башня", а также все</w:t>
      </w:r>
      <w:r w:rsidR="00DB7887">
        <w:t>х</w:t>
      </w:r>
      <w:r>
        <w:t xml:space="preserve"> сотрудник</w:t>
      </w:r>
      <w:r w:rsidR="00DB7887">
        <w:t>ов</w:t>
      </w:r>
      <w:r>
        <w:t xml:space="preserve">. </w:t>
      </w:r>
      <w:r w:rsidR="00DB7887">
        <w:t>Поскольку</w:t>
      </w:r>
      <w:r>
        <w:t xml:space="preserve"> здание </w:t>
      </w:r>
      <w:r w:rsidR="004843D4">
        <w:t>"</w:t>
      </w:r>
      <w:proofErr w:type="spellStart"/>
      <w:r>
        <w:t>Варембе</w:t>
      </w:r>
      <w:proofErr w:type="spellEnd"/>
      <w:r w:rsidR="004843D4">
        <w:t>"</w:t>
      </w:r>
      <w:r>
        <w:t xml:space="preserve"> необходимо будет освободить в будущем году, в </w:t>
      </w:r>
      <w:r>
        <w:lastRenderedPageBreak/>
        <w:t>настоящее время рассматриваются варианты временного размещения. Один из вариантов </w:t>
      </w:r>
      <w:r w:rsidR="00DB7887">
        <w:t>–</w:t>
      </w:r>
      <w:r>
        <w:t xml:space="preserve"> аренда площадей </w:t>
      </w:r>
      <w:r w:rsidR="00DB7887">
        <w:t xml:space="preserve">в </w:t>
      </w:r>
      <w:r>
        <w:t xml:space="preserve">ВМО. Чтобы сократить </w:t>
      </w:r>
      <w:r w:rsidR="00DB7887">
        <w:t>размер площади, которую потребуется арендовать</w:t>
      </w:r>
      <w:r>
        <w:t>, предполагается повысить вместимость здания "</w:t>
      </w:r>
      <w:proofErr w:type="spellStart"/>
      <w:r>
        <w:t>Монбрийан</w:t>
      </w:r>
      <w:proofErr w:type="spellEnd"/>
      <w:r>
        <w:t xml:space="preserve">" путем его открытой перепланировки. Взамен библиотеки на </w:t>
      </w:r>
      <w:r w:rsidR="00D60366">
        <w:t>шестом</w:t>
      </w:r>
      <w:r>
        <w:t xml:space="preserve"> этаже планируется обустроить залы заседаний, чтобы компенсировать </w:t>
      </w:r>
      <w:r w:rsidR="00DB7887">
        <w:t xml:space="preserve">утрату </w:t>
      </w:r>
      <w:r>
        <w:t xml:space="preserve">соответствующих помещений </w:t>
      </w:r>
      <w:r w:rsidR="004843D4">
        <w:t>"</w:t>
      </w:r>
      <w:proofErr w:type="spellStart"/>
      <w:r>
        <w:t>Варембе</w:t>
      </w:r>
      <w:proofErr w:type="spellEnd"/>
      <w:r w:rsidR="004843D4">
        <w:t>"</w:t>
      </w:r>
      <w:r>
        <w:t xml:space="preserve">. </w:t>
      </w:r>
    </w:p>
    <w:p w:rsidR="00067524" w:rsidRPr="00D60366" w:rsidRDefault="003F5F37" w:rsidP="00642C3F">
      <w:pPr>
        <w:pStyle w:val="ListParagraph"/>
        <w:spacing w:before="360" w:after="240"/>
        <w:ind w:left="1191" w:hanging="471"/>
        <w:rPr>
          <w:b/>
          <w:szCs w:val="22"/>
        </w:rPr>
      </w:pPr>
      <w:r>
        <w:rPr>
          <w:b/>
        </w:rPr>
        <w:t>−</w:t>
      </w:r>
      <w:r>
        <w:tab/>
      </w:r>
      <w:r w:rsidRPr="00D60366">
        <w:rPr>
          <w:b/>
        </w:rPr>
        <w:t xml:space="preserve">Обновленная информация о реализации мер по взиманию сборов за UIFN и IIN (Документ </w:t>
      </w:r>
      <w:hyperlink r:id="rId12">
        <w:r w:rsidRPr="00D60366">
          <w:rPr>
            <w:rStyle w:val="Hyperlink"/>
            <w:b/>
          </w:rPr>
          <w:t>CWG-FHR 8/18</w:t>
        </w:r>
      </w:hyperlink>
      <w:r w:rsidRPr="00D60366">
        <w:rPr>
          <w:b/>
        </w:rPr>
        <w:t>)</w:t>
      </w:r>
    </w:p>
    <w:p w:rsidR="00067524" w:rsidRPr="00A225C7" w:rsidRDefault="00067524" w:rsidP="003F5F37">
      <w:r>
        <w:t>1.9</w:t>
      </w:r>
      <w:r>
        <w:tab/>
        <w:t>Секретариат представил Документ CWG-FHR 8/18</w:t>
      </w:r>
      <w:r w:rsidR="00D60366">
        <w:t>:</w:t>
      </w:r>
      <w:r>
        <w:t xml:space="preserve"> 1)</w:t>
      </w:r>
      <w:r w:rsidR="00190547">
        <w:t> </w:t>
      </w:r>
      <w:r>
        <w:t xml:space="preserve">кратко изложив </w:t>
      </w:r>
      <w:r w:rsidR="00190547">
        <w:t>базовую информацию о</w:t>
      </w:r>
      <w:r>
        <w:t xml:space="preserve"> Решени</w:t>
      </w:r>
      <w:r w:rsidR="00190547">
        <w:t xml:space="preserve">ях </w:t>
      </w:r>
      <w:r>
        <w:t>600 и</w:t>
      </w:r>
      <w:r w:rsidR="00190547">
        <w:t xml:space="preserve"> </w:t>
      </w:r>
      <w:r>
        <w:t xml:space="preserve">601 </w:t>
      </w:r>
      <w:r w:rsidR="00D60366">
        <w:t xml:space="preserve">Совета </w:t>
      </w:r>
      <w:r>
        <w:t>по UIFN и IIN</w:t>
      </w:r>
      <w:r w:rsidR="00D60366">
        <w:t>;</w:t>
      </w:r>
      <w:r>
        <w:t xml:space="preserve"> 2) предоставив обновленную информацию</w:t>
      </w:r>
      <w:r w:rsidR="00190547">
        <w:t xml:space="preserve"> о</w:t>
      </w:r>
      <w:r>
        <w:t xml:space="preserve"> ходе </w:t>
      </w:r>
      <w:r w:rsidR="00190547">
        <w:t>выполнения</w:t>
      </w:r>
      <w:r>
        <w:t xml:space="preserve"> этих Решений</w:t>
      </w:r>
      <w:r w:rsidR="00D60366">
        <w:t>;</w:t>
      </w:r>
      <w:r>
        <w:t xml:space="preserve"> и 3) внеся два предложения на рассмотрение и одобрение РГС-ФЛР.</w:t>
      </w:r>
    </w:p>
    <w:p w:rsidR="00067524" w:rsidRPr="00A225C7" w:rsidRDefault="00067524" w:rsidP="003F5F37">
      <w:r>
        <w:t>1.10</w:t>
      </w:r>
      <w:r>
        <w:tab/>
      </w:r>
      <w:r w:rsidR="007D17C9">
        <w:t>Усовершенствованные системы присвоения и регистрации номеров</w:t>
      </w:r>
      <w:r>
        <w:t xml:space="preserve"> UIFN и IIN начал</w:t>
      </w:r>
      <w:r w:rsidR="007D17C9">
        <w:t xml:space="preserve">и </w:t>
      </w:r>
      <w:r w:rsidR="00D60366">
        <w:t xml:space="preserve">действовать с </w:t>
      </w:r>
      <w:r>
        <w:t>16 января 2018 года</w:t>
      </w:r>
      <w:r w:rsidR="00D60366">
        <w:t>,</w:t>
      </w:r>
      <w:r w:rsidR="007D17C9">
        <w:t xml:space="preserve"> и пока что с помощью таких систем, в соответствии с новой структурой сборов, утвержденной Решением 600 Совета, обработано 23 заявки на регистрацию</w:t>
      </w:r>
      <w:r>
        <w:t xml:space="preserve"> UIFN.</w:t>
      </w:r>
    </w:p>
    <w:p w:rsidR="00067524" w:rsidRPr="00A225C7" w:rsidRDefault="00067524" w:rsidP="003F5F37">
      <w:r>
        <w:t>1.11</w:t>
      </w:r>
      <w:r>
        <w:tab/>
        <w:t>Делегаты выразили признательность Секретариату за новую информацию и прогресс</w:t>
      </w:r>
      <w:r w:rsidR="00D8310A">
        <w:t>, достигнутый</w:t>
      </w:r>
      <w:r>
        <w:t xml:space="preserve"> в </w:t>
      </w:r>
      <w:r w:rsidR="00D8310A">
        <w:t>выполнении</w:t>
      </w:r>
      <w:r>
        <w:t xml:space="preserve"> Решений 600 и 601 Совета.</w:t>
      </w:r>
    </w:p>
    <w:p w:rsidR="00067524" w:rsidRPr="00A225C7" w:rsidRDefault="00067524" w:rsidP="003F5F37">
      <w:r>
        <w:t>1.12</w:t>
      </w:r>
      <w:r>
        <w:tab/>
        <w:t>В связи с предложением 1, касающимся сбора актуальных контактных данных, у некоторых делегатов возник вопрос</w:t>
      </w:r>
      <w:r w:rsidR="0021460C">
        <w:t xml:space="preserve"> о том</w:t>
      </w:r>
      <w:r>
        <w:t>, не ляжет ли это предложение дополнительным бременем на Государства-Члены.</w:t>
      </w:r>
    </w:p>
    <w:p w:rsidR="00067524" w:rsidRPr="00A225C7" w:rsidRDefault="00067524" w:rsidP="003F5F37">
      <w:r>
        <w:t>1.13</w:t>
      </w:r>
      <w:r>
        <w:tab/>
        <w:t xml:space="preserve">Секретариат пояснил, что </w:t>
      </w:r>
      <w:r w:rsidR="0021460C">
        <w:t>данное предложение – это</w:t>
      </w:r>
      <w:r>
        <w:t xml:space="preserve"> </w:t>
      </w:r>
      <w:r w:rsidR="0021460C">
        <w:t>напоминание</w:t>
      </w:r>
      <w:r>
        <w:t xml:space="preserve"> о предложении Государствам-Членам организовать ведение актуального перечня признанных эксплуатационных организаций (ПЭО) на веб-сайте МСЭ </w:t>
      </w:r>
      <w:hyperlink r:id="rId13">
        <w:r>
          <w:rPr>
            <w:color w:val="0000FF"/>
            <w:u w:val="single"/>
          </w:rPr>
          <w:t>https://www.itu.int/en/ITU-T/inr/Pages/roa.aspx</w:t>
        </w:r>
      </w:hyperlink>
      <w:r>
        <w:t>:</w:t>
      </w:r>
    </w:p>
    <w:p w:rsidR="005B4865" w:rsidRPr="00A225C7" w:rsidRDefault="005B4865" w:rsidP="005B4865">
      <w:pPr>
        <w:ind w:left="794"/>
        <w:rPr>
          <w:i/>
          <w:iCs/>
        </w:rPr>
      </w:pPr>
      <w:r>
        <w:rPr>
          <w:i/>
        </w:rPr>
        <w:t>В указанном Циркуляре администрациям Государств-Членов предлагалось сообщить в</w:t>
      </w:r>
      <w:r w:rsidR="00A716AF">
        <w:rPr>
          <w:i/>
        </w:rPr>
        <w:t> </w:t>
      </w:r>
      <w:r>
        <w:rPr>
          <w:i/>
        </w:rPr>
        <w:t xml:space="preserve">БСЭ, на добровольной основе, обо всех объединениях, имеющих статус ПЭО в соответствии со Статьей 6 Устава МСЭ и </w:t>
      </w:r>
      <w:proofErr w:type="spellStart"/>
      <w:r>
        <w:rPr>
          <w:i/>
        </w:rPr>
        <w:t>пп</w:t>
      </w:r>
      <w:proofErr w:type="spellEnd"/>
      <w:r>
        <w:rPr>
          <w:i/>
        </w:rPr>
        <w:t>. 1007 и 1008 Приложения к Уставу МСЭ, используя приложенную к Циркуляру форму. Администрации могли также предоставить перечень в письменном виде либо указать веб</w:t>
      </w:r>
      <w:r>
        <w:noBreakHyphen/>
      </w:r>
      <w:r>
        <w:rPr>
          <w:i/>
        </w:rPr>
        <w:t>сайт, на котором можно найти соответствующую информацию</w:t>
      </w:r>
      <w:r>
        <w:t>.</w:t>
      </w:r>
    </w:p>
    <w:p w:rsidR="00067524" w:rsidRPr="00A225C7" w:rsidRDefault="00067524" w:rsidP="00067524">
      <w:pPr>
        <w:snapToGrid w:val="0"/>
        <w:rPr>
          <w:szCs w:val="22"/>
        </w:rPr>
      </w:pPr>
      <w:r>
        <w:t>1.14</w:t>
      </w:r>
      <w:r>
        <w:tab/>
      </w:r>
      <w:r w:rsidR="00AC5408">
        <w:t>Что касается</w:t>
      </w:r>
      <w:r>
        <w:t xml:space="preserve"> предложения 2</w:t>
      </w:r>
      <w:r w:rsidR="00AC5408">
        <w:t>,</w:t>
      </w:r>
      <w:r>
        <w:t xml:space="preserve"> некоторые Государства-Члены выразили </w:t>
      </w:r>
      <w:r w:rsidR="00AC5408">
        <w:t>обеспокоенность по</w:t>
      </w:r>
      <w:r w:rsidR="00B06D91">
        <w:t> </w:t>
      </w:r>
      <w:r w:rsidR="00AC5408">
        <w:t>поводу</w:t>
      </w:r>
      <w:r>
        <w:t xml:space="preserve"> последстви</w:t>
      </w:r>
      <w:r w:rsidR="00AC5408">
        <w:t>й</w:t>
      </w:r>
      <w:r>
        <w:t xml:space="preserve"> удаления записей из базы данных МСЭ, а также </w:t>
      </w:r>
      <w:r w:rsidR="00AC5408">
        <w:t>по поводу того</w:t>
      </w:r>
      <w:r>
        <w:t>, что предельный срок 30</w:t>
      </w:r>
      <w:r w:rsidR="00AC5408">
        <w:t> </w:t>
      </w:r>
      <w:r>
        <w:t>июня 2018</w:t>
      </w:r>
      <w:r w:rsidR="00AC5408">
        <w:t> </w:t>
      </w:r>
      <w:r>
        <w:t xml:space="preserve">года недостаточен для соблюдения всех необходимых юридических формальностей на национальном уровне. </w:t>
      </w:r>
    </w:p>
    <w:p w:rsidR="00067524" w:rsidRPr="00A225C7" w:rsidRDefault="00067524" w:rsidP="00067524">
      <w:pPr>
        <w:snapToGrid w:val="0"/>
        <w:rPr>
          <w:szCs w:val="22"/>
        </w:rPr>
      </w:pPr>
      <w:r>
        <w:t>1.15</w:t>
      </w:r>
      <w:r>
        <w:tab/>
        <w:t>Секретариат пояснил, что для удаления записей из базы данных МСЭ потребу</w:t>
      </w:r>
      <w:r w:rsidR="002A46B1">
        <w:t>ю</w:t>
      </w:r>
      <w:r>
        <w:t>тся уведомлени</w:t>
      </w:r>
      <w:r w:rsidR="002A46B1">
        <w:t>я</w:t>
      </w:r>
      <w:r>
        <w:t xml:space="preserve"> или подтверждени</w:t>
      </w:r>
      <w:r w:rsidR="002A46B1">
        <w:t>я</w:t>
      </w:r>
      <w:r>
        <w:t xml:space="preserve"> </w:t>
      </w:r>
      <w:r w:rsidR="002A46B1">
        <w:t>со стороны</w:t>
      </w:r>
      <w:r>
        <w:t xml:space="preserve"> национальных администраций</w:t>
      </w:r>
      <w:r w:rsidR="002A46B1">
        <w:t>/</w:t>
      </w:r>
      <w:r>
        <w:t>регуляторных органов. Срок 30</w:t>
      </w:r>
      <w:r w:rsidR="002A46B1">
        <w:t> </w:t>
      </w:r>
      <w:r>
        <w:t>июня 2018</w:t>
      </w:r>
      <w:r w:rsidR="002A46B1">
        <w:t> </w:t>
      </w:r>
      <w:r>
        <w:t>года следует пересмотреть, чтобы предоставить необходимый запас времени Государствам-Членам.</w:t>
      </w:r>
    </w:p>
    <w:p w:rsidR="00067524" w:rsidRPr="00A225C7" w:rsidRDefault="00067524" w:rsidP="00067524">
      <w:pPr>
        <w:snapToGrid w:val="0"/>
        <w:rPr>
          <w:szCs w:val="22"/>
        </w:rPr>
      </w:pPr>
      <w:r>
        <w:t>1.16</w:t>
      </w:r>
      <w:r>
        <w:tab/>
        <w:t xml:space="preserve">Председатель предложил Секретариату подготовить документ к Совету 2018 года для обсуждения </w:t>
      </w:r>
      <w:r w:rsidR="002A46B1">
        <w:t xml:space="preserve">вопроса </w:t>
      </w:r>
      <w:r>
        <w:t>пересмотра предложения</w:t>
      </w:r>
      <w:r w:rsidR="009B3F7B">
        <w:t xml:space="preserve"> 2</w:t>
      </w:r>
      <w:r>
        <w:t>.</w:t>
      </w:r>
    </w:p>
    <w:p w:rsidR="00067524" w:rsidRPr="00A225C7" w:rsidRDefault="0019520B" w:rsidP="00067524">
      <w:pPr>
        <w:snapToGrid w:val="0"/>
        <w:rPr>
          <w:szCs w:val="22"/>
        </w:rPr>
      </w:pPr>
      <w:r>
        <w:rPr>
          <w:b/>
          <w:color w:val="0000FF"/>
        </w:rPr>
        <w:t>Рекомендация</w:t>
      </w:r>
      <w:r>
        <w:rPr>
          <w:color w:val="0000FF"/>
        </w:rPr>
        <w:t>:</w:t>
      </w:r>
      <w:r>
        <w:t xml:space="preserve"> Совету предлагается принять </w:t>
      </w:r>
      <w:r w:rsidR="003F46E2">
        <w:t>к сведению</w:t>
      </w:r>
      <w:r>
        <w:t xml:space="preserve"> предложение</w:t>
      </w:r>
      <w:r w:rsidR="009B3F7B">
        <w:t xml:space="preserve"> 1</w:t>
      </w:r>
      <w:r>
        <w:t xml:space="preserve">, а также рассмотреть и обсудить </w:t>
      </w:r>
      <w:r w:rsidR="003F46E2">
        <w:t xml:space="preserve">вопрос </w:t>
      </w:r>
      <w:r>
        <w:t>пересмотр</w:t>
      </w:r>
      <w:r w:rsidR="003F46E2">
        <w:t>а</w:t>
      </w:r>
      <w:r>
        <w:t xml:space="preserve"> предложения</w:t>
      </w:r>
      <w:r w:rsidR="009B3F7B">
        <w:t xml:space="preserve"> 2</w:t>
      </w:r>
      <w:r>
        <w:t>.</w:t>
      </w:r>
    </w:p>
    <w:p w:rsidR="00067524" w:rsidRPr="00D60366" w:rsidRDefault="003F5F37" w:rsidP="00642C3F">
      <w:pPr>
        <w:pStyle w:val="ListParagraph"/>
        <w:spacing w:before="360" w:after="240"/>
        <w:ind w:left="1191" w:hanging="471"/>
        <w:rPr>
          <w:rFonts w:asciiTheme="minorHAnsi" w:hAnsiTheme="minorHAnsi"/>
          <w:b/>
        </w:rPr>
      </w:pPr>
      <w:r>
        <w:rPr>
          <w:b/>
        </w:rPr>
        <w:t>−</w:t>
      </w:r>
      <w:r>
        <w:tab/>
      </w:r>
      <w:r w:rsidRPr="00D60366">
        <w:rPr>
          <w:b/>
        </w:rPr>
        <w:t xml:space="preserve">Отчет о </w:t>
      </w:r>
      <w:r w:rsidR="003F46E2" w:rsidRPr="00D60366">
        <w:rPr>
          <w:b/>
        </w:rPr>
        <w:t>состоянии дел с</w:t>
      </w:r>
      <w:r w:rsidRPr="00D60366">
        <w:rPr>
          <w:b/>
        </w:rPr>
        <w:t xml:space="preserve"> ненадлежащ</w:t>
      </w:r>
      <w:r w:rsidR="003F46E2" w:rsidRPr="00D60366">
        <w:rPr>
          <w:b/>
        </w:rPr>
        <w:t>и</w:t>
      </w:r>
      <w:r w:rsidRPr="00D60366">
        <w:rPr>
          <w:b/>
        </w:rPr>
        <w:t>м использовани</w:t>
      </w:r>
      <w:r w:rsidR="003F46E2" w:rsidRPr="00D60366">
        <w:rPr>
          <w:b/>
        </w:rPr>
        <w:t>ем</w:t>
      </w:r>
      <w:r w:rsidRPr="00D60366">
        <w:rPr>
          <w:b/>
        </w:rPr>
        <w:t xml:space="preserve"> номеров IMEI радиотелефонных трубок</w:t>
      </w:r>
      <w:r w:rsidR="003F46E2" w:rsidRPr="00D60366">
        <w:rPr>
          <w:b/>
        </w:rPr>
        <w:t xml:space="preserve"> </w:t>
      </w:r>
      <w:r w:rsidRPr="00D60366">
        <w:rPr>
          <w:b/>
        </w:rPr>
        <w:t xml:space="preserve">(Документ </w:t>
      </w:r>
      <w:hyperlink r:id="rId14">
        <w:r w:rsidRPr="00D60366">
          <w:rPr>
            <w:rStyle w:val="Hyperlink"/>
            <w:b/>
          </w:rPr>
          <w:t>CWG-FHR 8/19</w:t>
        </w:r>
      </w:hyperlink>
      <w:r w:rsidRPr="00D60366">
        <w:rPr>
          <w:rFonts w:asciiTheme="minorHAnsi" w:hAnsiTheme="minorHAnsi"/>
          <w:b/>
        </w:rPr>
        <w:t>)</w:t>
      </w:r>
    </w:p>
    <w:p w:rsidR="00067524" w:rsidRPr="00A225C7" w:rsidRDefault="00067524" w:rsidP="00DD561F">
      <w:r>
        <w:t>1.17</w:t>
      </w:r>
      <w:r>
        <w:tab/>
        <w:t xml:space="preserve">Секретариат представил </w:t>
      </w:r>
      <w:r w:rsidR="00944F9E">
        <w:t>Д</w:t>
      </w:r>
      <w:r>
        <w:t>окумент CWG-FHR 8/19. В завершение Председатель призвал Членов МСЭ вносить вклад в работу ИК11 МСЭ-T.</w:t>
      </w:r>
    </w:p>
    <w:p w:rsidR="00067524" w:rsidRPr="00D60366" w:rsidRDefault="003F5F37" w:rsidP="00D2281E">
      <w:pPr>
        <w:pStyle w:val="ListParagraph"/>
        <w:spacing w:before="360" w:after="240"/>
        <w:ind w:left="1191" w:hanging="471"/>
        <w:rPr>
          <w:b/>
        </w:rPr>
      </w:pPr>
      <w:r>
        <w:rPr>
          <w:b/>
        </w:rPr>
        <w:lastRenderedPageBreak/>
        <w:t>−</w:t>
      </w:r>
      <w:r>
        <w:tab/>
      </w:r>
      <w:r w:rsidRPr="00D60366">
        <w:rPr>
          <w:b/>
        </w:rPr>
        <w:t xml:space="preserve">Совершенствование </w:t>
      </w:r>
      <w:r w:rsidR="00944F9E" w:rsidRPr="00D60366">
        <w:rPr>
          <w:b/>
        </w:rPr>
        <w:t>процесса проведения</w:t>
      </w:r>
      <w:r w:rsidRPr="00D60366">
        <w:rPr>
          <w:b/>
        </w:rPr>
        <w:t xml:space="preserve"> ПК: руководящие указания </w:t>
      </w:r>
      <w:r w:rsidR="00D2281E">
        <w:rPr>
          <w:b/>
        </w:rPr>
        <w:t xml:space="preserve">по вопросам этики </w:t>
      </w:r>
      <w:r w:rsidR="00944F9E" w:rsidRPr="00D60366">
        <w:rPr>
          <w:b/>
        </w:rPr>
        <w:t xml:space="preserve">и </w:t>
      </w:r>
      <w:r w:rsidRPr="00D60366">
        <w:rPr>
          <w:b/>
        </w:rPr>
        <w:t xml:space="preserve">исследование </w:t>
      </w:r>
      <w:r w:rsidR="00944F9E" w:rsidRPr="00D60366">
        <w:rPr>
          <w:b/>
        </w:rPr>
        <w:t>по вопросу</w:t>
      </w:r>
      <w:r w:rsidRPr="00D60366">
        <w:rPr>
          <w:b/>
        </w:rPr>
        <w:t xml:space="preserve"> слушаний кандидатов</w:t>
      </w:r>
      <w:r w:rsidR="00F03348" w:rsidRPr="00D60366">
        <w:rPr>
          <w:b/>
        </w:rPr>
        <w:t xml:space="preserve"> </w:t>
      </w:r>
      <w:r w:rsidRPr="00D60366">
        <w:rPr>
          <w:b/>
        </w:rPr>
        <w:t xml:space="preserve">(Документ </w:t>
      </w:r>
      <w:hyperlink r:id="rId15">
        <w:r w:rsidRPr="00D60366">
          <w:rPr>
            <w:rStyle w:val="Hyperlink"/>
            <w:b/>
          </w:rPr>
          <w:t>CWG-FHR 8/17</w:t>
        </w:r>
      </w:hyperlink>
      <w:r w:rsidRPr="00D60366">
        <w:rPr>
          <w:b/>
        </w:rPr>
        <w:t>)</w:t>
      </w:r>
    </w:p>
    <w:p w:rsidR="00067524" w:rsidRPr="00A225C7" w:rsidRDefault="00067524" w:rsidP="00D2281E">
      <w:r>
        <w:t>1.18</w:t>
      </w:r>
      <w:r>
        <w:tab/>
        <w:t xml:space="preserve">Секретариат представил Документ CWG-FHR 8/17 </w:t>
      </w:r>
      <w:r w:rsidR="00DB4CCB">
        <w:t>"</w:t>
      </w:r>
      <w:r>
        <w:rPr>
          <w:i/>
        </w:rPr>
        <w:t>Возможные способы совершенствования процесса проведения Полномочной конференции: слушания кандидатов и руководящие указания</w:t>
      </w:r>
      <w:r w:rsidR="00D2281E">
        <w:rPr>
          <w:i/>
        </w:rPr>
        <w:t xml:space="preserve"> по вопросам этики</w:t>
      </w:r>
      <w:r w:rsidR="00DB4CCB" w:rsidRPr="00DB4CCB">
        <w:t>"</w:t>
      </w:r>
      <w:r>
        <w:rPr>
          <w:i/>
        </w:rPr>
        <w:t>.</w:t>
      </w:r>
      <w:r>
        <w:t xml:space="preserve"> В отношении раздела, посвященного слушаниям кандидатов, один из делегатов напомнил </w:t>
      </w:r>
      <w:r w:rsidR="0092326F">
        <w:t>Г</w:t>
      </w:r>
      <w:r>
        <w:t xml:space="preserve">руппе, что </w:t>
      </w:r>
      <w:r w:rsidR="0092326F">
        <w:t xml:space="preserve">она представила </w:t>
      </w:r>
      <w:r w:rsidR="00960485">
        <w:t xml:space="preserve">это </w:t>
      </w:r>
      <w:r w:rsidR="0092326F">
        <w:t>предложение на ПК-14, которая препроводила данный вопрос Совету, а тот теперь направляет его обратно на рассмотрение</w:t>
      </w:r>
      <w:r>
        <w:t xml:space="preserve"> ПК-18. </w:t>
      </w:r>
      <w:r w:rsidR="001D6E5A">
        <w:t>Этот д</w:t>
      </w:r>
      <w:r>
        <w:t>елегат надеялся</w:t>
      </w:r>
      <w:r w:rsidR="001D6E5A">
        <w:t>,</w:t>
      </w:r>
      <w:r>
        <w:t xml:space="preserve"> </w:t>
      </w:r>
      <w:r w:rsidR="001D6E5A">
        <w:t>что</w:t>
      </w:r>
      <w:r>
        <w:t xml:space="preserve"> предложенны</w:t>
      </w:r>
      <w:r w:rsidR="001D6E5A">
        <w:t>е</w:t>
      </w:r>
      <w:r>
        <w:t xml:space="preserve"> мер</w:t>
      </w:r>
      <w:r w:rsidR="001D6E5A">
        <w:t>ы будут реализованы</w:t>
      </w:r>
      <w:r>
        <w:t xml:space="preserve"> в текущем цикле</w:t>
      </w:r>
      <w:r w:rsidR="001D6E5A">
        <w:t>,</w:t>
      </w:r>
      <w:r>
        <w:t xml:space="preserve"> и не оставляет надежды, что ПК-18 предпримет необходимые действия для реализации предложения в следующем выборном цикле. </w:t>
      </w:r>
      <w:r w:rsidR="001D6E5A">
        <w:t>Он</w:t>
      </w:r>
      <w:r>
        <w:t xml:space="preserve"> также предложил региональным организациям приглашать кандидатов на свои собрания, чтобы дать им </w:t>
      </w:r>
      <w:r w:rsidR="00DA447A">
        <w:t xml:space="preserve">время и </w:t>
      </w:r>
      <w:r>
        <w:t xml:space="preserve">возможность представиться и ответить на вопросы. В частности, </w:t>
      </w:r>
      <w:r w:rsidR="00DA447A">
        <w:t>он</w:t>
      </w:r>
      <w:r>
        <w:t xml:space="preserve"> пригласил кандидатов на собрания СИТЕЛ от </w:t>
      </w:r>
      <w:r w:rsidR="00DA447A">
        <w:t>имени этой организации. Было</w:t>
      </w:r>
      <w:r w:rsidR="00B52FB2">
        <w:t xml:space="preserve"> отмечено, что общие правила, а </w:t>
      </w:r>
      <w:r w:rsidR="00DA447A">
        <w:t>именно правило 170, касающееся внутренних кандидатов, по-видимому, затрудняют процесс планирования графика слушаний, поскольку внутренние кандидаты обычно</w:t>
      </w:r>
      <w:r>
        <w:t xml:space="preserve"> дожидаются предельного срока, чтобы официально заявить свою кандидатуру. В итоге для слушания остается </w:t>
      </w:r>
      <w:proofErr w:type="spellStart"/>
      <w:r>
        <w:t>временн</w:t>
      </w:r>
      <w:r w:rsidR="00B52FB2">
        <w:rPr>
          <w:rFonts w:cs="Calibri"/>
        </w:rPr>
        <w:t>ó</w:t>
      </w:r>
      <w:r>
        <w:t>е</w:t>
      </w:r>
      <w:proofErr w:type="spellEnd"/>
      <w:r>
        <w:t xml:space="preserve"> окно в один месяц, чего недостаточно, поскольку ближе к мероприятию администрации уже могут раздать инструкции о том, как голосовать, и смысл в проведении слушания пропадает.</w:t>
      </w:r>
    </w:p>
    <w:p w:rsidR="00067524" w:rsidRPr="00A225C7" w:rsidRDefault="00067524" w:rsidP="00DD561F">
      <w:r>
        <w:t>1.19</w:t>
      </w:r>
      <w:r>
        <w:tab/>
        <w:t xml:space="preserve">Управление </w:t>
      </w:r>
      <w:r w:rsidR="00D2281E">
        <w:t>по вопросам этики пояснило, что</w:t>
      </w:r>
      <w:r w:rsidR="009158E5">
        <w:t xml:space="preserve"> </w:t>
      </w:r>
      <w:r>
        <w:t>руководящие указания</w:t>
      </w:r>
      <w:r w:rsidR="00D2281E" w:rsidRPr="00D2281E">
        <w:t xml:space="preserve"> </w:t>
      </w:r>
      <w:r w:rsidR="00D2281E">
        <w:t>по вопросам этики</w:t>
      </w:r>
      <w:r>
        <w:t xml:space="preserve">, подготовленные по запросу Совета, содержат инструкции по практическому применению </w:t>
      </w:r>
      <w:r w:rsidR="009158E5">
        <w:t>некоторых</w:t>
      </w:r>
      <w:r>
        <w:t xml:space="preserve"> принципов на основе существующей правовой базы и текущей практики, когда мероприятия в рамках кампании будущих кандидатов проводятся до официального заявления кандидатур. В ответ на вопрос Председателя сотрудник по вопросам этики разъяснил, что руководящие указания касаются внутренних кандидатов (включая избранное на текущий цикл должностное лицо), но не </w:t>
      </w:r>
      <w:r w:rsidR="009158E5">
        <w:t xml:space="preserve">затрагивают </w:t>
      </w:r>
      <w:r>
        <w:t xml:space="preserve">мероприятий тех кандидатов, которые на данный </w:t>
      </w:r>
      <w:r w:rsidR="00B52FB2">
        <w:t>момент не занимают должностей в </w:t>
      </w:r>
      <w:r>
        <w:t>Союзе.</w:t>
      </w:r>
    </w:p>
    <w:p w:rsidR="00067524" w:rsidRPr="00A225C7" w:rsidRDefault="00067524" w:rsidP="00DD561F">
      <w:pPr>
        <w:rPr>
          <w:szCs w:val="22"/>
        </w:rPr>
      </w:pPr>
      <w:r>
        <w:t>1.20</w:t>
      </w:r>
      <w:r>
        <w:tab/>
        <w:t xml:space="preserve">Одна из делегаций отметила гибкий подход, </w:t>
      </w:r>
      <w:r w:rsidR="009158E5">
        <w:t>использованный</w:t>
      </w:r>
      <w:r>
        <w:t xml:space="preserve"> в разделе</w:t>
      </w:r>
      <w:r w:rsidR="009158E5">
        <w:t xml:space="preserve"> по</w:t>
      </w:r>
      <w:r>
        <w:t xml:space="preserve"> эти</w:t>
      </w:r>
      <w:r w:rsidR="009158E5">
        <w:t>ческим</w:t>
      </w:r>
      <w:r>
        <w:t xml:space="preserve"> </w:t>
      </w:r>
      <w:r w:rsidR="009158E5">
        <w:t>вопросам, касающимся</w:t>
      </w:r>
      <w:r>
        <w:t xml:space="preserve"> кандидат</w:t>
      </w:r>
      <w:r w:rsidR="009158E5">
        <w:t>ов</w:t>
      </w:r>
      <w:r>
        <w:t xml:space="preserve"> и</w:t>
      </w:r>
      <w:r w:rsidR="009158E5">
        <w:t xml:space="preserve"> проведения</w:t>
      </w:r>
      <w:r>
        <w:t xml:space="preserve"> к</w:t>
      </w:r>
      <w:r w:rsidR="009158E5">
        <w:t>а</w:t>
      </w:r>
      <w:r>
        <w:t>мпани</w:t>
      </w:r>
      <w:r w:rsidR="009158E5">
        <w:t>й</w:t>
      </w:r>
      <w:r>
        <w:t>, и выразила сожаление, что тот же подход не был применен к организации слушаний кандидатов.</w:t>
      </w:r>
    </w:p>
    <w:p w:rsidR="00067524" w:rsidRPr="00A225C7" w:rsidRDefault="00067524" w:rsidP="00DD561F">
      <w:pPr>
        <w:rPr>
          <w:szCs w:val="22"/>
        </w:rPr>
      </w:pPr>
      <w:r>
        <w:t>1.21</w:t>
      </w:r>
      <w:r>
        <w:tab/>
        <w:t xml:space="preserve">Еще одна делегация солидаризировалась с замечаниями других делегатов, </w:t>
      </w:r>
      <w:r w:rsidR="00210683">
        <w:t>выразив разочарование в связи с тем</w:t>
      </w:r>
      <w:r>
        <w:t>, что не предусмотрено совместного собрания, на котором присутствовали бы все кандидаты.</w:t>
      </w:r>
    </w:p>
    <w:p w:rsidR="00067524" w:rsidRPr="00A225C7" w:rsidRDefault="00067524" w:rsidP="00D2281E">
      <w:pPr>
        <w:rPr>
          <w:szCs w:val="22"/>
        </w:rPr>
      </w:pPr>
      <w:r>
        <w:t>1.22</w:t>
      </w:r>
      <w:r>
        <w:tab/>
        <w:t xml:space="preserve">Одна из делегаций высказалась в поддержку того, чтобы руководящие указания </w:t>
      </w:r>
      <w:r w:rsidR="00D2281E">
        <w:t xml:space="preserve">по вопросам этики </w:t>
      </w:r>
      <w:r>
        <w:t>были представлены Совету</w:t>
      </w:r>
      <w:r w:rsidR="00960485">
        <w:t xml:space="preserve"> </w:t>
      </w:r>
      <w:r>
        <w:t>2018</w:t>
      </w:r>
      <w:r w:rsidR="00960485">
        <w:t xml:space="preserve"> года</w:t>
      </w:r>
      <w:r>
        <w:t xml:space="preserve"> для их принятия.</w:t>
      </w:r>
    </w:p>
    <w:p w:rsidR="00067524" w:rsidRPr="00A225C7" w:rsidRDefault="00067524" w:rsidP="00DD561F">
      <w:pPr>
        <w:rPr>
          <w:szCs w:val="22"/>
        </w:rPr>
      </w:pPr>
      <w:r>
        <w:t>1.23</w:t>
      </w:r>
      <w:r>
        <w:tab/>
        <w:t xml:space="preserve">Одна из делегаций выразила </w:t>
      </w:r>
      <w:r w:rsidR="008F250A">
        <w:t>обеспокоенность в связи с</w:t>
      </w:r>
      <w:r>
        <w:t xml:space="preserve"> тем, что внутренние и внешние кандидаты могут </w:t>
      </w:r>
      <w:r w:rsidR="008F250A">
        <w:t>оказаться</w:t>
      </w:r>
      <w:r>
        <w:t xml:space="preserve"> в неравном положении.</w:t>
      </w:r>
    </w:p>
    <w:p w:rsidR="00067524" w:rsidRPr="00A225C7" w:rsidRDefault="00067524" w:rsidP="00D2281E">
      <w:pPr>
        <w:rPr>
          <w:szCs w:val="22"/>
        </w:rPr>
      </w:pPr>
      <w:r>
        <w:t>1.24</w:t>
      </w:r>
      <w:r>
        <w:tab/>
      </w:r>
      <w:r w:rsidR="00FB23DA">
        <w:t>Было р</w:t>
      </w:r>
      <w:r>
        <w:t xml:space="preserve">ешено направить руководящие указания </w:t>
      </w:r>
      <w:r w:rsidR="00D2281E">
        <w:t xml:space="preserve">по вопросам этики </w:t>
      </w:r>
      <w:r w:rsidR="00FB23DA">
        <w:t>на</w:t>
      </w:r>
      <w:r>
        <w:t xml:space="preserve"> Совет</w:t>
      </w:r>
      <w:r w:rsidR="00960485">
        <w:t xml:space="preserve"> 20</w:t>
      </w:r>
      <w:r>
        <w:t>18</w:t>
      </w:r>
      <w:r w:rsidR="00960485">
        <w:t xml:space="preserve"> года</w:t>
      </w:r>
      <w:r>
        <w:t xml:space="preserve"> для дальнейшего обсуждения и утверждения.</w:t>
      </w:r>
    </w:p>
    <w:p w:rsidR="00067524" w:rsidRPr="00A225C7" w:rsidRDefault="00067524" w:rsidP="00DD561F">
      <w:pPr>
        <w:rPr>
          <w:szCs w:val="22"/>
        </w:rPr>
      </w:pPr>
      <w:r>
        <w:t>1.25</w:t>
      </w:r>
      <w:r>
        <w:tab/>
      </w:r>
      <w:r w:rsidR="00057094">
        <w:t>Что касается</w:t>
      </w:r>
      <w:r>
        <w:t xml:space="preserve"> слушани</w:t>
      </w:r>
      <w:r w:rsidR="00057094">
        <w:t>й</w:t>
      </w:r>
      <w:r>
        <w:t xml:space="preserve"> кандидатов</w:t>
      </w:r>
      <w:r w:rsidR="00057094">
        <w:t>,</w:t>
      </w:r>
      <w:r>
        <w:t xml:space="preserve"> </w:t>
      </w:r>
      <w:r w:rsidR="00057094">
        <w:t xml:space="preserve">было </w:t>
      </w:r>
      <w:r>
        <w:t xml:space="preserve">решено включить замечания, сделанные </w:t>
      </w:r>
      <w:r w:rsidR="00057094">
        <w:t>в ходе</w:t>
      </w:r>
      <w:r>
        <w:t xml:space="preserve"> это</w:t>
      </w:r>
      <w:r w:rsidR="00057094">
        <w:t>го</w:t>
      </w:r>
      <w:r>
        <w:t xml:space="preserve"> собрани</w:t>
      </w:r>
      <w:r w:rsidR="00057094">
        <w:t>я</w:t>
      </w:r>
      <w:r>
        <w:t>, в отчет Председателя для представления Совету</w:t>
      </w:r>
      <w:r w:rsidR="00960485">
        <w:t xml:space="preserve"> 20</w:t>
      </w:r>
      <w:r>
        <w:t>18</w:t>
      </w:r>
      <w:r w:rsidR="00960485">
        <w:t xml:space="preserve"> года</w:t>
      </w:r>
      <w:r>
        <w:t>. Вопрос о слушаниях кандидатов будет представлен Совету</w:t>
      </w:r>
      <w:r w:rsidR="00960485">
        <w:t xml:space="preserve"> 20</w:t>
      </w:r>
      <w:r>
        <w:t>18</w:t>
      </w:r>
      <w:r w:rsidR="00960485">
        <w:t xml:space="preserve"> года</w:t>
      </w:r>
      <w:r>
        <w:t xml:space="preserve"> с рекомендацией от Председателя направить </w:t>
      </w:r>
      <w:r w:rsidR="00057094">
        <w:t>этот вопрос</w:t>
      </w:r>
      <w:r>
        <w:t xml:space="preserve"> на ПК-18.</w:t>
      </w:r>
    </w:p>
    <w:p w:rsidR="00067524" w:rsidRPr="00A225C7" w:rsidRDefault="0019520B" w:rsidP="00D2281E">
      <w:pPr>
        <w:snapToGrid w:val="0"/>
        <w:rPr>
          <w:szCs w:val="22"/>
        </w:rPr>
      </w:pPr>
      <w:r>
        <w:rPr>
          <w:b/>
          <w:color w:val="0000FF"/>
        </w:rPr>
        <w:t>Рекомендация</w:t>
      </w:r>
      <w:r>
        <w:rPr>
          <w:color w:val="0000FF"/>
        </w:rPr>
        <w:t>:</w:t>
      </w:r>
      <w:r>
        <w:t xml:space="preserve"> Группа рекомендует Совету утвердить руководящие указания </w:t>
      </w:r>
      <w:r w:rsidR="00D2281E">
        <w:t xml:space="preserve">по вопросам этики </w:t>
      </w:r>
      <w:r>
        <w:t>и направить документ Секретариата ПК-18 для обсуждения вопросов, возникших в ходе рассмотрения этой темы.</w:t>
      </w:r>
    </w:p>
    <w:p w:rsidR="00067524" w:rsidRPr="00D60366" w:rsidRDefault="003F5F37" w:rsidP="00D60366">
      <w:pPr>
        <w:pStyle w:val="ListParagraph"/>
        <w:pageBreakBefore/>
        <w:rPr>
          <w:b/>
        </w:rPr>
      </w:pPr>
      <w:r w:rsidRPr="00D60366">
        <w:rPr>
          <w:b/>
        </w:rPr>
        <w:lastRenderedPageBreak/>
        <w:t>−</w:t>
      </w:r>
      <w:r w:rsidRPr="00D60366">
        <w:rPr>
          <w:b/>
        </w:rPr>
        <w:tab/>
        <w:t>Отчет о мерах по восстановлению численности персонала БР (устное представление)</w:t>
      </w:r>
    </w:p>
    <w:p w:rsidR="00067524" w:rsidRPr="00A225C7" w:rsidRDefault="00067524" w:rsidP="00DD561F">
      <w:r>
        <w:t>1.26</w:t>
      </w:r>
      <w:r>
        <w:tab/>
        <w:t xml:space="preserve">В целях решения проблемы, связанной с задержками в обработке заявок и необходимостью увеличения численности персонала БР, </w:t>
      </w:r>
      <w:r w:rsidR="001909A5">
        <w:t xml:space="preserve">внимание к которой было ранее привлечено одним из делегатов, </w:t>
      </w:r>
      <w:r>
        <w:t>Директор МСЭ-R</w:t>
      </w:r>
      <w:r w:rsidR="00B52FB2">
        <w:t xml:space="preserve"> г-н</w:t>
      </w:r>
      <w:r>
        <w:t xml:space="preserve"> Франсуа </w:t>
      </w:r>
      <w:proofErr w:type="spellStart"/>
      <w:r>
        <w:t>Ранси</w:t>
      </w:r>
      <w:proofErr w:type="spellEnd"/>
      <w:r>
        <w:t xml:space="preserve"> </w:t>
      </w:r>
      <w:r w:rsidR="001909A5">
        <w:t>проинформировал</w:t>
      </w:r>
      <w:r>
        <w:t xml:space="preserve"> делегатов о публикации объявлений о</w:t>
      </w:r>
      <w:r w:rsidR="001909A5">
        <w:t> </w:t>
      </w:r>
      <w:r>
        <w:t>вакансиях на замещение трех должностей категории P3, которые должны быть заполнены в 2018</w:t>
      </w:r>
      <w:r w:rsidR="00EE2DB3">
        <w:t> </w:t>
      </w:r>
      <w:r>
        <w:t>году. Эти должности предусмотрены в бюджете начиная с 2018 года.</w:t>
      </w:r>
    </w:p>
    <w:p w:rsidR="00067524" w:rsidRPr="00D60366" w:rsidRDefault="003F5F37" w:rsidP="00D60366">
      <w:pPr>
        <w:pStyle w:val="ListParagraph"/>
        <w:rPr>
          <w:b/>
        </w:rPr>
      </w:pPr>
      <w:r w:rsidRPr="00D60366">
        <w:rPr>
          <w:b/>
        </w:rPr>
        <w:t>−</w:t>
      </w:r>
      <w:r w:rsidRPr="00D60366">
        <w:rPr>
          <w:b/>
        </w:rPr>
        <w:tab/>
        <w:t xml:space="preserve">Возмещение затрат на спутниковые системы НГСО (Документ </w:t>
      </w:r>
      <w:hyperlink r:id="rId16">
        <w:r w:rsidRPr="00D60366">
          <w:rPr>
            <w:rStyle w:val="Hyperlink"/>
            <w:b/>
          </w:rPr>
          <w:t>CWG-FHR 8/20</w:t>
        </w:r>
      </w:hyperlink>
      <w:r w:rsidRPr="00D60366">
        <w:rPr>
          <w:b/>
        </w:rPr>
        <w:t>)</w:t>
      </w:r>
    </w:p>
    <w:p w:rsidR="00067524" w:rsidRPr="00A225C7" w:rsidRDefault="00067524" w:rsidP="005B4865">
      <w:r>
        <w:t>1.27</w:t>
      </w:r>
      <w:r>
        <w:tab/>
        <w:t xml:space="preserve">Документ </w:t>
      </w:r>
      <w:hyperlink r:id="rId17">
        <w:r>
          <w:rPr>
            <w:rStyle w:val="Hyperlink"/>
          </w:rPr>
          <w:t>CWG-FHR 8/20</w:t>
        </w:r>
      </w:hyperlink>
      <w:r>
        <w:t xml:space="preserve"> представлен Секретариатом. </w:t>
      </w:r>
      <w:r w:rsidR="004E6C24">
        <w:t xml:space="preserve">Он подготовлен в соответствии с поручением </w:t>
      </w:r>
      <w:r>
        <w:t>Совет</w:t>
      </w:r>
      <w:r w:rsidR="004E6C24">
        <w:t xml:space="preserve">а, которое тот дал </w:t>
      </w:r>
      <w:r>
        <w:t>на своей сессии 2017</w:t>
      </w:r>
      <w:r w:rsidR="004E6C24">
        <w:t> </w:t>
      </w:r>
      <w:r>
        <w:t xml:space="preserve">года Бюро радиосвязи </w:t>
      </w:r>
      <w:r w:rsidR="004E6C24">
        <w:t xml:space="preserve">и которое касалось </w:t>
      </w:r>
      <w:r>
        <w:t>исследовани</w:t>
      </w:r>
      <w:r w:rsidR="004E6C24">
        <w:t>я</w:t>
      </w:r>
      <w:r>
        <w:t xml:space="preserve"> технических проблем, возникающих в связи с обработкой заявок на регистрацию сложных негеостационарных спутниковых систем (НГСО). Этот документ содержит основные выводы </w:t>
      </w:r>
      <w:r w:rsidR="004E6C24">
        <w:t xml:space="preserve">проведенного </w:t>
      </w:r>
      <w:r>
        <w:t xml:space="preserve">исследования </w:t>
      </w:r>
      <w:r w:rsidR="004E6C24">
        <w:t xml:space="preserve">таких </w:t>
      </w:r>
      <w:r>
        <w:t xml:space="preserve">технических проблем, а также краткий обзор замечаний к данному исследованию, сделанных </w:t>
      </w:r>
      <w:proofErr w:type="spellStart"/>
      <w:r>
        <w:t>Радиорегламентарным</w:t>
      </w:r>
      <w:proofErr w:type="spellEnd"/>
      <w:r>
        <w:t xml:space="preserve"> комитетом и Рабочими группами МСЭ-R. В нем предложено три </w:t>
      </w:r>
      <w:proofErr w:type="spellStart"/>
      <w:r>
        <w:t>невзаимоисключающих</w:t>
      </w:r>
      <w:proofErr w:type="spellEnd"/>
      <w:r>
        <w:t xml:space="preserve"> варианта процедур совершенствования схемы возмещения затрат на спутниковые системы НГСО.</w:t>
      </w:r>
    </w:p>
    <w:p w:rsidR="00067524" w:rsidRPr="00A225C7" w:rsidRDefault="00067524" w:rsidP="00DD561F">
      <w:r>
        <w:t>1.28</w:t>
      </w:r>
      <w:r>
        <w:tab/>
      </w:r>
      <w:r w:rsidR="00C36E16">
        <w:t>Согласно поручению</w:t>
      </w:r>
      <w:r>
        <w:t xml:space="preserve"> Совет</w:t>
      </w:r>
      <w:r w:rsidR="00C36E16">
        <w:t>а</w:t>
      </w:r>
      <w:r>
        <w:t xml:space="preserve"> 2017</w:t>
      </w:r>
      <w:r w:rsidR="00C36E16">
        <w:t> </w:t>
      </w:r>
      <w:r>
        <w:t>года заключительный отчет БР Совету 2018 года о заявках на регистрацию систем НГСО должен быть опубликован на веб-сайте Совета не позднее 1</w:t>
      </w:r>
      <w:r w:rsidR="00C36E16">
        <w:t> </w:t>
      </w:r>
      <w:r>
        <w:t>февраля 2018</w:t>
      </w:r>
      <w:r w:rsidR="00C36E16">
        <w:t> </w:t>
      </w:r>
      <w:r>
        <w:t xml:space="preserve">года. В нем </w:t>
      </w:r>
      <w:r w:rsidR="00C36E16">
        <w:t xml:space="preserve">будут </w:t>
      </w:r>
      <w:r>
        <w:t>приведены практические примеры, а также статистические данные о последствиях предлагаемых изменений к Решению 482.</w:t>
      </w:r>
    </w:p>
    <w:p w:rsidR="00067524" w:rsidRPr="00A225C7" w:rsidRDefault="00067524" w:rsidP="00DD561F">
      <w:r>
        <w:t>1.29</w:t>
      </w:r>
      <w:r>
        <w:tab/>
        <w:t xml:space="preserve">Этот отчет может быть впоследствии обновлен с учетом отзывов от </w:t>
      </w:r>
      <w:r w:rsidR="00B52FB2">
        <w:t>ч</w:t>
      </w:r>
      <w:r>
        <w:t xml:space="preserve">ленов МСЭ и </w:t>
      </w:r>
      <w:r w:rsidR="00B52FB2">
        <w:t>и</w:t>
      </w:r>
      <w:r>
        <w:t>сследовательских комиссий МСЭ-R.</w:t>
      </w:r>
    </w:p>
    <w:p w:rsidR="00067524" w:rsidRPr="00A225C7" w:rsidRDefault="00067524" w:rsidP="00DD561F">
      <w:r>
        <w:t>1.30</w:t>
      </w:r>
      <w:r>
        <w:tab/>
      </w:r>
      <w:r w:rsidR="00C36E16">
        <w:t>Было п</w:t>
      </w:r>
      <w:r>
        <w:t xml:space="preserve">одчеркнуто, что любое решение Совета по этому вопросу должно </w:t>
      </w:r>
      <w:r w:rsidR="00C36E16">
        <w:t>соответствовать</w:t>
      </w:r>
      <w:r>
        <w:t xml:space="preserve"> </w:t>
      </w:r>
      <w:r w:rsidR="00C36E16">
        <w:t>требованиям завтрашнего дня</w:t>
      </w:r>
      <w:r>
        <w:t xml:space="preserve">, чтобы избежать необходимости в принятии </w:t>
      </w:r>
      <w:r w:rsidR="00C36E16">
        <w:t>корректирующих</w:t>
      </w:r>
      <w:r>
        <w:t xml:space="preserve"> </w:t>
      </w:r>
      <w:r w:rsidR="00C36E16">
        <w:t xml:space="preserve">мер </w:t>
      </w:r>
      <w:r>
        <w:t>в</w:t>
      </w:r>
      <w:r w:rsidR="00C36E16">
        <w:t> </w:t>
      </w:r>
      <w:r>
        <w:t>обозримом будущем.</w:t>
      </w:r>
    </w:p>
    <w:p w:rsidR="00067524" w:rsidRPr="00A225C7" w:rsidRDefault="0019520B" w:rsidP="00DD561F">
      <w:pPr>
        <w:rPr>
          <w:szCs w:val="22"/>
        </w:rPr>
      </w:pPr>
      <w:r>
        <w:rPr>
          <w:b/>
          <w:color w:val="0000FF"/>
        </w:rPr>
        <w:t>Рекомендация</w:t>
      </w:r>
      <w:r>
        <w:rPr>
          <w:color w:val="0000FF"/>
        </w:rPr>
        <w:t>:</w:t>
      </w:r>
      <w:r>
        <w:t xml:space="preserve"> Совету предлагается </w:t>
      </w:r>
      <w:r>
        <w:rPr>
          <w:b/>
        </w:rPr>
        <w:t xml:space="preserve">рассмотреть </w:t>
      </w:r>
      <w:r>
        <w:t xml:space="preserve">заключительный отчет БР о заявках на регистрацию систем НГСО и, если это целесообразно, </w:t>
      </w:r>
      <w:r>
        <w:rPr>
          <w:b/>
        </w:rPr>
        <w:t xml:space="preserve">пересмотреть </w:t>
      </w:r>
      <w:r>
        <w:t>Решение 482.</w:t>
      </w:r>
    </w:p>
    <w:p w:rsidR="00067524" w:rsidRPr="00D60366" w:rsidRDefault="003F5F37" w:rsidP="00D60366">
      <w:pPr>
        <w:pStyle w:val="ListParagraph"/>
        <w:ind w:left="1191" w:hanging="471"/>
        <w:rPr>
          <w:b/>
        </w:rPr>
      </w:pPr>
      <w:r w:rsidRPr="00D60366">
        <w:rPr>
          <w:b/>
        </w:rPr>
        <w:t>−</w:t>
      </w:r>
      <w:r w:rsidRPr="00D60366">
        <w:rPr>
          <w:b/>
        </w:rPr>
        <w:tab/>
        <w:t xml:space="preserve">Вклад Китайской Народной Республики: Оптимизация мероприятий МСЭ высокого уровня, имеющих глобальный характер (Документ </w:t>
      </w:r>
      <w:hyperlink r:id="rId18">
        <w:r w:rsidRPr="00D60366">
          <w:rPr>
            <w:rStyle w:val="Hyperlink"/>
            <w:b/>
          </w:rPr>
          <w:t>CWG-FHR 8/4</w:t>
        </w:r>
      </w:hyperlink>
      <w:r w:rsidRPr="00D60366">
        <w:rPr>
          <w:b/>
        </w:rPr>
        <w:t>)</w:t>
      </w:r>
    </w:p>
    <w:p w:rsidR="00067524" w:rsidRPr="00A225C7" w:rsidRDefault="00067524" w:rsidP="00DD561F">
      <w:r>
        <w:t>1.31</w:t>
      </w:r>
      <w:r>
        <w:tab/>
        <w:t>Делегат от Китайской Народной Республики представил документ, в котором указывается на существующие возможности для совершенствования организации и графика проведения мероприятий высокого уровня.</w:t>
      </w:r>
    </w:p>
    <w:p w:rsidR="00067524" w:rsidRPr="00A225C7" w:rsidRDefault="00067524" w:rsidP="00DD561F">
      <w:r>
        <w:t>1.32</w:t>
      </w:r>
      <w:r>
        <w:tab/>
        <w:t>Под мероприятиями высокого уровня в данном случае подразумеваются ITU Telecom, ГСР и т. </w:t>
      </w:r>
      <w:r w:rsidR="00B40241">
        <w:t>д</w:t>
      </w:r>
      <w:r>
        <w:t>., но не ПК, ВКРЭ, ВАСЭ или ВКР.</w:t>
      </w:r>
    </w:p>
    <w:p w:rsidR="00067524" w:rsidRPr="00A225C7" w:rsidRDefault="00067524" w:rsidP="00DD561F">
      <w:r>
        <w:t>1.33</w:t>
      </w:r>
      <w:r>
        <w:tab/>
        <w:t xml:space="preserve">В </w:t>
      </w:r>
      <w:r w:rsidR="00B40241">
        <w:t xml:space="preserve">этом </w:t>
      </w:r>
      <w:r>
        <w:t>документе отмечается следующее:</w:t>
      </w:r>
    </w:p>
    <w:p w:rsidR="00067524" w:rsidRPr="00A225C7" w:rsidRDefault="00DD561F" w:rsidP="00D60366">
      <w:pPr>
        <w:pStyle w:val="a"/>
      </w:pPr>
      <w:r>
        <w:t>•</w:t>
      </w:r>
      <w:r>
        <w:tab/>
        <w:t>мероприятия высокого уровня</w:t>
      </w:r>
      <w:r w:rsidR="008954D4">
        <w:t xml:space="preserve">, организуемые в настоящее время МСЭ, </w:t>
      </w:r>
      <w:r>
        <w:t>являются достаточно многочисленными, а сроки и места их проведения имеют "беспорядочный" характер;</w:t>
      </w:r>
    </w:p>
    <w:p w:rsidR="00067524" w:rsidRPr="00A225C7" w:rsidRDefault="00DD561F" w:rsidP="00D60366">
      <w:pPr>
        <w:pStyle w:val="a"/>
      </w:pPr>
      <w:r>
        <w:t>•</w:t>
      </w:r>
      <w:r>
        <w:tab/>
        <w:t xml:space="preserve">высокопоставленные представители, в том числе руководители из Государств-Членов, не могут часто посещать </w:t>
      </w:r>
      <w:r w:rsidR="0015672B">
        <w:t>эти мероприятия</w:t>
      </w:r>
      <w:r>
        <w:t>;</w:t>
      </w:r>
    </w:p>
    <w:p w:rsidR="00067524" w:rsidRPr="00A225C7" w:rsidRDefault="00DD561F" w:rsidP="00D60366">
      <w:pPr>
        <w:pStyle w:val="a"/>
      </w:pPr>
      <w:r>
        <w:t>•</w:t>
      </w:r>
      <w:r>
        <w:tab/>
      </w:r>
      <w:r w:rsidR="0015672B">
        <w:t>ч</w:t>
      </w:r>
      <w:r>
        <w:t xml:space="preserve">резмерное количество проводимых ежегодно </w:t>
      </w:r>
      <w:proofErr w:type="spellStart"/>
      <w:r>
        <w:t>институционализированных</w:t>
      </w:r>
      <w:proofErr w:type="spellEnd"/>
      <w:r>
        <w:t xml:space="preserve"> мероприятий не способствует эффективности мер, принимаемых МСЭ </w:t>
      </w:r>
      <w:r w:rsidR="00960485">
        <w:t>в</w:t>
      </w:r>
      <w:r>
        <w:t xml:space="preserve"> цел</w:t>
      </w:r>
      <w:r w:rsidR="00960485">
        <w:t>ях</w:t>
      </w:r>
      <w:r>
        <w:t xml:space="preserve"> сбережения человеческих, финансовых и иных ресурсов; и</w:t>
      </w:r>
    </w:p>
    <w:p w:rsidR="00067524" w:rsidRPr="00A225C7" w:rsidRDefault="00DD561F" w:rsidP="00D60366">
      <w:pPr>
        <w:pStyle w:val="a"/>
        <w:pageBreakBefore/>
      </w:pPr>
      <w:r>
        <w:lastRenderedPageBreak/>
        <w:t>•</w:t>
      </w:r>
      <w:r>
        <w:tab/>
      </w:r>
      <w:r w:rsidR="0015672B">
        <w:t>т</w:t>
      </w:r>
      <w:r>
        <w:t>емы некоторых из мероприятий высокого уровня взаимосвязаны и поэтому проведение этих мероприятий вплотную друг к другу не только будет способствовать повышению эффективности, но и будет отвечать интересам укрепления обмена</w:t>
      </w:r>
      <w:r w:rsidR="0015672B">
        <w:t xml:space="preserve"> идеями</w:t>
      </w:r>
      <w:r>
        <w:t xml:space="preserve"> между членами и расширения участия, а также повышения уровня воздействия этих мероприятий.</w:t>
      </w:r>
    </w:p>
    <w:p w:rsidR="00067524" w:rsidRPr="00A225C7" w:rsidRDefault="00067524" w:rsidP="00DD44CF">
      <w:r>
        <w:t>1.34</w:t>
      </w:r>
      <w:r>
        <w:tab/>
      </w:r>
      <w:proofErr w:type="gramStart"/>
      <w:r w:rsidR="0015672B">
        <w:t>В</w:t>
      </w:r>
      <w:proofErr w:type="gramEnd"/>
      <w:r w:rsidR="0015672B">
        <w:t xml:space="preserve"> нем предлагается</w:t>
      </w:r>
      <w:r>
        <w:t>, чтобы проведение всех текущих мероприятий Союза высокого уровня было тщательно продумано и систематизировано Генеральным секретариатом и чтобы он мог оптимальным образом организовать и составить вариант графика проведения этих мероприятий, который должен быть представлен на рассмотрение Совета</w:t>
      </w:r>
      <w:r w:rsidR="00EC340D">
        <w:t xml:space="preserve"> 2018 года</w:t>
      </w:r>
      <w:r>
        <w:t>.</w:t>
      </w:r>
    </w:p>
    <w:p w:rsidR="00067524" w:rsidRPr="00A225C7" w:rsidRDefault="00067524" w:rsidP="00DD561F">
      <w:r>
        <w:t>1.35</w:t>
      </w:r>
      <w:r>
        <w:tab/>
        <w:t xml:space="preserve">Некоторые делегаты выступили в поддержку </w:t>
      </w:r>
      <w:r w:rsidR="00EC340D">
        <w:t xml:space="preserve">данного </w:t>
      </w:r>
      <w:r>
        <w:t>предложения, отметив при этом важность совмещения мероприятий и объединения приглашений на мероприятия в одном письме от МСЭ.</w:t>
      </w:r>
    </w:p>
    <w:p w:rsidR="00067524" w:rsidRPr="00A225C7" w:rsidRDefault="00067524" w:rsidP="00DD561F">
      <w:r>
        <w:t>1.36</w:t>
      </w:r>
      <w:r>
        <w:tab/>
        <w:t>Председатель признал ценность этого вклада, реализация которого потребует внутренней координации между Генеральным секретариатом и Секторами.</w:t>
      </w:r>
    </w:p>
    <w:p w:rsidR="00067524" w:rsidRPr="00A225C7" w:rsidRDefault="0019520B" w:rsidP="00DD561F">
      <w:r>
        <w:rPr>
          <w:b/>
          <w:color w:val="0000FF"/>
        </w:rPr>
        <w:t>Рекомендация</w:t>
      </w:r>
      <w:r>
        <w:rPr>
          <w:color w:val="0000FF"/>
        </w:rPr>
        <w:t>:</w:t>
      </w:r>
      <w:r>
        <w:t xml:space="preserve"> Совету предлагается поддержать предложение, изложенное в п</w:t>
      </w:r>
      <w:r w:rsidR="00960485">
        <w:t>ункте</w:t>
      </w:r>
      <w:r>
        <w:t> 2 Документа</w:t>
      </w:r>
      <w:r w:rsidR="00EC340D">
        <w:t> </w:t>
      </w:r>
      <w:hyperlink r:id="rId19">
        <w:r w:rsidR="00EC340D">
          <w:rPr>
            <w:rStyle w:val="Hyperlink"/>
          </w:rPr>
          <w:t>CWG</w:t>
        </w:r>
        <w:r w:rsidR="00EC340D">
          <w:rPr>
            <w:rStyle w:val="Hyperlink"/>
          </w:rPr>
          <w:noBreakHyphen/>
        </w:r>
        <w:r>
          <w:rPr>
            <w:rStyle w:val="Hyperlink"/>
          </w:rPr>
          <w:t>FHR 8/4</w:t>
        </w:r>
      </w:hyperlink>
      <w:r>
        <w:t>.</w:t>
      </w:r>
    </w:p>
    <w:p w:rsidR="00067524" w:rsidRPr="00D60366" w:rsidRDefault="003F5F37" w:rsidP="00D60366">
      <w:pPr>
        <w:pStyle w:val="ListParagraph"/>
        <w:spacing w:before="240" w:after="240"/>
        <w:rPr>
          <w:b/>
        </w:rPr>
      </w:pPr>
      <w:r w:rsidRPr="00D60366">
        <w:rPr>
          <w:b/>
        </w:rPr>
        <w:t>−</w:t>
      </w:r>
      <w:r w:rsidRPr="00D60366">
        <w:rPr>
          <w:b/>
        </w:rPr>
        <w:tab/>
        <w:t xml:space="preserve">Система подотчетности и прозрачности (Документ </w:t>
      </w:r>
      <w:hyperlink r:id="rId20">
        <w:r w:rsidRPr="00D60366">
          <w:rPr>
            <w:rStyle w:val="Hyperlink"/>
            <w:b/>
          </w:rPr>
          <w:t>CWG-FHR 8/9</w:t>
        </w:r>
      </w:hyperlink>
      <w:r w:rsidRPr="00D60366">
        <w:rPr>
          <w:b/>
        </w:rPr>
        <w:t>)</w:t>
      </w:r>
    </w:p>
    <w:p w:rsidR="00067524" w:rsidRPr="00A225C7" w:rsidRDefault="00067524" w:rsidP="00DD561F">
      <w:r>
        <w:t>1.37</w:t>
      </w:r>
      <w:r>
        <w:tab/>
        <w:t>Секретариат представил документ</w:t>
      </w:r>
      <w:r w:rsidR="0079770E">
        <w:t>, содержащий</w:t>
      </w:r>
      <w:r>
        <w:t xml:space="preserve"> обновленн</w:t>
      </w:r>
      <w:r w:rsidR="0079770E">
        <w:t>ую</w:t>
      </w:r>
      <w:r>
        <w:t xml:space="preserve"> информаци</w:t>
      </w:r>
      <w:r w:rsidR="0079770E">
        <w:t>ю</w:t>
      </w:r>
      <w:r>
        <w:t xml:space="preserve"> о прогрессе в</w:t>
      </w:r>
      <w:r w:rsidR="0079770E">
        <w:t> </w:t>
      </w:r>
      <w:r>
        <w:t>достижении контрольных показателей ОИГ для системы подотчетности.</w:t>
      </w:r>
    </w:p>
    <w:p w:rsidR="00067524" w:rsidRPr="00A225C7" w:rsidRDefault="00067524" w:rsidP="00DD44CF">
      <w:r>
        <w:t>1.38</w:t>
      </w:r>
      <w:r>
        <w:tab/>
      </w:r>
      <w:r w:rsidR="005474EA">
        <w:t xml:space="preserve">Система подотчетности МСЭ основывается на принципе выполнения Союзом своего мандата прозрачным образом и на его подотчетности перед своими членами. </w:t>
      </w:r>
      <w:r>
        <w:t>К основным элементам подотчетности относятся документы о делегировании полномочий; политика раскрытия финансовой информации; внутреннее сопроводительное письмо МСЭ; инструменты управления результатами деятельности и управление рисками в стратегическом планировании; структура результатов деятельности, обеспечивающая возможность управления, ориентированного на результаты; а также создание Независимого консультативного комитета по управлению (IMAC)</w:t>
      </w:r>
      <w:r w:rsidR="005474EA">
        <w:t>.</w:t>
      </w:r>
    </w:p>
    <w:p w:rsidR="00067524" w:rsidRPr="00A225C7" w:rsidRDefault="00067524" w:rsidP="00DD44CF">
      <w:r>
        <w:t>1.39</w:t>
      </w:r>
      <w:r>
        <w:tab/>
        <w:t>Система подотчетности МСЭ включает три (3) компонента, основанных на структуре, представленной в отчете ОИГ: Соглашение с Государствами-Членами, Членами Секторов, Ассоциированными членами, Академическими организациями и пользователями услуг МСЭ; управление рисками и внутренний контроль; а также механизм подачи жалоб и реагирования на них. Эти компоненты предусматривают в общей сложности семнадцать (17) контрольных показателей, служащих для оценки устойчивой системы подотчетности на основе прозрачности и культуры подотчетности.</w:t>
      </w:r>
    </w:p>
    <w:p w:rsidR="00067524" w:rsidRPr="00A225C7" w:rsidRDefault="00067524" w:rsidP="002141A2">
      <w:r>
        <w:t>1.40</w:t>
      </w:r>
      <w:r>
        <w:tab/>
      </w:r>
      <w:r w:rsidR="00F97C12">
        <w:t>МСЭ будет предпринимать следующие действия в отношении своей с</w:t>
      </w:r>
      <w:r>
        <w:t>истем</w:t>
      </w:r>
      <w:r w:rsidR="00F97C12">
        <w:t>ы</w:t>
      </w:r>
      <w:r>
        <w:t xml:space="preserve"> подотчетности:</w:t>
      </w:r>
    </w:p>
    <w:p w:rsidR="00067524" w:rsidRPr="00A225C7" w:rsidRDefault="00DD561F" w:rsidP="00D60366">
      <w:pPr>
        <w:pStyle w:val="a"/>
      </w:pPr>
      <w:r>
        <w:t>•</w:t>
      </w:r>
      <w:r>
        <w:tab/>
        <w:t>периодически пересматривать</w:t>
      </w:r>
      <w:r w:rsidR="009333CC">
        <w:t xml:space="preserve"> ее</w:t>
      </w:r>
      <w:r>
        <w:t>, чтобы усилить потенциал организации и обеспечить ее постоянную полезность;</w:t>
      </w:r>
    </w:p>
    <w:p w:rsidR="00067524" w:rsidRPr="00A225C7" w:rsidRDefault="00DD561F" w:rsidP="00D60366">
      <w:pPr>
        <w:pStyle w:val="a"/>
      </w:pPr>
      <w:r>
        <w:t>•</w:t>
      </w:r>
      <w:r>
        <w:tab/>
      </w:r>
      <w:r w:rsidR="009333CC">
        <w:t>осуществлять ее обновление</w:t>
      </w:r>
      <w:r>
        <w:t>, чтобы отражать новые требования или улучшения, вытекающие из новых инициатив или извлеченных уроков;</w:t>
      </w:r>
    </w:p>
    <w:p w:rsidR="00067524" w:rsidRPr="00A225C7" w:rsidRDefault="00DD561F" w:rsidP="00D60366">
      <w:pPr>
        <w:pStyle w:val="a"/>
      </w:pPr>
      <w:r>
        <w:t>•</w:t>
      </w:r>
      <w:r>
        <w:tab/>
      </w:r>
      <w:r w:rsidR="00457384">
        <w:t>по-прежнему принимает необходимые меры, чтобы она оставалась</w:t>
      </w:r>
      <w:r>
        <w:t xml:space="preserve"> </w:t>
      </w:r>
      <w:r w:rsidR="00457384">
        <w:t>адаптированной</w:t>
      </w:r>
      <w:r>
        <w:t xml:space="preserve"> к</w:t>
      </w:r>
      <w:r w:rsidR="00457384">
        <w:t> </w:t>
      </w:r>
      <w:r>
        <w:t>мандату и задачам Союза; и</w:t>
      </w:r>
    </w:p>
    <w:p w:rsidR="00067524" w:rsidRPr="00A225C7" w:rsidRDefault="00DD561F" w:rsidP="00D60366">
      <w:pPr>
        <w:pStyle w:val="a"/>
      </w:pPr>
      <w:r>
        <w:t>•</w:t>
      </w:r>
      <w:r>
        <w:tab/>
      </w:r>
      <w:r w:rsidR="00D84ACE">
        <w:t>продолжать следить за тем, чтобы система подотчетности реагировала на меняющиеся обстоятельства и учитывала передовой опыт, накопленный в системе ООН.</w:t>
      </w:r>
    </w:p>
    <w:p w:rsidR="00067524" w:rsidRPr="00A225C7" w:rsidRDefault="0019520B" w:rsidP="00067524">
      <w:pPr>
        <w:rPr>
          <w:szCs w:val="22"/>
        </w:rPr>
      </w:pPr>
      <w:r>
        <w:rPr>
          <w:b/>
          <w:color w:val="0000FF"/>
        </w:rPr>
        <w:t>Рекомендация</w:t>
      </w:r>
      <w:r>
        <w:rPr>
          <w:color w:val="0000FF"/>
        </w:rPr>
        <w:t>:</w:t>
      </w:r>
      <w:r>
        <w:t xml:space="preserve"> Совету предлагается принять </w:t>
      </w:r>
      <w:r w:rsidR="00140ABB">
        <w:t>к сведению</w:t>
      </w:r>
      <w:r>
        <w:t xml:space="preserve"> </w:t>
      </w:r>
      <w:hyperlink r:id="rId21">
        <w:r>
          <w:rPr>
            <w:rStyle w:val="Hyperlink"/>
          </w:rPr>
          <w:t>Документ C18/20</w:t>
        </w:r>
      </w:hyperlink>
      <w:r>
        <w:t>.</w:t>
      </w:r>
    </w:p>
    <w:p w:rsidR="00067524" w:rsidRPr="00D60366" w:rsidRDefault="003F5F37" w:rsidP="00D60366">
      <w:pPr>
        <w:pStyle w:val="ListParagraph"/>
        <w:ind w:left="1191" w:hanging="471"/>
        <w:rPr>
          <w:b/>
        </w:rPr>
      </w:pPr>
      <w:r w:rsidRPr="00D60366">
        <w:rPr>
          <w:b/>
        </w:rPr>
        <w:lastRenderedPageBreak/>
        <w:t>−</w:t>
      </w:r>
      <w:r w:rsidRPr="00D60366">
        <w:rPr>
          <w:b/>
        </w:rPr>
        <w:tab/>
        <w:t>Вклад Федеративной Республики Бразили</w:t>
      </w:r>
      <w:r w:rsidR="00960485">
        <w:rPr>
          <w:b/>
        </w:rPr>
        <w:t>я</w:t>
      </w:r>
      <w:r w:rsidRPr="00D60366">
        <w:rPr>
          <w:b/>
        </w:rPr>
        <w:t>: Расширение участия в работе МСЭ членов, не</w:t>
      </w:r>
      <w:r w:rsidR="00D072FD" w:rsidRPr="00D60366">
        <w:rPr>
          <w:b/>
        </w:rPr>
        <w:t> </w:t>
      </w:r>
      <w:r w:rsidRPr="00D60366">
        <w:rPr>
          <w:b/>
        </w:rPr>
        <w:t xml:space="preserve">являющихся государствами (Документ </w:t>
      </w:r>
      <w:hyperlink r:id="rId22">
        <w:r w:rsidRPr="00D60366">
          <w:rPr>
            <w:rStyle w:val="Hyperlink"/>
            <w:b/>
          </w:rPr>
          <w:t>CWG-FHR 8/3</w:t>
        </w:r>
      </w:hyperlink>
      <w:r w:rsidRPr="00D60366">
        <w:rPr>
          <w:b/>
        </w:rPr>
        <w:t>)</w:t>
      </w:r>
    </w:p>
    <w:p w:rsidR="00067524" w:rsidRPr="00A225C7" w:rsidRDefault="00067524" w:rsidP="002141A2">
      <w:r>
        <w:t>1.41</w:t>
      </w:r>
      <w:r>
        <w:tab/>
      </w:r>
      <w:r w:rsidR="006D5093">
        <w:t>Этот д</w:t>
      </w:r>
      <w:r>
        <w:t>окумент представ</w:t>
      </w:r>
      <w:r w:rsidR="006D5093">
        <w:t>лен</w:t>
      </w:r>
      <w:r>
        <w:t xml:space="preserve"> делегат</w:t>
      </w:r>
      <w:r w:rsidR="006D5093">
        <w:t>ом</w:t>
      </w:r>
      <w:r>
        <w:t xml:space="preserve"> от Федеративной Республики Бразили</w:t>
      </w:r>
      <w:r w:rsidR="00960485">
        <w:t>я</w:t>
      </w:r>
      <w:r>
        <w:t>.</w:t>
      </w:r>
    </w:p>
    <w:p w:rsidR="00067524" w:rsidRPr="00A225C7" w:rsidRDefault="00067524" w:rsidP="00CE5A5D">
      <w:r>
        <w:t>1.42</w:t>
      </w:r>
      <w:r>
        <w:tab/>
        <w:t>По итогам консультаций с Членами Секторов</w:t>
      </w:r>
      <w:r w:rsidR="00623D5F">
        <w:t xml:space="preserve"> были</w:t>
      </w:r>
      <w:r>
        <w:t xml:space="preserve"> предл</w:t>
      </w:r>
      <w:r w:rsidR="00623D5F">
        <w:t>ожены</w:t>
      </w:r>
      <w:r>
        <w:t xml:space="preserve"> три основных принципа, позволяющи</w:t>
      </w:r>
      <w:r w:rsidR="00623D5F">
        <w:t>х</w:t>
      </w:r>
      <w:r>
        <w:t xml:space="preserve"> расширить участие в работе МСЭ членов, не являющихся государствами, и, как следствие, сохранить </w:t>
      </w:r>
      <w:r w:rsidR="00623D5F">
        <w:t>существующих</w:t>
      </w:r>
      <w:r>
        <w:t xml:space="preserve"> и привлечь новых. Эти принципы </w:t>
      </w:r>
      <w:r w:rsidR="00B6308A">
        <w:t xml:space="preserve">были </w:t>
      </w:r>
      <w:r>
        <w:t>представлены Совету</w:t>
      </w:r>
      <w:r w:rsidR="00960485">
        <w:t xml:space="preserve"> 20</w:t>
      </w:r>
      <w:r>
        <w:t>17</w:t>
      </w:r>
      <w:r w:rsidR="00960485">
        <w:t xml:space="preserve"> года</w:t>
      </w:r>
      <w:r>
        <w:t xml:space="preserve"> в Документе C17/97. По решению Совета</w:t>
      </w:r>
      <w:r w:rsidR="00960485">
        <w:t xml:space="preserve"> 20</w:t>
      </w:r>
      <w:r>
        <w:t>17</w:t>
      </w:r>
      <w:r w:rsidR="00960485">
        <w:t xml:space="preserve"> года</w:t>
      </w:r>
      <w:r>
        <w:t xml:space="preserve"> </w:t>
      </w:r>
      <w:r w:rsidR="00B52FB2">
        <w:t>д</w:t>
      </w:r>
      <w:r>
        <w:t>окумент был направлен восьмо</w:t>
      </w:r>
      <w:r w:rsidR="00B6308A">
        <w:t>му</w:t>
      </w:r>
      <w:r>
        <w:t xml:space="preserve"> </w:t>
      </w:r>
      <w:r w:rsidR="00B6308A">
        <w:t>собранию</w:t>
      </w:r>
      <w:r w:rsidR="00903899">
        <w:t xml:space="preserve"> РГС-</w:t>
      </w:r>
      <w:r>
        <w:t>Ф</w:t>
      </w:r>
      <w:r w:rsidR="00903899">
        <w:t>ЛР</w:t>
      </w:r>
      <w:r>
        <w:t xml:space="preserve"> для дальнейшего изучения.</w:t>
      </w:r>
    </w:p>
    <w:p w:rsidR="00067524" w:rsidRPr="00A225C7" w:rsidRDefault="00067524" w:rsidP="002141A2">
      <w:r>
        <w:t>1.43</w:t>
      </w:r>
      <w:r>
        <w:tab/>
      </w:r>
      <w:r w:rsidR="00E16B49">
        <w:t>Ниже приводятся предложенные</w:t>
      </w:r>
      <w:r>
        <w:t xml:space="preserve"> основны</w:t>
      </w:r>
      <w:r w:rsidR="00E16B49">
        <w:t>е</w:t>
      </w:r>
      <w:r>
        <w:t xml:space="preserve"> принцип</w:t>
      </w:r>
      <w:r w:rsidR="00E16B49">
        <w:t>ы</w:t>
      </w:r>
      <w:r>
        <w:t>:</w:t>
      </w:r>
    </w:p>
    <w:p w:rsidR="00067524" w:rsidRPr="00A225C7" w:rsidRDefault="002141A2" w:rsidP="00D60366">
      <w:pPr>
        <w:pStyle w:val="a"/>
      </w:pPr>
      <w:r>
        <w:t>•</w:t>
      </w:r>
      <w:r>
        <w:tab/>
        <w:t>повышение ценности членства в МСЭ;</w:t>
      </w:r>
    </w:p>
    <w:p w:rsidR="00067524" w:rsidRPr="00A225C7" w:rsidRDefault="002141A2" w:rsidP="00D60366">
      <w:pPr>
        <w:pStyle w:val="a"/>
      </w:pPr>
      <w:r>
        <w:t>•</w:t>
      </w:r>
      <w:r>
        <w:tab/>
        <w:t>активизация участия путем предотвращения дублирования работы;</w:t>
      </w:r>
    </w:p>
    <w:p w:rsidR="00067524" w:rsidRPr="00A225C7" w:rsidRDefault="002141A2" w:rsidP="00D60366">
      <w:pPr>
        <w:pStyle w:val="a"/>
      </w:pPr>
      <w:r>
        <w:t>•</w:t>
      </w:r>
      <w:r>
        <w:tab/>
        <w:t xml:space="preserve">проявление уважения к компетенции, специальным знаниям и вкладам </w:t>
      </w:r>
      <w:r w:rsidR="008E34E5">
        <w:t>тех</w:t>
      </w:r>
      <w:r>
        <w:t xml:space="preserve">, </w:t>
      </w:r>
      <w:r w:rsidR="008E34E5">
        <w:t xml:space="preserve">кто </w:t>
      </w:r>
      <w:r>
        <w:t xml:space="preserve">не </w:t>
      </w:r>
      <w:r w:rsidR="008E34E5">
        <w:t>является членом МСЭ</w:t>
      </w:r>
      <w:r>
        <w:t>.</w:t>
      </w:r>
    </w:p>
    <w:p w:rsidR="00067524" w:rsidRPr="00A225C7" w:rsidRDefault="00067524" w:rsidP="008C316D">
      <w:r>
        <w:t>1.44</w:t>
      </w:r>
      <w:r>
        <w:tab/>
        <w:t xml:space="preserve">Делегаты выразили поддержку перечисленным в </w:t>
      </w:r>
      <w:r w:rsidR="00960F32">
        <w:t xml:space="preserve">указанном </w:t>
      </w:r>
      <w:r>
        <w:t>документе</w:t>
      </w:r>
      <w:r w:rsidR="00960F32" w:rsidRPr="00960F32">
        <w:t xml:space="preserve"> </w:t>
      </w:r>
      <w:r w:rsidR="00960F32">
        <w:t>принципам</w:t>
      </w:r>
      <w:r>
        <w:t xml:space="preserve"> и высказали ряд комментариев и замечаний. В исследовательских комиссиях следует обеспечить равное отношение к Членам Секторов и Государствам-Членам. Следует избегать дублирования работы в исследовательских комиссиях, </w:t>
      </w:r>
      <w:r w:rsidR="00960F32">
        <w:t>поскольку</w:t>
      </w:r>
      <w:r>
        <w:t xml:space="preserve"> это </w:t>
      </w:r>
      <w:r w:rsidR="00960F32">
        <w:t>имеет финансовые последствия</w:t>
      </w:r>
      <w:r>
        <w:t>. Предложения о создании региональных исследовательских комиссий следует подавать в консультативные группы, т</w:t>
      </w:r>
      <w:r w:rsidR="00960485">
        <w:t>о</w:t>
      </w:r>
      <w:r>
        <w:t> е</w:t>
      </w:r>
      <w:r w:rsidR="00960485">
        <w:t>сть</w:t>
      </w:r>
      <w:r>
        <w:t xml:space="preserve"> КГСЭ, КГРЭ и КГР.</w:t>
      </w:r>
    </w:p>
    <w:p w:rsidR="00067524" w:rsidRPr="00A225C7" w:rsidRDefault="00067524" w:rsidP="008C316D">
      <w:r>
        <w:t>1.45</w:t>
      </w:r>
      <w:r>
        <w:tab/>
        <w:t>Председатель напомнил делегатам, что в связи со спецификой каждого региона может требоваться дифференцированный подход.</w:t>
      </w:r>
    </w:p>
    <w:p w:rsidR="00067524" w:rsidRPr="00A225C7" w:rsidRDefault="0019520B" w:rsidP="008C316D">
      <w:pPr>
        <w:rPr>
          <w:rFonts w:cs="Calibri"/>
          <w:b/>
          <w:bCs/>
        </w:rPr>
      </w:pPr>
      <w:r>
        <w:rPr>
          <w:b/>
          <w:color w:val="0000FF"/>
        </w:rPr>
        <w:t>Рекомендация</w:t>
      </w:r>
      <w:r>
        <w:t xml:space="preserve">: Восьмое </w:t>
      </w:r>
      <w:r w:rsidR="00E25997">
        <w:t>собрание</w:t>
      </w:r>
      <w:r>
        <w:t xml:space="preserve"> РГС-Ф</w:t>
      </w:r>
      <w:r w:rsidR="00903899">
        <w:t>ЛР</w:t>
      </w:r>
      <w:r>
        <w:t xml:space="preserve"> поддерживает принципы, изложенные в Документе CWG-FHR 8/3 и </w:t>
      </w:r>
      <w:hyperlink r:id="rId23">
        <w:r>
          <w:rPr>
            <w:rStyle w:val="Hyperlink"/>
          </w:rPr>
          <w:t>Документе C17/97</w:t>
        </w:r>
      </w:hyperlink>
      <w:r>
        <w:t>.</w:t>
      </w:r>
    </w:p>
    <w:p w:rsidR="00067524" w:rsidRPr="00CC6D25" w:rsidRDefault="00067524" w:rsidP="00CC6D25">
      <w:pPr>
        <w:pStyle w:val="Heading1"/>
        <w:ind w:left="1191" w:hanging="1191"/>
        <w:rPr>
          <w:sz w:val="22"/>
          <w:szCs w:val="22"/>
        </w:rPr>
      </w:pPr>
      <w:r w:rsidRPr="00CC6D25">
        <w:rPr>
          <w:sz w:val="22"/>
          <w:szCs w:val="22"/>
        </w:rPr>
        <w:t>2</w:t>
      </w:r>
      <w:r w:rsidRPr="00CC6D25">
        <w:rPr>
          <w:sz w:val="22"/>
          <w:szCs w:val="22"/>
        </w:rPr>
        <w:tab/>
      </w:r>
      <w:r w:rsidR="00CC6D25" w:rsidRPr="00CC6D25">
        <w:rPr>
          <w:sz w:val="22"/>
          <w:szCs w:val="22"/>
        </w:rPr>
        <w:t>−</w:t>
      </w:r>
      <w:r w:rsidR="00CC6D25" w:rsidRPr="00CC6D25">
        <w:rPr>
          <w:sz w:val="22"/>
          <w:szCs w:val="22"/>
        </w:rPr>
        <w:tab/>
      </w:r>
      <w:r w:rsidRPr="00CC6D25">
        <w:rPr>
          <w:sz w:val="22"/>
          <w:szCs w:val="22"/>
        </w:rPr>
        <w:t xml:space="preserve">Отчет Независимого консультативного комитета по управлению (IMAC) </w:t>
      </w:r>
      <w:r w:rsidR="00892709" w:rsidRPr="00CC6D25">
        <w:rPr>
          <w:sz w:val="22"/>
          <w:szCs w:val="22"/>
        </w:rPr>
        <w:t xml:space="preserve">и последующие меры в связи с его рекомендациями </w:t>
      </w:r>
      <w:r w:rsidRPr="00CC6D25">
        <w:rPr>
          <w:sz w:val="22"/>
          <w:szCs w:val="22"/>
        </w:rPr>
        <w:t xml:space="preserve">(Документы </w:t>
      </w:r>
      <w:hyperlink r:id="rId24">
        <w:r w:rsidRPr="00CC6D25">
          <w:rPr>
            <w:rStyle w:val="Hyperlink"/>
            <w:sz w:val="22"/>
            <w:szCs w:val="22"/>
          </w:rPr>
          <w:t>CWG</w:t>
        </w:r>
        <w:r w:rsidR="00892709" w:rsidRPr="00CC6D25">
          <w:rPr>
            <w:rStyle w:val="Hyperlink"/>
            <w:sz w:val="22"/>
            <w:szCs w:val="22"/>
          </w:rPr>
          <w:noBreakHyphen/>
        </w:r>
        <w:r w:rsidRPr="00CC6D25">
          <w:rPr>
            <w:rStyle w:val="Hyperlink"/>
            <w:sz w:val="22"/>
            <w:szCs w:val="22"/>
          </w:rPr>
          <w:t>FHR</w:t>
        </w:r>
        <w:r w:rsidR="00892709" w:rsidRPr="00CC6D25">
          <w:rPr>
            <w:rStyle w:val="Hyperlink"/>
            <w:sz w:val="22"/>
            <w:szCs w:val="22"/>
          </w:rPr>
          <w:t> </w:t>
        </w:r>
        <w:r w:rsidRPr="00CC6D25">
          <w:rPr>
            <w:rStyle w:val="Hyperlink"/>
            <w:sz w:val="22"/>
            <w:szCs w:val="22"/>
          </w:rPr>
          <w:t>8/12</w:t>
        </w:r>
      </w:hyperlink>
      <w:r w:rsidRPr="00CC6D25">
        <w:rPr>
          <w:sz w:val="22"/>
          <w:szCs w:val="22"/>
        </w:rPr>
        <w:t xml:space="preserve"> </w:t>
      </w:r>
      <w:r w:rsidR="00960485">
        <w:rPr>
          <w:sz w:val="22"/>
          <w:szCs w:val="22"/>
        </w:rPr>
        <w:br/>
      </w:r>
      <w:r w:rsidRPr="00CC6D25">
        <w:rPr>
          <w:sz w:val="22"/>
          <w:szCs w:val="22"/>
        </w:rPr>
        <w:t xml:space="preserve">и </w:t>
      </w:r>
      <w:hyperlink r:id="rId25">
        <w:r w:rsidRPr="00CC6D25">
          <w:rPr>
            <w:rStyle w:val="Hyperlink"/>
            <w:sz w:val="22"/>
            <w:szCs w:val="22"/>
          </w:rPr>
          <w:t>CWG-FHR 8/13</w:t>
        </w:r>
      </w:hyperlink>
      <w:r w:rsidRPr="00CC6D25">
        <w:rPr>
          <w:sz w:val="22"/>
          <w:szCs w:val="22"/>
        </w:rPr>
        <w:t>)</w:t>
      </w:r>
    </w:p>
    <w:p w:rsidR="00067524" w:rsidRPr="00A225C7" w:rsidRDefault="00067524" w:rsidP="002141A2">
      <w:r>
        <w:t>2.1</w:t>
      </w:r>
      <w:r>
        <w:tab/>
        <w:t xml:space="preserve">Председатель IMAC д-р Беате </w:t>
      </w:r>
      <w:proofErr w:type="spellStart"/>
      <w:r>
        <w:t>Деген</w:t>
      </w:r>
      <w:proofErr w:type="spellEnd"/>
      <w:r>
        <w:t xml:space="preserve"> </w:t>
      </w:r>
      <w:r w:rsidR="003A056D">
        <w:t>присоединилась к собранию, используя средства</w:t>
      </w:r>
      <w:r>
        <w:t xml:space="preserve"> дистанционного участия</w:t>
      </w:r>
      <w:r w:rsidR="003A056D">
        <w:t>, и</w:t>
      </w:r>
      <w:r>
        <w:t xml:space="preserve"> представила документы </w:t>
      </w:r>
      <w:hyperlink r:id="rId26">
        <w:r>
          <w:rPr>
            <w:rStyle w:val="Hyperlink"/>
          </w:rPr>
          <w:t>CWG-FHR 8/12</w:t>
        </w:r>
      </w:hyperlink>
      <w:r>
        <w:t xml:space="preserve"> и </w:t>
      </w:r>
      <w:hyperlink r:id="rId27">
        <w:r>
          <w:rPr>
            <w:rStyle w:val="Hyperlink"/>
          </w:rPr>
          <w:t>CWG-FHR 8/13</w:t>
        </w:r>
      </w:hyperlink>
      <w:r>
        <w:t> </w:t>
      </w:r>
      <w:r w:rsidR="003A056D">
        <w:t>–</w:t>
      </w:r>
      <w:r>
        <w:t xml:space="preserve"> Краткий отчет о</w:t>
      </w:r>
      <w:r w:rsidR="003A056D">
        <w:t> </w:t>
      </w:r>
      <w:r>
        <w:t>18-м собрании IMAC (Документ 8/12) и Обзор рекомендаций IMAC за 2012–2017 г</w:t>
      </w:r>
      <w:r w:rsidR="003A056D">
        <w:t>оды</w:t>
      </w:r>
      <w:r>
        <w:t xml:space="preserve"> (Документ 8/13).</w:t>
      </w:r>
    </w:p>
    <w:p w:rsidR="00067524" w:rsidRPr="00A225C7" w:rsidRDefault="00067524" w:rsidP="002141A2">
      <w:r>
        <w:t>2.2</w:t>
      </w:r>
      <w:r>
        <w:tab/>
        <w:t xml:space="preserve">Д-р </w:t>
      </w:r>
      <w:proofErr w:type="spellStart"/>
      <w:r>
        <w:t>Деген</w:t>
      </w:r>
      <w:proofErr w:type="spellEnd"/>
      <w:r>
        <w:t xml:space="preserve"> представила последний отчет IMAC и подробно изложила </w:t>
      </w:r>
      <w:r w:rsidR="003A056D">
        <w:t>рассмотренные</w:t>
      </w:r>
      <w:r>
        <w:t xml:space="preserve"> в нем темы, дав пояснения к замечаниям Комитета. </w:t>
      </w:r>
      <w:r w:rsidR="003A056D">
        <w:t>Среди рассмотренных</w:t>
      </w:r>
      <w:r>
        <w:t xml:space="preserve"> тем:</w:t>
      </w:r>
    </w:p>
    <w:p w:rsidR="00067524" w:rsidRPr="00A225C7" w:rsidRDefault="002141A2" w:rsidP="00CC6D25">
      <w:pPr>
        <w:pStyle w:val="enumlev1"/>
        <w:ind w:left="714" w:hanging="357"/>
      </w:pPr>
      <w:r>
        <w:t>−</w:t>
      </w:r>
      <w:r>
        <w:tab/>
        <w:t xml:space="preserve">обзор состояния </w:t>
      </w:r>
      <w:r w:rsidR="00917ED6">
        <w:t>выполнения р</w:t>
      </w:r>
      <w:r>
        <w:t>екомендаций IMAC (в более детальной форме содержащийся в соответствующем документе);</w:t>
      </w:r>
    </w:p>
    <w:p w:rsidR="00067524" w:rsidRPr="00A225C7" w:rsidRDefault="002141A2" w:rsidP="00CC6D25">
      <w:pPr>
        <w:pStyle w:val="enumlev1"/>
        <w:ind w:left="714" w:hanging="357"/>
      </w:pPr>
      <w:r>
        <w:t>−</w:t>
      </w:r>
      <w:r>
        <w:tab/>
        <w:t>управление финансами;</w:t>
      </w:r>
    </w:p>
    <w:p w:rsidR="00067524" w:rsidRPr="00A225C7" w:rsidRDefault="002141A2" w:rsidP="00CC6D25">
      <w:pPr>
        <w:pStyle w:val="enumlev1"/>
        <w:ind w:left="714" w:hanging="357"/>
      </w:pPr>
      <w:r>
        <w:t>−</w:t>
      </w:r>
      <w:r>
        <w:tab/>
      </w:r>
      <w:r w:rsidR="00B52FB2">
        <w:t>У</w:t>
      </w:r>
      <w:r>
        <w:t>правление по вопросам этики;</w:t>
      </w:r>
    </w:p>
    <w:p w:rsidR="00067524" w:rsidRPr="00A225C7" w:rsidRDefault="002141A2" w:rsidP="00CC6D25">
      <w:pPr>
        <w:pStyle w:val="enumlev1"/>
        <w:ind w:left="714" w:hanging="357"/>
      </w:pPr>
      <w:r>
        <w:t>−</w:t>
      </w:r>
      <w:r>
        <w:tab/>
        <w:t>обеспечение соответствия и управление рисками мошенничества;</w:t>
      </w:r>
    </w:p>
    <w:p w:rsidR="00067524" w:rsidRPr="00A225C7" w:rsidRDefault="002141A2" w:rsidP="00CC6D25">
      <w:pPr>
        <w:pStyle w:val="enumlev1"/>
        <w:ind w:left="714" w:hanging="357"/>
      </w:pPr>
      <w:r>
        <w:t>−</w:t>
      </w:r>
      <w:r>
        <w:tab/>
        <w:t>функция внутреннего аудита;</w:t>
      </w:r>
    </w:p>
    <w:p w:rsidR="00067524" w:rsidRPr="00A225C7" w:rsidRDefault="002141A2" w:rsidP="00CC6D25">
      <w:pPr>
        <w:pStyle w:val="enumlev1"/>
        <w:ind w:left="714" w:hanging="357"/>
      </w:pPr>
      <w:r>
        <w:t>−</w:t>
      </w:r>
      <w:r>
        <w:tab/>
        <w:t>внешний аудит;</w:t>
      </w:r>
    </w:p>
    <w:p w:rsidR="00067524" w:rsidRPr="00A225C7" w:rsidRDefault="002141A2" w:rsidP="00CC6D25">
      <w:pPr>
        <w:pStyle w:val="enumlev1"/>
        <w:pageBreakBefore/>
        <w:ind w:left="714" w:hanging="357"/>
      </w:pPr>
      <w:r>
        <w:lastRenderedPageBreak/>
        <w:t>−</w:t>
      </w:r>
      <w:r>
        <w:tab/>
        <w:t>проект строительства здания штаб-квартиры МСЭ;</w:t>
      </w:r>
    </w:p>
    <w:p w:rsidR="00067524" w:rsidRPr="00A225C7" w:rsidRDefault="002141A2" w:rsidP="00CC6D25">
      <w:pPr>
        <w:pStyle w:val="enumlev1"/>
        <w:ind w:left="714" w:hanging="357"/>
      </w:pPr>
      <w:r>
        <w:t>−</w:t>
      </w:r>
      <w:r>
        <w:tab/>
        <w:t>управление рисками.</w:t>
      </w:r>
    </w:p>
    <w:p w:rsidR="00067524" w:rsidRPr="00A225C7" w:rsidRDefault="00067524" w:rsidP="008C316D">
      <w:r>
        <w:t>2.3</w:t>
      </w:r>
      <w:r>
        <w:tab/>
        <w:t xml:space="preserve">Председатель IMAC упомянула также о достойной сожаления ситуации с отставкой члена IMAC от Канады г-жи Алины </w:t>
      </w:r>
      <w:proofErr w:type="spellStart"/>
      <w:r>
        <w:t>Вьенно</w:t>
      </w:r>
      <w:proofErr w:type="spellEnd"/>
      <w:r>
        <w:t xml:space="preserve"> и о поиске кандидатуры ей на замену, который </w:t>
      </w:r>
      <w:r w:rsidR="00097176">
        <w:t xml:space="preserve">сейчас </w:t>
      </w:r>
      <w:r>
        <w:t xml:space="preserve">ведет Отборочная комиссия IMAC. Председатель выразила надежду, что новый член IMAC будет избран к </w:t>
      </w:r>
      <w:r w:rsidR="00097176">
        <w:t>предстоящему</w:t>
      </w:r>
      <w:r>
        <w:t xml:space="preserve"> собранию Комитета, намеченному на март.</w:t>
      </w:r>
    </w:p>
    <w:p w:rsidR="00067524" w:rsidRPr="00A225C7" w:rsidRDefault="00067524" w:rsidP="008C316D">
      <w:r>
        <w:t>2.4</w:t>
      </w:r>
      <w:r>
        <w:tab/>
        <w:t xml:space="preserve">Представляя документ с обзором </w:t>
      </w:r>
      <w:r w:rsidR="008F2D86">
        <w:t>р</w:t>
      </w:r>
      <w:r>
        <w:t xml:space="preserve">екомендаций IMAC, д-р </w:t>
      </w:r>
      <w:proofErr w:type="spellStart"/>
      <w:r>
        <w:t>Деген</w:t>
      </w:r>
      <w:proofErr w:type="spellEnd"/>
      <w:r>
        <w:t xml:space="preserve"> отметила </w:t>
      </w:r>
      <w:r w:rsidR="008F2D86">
        <w:t>очень хороший, по ее мнению,</w:t>
      </w:r>
      <w:r>
        <w:t xml:space="preserve"> общий </w:t>
      </w:r>
      <w:r w:rsidR="008F2D86">
        <w:t>показатель</w:t>
      </w:r>
      <w:r>
        <w:t xml:space="preserve"> их </w:t>
      </w:r>
      <w:r w:rsidR="008F2D86">
        <w:t>выполнения на уровне</w:t>
      </w:r>
      <w:r>
        <w:t xml:space="preserve"> 84%, выразив признательность руководству за деятельный отклик на рекомендации. Подробные сведения </w:t>
      </w:r>
      <w:r w:rsidR="008F2D86">
        <w:t>о выполнении</w:t>
      </w:r>
      <w:r>
        <w:t xml:space="preserve"> рекомендаций содержатся в обсуждаемом документе.</w:t>
      </w:r>
    </w:p>
    <w:p w:rsidR="00067524" w:rsidRPr="00A225C7" w:rsidRDefault="00067524" w:rsidP="007C62B7">
      <w:r>
        <w:t>2.5</w:t>
      </w:r>
      <w:r>
        <w:tab/>
        <w:t xml:space="preserve">Несколько делегатов поблагодарили Председателя IMAC за ее </w:t>
      </w:r>
      <w:r w:rsidR="00EC3C65">
        <w:t>выступление</w:t>
      </w:r>
      <w:r>
        <w:t xml:space="preserve"> и дали высокую оценку работе Комитета и его взаимодействию с </w:t>
      </w:r>
      <w:r w:rsidR="00EC3C65">
        <w:t>Г</w:t>
      </w:r>
      <w:r>
        <w:t xml:space="preserve">руппой. Были подняты вопросы о том, имел ли Комитет возможность рассмотреть результаты SWOT-анализа (анализа сильных и слабых сторон, возможностей и угроз), представленные в </w:t>
      </w:r>
      <w:r w:rsidR="00EC3C65">
        <w:t>рамках</w:t>
      </w:r>
      <w:r>
        <w:t xml:space="preserve"> разработки проекта Стратегического плана МСЭ на 2020−2023 г</w:t>
      </w:r>
      <w:r w:rsidR="00EC3C65">
        <w:t>оды</w:t>
      </w:r>
      <w:r>
        <w:t xml:space="preserve">, а также о финансовых последствиях </w:t>
      </w:r>
      <w:r w:rsidR="00EC3C65">
        <w:t>выполнения</w:t>
      </w:r>
      <w:r>
        <w:t xml:space="preserve"> рекомендаций.</w:t>
      </w:r>
    </w:p>
    <w:p w:rsidR="00067524" w:rsidRPr="00A225C7" w:rsidRDefault="00067524" w:rsidP="007C62B7">
      <w:r>
        <w:t>2.6</w:t>
      </w:r>
      <w:r>
        <w:tab/>
        <w:t xml:space="preserve">Председатель IMAC поблагодарила делегатов за справедливые вопросы и уведомила </w:t>
      </w:r>
      <w:r w:rsidR="00CD7AE0">
        <w:t>Г</w:t>
      </w:r>
      <w:r>
        <w:t xml:space="preserve">руппу о том, что результаты SWOT-анализа уже представлены IMAC, </w:t>
      </w:r>
      <w:r w:rsidR="00CD7AE0">
        <w:t xml:space="preserve">что </w:t>
      </w:r>
      <w:r>
        <w:t>методика его проведения соответствовала передовой практике</w:t>
      </w:r>
      <w:r w:rsidR="00CD7AE0">
        <w:t xml:space="preserve"> и что</w:t>
      </w:r>
      <w:r>
        <w:t xml:space="preserve"> Комитет готов его повторно обсудить и рассмотреть.</w:t>
      </w:r>
    </w:p>
    <w:p w:rsidR="00067524" w:rsidRPr="00A225C7" w:rsidRDefault="00067524" w:rsidP="007C62B7">
      <w:r>
        <w:t>2.7</w:t>
      </w:r>
      <w:r>
        <w:tab/>
        <w:t xml:space="preserve">В отношении финансовых последствий </w:t>
      </w:r>
      <w:r w:rsidR="00983CAB">
        <w:t>выполнения</w:t>
      </w:r>
      <w:r>
        <w:t xml:space="preserve"> рекомендаций д-р </w:t>
      </w:r>
      <w:proofErr w:type="spellStart"/>
      <w:r>
        <w:t>Деген</w:t>
      </w:r>
      <w:proofErr w:type="spellEnd"/>
      <w:r>
        <w:t xml:space="preserve"> отметила, что они, как правило, с большим трудом поддаются измерению, и даже если руководство сможет оценить затраты на </w:t>
      </w:r>
      <w:r w:rsidR="00983CAB">
        <w:t>их выполнение</w:t>
      </w:r>
      <w:r>
        <w:t xml:space="preserve">, то затраты, связанные с отсутствием реагирования на ту или иную проблему, измерить очень трудно. Г-жа </w:t>
      </w:r>
      <w:proofErr w:type="spellStart"/>
      <w:r>
        <w:t>Деген</w:t>
      </w:r>
      <w:proofErr w:type="spellEnd"/>
      <w:r>
        <w:t xml:space="preserve"> указала, что рекомендации IMAC в любом случае имеют четкую мотивацию, которую не должны затмевать финансовые соображения.</w:t>
      </w:r>
    </w:p>
    <w:p w:rsidR="00067524" w:rsidRPr="00A225C7" w:rsidRDefault="00067524" w:rsidP="007C62B7">
      <w:r>
        <w:t>2.8</w:t>
      </w:r>
      <w:r>
        <w:tab/>
        <w:t xml:space="preserve">Председатель IMAC подчеркнула также необходимость выработки в МСЭ соответствующих правил и процедур в рамках подхода, основанного на соответствии целевому назначению организации. Кроме того, г-жа </w:t>
      </w:r>
      <w:proofErr w:type="spellStart"/>
      <w:r>
        <w:t>Деген</w:t>
      </w:r>
      <w:proofErr w:type="spellEnd"/>
      <w:r>
        <w:t xml:space="preserve"> </w:t>
      </w:r>
      <w:r w:rsidR="00983CAB">
        <w:t>привлекла</w:t>
      </w:r>
      <w:r>
        <w:t xml:space="preserve"> внимание </w:t>
      </w:r>
      <w:r w:rsidR="00983CAB">
        <w:t>Г</w:t>
      </w:r>
      <w:r>
        <w:t xml:space="preserve">руппы </w:t>
      </w:r>
      <w:r w:rsidR="00983CAB">
        <w:t>к</w:t>
      </w:r>
      <w:r>
        <w:t xml:space="preserve"> выявленны</w:t>
      </w:r>
      <w:r w:rsidR="00983CAB">
        <w:t>м</w:t>
      </w:r>
      <w:r>
        <w:t xml:space="preserve"> Внешним аудитором и подчеркнуты</w:t>
      </w:r>
      <w:r w:rsidR="00983CAB">
        <w:t>м</w:t>
      </w:r>
      <w:r>
        <w:t xml:space="preserve"> Комитетом риск</w:t>
      </w:r>
      <w:r w:rsidR="00983CAB">
        <w:t>ам</w:t>
      </w:r>
      <w:r>
        <w:t>, связанны</w:t>
      </w:r>
      <w:r w:rsidR="00983CAB">
        <w:t>м</w:t>
      </w:r>
      <w:r>
        <w:t xml:space="preserve"> с заменой выходящих на пенсию сотрудников без учета перспективных потребностей организации.</w:t>
      </w:r>
    </w:p>
    <w:p w:rsidR="00067524" w:rsidRPr="00CC6D25" w:rsidRDefault="008C316D" w:rsidP="00CC6D25">
      <w:pPr>
        <w:pStyle w:val="ListParagraph"/>
        <w:spacing w:before="240" w:after="240"/>
        <w:ind w:left="1191" w:hanging="471"/>
        <w:rPr>
          <w:b/>
        </w:rPr>
      </w:pPr>
      <w:r w:rsidRPr="00CC6D25">
        <w:rPr>
          <w:b/>
        </w:rPr>
        <w:t>−</w:t>
      </w:r>
      <w:r w:rsidRPr="00CC6D25">
        <w:rPr>
          <w:b/>
        </w:rPr>
        <w:tab/>
        <w:t>Отчет Внешнего аудитора и последующие меры по рекомендациям Внешнего аудитора</w:t>
      </w:r>
      <w:r w:rsidR="00CC6D25">
        <w:rPr>
          <w:b/>
        </w:rPr>
        <w:t xml:space="preserve"> </w:t>
      </w:r>
      <w:r w:rsidRPr="00CC6D25">
        <w:rPr>
          <w:b/>
        </w:rPr>
        <w:t xml:space="preserve">(Документ </w:t>
      </w:r>
      <w:hyperlink r:id="rId28">
        <w:r w:rsidRPr="00CC6D25">
          <w:rPr>
            <w:rStyle w:val="Hyperlink"/>
            <w:b/>
          </w:rPr>
          <w:t>CWG-FHR 8/7</w:t>
        </w:r>
      </w:hyperlink>
      <w:r w:rsidRPr="00CC6D25">
        <w:rPr>
          <w:b/>
        </w:rPr>
        <w:t>)</w:t>
      </w:r>
    </w:p>
    <w:p w:rsidR="00067524" w:rsidRPr="00A225C7" w:rsidRDefault="00067524" w:rsidP="00A225C7">
      <w:r>
        <w:t>2.9</w:t>
      </w:r>
      <w:r>
        <w:tab/>
        <w:t>Секретариат представил документ, в котором содержатся рекомендации Внешнего аудитора (</w:t>
      </w:r>
      <w:proofErr w:type="spellStart"/>
      <w:r>
        <w:t>Corte</w:t>
      </w:r>
      <w:proofErr w:type="spellEnd"/>
      <w:r>
        <w:t xml:space="preserve"> </w:t>
      </w:r>
      <w:proofErr w:type="spellStart"/>
      <w:r>
        <w:t>dei</w:t>
      </w:r>
      <w:proofErr w:type="spellEnd"/>
      <w:r>
        <w:t xml:space="preserve"> </w:t>
      </w:r>
      <w:proofErr w:type="spellStart"/>
      <w:r>
        <w:t>Conti</w:t>
      </w:r>
      <w:proofErr w:type="spellEnd"/>
      <w:r>
        <w:t xml:space="preserve">), комментарии Генерального секретаря и статус выполнения следующих рекомендаций </w:t>
      </w:r>
      <w:r w:rsidR="00983CAB">
        <w:t xml:space="preserve">(согласно сообщенным руководством МСЭ обновленным данным) </w:t>
      </w:r>
      <w:r>
        <w:t>по состоянию на 31</w:t>
      </w:r>
      <w:r w:rsidR="00983CAB">
        <w:t> </w:t>
      </w:r>
      <w:r>
        <w:t>декабря 2017 года:</w:t>
      </w:r>
    </w:p>
    <w:p w:rsidR="00067524" w:rsidRPr="00A225C7" w:rsidRDefault="00B01326" w:rsidP="00CC6D25">
      <w:pPr>
        <w:pStyle w:val="a"/>
      </w:pPr>
      <w:r>
        <w:t>•</w:t>
      </w:r>
      <w:r>
        <w:tab/>
        <w:t>рекомендаций, содержащихся в отчете Внешнего аудитора по аудиторской проверке финансовой отчетности МСЭ за 2016 год;</w:t>
      </w:r>
    </w:p>
    <w:p w:rsidR="00067524" w:rsidRPr="00A225C7" w:rsidRDefault="00B01326" w:rsidP="00CC6D25">
      <w:pPr>
        <w:pStyle w:val="a"/>
      </w:pPr>
      <w:r>
        <w:t>•</w:t>
      </w:r>
      <w:r>
        <w:tab/>
        <w:t>рекомендаций, содержащихся в отчете Внешнего аудитора по аудиторской проверке счетов Союза, относящихся к Всемирному мероприятию ITU Telecom-2016.</w:t>
      </w:r>
    </w:p>
    <w:p w:rsidR="00067524" w:rsidRPr="00A225C7" w:rsidRDefault="00067524" w:rsidP="00CC6D25">
      <w:pPr>
        <w:pageBreakBefore/>
      </w:pPr>
      <w:r>
        <w:lastRenderedPageBreak/>
        <w:t>2.10</w:t>
      </w:r>
      <w:r>
        <w:tab/>
        <w:t>После собрания РГС-ФЛР, состоявшегося в феврале 2016 года, все рекомендации были рассмотрены Внешним аудитором в ходе аудиторской проверки счетов 2016 года.</w:t>
      </w:r>
    </w:p>
    <w:p w:rsidR="00067524" w:rsidRPr="00A225C7" w:rsidRDefault="00067524" w:rsidP="00A92E49">
      <w:r>
        <w:t>2.11</w:t>
      </w:r>
      <w:r>
        <w:tab/>
        <w:t xml:space="preserve">На основании Отчета о финансовой деятельности МСЭ </w:t>
      </w:r>
      <w:r w:rsidR="00CC12BC">
        <w:t xml:space="preserve">Внешний аудитор вынес </w:t>
      </w:r>
      <w:r>
        <w:t>по счетам 2016</w:t>
      </w:r>
      <w:r w:rsidR="00CC12BC">
        <w:t> </w:t>
      </w:r>
      <w:r>
        <w:t xml:space="preserve">года двенадцать (12) рекомендаций. </w:t>
      </w:r>
      <w:r w:rsidR="00CC12BC">
        <w:t xml:space="preserve">Кроме того, </w:t>
      </w:r>
      <w:r>
        <w:t>Секретариат</w:t>
      </w:r>
      <w:r w:rsidR="00CC12BC">
        <w:t>ом</w:t>
      </w:r>
      <w:r>
        <w:t xml:space="preserve"> </w:t>
      </w:r>
      <w:r w:rsidR="00CC12BC">
        <w:t>была представлена</w:t>
      </w:r>
      <w:r>
        <w:t xml:space="preserve"> обновленн</w:t>
      </w:r>
      <w:r w:rsidR="00CC12BC">
        <w:t>ая</w:t>
      </w:r>
      <w:r>
        <w:t xml:space="preserve"> информаци</w:t>
      </w:r>
      <w:r w:rsidR="00CC12BC">
        <w:t>я</w:t>
      </w:r>
      <w:r>
        <w:t xml:space="preserve"> по невыполненным рекомендациям за 2015 год (4 рекомендации), 2014</w:t>
      </w:r>
      <w:r w:rsidR="00CC12BC">
        <w:t> </w:t>
      </w:r>
      <w:r>
        <w:t xml:space="preserve">год (2 рекомендации) и 2012 год (3 рекомендации). Одна (1) рекомендация была вынесена в связи с Всемирным мероприятием ITU Telecom-2016, </w:t>
      </w:r>
      <w:r w:rsidR="00CC12BC">
        <w:t xml:space="preserve">и </w:t>
      </w:r>
      <w:r>
        <w:t xml:space="preserve">информация о статусе </w:t>
      </w:r>
      <w:r w:rsidR="00CC12BC">
        <w:t>ее выполнения</w:t>
      </w:r>
      <w:r>
        <w:t xml:space="preserve"> была предоставлена по состоянию на 31 декабря 2017 года.</w:t>
      </w:r>
    </w:p>
    <w:p w:rsidR="00067524" w:rsidRPr="00A225C7" w:rsidRDefault="00067524" w:rsidP="00A225C7">
      <w:r>
        <w:t>2.12</w:t>
      </w:r>
      <w:r>
        <w:tab/>
        <w:t>Все невыполненные рекомендации будут далее рассмотрены и обсуждены с Внешним аудитором в ходе аудиторской проверки счетов 2017 года. Обновленная информация о статусе этих рекомен</w:t>
      </w:r>
      <w:r w:rsidR="00960485">
        <w:t>даций будет представлена Совету 20</w:t>
      </w:r>
      <w:r>
        <w:t>18</w:t>
      </w:r>
      <w:r w:rsidR="00960485">
        <w:t xml:space="preserve"> года</w:t>
      </w:r>
      <w:r>
        <w:t xml:space="preserve"> в отчете Внешнего аудитора.</w:t>
      </w:r>
    </w:p>
    <w:p w:rsidR="00067524" w:rsidRPr="00A225C7" w:rsidRDefault="0019520B" w:rsidP="00A225C7">
      <w:r>
        <w:rPr>
          <w:b/>
          <w:color w:val="0000FF"/>
        </w:rPr>
        <w:t>Рекомендация</w:t>
      </w:r>
      <w:r>
        <w:rPr>
          <w:color w:val="0000FF"/>
        </w:rPr>
        <w:t>:</w:t>
      </w:r>
      <w:r>
        <w:t xml:space="preserve"> Совету предлагается принять к сведению положение дел с выполнением последующих мер в связи с рекомендациями Внешнего аудитора по состоянию на 31 декабря 2017 года.</w:t>
      </w:r>
    </w:p>
    <w:p w:rsidR="00067524" w:rsidRPr="00CC6D25" w:rsidRDefault="00B01326" w:rsidP="00CC6D25">
      <w:pPr>
        <w:pStyle w:val="ListParagraph"/>
        <w:spacing w:before="240" w:after="240"/>
        <w:ind w:left="1191" w:hanging="471"/>
        <w:rPr>
          <w:rFonts w:cs="Calibri"/>
          <w:b/>
        </w:rPr>
      </w:pPr>
      <w:r w:rsidRPr="00CC6D25">
        <w:rPr>
          <w:b/>
        </w:rPr>
        <w:t>−</w:t>
      </w:r>
      <w:r w:rsidRPr="00CC6D25">
        <w:rPr>
          <w:b/>
        </w:rPr>
        <w:tab/>
      </w:r>
      <w:r w:rsidR="006F52D4" w:rsidRPr="00CC6D25">
        <w:rPr>
          <w:b/>
        </w:rPr>
        <w:t>Состояние</w:t>
      </w:r>
      <w:r w:rsidRPr="00CC6D25">
        <w:rPr>
          <w:b/>
        </w:rPr>
        <w:t xml:space="preserve"> и план выполнения рекомендаций ОИГ по итогам "обзора управления </w:t>
      </w:r>
      <w:r w:rsidR="00960485">
        <w:rPr>
          <w:b/>
        </w:rPr>
        <w:br/>
      </w:r>
      <w:r w:rsidRPr="00CC6D25">
        <w:rPr>
          <w:b/>
        </w:rPr>
        <w:t xml:space="preserve">и администрирования в МСЭ" (Документ </w:t>
      </w:r>
      <w:hyperlink r:id="rId29">
        <w:r w:rsidRPr="00CC6D25">
          <w:rPr>
            <w:rStyle w:val="Hyperlink"/>
            <w:b/>
          </w:rPr>
          <w:t>CWG-FHR 8/14</w:t>
        </w:r>
      </w:hyperlink>
      <w:r w:rsidRPr="00CC6D25">
        <w:rPr>
          <w:b/>
        </w:rPr>
        <w:t>)</w:t>
      </w:r>
    </w:p>
    <w:p w:rsidR="00067524" w:rsidRPr="00A225C7" w:rsidRDefault="00067524" w:rsidP="0019520B">
      <w:r>
        <w:t>2.13</w:t>
      </w:r>
      <w:r>
        <w:tab/>
        <w:t xml:space="preserve">Заместитель Генерального секретаря представил документ с информацией </w:t>
      </w:r>
      <w:r w:rsidR="006F52D4">
        <w:t>о состоянии</w:t>
      </w:r>
      <w:r>
        <w:t xml:space="preserve"> выполнения рекомендаций ОИГ, содержащихся в </w:t>
      </w:r>
      <w:r w:rsidR="006F52D4">
        <w:t>О</w:t>
      </w:r>
      <w:r>
        <w:t>бзоре управления и администрирования в МСЭ. МСЭ приветствовал всесторонн</w:t>
      </w:r>
      <w:r w:rsidR="006F52D4">
        <w:t>ий</w:t>
      </w:r>
      <w:r>
        <w:t xml:space="preserve"> обзор (Документ C16/67) и принял одиннадцать (11) официальных и двадцать девять (29) неофициальных рекомендаций, адресованных Генеральному секретарю. Одна (1) официальная и шесть (6) неофициальных рекомендаций были адресованы руководящим органам МСЭ.</w:t>
      </w:r>
    </w:p>
    <w:p w:rsidR="00067524" w:rsidRPr="00A225C7" w:rsidRDefault="00067524" w:rsidP="0019520B">
      <w:r>
        <w:t>2.14</w:t>
      </w:r>
      <w:r>
        <w:tab/>
        <w:t xml:space="preserve">Из одиннадцати (11) официальных рекомендаций, адресованных Секретариату МСЭ, десять (10) были выполнены до проведения последнего Совета, а выполнение </w:t>
      </w:r>
      <w:r w:rsidR="00C22596">
        <w:t xml:space="preserve">еще </w:t>
      </w:r>
      <w:r>
        <w:t xml:space="preserve">одной (1) продолжается (эта рекомендация о создании справочника по людским ресурсам будет выполнена к сессии Совета 2018 года). Из тридцати пяти (35) неофициальных </w:t>
      </w:r>
      <w:r w:rsidR="00C22596">
        <w:t>р</w:t>
      </w:r>
      <w:r>
        <w:t xml:space="preserve">екомендаций выполнена двадцать одна (21), а двенадцать (12) </w:t>
      </w:r>
      <w:r w:rsidR="00C22596">
        <w:t>находятся в процессе выполнения</w:t>
      </w:r>
      <w:r>
        <w:t xml:space="preserve">. Из шести (6) рекомендаций, адресованных руководящим органам, две (2) выполняются в настоящее время, две (2) выполнены и еще две (2) </w:t>
      </w:r>
      <w:r w:rsidR="00411EAB">
        <w:t>должны быть</w:t>
      </w:r>
      <w:r>
        <w:t xml:space="preserve"> рассмотрен</w:t>
      </w:r>
      <w:r w:rsidR="00411EAB">
        <w:t>ы</w:t>
      </w:r>
      <w:r>
        <w:t xml:space="preserve"> на ПК-18.</w:t>
      </w:r>
    </w:p>
    <w:p w:rsidR="00067524" w:rsidRPr="00A225C7" w:rsidRDefault="00067524" w:rsidP="0019520B">
      <w:r>
        <w:t>2.15</w:t>
      </w:r>
      <w:r>
        <w:tab/>
      </w:r>
      <w:r w:rsidR="00C12DAB">
        <w:t>Этот</w:t>
      </w:r>
      <w:r>
        <w:t xml:space="preserve"> документ является обновлением </w:t>
      </w:r>
      <w:hyperlink r:id="rId30">
        <w:r>
          <w:rPr>
            <w:rStyle w:val="Hyperlink"/>
          </w:rPr>
          <w:t>Документа C17/49</w:t>
        </w:r>
      </w:hyperlink>
      <w:r>
        <w:t>, представленного Совету 2017 года. Он будет далее доработан и представлен на сессии Совета 2018 года. В Приложении приведена подробная информация о выполнении каждой официальной и неофициальной рекомендации.</w:t>
      </w:r>
    </w:p>
    <w:p w:rsidR="00067524" w:rsidRPr="00CC6D25" w:rsidRDefault="00067524" w:rsidP="00B01326">
      <w:pPr>
        <w:pStyle w:val="Heading1"/>
        <w:rPr>
          <w:sz w:val="22"/>
          <w:szCs w:val="22"/>
        </w:rPr>
      </w:pPr>
      <w:r w:rsidRPr="00CC6D25">
        <w:rPr>
          <w:sz w:val="22"/>
          <w:szCs w:val="22"/>
        </w:rPr>
        <w:t>3</w:t>
      </w:r>
      <w:r w:rsidRPr="00CC6D25">
        <w:rPr>
          <w:sz w:val="22"/>
          <w:szCs w:val="22"/>
        </w:rPr>
        <w:tab/>
        <w:t>Рассмотрение вопроса о разработке проекта Финансового плана и изменений к Решению 5 (Доходы и расходы Союза на период 2020−2023 г</w:t>
      </w:r>
      <w:r w:rsidR="0017792D" w:rsidRPr="00CC6D25">
        <w:rPr>
          <w:sz w:val="22"/>
          <w:szCs w:val="22"/>
        </w:rPr>
        <w:t>одов</w:t>
      </w:r>
      <w:r w:rsidRPr="00CC6D25">
        <w:rPr>
          <w:sz w:val="22"/>
          <w:szCs w:val="22"/>
        </w:rPr>
        <w:t>)</w:t>
      </w:r>
      <w:r w:rsidR="00CC6D25">
        <w:rPr>
          <w:sz w:val="22"/>
          <w:szCs w:val="22"/>
        </w:rPr>
        <w:t xml:space="preserve"> </w:t>
      </w:r>
      <w:r w:rsidRPr="00CC6D25">
        <w:rPr>
          <w:sz w:val="22"/>
          <w:szCs w:val="22"/>
        </w:rPr>
        <w:t xml:space="preserve">(Документ </w:t>
      </w:r>
      <w:hyperlink r:id="rId31">
        <w:r w:rsidRPr="00CC6D25">
          <w:rPr>
            <w:rStyle w:val="Hyperlink"/>
            <w:sz w:val="22"/>
            <w:szCs w:val="22"/>
          </w:rPr>
          <w:t>CWG-FHR 8/10</w:t>
        </w:r>
      </w:hyperlink>
      <w:r w:rsidRPr="00CC6D25">
        <w:rPr>
          <w:sz w:val="22"/>
          <w:szCs w:val="22"/>
        </w:rPr>
        <w:t>)</w:t>
      </w:r>
    </w:p>
    <w:p w:rsidR="00067524" w:rsidRPr="00A225C7" w:rsidRDefault="00067524" w:rsidP="0019520B">
      <w:r>
        <w:t>3.1</w:t>
      </w:r>
      <w:r>
        <w:tab/>
        <w:t>Секретариат представил проект Финансового плана на 2020–2023 г</w:t>
      </w:r>
      <w:r w:rsidR="0017792D">
        <w:t>оды</w:t>
      </w:r>
      <w:r>
        <w:t xml:space="preserve"> с предварительным проектом Решения 5, оформленным в виде приложения</w:t>
      </w:r>
      <w:r w:rsidR="0017792D">
        <w:t xml:space="preserve"> к документу</w:t>
      </w:r>
      <w:r>
        <w:t>.</w:t>
      </w:r>
    </w:p>
    <w:p w:rsidR="00067524" w:rsidRPr="00A225C7" w:rsidRDefault="00A225C7" w:rsidP="0019520B">
      <w:r>
        <w:t>3.2</w:t>
      </w:r>
      <w:r>
        <w:tab/>
        <w:t>Финансовый план на 2020–2023 г</w:t>
      </w:r>
      <w:r w:rsidR="0017792D">
        <w:t>оды</w:t>
      </w:r>
      <w:r>
        <w:t xml:space="preserve"> закладывает основу для подготовки бюджетов на 2020–2021 и 2022–2023 г</w:t>
      </w:r>
      <w:r w:rsidR="0017792D">
        <w:t>оды</w:t>
      </w:r>
      <w:r>
        <w:t>.</w:t>
      </w:r>
    </w:p>
    <w:p w:rsidR="00067524" w:rsidRPr="00A225C7" w:rsidRDefault="00067524" w:rsidP="00A225C7">
      <w:r>
        <w:t>3.3</w:t>
      </w:r>
      <w:r>
        <w:tab/>
        <w:t>Проект Финансового плана на 2020–2023 г</w:t>
      </w:r>
      <w:r w:rsidR="0017792D">
        <w:t>оды</w:t>
      </w:r>
      <w:r>
        <w:t xml:space="preserve"> </w:t>
      </w:r>
      <w:r w:rsidR="0017792D">
        <w:t>разработан</w:t>
      </w:r>
      <w:r>
        <w:t xml:space="preserve"> исходя из следующих предположений:</w:t>
      </w:r>
    </w:p>
    <w:p w:rsidR="00CC6D25" w:rsidRDefault="00CC6D25">
      <w:pPr>
        <w:tabs>
          <w:tab w:val="clear" w:pos="794"/>
          <w:tab w:val="clear" w:pos="1191"/>
          <w:tab w:val="clear" w:pos="1588"/>
          <w:tab w:val="clear" w:pos="1985"/>
        </w:tabs>
        <w:overflowPunct/>
        <w:autoSpaceDE/>
        <w:autoSpaceDN/>
        <w:adjustRightInd/>
        <w:spacing w:before="0"/>
        <w:textAlignment w:val="auto"/>
      </w:pPr>
      <w:r>
        <w:br w:type="page"/>
      </w:r>
    </w:p>
    <w:p w:rsidR="00067524" w:rsidRPr="00A225C7" w:rsidRDefault="00960485" w:rsidP="00CC6D25">
      <w:pPr>
        <w:pStyle w:val="a"/>
      </w:pPr>
      <w:r>
        <w:lastRenderedPageBreak/>
        <w:t>•</w:t>
      </w:r>
      <w:r>
        <w:tab/>
        <w:t>первоосновой для Ф</w:t>
      </w:r>
      <w:r w:rsidR="0019520B">
        <w:t>инансового плана служит бюджет на 2018–2019 г</w:t>
      </w:r>
      <w:r w:rsidR="0017792D">
        <w:t>оды</w:t>
      </w:r>
      <w:r w:rsidR="0019520B">
        <w:t>;</w:t>
      </w:r>
    </w:p>
    <w:p w:rsidR="00067524" w:rsidRPr="00A225C7" w:rsidRDefault="0019520B" w:rsidP="00CC6D25">
      <w:pPr>
        <w:pStyle w:val="a"/>
      </w:pPr>
      <w:r>
        <w:t>•</w:t>
      </w:r>
      <w:r>
        <w:tab/>
        <w:t>размер единицы взноса</w:t>
      </w:r>
      <w:r w:rsidR="0017792D">
        <w:t>,</w:t>
      </w:r>
      <w:r>
        <w:t xml:space="preserve"> </w:t>
      </w:r>
      <w:r w:rsidR="0017792D">
        <w:t>установленный</w:t>
      </w:r>
      <w:r>
        <w:t xml:space="preserve"> Совет</w:t>
      </w:r>
      <w:r w:rsidR="0017792D">
        <w:t>ом</w:t>
      </w:r>
      <w:r>
        <w:t xml:space="preserve"> 2017 года</w:t>
      </w:r>
      <w:r w:rsidR="0017792D">
        <w:t>, составляет</w:t>
      </w:r>
      <w:r>
        <w:t xml:space="preserve"> 318 000 швейцарских франков (нулевой номинальный рост с 2006 г</w:t>
      </w:r>
      <w:r w:rsidR="0017792D">
        <w:t>ода</w:t>
      </w:r>
      <w:r>
        <w:t>);</w:t>
      </w:r>
    </w:p>
    <w:p w:rsidR="00067524" w:rsidRPr="00A225C7" w:rsidRDefault="0019520B" w:rsidP="00CC6D25">
      <w:pPr>
        <w:pStyle w:val="a"/>
      </w:pPr>
      <w:r>
        <w:t>•</w:t>
      </w:r>
      <w:r>
        <w:tab/>
        <w:t>снятия средств с Резервного счета не предусматривается.</w:t>
      </w:r>
    </w:p>
    <w:p w:rsidR="00067524" w:rsidRPr="00A225C7" w:rsidRDefault="00067524" w:rsidP="00A225C7">
      <w:r>
        <w:t>3.4</w:t>
      </w:r>
      <w:r>
        <w:tab/>
        <w:t>Проект Финансового плана на 2020–2023 г</w:t>
      </w:r>
      <w:r w:rsidR="0017792D">
        <w:t>оды является</w:t>
      </w:r>
      <w:r>
        <w:t xml:space="preserve"> сбалансирован</w:t>
      </w:r>
      <w:r w:rsidR="0017792D">
        <w:t>ным</w:t>
      </w:r>
      <w:r>
        <w:t>. 76% обще</w:t>
      </w:r>
      <w:r w:rsidR="0017792D">
        <w:t>го</w:t>
      </w:r>
      <w:r>
        <w:t xml:space="preserve"> </w:t>
      </w:r>
      <w:r w:rsidR="0017792D">
        <w:t>дохода</w:t>
      </w:r>
      <w:r>
        <w:t xml:space="preserve"> составляют начисленные взносы. Колебания по программам составляют в общей сложности 5,9</w:t>
      </w:r>
      <w:r w:rsidR="0017792D">
        <w:t> </w:t>
      </w:r>
      <w:r>
        <w:t>м</w:t>
      </w:r>
      <w:r w:rsidR="0017792D">
        <w:t>лн.</w:t>
      </w:r>
      <w:r>
        <w:t xml:space="preserve"> швейцарских франков, и предусмотрена увязка с пятью целями, установленными для МСЭ в</w:t>
      </w:r>
      <w:r w:rsidR="00960485">
        <w:t> </w:t>
      </w:r>
      <w:r>
        <w:t>Стратегическом плане.</w:t>
      </w:r>
    </w:p>
    <w:p w:rsidR="00067524" w:rsidRPr="00A225C7" w:rsidRDefault="00067524" w:rsidP="0019520B">
      <w:r>
        <w:t>3.5</w:t>
      </w:r>
      <w:r>
        <w:tab/>
        <w:t>Были представлены таблицы</w:t>
      </w:r>
      <w:r w:rsidR="0017792D">
        <w:t>, охватывающие период</w:t>
      </w:r>
      <w:r>
        <w:t xml:space="preserve"> 2020–2023 г</w:t>
      </w:r>
      <w:r w:rsidR="0017792D">
        <w:t>одов,</w:t>
      </w:r>
      <w:r>
        <w:t xml:space="preserve"> с подробными данными о </w:t>
      </w:r>
      <w:r w:rsidR="0017792D">
        <w:t>планируемых доходах</w:t>
      </w:r>
      <w:r>
        <w:t xml:space="preserve"> и расходах, а также </w:t>
      </w:r>
      <w:r w:rsidR="00281AF3">
        <w:t xml:space="preserve">с </w:t>
      </w:r>
      <w:r>
        <w:t>ориентированной на результат визуализацией распределения финансовых ресурсов по каждой из пяти целей Стратегического плана.</w:t>
      </w:r>
    </w:p>
    <w:p w:rsidR="00067524" w:rsidRPr="00A225C7" w:rsidRDefault="00067524" w:rsidP="00A225C7">
      <w:r>
        <w:t>3.6</w:t>
      </w:r>
      <w:r>
        <w:tab/>
        <w:t xml:space="preserve">Предварительный проект Решения 5 включает Приложение 1, в котором </w:t>
      </w:r>
      <w:r w:rsidR="00281AF3">
        <w:t>указаны планируемые доходы</w:t>
      </w:r>
      <w:r>
        <w:t xml:space="preserve"> и расходы на 2020–2023 г</w:t>
      </w:r>
      <w:r w:rsidR="00281AF3">
        <w:t>оды</w:t>
      </w:r>
      <w:r>
        <w:t> </w:t>
      </w:r>
      <w:r w:rsidR="00281AF3">
        <w:t>–</w:t>
      </w:r>
      <w:r>
        <w:t xml:space="preserve"> то и другое в размере 653,5</w:t>
      </w:r>
      <w:r w:rsidR="00281AF3">
        <w:t> </w:t>
      </w:r>
      <w:r>
        <w:t>м</w:t>
      </w:r>
      <w:r w:rsidR="00281AF3">
        <w:t>лн.</w:t>
      </w:r>
      <w:r>
        <w:t xml:space="preserve"> швейцарских франков. В Приложении 2 перечислены тридцать две (32) меры по сокращению расходов. Цифры, приведенные в проекте Финансового плана </w:t>
      </w:r>
      <w:r w:rsidR="009D64A3">
        <w:t xml:space="preserve">на </w:t>
      </w:r>
      <w:r>
        <w:t>2020–2023 г</w:t>
      </w:r>
      <w:r w:rsidR="009D64A3">
        <w:t>оды</w:t>
      </w:r>
      <w:r>
        <w:t>, будут пересмотрены к Совету 2018</w:t>
      </w:r>
      <w:r w:rsidR="009D64A3">
        <w:t> </w:t>
      </w:r>
      <w:r>
        <w:t>года.</w:t>
      </w:r>
    </w:p>
    <w:p w:rsidR="00067524" w:rsidRPr="00A225C7" w:rsidRDefault="00067524" w:rsidP="00A225C7">
      <w:r>
        <w:t>3.7</w:t>
      </w:r>
      <w:r>
        <w:tab/>
        <w:t>Ряд делегатов поздравил</w:t>
      </w:r>
      <w:r w:rsidR="00960485">
        <w:t>и</w:t>
      </w:r>
      <w:r>
        <w:t xml:space="preserve"> Секретариат с представлением сбалансированного проекта Финансового плана на 2020–2023 г</w:t>
      </w:r>
      <w:r w:rsidR="00823729">
        <w:t>оды</w:t>
      </w:r>
      <w:r>
        <w:t>, в котором не предусматривается снятия средств с Резервного счета и сохраняется прежний размер единицы взноса. Некоторые делегаты подчеркнули важность включения в пересмотренный проект Финансового плана сведений о финансовых последствиях решения КМГС о корректи</w:t>
      </w:r>
      <w:r w:rsidR="00823729">
        <w:t>ве</w:t>
      </w:r>
      <w:r>
        <w:t xml:space="preserve"> по месту службы </w:t>
      </w:r>
      <w:r w:rsidR="00823729">
        <w:t>применительно к</w:t>
      </w:r>
      <w:r>
        <w:t xml:space="preserve"> сотрудник</w:t>
      </w:r>
      <w:r w:rsidR="00823729">
        <w:t>ам</w:t>
      </w:r>
      <w:r>
        <w:t xml:space="preserve"> категории специалистов.</w:t>
      </w:r>
    </w:p>
    <w:p w:rsidR="00067524" w:rsidRPr="00A225C7" w:rsidRDefault="00067524" w:rsidP="0019520B">
      <w:r>
        <w:t>3.8</w:t>
      </w:r>
      <w:r>
        <w:tab/>
        <w:t>В ответ на запросы некоторых делегатов Секретариат дал следующие пояснения:</w:t>
      </w:r>
    </w:p>
    <w:p w:rsidR="00067524" w:rsidRPr="00A225C7" w:rsidRDefault="0019520B" w:rsidP="00CC6D25">
      <w:pPr>
        <w:pStyle w:val="a"/>
      </w:pPr>
      <w:r>
        <w:t>•</w:t>
      </w:r>
      <w:r>
        <w:tab/>
        <w:t>бюджетное финансирование должностей предусмотрено на уровне 95% с долей вакантных должностей 5% (за счет задержки в найме или замораживания должностей);</w:t>
      </w:r>
    </w:p>
    <w:p w:rsidR="00067524" w:rsidRPr="00A225C7" w:rsidRDefault="0019520B" w:rsidP="00CC6D25">
      <w:pPr>
        <w:pStyle w:val="a"/>
      </w:pPr>
      <w:r>
        <w:t>•</w:t>
      </w:r>
      <w:r>
        <w:tab/>
        <w:t>в проекте Финансового плана на 2020–2023 г</w:t>
      </w:r>
      <w:r w:rsidR="00FA3BF7">
        <w:t>оды</w:t>
      </w:r>
      <w:r>
        <w:t xml:space="preserve"> предусмотрена сумма в 1,3</w:t>
      </w:r>
      <w:r w:rsidR="00FA3BF7">
        <w:t> </w:t>
      </w:r>
      <w:r>
        <w:t>м</w:t>
      </w:r>
      <w:r w:rsidR="00FA3BF7">
        <w:t>лн.</w:t>
      </w:r>
      <w:r>
        <w:t xml:space="preserve"> швейцарских франков, определенная исходя из минимальных финансовых последствий Решений и Резолюций ВАСЭ-16 на 2018–2019 г</w:t>
      </w:r>
      <w:r w:rsidR="00FA3BF7">
        <w:t>оды</w:t>
      </w:r>
      <w:r>
        <w:t>;</w:t>
      </w:r>
    </w:p>
    <w:p w:rsidR="00067524" w:rsidRPr="00A225C7" w:rsidRDefault="0019520B" w:rsidP="00CC6D25">
      <w:pPr>
        <w:pStyle w:val="a"/>
      </w:pPr>
      <w:r>
        <w:t>•</w:t>
      </w:r>
      <w:r>
        <w:tab/>
      </w:r>
      <w:r w:rsidR="00C86EF1">
        <w:t>определяемый</w:t>
      </w:r>
      <w:r>
        <w:t xml:space="preserve"> КМГС коррект</w:t>
      </w:r>
      <w:r w:rsidR="00C86EF1">
        <w:t>ив</w:t>
      </w:r>
      <w:r>
        <w:t xml:space="preserve"> по месту службы для Женевы не </w:t>
      </w:r>
      <w:r w:rsidR="00C86EF1">
        <w:t>был включен</w:t>
      </w:r>
      <w:r>
        <w:t xml:space="preserve"> в первый проект Финансового плана на 2020–2023 г</w:t>
      </w:r>
      <w:r w:rsidR="00C86EF1">
        <w:t>оды</w:t>
      </w:r>
      <w:r>
        <w:t xml:space="preserve">, поскольку на тот момент еще не </w:t>
      </w:r>
      <w:r w:rsidR="00C86EF1">
        <w:t xml:space="preserve">было </w:t>
      </w:r>
      <w:r>
        <w:t>получ</w:t>
      </w:r>
      <w:r w:rsidR="00C86EF1">
        <w:t>ено</w:t>
      </w:r>
      <w:r>
        <w:t xml:space="preserve"> соответствующе</w:t>
      </w:r>
      <w:r w:rsidR="00C86EF1">
        <w:t>е</w:t>
      </w:r>
      <w:r>
        <w:t xml:space="preserve"> уведомлени</w:t>
      </w:r>
      <w:r w:rsidR="00C86EF1">
        <w:t>е Комиссии</w:t>
      </w:r>
      <w:r>
        <w:t xml:space="preserve"> с указанием </w:t>
      </w:r>
      <w:r w:rsidR="00C86EF1">
        <w:t xml:space="preserve">применимого к Женеве коэффициента </w:t>
      </w:r>
      <w:r>
        <w:t>корректи</w:t>
      </w:r>
      <w:r w:rsidR="00C86EF1">
        <w:t>ва</w:t>
      </w:r>
      <w:r>
        <w:t xml:space="preserve"> </w:t>
      </w:r>
      <w:r w:rsidR="00C86EF1">
        <w:t>по месту службы</w:t>
      </w:r>
      <w:r>
        <w:t>;</w:t>
      </w:r>
    </w:p>
    <w:p w:rsidR="00067524" w:rsidRPr="00A225C7" w:rsidRDefault="0019520B" w:rsidP="00CC6D25">
      <w:pPr>
        <w:pStyle w:val="a"/>
      </w:pPr>
      <w:r>
        <w:t>•</w:t>
      </w:r>
      <w:r>
        <w:tab/>
        <w:t>финансовые последствия решений ВКРЭ-17 будут также обсуждаться в ходе представления Документа CWG-FHR 8/2.</w:t>
      </w:r>
    </w:p>
    <w:p w:rsidR="00067524" w:rsidRPr="00A225C7" w:rsidRDefault="00067524" w:rsidP="00A225C7">
      <w:r>
        <w:t>3.9</w:t>
      </w:r>
      <w:r>
        <w:tab/>
        <w:t>Первый проект Финансового плана на 2020−2023 г</w:t>
      </w:r>
      <w:r w:rsidR="009F40FB">
        <w:t>оды</w:t>
      </w:r>
      <w:r>
        <w:t xml:space="preserve"> будет пересмотрен с учетом вопросов, </w:t>
      </w:r>
      <w:proofErr w:type="spellStart"/>
      <w:r>
        <w:t>обсуждавшихся</w:t>
      </w:r>
      <w:proofErr w:type="spellEnd"/>
      <w:r>
        <w:t xml:space="preserve"> на восьмом </w:t>
      </w:r>
      <w:r w:rsidR="009F40FB">
        <w:t>собрании</w:t>
      </w:r>
      <w:r w:rsidR="00903899">
        <w:t xml:space="preserve"> РГС-</w:t>
      </w:r>
      <w:r>
        <w:t>Ф</w:t>
      </w:r>
      <w:r w:rsidR="00903899">
        <w:t>ЛР</w:t>
      </w:r>
      <w:r w:rsidR="00605AE0">
        <w:t>:</w:t>
      </w:r>
    </w:p>
    <w:p w:rsidR="00067524" w:rsidRPr="00A225C7" w:rsidRDefault="0019520B" w:rsidP="00CC6D25">
      <w:pPr>
        <w:pStyle w:val="a"/>
      </w:pPr>
      <w:r>
        <w:t>•</w:t>
      </w:r>
      <w:r>
        <w:tab/>
      </w:r>
      <w:r w:rsidR="008744C9">
        <w:t>доходы</w:t>
      </w:r>
      <w:r w:rsidR="00794A32">
        <w:t xml:space="preserve"> –</w:t>
      </w:r>
      <w:r>
        <w:t xml:space="preserve"> увеличение </w:t>
      </w:r>
      <w:r w:rsidR="008744C9">
        <w:t>числа единиц взносов</w:t>
      </w:r>
      <w:r>
        <w:t xml:space="preserve"> на 7 (Китай </w:t>
      </w:r>
      <w:r w:rsidR="008744C9">
        <w:t>–</w:t>
      </w:r>
      <w:r>
        <w:t xml:space="preserve"> с 14 до 20 единиц, Пакистан </w:t>
      </w:r>
      <w:r w:rsidR="008744C9">
        <w:t>–</w:t>
      </w:r>
      <w:r>
        <w:t xml:space="preserve"> с 1 до</w:t>
      </w:r>
      <w:r w:rsidR="008744C9">
        <w:t> </w:t>
      </w:r>
      <w:r>
        <w:t>2 единиц);</w:t>
      </w:r>
    </w:p>
    <w:p w:rsidR="00067524" w:rsidRPr="00A225C7" w:rsidRDefault="00794A32" w:rsidP="00CC6D25">
      <w:pPr>
        <w:pStyle w:val="a"/>
      </w:pPr>
      <w:r>
        <w:t>•</w:t>
      </w:r>
      <w:r>
        <w:tab/>
        <w:t>расходы –</w:t>
      </w:r>
      <w:r w:rsidR="0019520B">
        <w:t xml:space="preserve"> финансовые последствия нового решения КМГС о корректи</w:t>
      </w:r>
      <w:r w:rsidR="008744C9">
        <w:t>ве</w:t>
      </w:r>
      <w:r w:rsidR="0019520B">
        <w:t xml:space="preserve"> по месту службы </w:t>
      </w:r>
      <w:r w:rsidR="008744C9">
        <w:t>применительно к сотрудникам</w:t>
      </w:r>
      <w:r w:rsidR="0019520B">
        <w:t xml:space="preserve"> категории специалист</w:t>
      </w:r>
      <w:r w:rsidR="008744C9">
        <w:t>ов</w:t>
      </w:r>
      <w:r w:rsidR="0019520B">
        <w:t>;</w:t>
      </w:r>
    </w:p>
    <w:p w:rsidR="00067524" w:rsidRPr="00A225C7" w:rsidRDefault="00794A32" w:rsidP="00CC6D25">
      <w:pPr>
        <w:pStyle w:val="a"/>
      </w:pPr>
      <w:r>
        <w:t>•</w:t>
      </w:r>
      <w:r>
        <w:tab/>
        <w:t>ВКРЭ-17 –</w:t>
      </w:r>
      <w:r w:rsidR="0019520B">
        <w:t xml:space="preserve"> поступившая в Секретариат просьба представить варианты частичного осуществления региональных инициатив, которые могут быть учтены в пересмотренном проекте Финансового плана на 2020–2023 г</w:t>
      </w:r>
      <w:r w:rsidR="00B75D20">
        <w:t>оды</w:t>
      </w:r>
      <w:r w:rsidR="0019520B">
        <w:t>.</w:t>
      </w:r>
    </w:p>
    <w:p w:rsidR="00067524" w:rsidRPr="00A225C7" w:rsidRDefault="0019520B" w:rsidP="0019520B">
      <w:r>
        <w:rPr>
          <w:b/>
          <w:color w:val="0000FF"/>
        </w:rPr>
        <w:lastRenderedPageBreak/>
        <w:t>Рекомендация</w:t>
      </w:r>
      <w:r>
        <w:rPr>
          <w:color w:val="0000FF"/>
        </w:rPr>
        <w:t>:</w:t>
      </w:r>
      <w:r>
        <w:rPr>
          <w:b/>
        </w:rPr>
        <w:t xml:space="preserve"> </w:t>
      </w:r>
      <w:r>
        <w:t xml:space="preserve">Предлагается использовать в качестве модели Документ </w:t>
      </w:r>
      <w:hyperlink r:id="rId32">
        <w:r>
          <w:rPr>
            <w:rStyle w:val="Hyperlink"/>
          </w:rPr>
          <w:t>C17/DL/3</w:t>
        </w:r>
      </w:hyperlink>
      <w:r>
        <w:t xml:space="preserve">, четко показав </w:t>
      </w:r>
      <w:r w:rsidR="00B75D20">
        <w:t xml:space="preserve">различные </w:t>
      </w:r>
      <w:r>
        <w:t xml:space="preserve">альтернативы и предложения </w:t>
      </w:r>
      <w:r w:rsidR="00B75D20">
        <w:t>относительно того, что должно быть</w:t>
      </w:r>
      <w:r>
        <w:t xml:space="preserve"> осуществ</w:t>
      </w:r>
      <w:r w:rsidR="00B75D20">
        <w:t>лено,</w:t>
      </w:r>
      <w:r>
        <w:t xml:space="preserve"> и как такие предложения будут финансироваться.</w:t>
      </w:r>
    </w:p>
    <w:p w:rsidR="00067524" w:rsidRPr="00CC6D25" w:rsidRDefault="0019520B" w:rsidP="00CC6D25">
      <w:pPr>
        <w:pStyle w:val="ListParagraph"/>
        <w:spacing w:before="240" w:after="240"/>
        <w:ind w:left="1191" w:hanging="471"/>
        <w:rPr>
          <w:b/>
        </w:rPr>
      </w:pPr>
      <w:r w:rsidRPr="00CC6D25">
        <w:rPr>
          <w:b/>
        </w:rPr>
        <w:t>−</w:t>
      </w:r>
      <w:r w:rsidRPr="00CC6D25">
        <w:rPr>
          <w:b/>
        </w:rPr>
        <w:tab/>
        <w:t>Предварительный выбор класса взносов на период 2020–2023 годов</w:t>
      </w:r>
      <w:r w:rsidRPr="00CC6D25">
        <w:rPr>
          <w:b/>
        </w:rPr>
        <w:br/>
        <w:t xml:space="preserve">(Документ </w:t>
      </w:r>
      <w:hyperlink r:id="rId33">
        <w:r w:rsidRPr="00CC6D25">
          <w:rPr>
            <w:rStyle w:val="Hyperlink"/>
            <w:b/>
          </w:rPr>
          <w:t>CWG-FHR 8/15</w:t>
        </w:r>
      </w:hyperlink>
      <w:r w:rsidRPr="00CC6D25">
        <w:rPr>
          <w:b/>
        </w:rPr>
        <w:t>)</w:t>
      </w:r>
    </w:p>
    <w:p w:rsidR="00067524" w:rsidRPr="00A225C7" w:rsidRDefault="00067524" w:rsidP="0019520B">
      <w:r>
        <w:t>3.10</w:t>
      </w:r>
      <w:r>
        <w:tab/>
        <w:t>Секретариат представил документ о предварительном размере единицы взнос</w:t>
      </w:r>
      <w:r w:rsidR="00B75D20">
        <w:t>ов</w:t>
      </w:r>
      <w:r>
        <w:t xml:space="preserve"> для Государств-Членов.</w:t>
      </w:r>
    </w:p>
    <w:p w:rsidR="00067524" w:rsidRPr="00A225C7" w:rsidRDefault="00067524" w:rsidP="00A225C7">
      <w:r>
        <w:t>3.11</w:t>
      </w:r>
      <w:r>
        <w:tab/>
        <w:t>Чтобы заложить надежную и реалистичную основу для Финансового плана на 2020−2023 г</w:t>
      </w:r>
      <w:r w:rsidR="00B75D20">
        <w:t>оды</w:t>
      </w:r>
      <w:r>
        <w:t>, Совет 2017 года установил предварительный размер единицы взнос</w:t>
      </w:r>
      <w:r w:rsidR="00B75D20">
        <w:t>ов</w:t>
      </w:r>
      <w:r>
        <w:t xml:space="preserve"> на этот период равным 318 000 швейцарских франков в год (нулевой номинальный рост).</w:t>
      </w:r>
    </w:p>
    <w:p w:rsidR="00067524" w:rsidRPr="00A225C7" w:rsidRDefault="00067524" w:rsidP="00A225C7">
      <w:r>
        <w:t>3.12</w:t>
      </w:r>
      <w:r>
        <w:tab/>
        <w:t>Секретариат в своем письме от 28 июля 2017 г</w:t>
      </w:r>
      <w:r w:rsidR="00B75D20">
        <w:t>ода</w:t>
      </w:r>
      <w:r>
        <w:t xml:space="preserve"> обратился к Государствам-Членам с</w:t>
      </w:r>
      <w:r w:rsidR="00B75D20">
        <w:t> </w:t>
      </w:r>
      <w:r>
        <w:t xml:space="preserve">просьбой объявить предварительный класс </w:t>
      </w:r>
      <w:r w:rsidR="00B75D20">
        <w:t>их</w:t>
      </w:r>
      <w:r>
        <w:t xml:space="preserve"> взнос</w:t>
      </w:r>
      <w:r w:rsidR="00B75D20">
        <w:t>ов</w:t>
      </w:r>
      <w:r>
        <w:t xml:space="preserve"> на 2020−2023 г</w:t>
      </w:r>
      <w:r w:rsidR="00B75D20">
        <w:t>оды</w:t>
      </w:r>
      <w:r>
        <w:t>.</w:t>
      </w:r>
    </w:p>
    <w:p w:rsidR="00067524" w:rsidRPr="00A225C7" w:rsidRDefault="00605AE0" w:rsidP="0019520B">
      <w:r>
        <w:t>3.13</w:t>
      </w:r>
      <w:r>
        <w:tab/>
        <w:t>В Приложении 1 к Д</w:t>
      </w:r>
      <w:r w:rsidR="00067524">
        <w:t xml:space="preserve">окументу приведен список Государств-Членов с указанием </w:t>
      </w:r>
      <w:r w:rsidR="002C25FE">
        <w:t>их единиц</w:t>
      </w:r>
      <w:r w:rsidR="00067524">
        <w:t xml:space="preserve"> взносов на 2016−2019 г</w:t>
      </w:r>
      <w:r w:rsidR="002C25FE">
        <w:t>оды, составляющих в сумме</w:t>
      </w:r>
      <w:r w:rsidR="00067524">
        <w:t xml:space="preserve"> 334¼ единицы</w:t>
      </w:r>
      <w:r w:rsidR="002C25FE">
        <w:t>,</w:t>
      </w:r>
      <w:r w:rsidR="00067524">
        <w:t xml:space="preserve"> и предварительного </w:t>
      </w:r>
      <w:r w:rsidR="002C25FE">
        <w:t>числа их единиц</w:t>
      </w:r>
      <w:r w:rsidR="00067524">
        <w:t xml:space="preserve"> взносов на 2020−2023 г</w:t>
      </w:r>
      <w:r w:rsidR="002C25FE">
        <w:t>оды, которое составляет</w:t>
      </w:r>
      <w:r w:rsidR="00067524">
        <w:t xml:space="preserve"> 341¼ единицы. Эт</w:t>
      </w:r>
      <w:r w:rsidR="006D0DF8">
        <w:t>от</w:t>
      </w:r>
      <w:r w:rsidR="00067524">
        <w:t xml:space="preserve"> </w:t>
      </w:r>
      <w:r w:rsidR="006D0DF8">
        <w:t>рост</w:t>
      </w:r>
      <w:r w:rsidR="00067524">
        <w:t xml:space="preserve"> обусловлен увеличением </w:t>
      </w:r>
      <w:r w:rsidR="006D0DF8">
        <w:t xml:space="preserve">числа единиц </w:t>
      </w:r>
      <w:r w:rsidR="00067524">
        <w:t>взнос</w:t>
      </w:r>
      <w:r w:rsidR="006D0DF8">
        <w:t>ов</w:t>
      </w:r>
      <w:r w:rsidR="00067524">
        <w:t xml:space="preserve"> </w:t>
      </w:r>
      <w:r w:rsidR="006D0DF8">
        <w:t>для</w:t>
      </w:r>
      <w:r w:rsidR="00067524">
        <w:t xml:space="preserve"> Китая (с 14 до 20 единиц) и Пакистана (с 1 до 2 единиц).</w:t>
      </w:r>
    </w:p>
    <w:p w:rsidR="00067524" w:rsidRPr="00A225C7" w:rsidRDefault="00067524" w:rsidP="0019520B">
      <w:r>
        <w:t>3.14</w:t>
      </w:r>
      <w:r>
        <w:tab/>
        <w:t xml:space="preserve">Председатель выразил надежду, что в ходе будущих подобных мероприятий </w:t>
      </w:r>
      <w:r w:rsidR="006D0DF8">
        <w:t>число своих единиц взносов</w:t>
      </w:r>
      <w:r>
        <w:t xml:space="preserve"> объяв</w:t>
      </w:r>
      <w:r w:rsidR="006D0DF8">
        <w:t>я</w:t>
      </w:r>
      <w:r>
        <w:t xml:space="preserve">т больше Государств-Членов, нежели 18 из 193. Это </w:t>
      </w:r>
      <w:r w:rsidR="006D0DF8">
        <w:t>предоставило</w:t>
      </w:r>
      <w:r>
        <w:t xml:space="preserve"> бы Секретариату </w:t>
      </w:r>
      <w:r w:rsidR="006D0DF8">
        <w:t>лучшую</w:t>
      </w:r>
      <w:r>
        <w:t xml:space="preserve"> основу для составления </w:t>
      </w:r>
      <w:r w:rsidR="006D0DF8">
        <w:t xml:space="preserve">точного </w:t>
      </w:r>
      <w:r>
        <w:t>проекта Финансового плана.</w:t>
      </w:r>
    </w:p>
    <w:p w:rsidR="00067524" w:rsidRPr="00A225C7" w:rsidRDefault="0019520B" w:rsidP="00067524">
      <w:pPr>
        <w:rPr>
          <w:szCs w:val="22"/>
        </w:rPr>
      </w:pPr>
      <w:r>
        <w:rPr>
          <w:b/>
          <w:color w:val="0000FF"/>
        </w:rPr>
        <w:t>Рекомендация</w:t>
      </w:r>
      <w:r>
        <w:rPr>
          <w:color w:val="0000FF"/>
        </w:rPr>
        <w:t>:</w:t>
      </w:r>
      <w:r>
        <w:rPr>
          <w:b/>
        </w:rPr>
        <w:t xml:space="preserve"> </w:t>
      </w:r>
      <w:r>
        <w:t xml:space="preserve">Совету предлагается принять </w:t>
      </w:r>
      <w:r w:rsidR="0091402A">
        <w:t>к сведению</w:t>
      </w:r>
      <w:r>
        <w:t xml:space="preserve"> Документ CWG-FHR 8/15.</w:t>
      </w:r>
    </w:p>
    <w:p w:rsidR="00067524" w:rsidRPr="00CC6D25" w:rsidRDefault="007C62B7" w:rsidP="00CC6D25">
      <w:pPr>
        <w:pStyle w:val="ListParagraph"/>
        <w:spacing w:before="360" w:after="240"/>
        <w:ind w:left="1191" w:hanging="471"/>
        <w:rPr>
          <w:b/>
          <w:bCs/>
          <w:szCs w:val="22"/>
        </w:rPr>
      </w:pPr>
      <w:r w:rsidRPr="00CC6D25">
        <w:rPr>
          <w:b/>
          <w:sz w:val="18"/>
        </w:rPr>
        <w:t>−</w:t>
      </w:r>
      <w:r w:rsidRPr="00CC6D25">
        <w:rPr>
          <w:b/>
        </w:rPr>
        <w:tab/>
        <w:t>Вклад Российской Федерации, Республики Армени</w:t>
      </w:r>
      <w:r w:rsidR="00605AE0">
        <w:rPr>
          <w:b/>
        </w:rPr>
        <w:t>я</w:t>
      </w:r>
      <w:r w:rsidRPr="00CC6D25">
        <w:rPr>
          <w:b/>
        </w:rPr>
        <w:t>, Азербайджанской Республики, Республики Беларусь и Кыргызской Республики: Проект пересмотренного Решения 5</w:t>
      </w:r>
      <w:r w:rsidRPr="00CC6D25">
        <w:rPr>
          <w:b/>
        </w:rPr>
        <w:br/>
        <w:t xml:space="preserve">(Документ </w:t>
      </w:r>
      <w:hyperlink r:id="rId34">
        <w:r w:rsidRPr="00CC6D25">
          <w:rPr>
            <w:rStyle w:val="Hyperlink"/>
            <w:b/>
          </w:rPr>
          <w:t>CWG-FHR 8/22</w:t>
        </w:r>
      </w:hyperlink>
      <w:r w:rsidRPr="00CC6D25">
        <w:rPr>
          <w:b/>
        </w:rPr>
        <w:t>)</w:t>
      </w:r>
    </w:p>
    <w:p w:rsidR="00067524" w:rsidRPr="00A225C7" w:rsidRDefault="00067524" w:rsidP="00463334">
      <w:r>
        <w:t>3.15</w:t>
      </w:r>
      <w:r>
        <w:tab/>
        <w:t>Делегат от Российской Федерации представил документ</w:t>
      </w:r>
      <w:r w:rsidR="0091402A">
        <w:t>, в котором приведены</w:t>
      </w:r>
      <w:r>
        <w:t xml:space="preserve"> предложения </w:t>
      </w:r>
      <w:r w:rsidR="0091402A">
        <w:t>по</w:t>
      </w:r>
      <w:r>
        <w:t xml:space="preserve"> изменени</w:t>
      </w:r>
      <w:r w:rsidR="0091402A">
        <w:t>ю</w:t>
      </w:r>
      <w:r>
        <w:t>, где это уместно</w:t>
      </w:r>
      <w:r w:rsidR="0091402A">
        <w:t>,</w:t>
      </w:r>
      <w:r>
        <w:t xml:space="preserve"> структуры и содержания Решения 5 (</w:t>
      </w:r>
      <w:proofErr w:type="spellStart"/>
      <w:r>
        <w:t>Пересм</w:t>
      </w:r>
      <w:proofErr w:type="spellEnd"/>
      <w:r>
        <w:t>. </w:t>
      </w:r>
      <w:proofErr w:type="spellStart"/>
      <w:r>
        <w:t>Пусан</w:t>
      </w:r>
      <w:proofErr w:type="spellEnd"/>
      <w:r>
        <w:t>, 2014 г</w:t>
      </w:r>
      <w:r w:rsidR="00605AE0">
        <w:t>од</w:t>
      </w:r>
      <w:r>
        <w:t>) и Приложений к нему.</w:t>
      </w:r>
    </w:p>
    <w:p w:rsidR="00067524" w:rsidRPr="00A225C7" w:rsidRDefault="00067524" w:rsidP="00A225C7">
      <w:r>
        <w:t>3.16</w:t>
      </w:r>
      <w:r>
        <w:tab/>
        <w:t>Секретариат</w:t>
      </w:r>
      <w:r w:rsidR="00440B51">
        <w:t>у следует</w:t>
      </w:r>
      <w:r>
        <w:t xml:space="preserve"> продолжит</w:t>
      </w:r>
      <w:r w:rsidR="00440B51">
        <w:t>ь</w:t>
      </w:r>
      <w:r>
        <w:t xml:space="preserve"> свою работу по поиску инновационных решений, в частности благодаря использованию новых технологий, при подготовке проекта Финансового плана на 2020−2023 г</w:t>
      </w:r>
      <w:r w:rsidR="00440B51">
        <w:t>оды</w:t>
      </w:r>
      <w:r>
        <w:t>.</w:t>
      </w:r>
    </w:p>
    <w:p w:rsidR="00067524" w:rsidRPr="00A225C7" w:rsidRDefault="00463334" w:rsidP="00463334">
      <w:r>
        <w:t>3.17</w:t>
      </w:r>
      <w:r>
        <w:tab/>
        <w:t xml:space="preserve">В </w:t>
      </w:r>
      <w:r w:rsidR="00440B51">
        <w:t xml:space="preserve">представленном </w:t>
      </w:r>
      <w:r>
        <w:t xml:space="preserve">документе </w:t>
      </w:r>
      <w:r w:rsidR="00440B51">
        <w:t>указано</w:t>
      </w:r>
      <w:r>
        <w:t>, что для МСЭ чрезвычайно важно сосредоточить</w:t>
      </w:r>
      <w:r w:rsidR="00175FB1">
        <w:t xml:space="preserve"> усилия</w:t>
      </w:r>
      <w:r>
        <w:t xml:space="preserve"> не только на сокращении расходов или </w:t>
      </w:r>
      <w:r w:rsidR="00175FB1">
        <w:t xml:space="preserve">получении </w:t>
      </w:r>
      <w:r>
        <w:t xml:space="preserve">экономии, но и </w:t>
      </w:r>
      <w:r w:rsidR="00175FB1">
        <w:t xml:space="preserve">на повышении </w:t>
      </w:r>
      <w:r>
        <w:t>в целом эффективности использования всех имеющихся ресурсов, а также оптимизации работы во всех сферах деятельности Союза.</w:t>
      </w:r>
    </w:p>
    <w:p w:rsidR="00067524" w:rsidRPr="00A225C7" w:rsidRDefault="00067524" w:rsidP="00463334">
      <w:r>
        <w:t>3.18</w:t>
      </w:r>
      <w:r>
        <w:tab/>
        <w:t>Были внесены следующие предложения:</w:t>
      </w:r>
    </w:p>
    <w:p w:rsidR="00067524" w:rsidRPr="00A225C7" w:rsidRDefault="00463334" w:rsidP="00CC6D25">
      <w:pPr>
        <w:pStyle w:val="a"/>
      </w:pPr>
      <w:r>
        <w:t>•</w:t>
      </w:r>
      <w:r>
        <w:tab/>
        <w:t>пересмотреть Решение 5 с учетом новых стратегических приоритетов МСЭ;</w:t>
      </w:r>
    </w:p>
    <w:p w:rsidR="00067524" w:rsidRPr="00A225C7" w:rsidRDefault="00463334" w:rsidP="00CC6D25">
      <w:pPr>
        <w:pStyle w:val="a"/>
      </w:pPr>
      <w:r>
        <w:t>•</w:t>
      </w:r>
      <w:r>
        <w:tab/>
        <w:t>избегать дублирования текстов в других документах;</w:t>
      </w:r>
    </w:p>
    <w:p w:rsidR="00067524" w:rsidRPr="00A225C7" w:rsidRDefault="00463334" w:rsidP="00CC6D25">
      <w:pPr>
        <w:pStyle w:val="a"/>
      </w:pPr>
      <w:r>
        <w:t>•</w:t>
      </w:r>
      <w:r>
        <w:tab/>
        <w:t xml:space="preserve">добавить </w:t>
      </w:r>
      <w:r w:rsidR="00FD2D75">
        <w:t>в Приложени</w:t>
      </w:r>
      <w:r w:rsidR="00B52FB2">
        <w:t>е</w:t>
      </w:r>
      <w:r w:rsidR="00FD2D75">
        <w:t> 1 к</w:t>
      </w:r>
      <w:r>
        <w:t xml:space="preserve"> Решени</w:t>
      </w:r>
      <w:r w:rsidR="00FD2D75">
        <w:t>ю</w:t>
      </w:r>
      <w:r>
        <w:t> 5 две таблицы</w:t>
      </w:r>
      <w:r w:rsidR="00FD2D75">
        <w:t>:</w:t>
      </w:r>
    </w:p>
    <w:p w:rsidR="00CC6D25" w:rsidRDefault="00CC6D25">
      <w:pPr>
        <w:tabs>
          <w:tab w:val="clear" w:pos="794"/>
          <w:tab w:val="clear" w:pos="1191"/>
          <w:tab w:val="clear" w:pos="1588"/>
          <w:tab w:val="clear" w:pos="1985"/>
        </w:tabs>
        <w:overflowPunct/>
        <w:autoSpaceDE/>
        <w:autoSpaceDN/>
        <w:adjustRightInd/>
        <w:spacing w:before="0"/>
        <w:textAlignment w:val="auto"/>
        <w:rPr>
          <w:sz w:val="18"/>
        </w:rPr>
      </w:pPr>
      <w:r>
        <w:rPr>
          <w:sz w:val="18"/>
        </w:rPr>
        <w:br w:type="page"/>
      </w:r>
    </w:p>
    <w:p w:rsidR="00067524" w:rsidRPr="00A225C7" w:rsidRDefault="00463334" w:rsidP="00CC6D25">
      <w:pPr>
        <w:pStyle w:val="enumlev2"/>
        <w:tabs>
          <w:tab w:val="clear" w:pos="1191"/>
          <w:tab w:val="clear" w:pos="1588"/>
        </w:tabs>
        <w:ind w:left="1616" w:hanging="425"/>
      </w:pPr>
      <w:r>
        <w:rPr>
          <w:sz w:val="18"/>
        </w:rPr>
        <w:lastRenderedPageBreak/>
        <w:t>○</w:t>
      </w:r>
      <w:r>
        <w:tab/>
      </w:r>
      <w:r w:rsidR="00605AE0">
        <w:t>т</w:t>
      </w:r>
      <w:r>
        <w:t>аблица 1 </w:t>
      </w:r>
      <w:r w:rsidR="00285F7F">
        <w:t>–</w:t>
      </w:r>
      <w:r>
        <w:t xml:space="preserve"> Финансовый план Союза на 2020</w:t>
      </w:r>
      <w:r w:rsidR="00285F7F">
        <w:t>–</w:t>
      </w:r>
      <w:r>
        <w:t>2023 г</w:t>
      </w:r>
      <w:r w:rsidR="00285F7F">
        <w:t>оды</w:t>
      </w:r>
      <w:r>
        <w:t>: доходы и расходы;</w:t>
      </w:r>
    </w:p>
    <w:p w:rsidR="00067524" w:rsidRPr="00A225C7" w:rsidRDefault="00463334" w:rsidP="00CC6D25">
      <w:pPr>
        <w:pStyle w:val="enumlev2"/>
        <w:tabs>
          <w:tab w:val="clear" w:pos="1191"/>
          <w:tab w:val="clear" w:pos="1588"/>
        </w:tabs>
        <w:ind w:left="1616" w:hanging="425"/>
      </w:pPr>
      <w:r>
        <w:rPr>
          <w:sz w:val="18"/>
        </w:rPr>
        <w:t>○</w:t>
      </w:r>
      <w:r>
        <w:tab/>
      </w:r>
      <w:r w:rsidR="00605AE0">
        <w:t>т</w:t>
      </w:r>
      <w:r>
        <w:t>аблица 2 </w:t>
      </w:r>
      <w:r w:rsidR="00285F7F">
        <w:t>–</w:t>
      </w:r>
      <w:r>
        <w:t xml:space="preserve"> Направление расходования средств для обеспечения развития МСЭ (в</w:t>
      </w:r>
      <w:r w:rsidR="00285F7F">
        <w:t> </w:t>
      </w:r>
      <w:r>
        <w:t>формате БОР);</w:t>
      </w:r>
    </w:p>
    <w:p w:rsidR="00067524" w:rsidRPr="00A225C7" w:rsidRDefault="00463334" w:rsidP="00CC6D25">
      <w:pPr>
        <w:pStyle w:val="a"/>
      </w:pPr>
      <w:r>
        <w:t>•</w:t>
      </w:r>
      <w:r>
        <w:tab/>
      </w:r>
      <w:r w:rsidR="004E4274">
        <w:t>акцентировать внимание</w:t>
      </w:r>
      <w:r>
        <w:t xml:space="preserve"> на внесении изменений, посвященных возможным мерам повышения эффективности работы МСЭ</w:t>
      </w:r>
      <w:r w:rsidR="004E4274">
        <w:t>,</w:t>
      </w:r>
      <w:r w:rsidR="004E4274" w:rsidRPr="004E4274">
        <w:t xml:space="preserve"> </w:t>
      </w:r>
      <w:r w:rsidR="004E4274">
        <w:t>в Приложение 2 к Решению 5</w:t>
      </w:r>
      <w:r>
        <w:t>.</w:t>
      </w:r>
    </w:p>
    <w:p w:rsidR="00067524" w:rsidRPr="00A225C7" w:rsidRDefault="00067524" w:rsidP="008F52BD">
      <w:r>
        <w:t>3.19</w:t>
      </w:r>
      <w:r>
        <w:tab/>
        <w:t>Ряд делегатов высоко оценили вклад Российской Федерации и высказали следующие замечания:</w:t>
      </w:r>
    </w:p>
    <w:p w:rsidR="00067524" w:rsidRPr="00A225C7" w:rsidRDefault="00463334" w:rsidP="00CC6D25">
      <w:pPr>
        <w:pStyle w:val="a"/>
      </w:pPr>
      <w:r>
        <w:t>•</w:t>
      </w:r>
      <w:r>
        <w:tab/>
        <w:t xml:space="preserve">проект пересмотра Приложения 2 </w:t>
      </w:r>
      <w:r w:rsidR="000501CB">
        <w:t>кажется</w:t>
      </w:r>
      <w:r>
        <w:t xml:space="preserve"> сложным и вызывает множество вопросов и опасений;</w:t>
      </w:r>
    </w:p>
    <w:p w:rsidR="00067524" w:rsidRPr="00A225C7" w:rsidRDefault="00463334" w:rsidP="00CC6D25">
      <w:pPr>
        <w:pStyle w:val="a"/>
      </w:pPr>
      <w:r>
        <w:t>•</w:t>
      </w:r>
      <w:r>
        <w:tab/>
        <w:t>предлагаемый проект пересмотра требует дальнейших консультаций и обсуждени</w:t>
      </w:r>
      <w:r w:rsidR="000501CB">
        <w:t>й</w:t>
      </w:r>
      <w:r>
        <w:t>;</w:t>
      </w:r>
    </w:p>
    <w:p w:rsidR="00067524" w:rsidRPr="00A225C7" w:rsidRDefault="00463334" w:rsidP="00CC6D25">
      <w:pPr>
        <w:pStyle w:val="a"/>
      </w:pPr>
      <w:r>
        <w:t>•</w:t>
      </w:r>
      <w:r>
        <w:tab/>
        <w:t>следует прилагать больше усилий к достижению экономии за счет повышения эффективности работы, а не сокращения расходов;</w:t>
      </w:r>
    </w:p>
    <w:p w:rsidR="00067524" w:rsidRPr="00A225C7" w:rsidRDefault="00463334" w:rsidP="00CC6D25">
      <w:pPr>
        <w:pStyle w:val="a"/>
      </w:pPr>
      <w:r>
        <w:t>•</w:t>
      </w:r>
      <w:r>
        <w:tab/>
        <w:t>документы ПК должны ссылаться на документы</w:t>
      </w:r>
      <w:r w:rsidR="00A1115D">
        <w:t xml:space="preserve"> высокого уровня</w:t>
      </w:r>
      <w:r>
        <w:t>.</w:t>
      </w:r>
    </w:p>
    <w:p w:rsidR="00067524" w:rsidRPr="00A225C7" w:rsidRDefault="00067524" w:rsidP="008F52BD">
      <w:r>
        <w:t>3.20</w:t>
      </w:r>
      <w:r>
        <w:tab/>
        <w:t xml:space="preserve">Секретариат уведомил Группу о своей готовности </w:t>
      </w:r>
      <w:r w:rsidR="00B37327">
        <w:t xml:space="preserve">работать </w:t>
      </w:r>
      <w:r>
        <w:t xml:space="preserve">совместно с Российской Федерацией над совершенствованием ее проекта пересмотра Решения 5 </w:t>
      </w:r>
      <w:r w:rsidR="00B37327">
        <w:t xml:space="preserve">(включая </w:t>
      </w:r>
      <w:r>
        <w:t>Приложения 1 и 2</w:t>
      </w:r>
      <w:r w:rsidR="00B37327">
        <w:t>)</w:t>
      </w:r>
      <w:r>
        <w:t xml:space="preserve">, </w:t>
      </w:r>
      <w:r w:rsidR="00B37327">
        <w:t xml:space="preserve">который содержится </w:t>
      </w:r>
      <w:r>
        <w:t xml:space="preserve">в Документе CWG-FHR 8/22, с учетом разработанного </w:t>
      </w:r>
      <w:r w:rsidR="00176A5B">
        <w:t xml:space="preserve">им </w:t>
      </w:r>
      <w:r>
        <w:t>самим проекта пересмотра, представлен</w:t>
      </w:r>
      <w:r w:rsidR="00176A5B">
        <w:t>ного</w:t>
      </w:r>
      <w:r>
        <w:t xml:space="preserve"> в Документе CWG-FHR 8/10. При этом </w:t>
      </w:r>
      <w:r w:rsidR="00176A5B">
        <w:t>должен быть принят</w:t>
      </w:r>
      <w:r>
        <w:t xml:space="preserve"> во внимание опыт реализации Приложения 2 к Решению 5. Секретариат готов оказать Государствам-Членам любое необходимое содействие в этом отношении.</w:t>
      </w:r>
    </w:p>
    <w:p w:rsidR="00067524" w:rsidRPr="00A225C7" w:rsidRDefault="00067524" w:rsidP="008F52BD">
      <w:r>
        <w:t>3.21</w:t>
      </w:r>
      <w:r>
        <w:tab/>
        <w:t xml:space="preserve">Председатель одобрил предложение Секретариата о совместной работе с Российской Федерацией над </w:t>
      </w:r>
      <w:r w:rsidR="000137DC">
        <w:t>сводным</w:t>
      </w:r>
      <w:r>
        <w:t xml:space="preserve"> проектом пересмотра. В ходе этой работы </w:t>
      </w:r>
      <w:r w:rsidR="000137DC">
        <w:t>должны быть</w:t>
      </w:r>
      <w:r>
        <w:t xml:space="preserve"> уч</w:t>
      </w:r>
      <w:r w:rsidR="000137DC">
        <w:t>тены</w:t>
      </w:r>
      <w:r>
        <w:t xml:space="preserve"> соответствующие замечания делегатов. </w:t>
      </w:r>
      <w:r w:rsidR="000137DC">
        <w:t>Сводная редакция</w:t>
      </w:r>
      <w:r>
        <w:t xml:space="preserve"> будет представлена на Совете</w:t>
      </w:r>
      <w:r w:rsidR="00605AE0">
        <w:t xml:space="preserve"> 20</w:t>
      </w:r>
      <w:r>
        <w:t>18</w:t>
      </w:r>
      <w:r w:rsidR="00605AE0">
        <w:t xml:space="preserve"> года</w:t>
      </w:r>
      <w:r>
        <w:t>.</w:t>
      </w:r>
    </w:p>
    <w:p w:rsidR="00067524" w:rsidRPr="00A225C7" w:rsidRDefault="00067524" w:rsidP="008F52BD">
      <w:r>
        <w:t>3.22</w:t>
      </w:r>
      <w:r>
        <w:tab/>
        <w:t>Секретариат перечислил другие рассматриваемые меры повышения экономической эффективности:</w:t>
      </w:r>
    </w:p>
    <w:p w:rsidR="00067524" w:rsidRPr="00A225C7" w:rsidRDefault="00C37ECB" w:rsidP="00CC6D25">
      <w:pPr>
        <w:pStyle w:val="a"/>
      </w:pPr>
      <w:r>
        <w:t>•</w:t>
      </w:r>
      <w:r>
        <w:tab/>
        <w:t>передач</w:t>
      </w:r>
      <w:r w:rsidR="00605AE0">
        <w:t>у</w:t>
      </w:r>
      <w:r>
        <w:t xml:space="preserve"> печати документов на внешний подряд;</w:t>
      </w:r>
    </w:p>
    <w:p w:rsidR="00067524" w:rsidRPr="00A225C7" w:rsidRDefault="00C37ECB" w:rsidP="00CC6D25">
      <w:pPr>
        <w:pStyle w:val="a"/>
      </w:pPr>
      <w:r>
        <w:t>•</w:t>
      </w:r>
      <w:r>
        <w:tab/>
        <w:t>более гибкие требования к найму </w:t>
      </w:r>
      <w:r w:rsidR="00605AE0">
        <w:t>–</w:t>
      </w:r>
      <w:r>
        <w:t xml:space="preserve"> международные контракты на консультирование;</w:t>
      </w:r>
    </w:p>
    <w:p w:rsidR="00067524" w:rsidRPr="00A225C7" w:rsidRDefault="00C37ECB" w:rsidP="00CC6D25">
      <w:pPr>
        <w:pStyle w:val="a"/>
      </w:pPr>
      <w:r>
        <w:t>•</w:t>
      </w:r>
      <w:r>
        <w:tab/>
        <w:t>совмещение мероприятий высокого уровня;</w:t>
      </w:r>
    </w:p>
    <w:p w:rsidR="00067524" w:rsidRPr="00A225C7" w:rsidRDefault="00C37ECB" w:rsidP="00CC6D25">
      <w:pPr>
        <w:pStyle w:val="a"/>
      </w:pPr>
      <w:r>
        <w:t>•</w:t>
      </w:r>
      <w:r>
        <w:tab/>
        <w:t>изучение возможности объединения бюджета Telecom с бюджетом МСЭ и включения персонала Telecom в штат МСЭ при условии, что Государства-Члены примут соответствующее решение;</w:t>
      </w:r>
    </w:p>
    <w:p w:rsidR="00067524" w:rsidRPr="00A225C7" w:rsidRDefault="00C37ECB" w:rsidP="00CC6D25">
      <w:pPr>
        <w:pStyle w:val="a"/>
      </w:pPr>
      <w:r>
        <w:t>•</w:t>
      </w:r>
      <w:r>
        <w:tab/>
        <w:t>сокращение числа командировок;</w:t>
      </w:r>
    </w:p>
    <w:p w:rsidR="00067524" w:rsidRPr="00A225C7" w:rsidRDefault="00C37ECB" w:rsidP="00CC6D25">
      <w:pPr>
        <w:pStyle w:val="a"/>
      </w:pPr>
      <w:r>
        <w:t>•</w:t>
      </w:r>
      <w:r>
        <w:tab/>
        <w:t>обеспечение финансовой поддержки персоналу МСЭ от организаторов сторонних мероприятий;</w:t>
      </w:r>
    </w:p>
    <w:p w:rsidR="00067524" w:rsidRPr="00A225C7" w:rsidRDefault="00C37ECB" w:rsidP="00CC6D25">
      <w:pPr>
        <w:pStyle w:val="a"/>
      </w:pPr>
      <w:r>
        <w:t>•</w:t>
      </w:r>
      <w:r>
        <w:tab/>
        <w:t>устный и письменный перевод </w:t>
      </w:r>
      <w:r w:rsidR="00605AE0">
        <w:t>–</w:t>
      </w:r>
      <w:r>
        <w:t xml:space="preserve"> машинный перевод, дистанционный устный перевод и машинный ввод субтитров на собраниях.</w:t>
      </w:r>
    </w:p>
    <w:p w:rsidR="00067524" w:rsidRPr="00A225C7" w:rsidRDefault="00067524" w:rsidP="008F52BD">
      <w:r>
        <w:t>3.23</w:t>
      </w:r>
      <w:r>
        <w:tab/>
        <w:t xml:space="preserve">Один из делегатов согласился, что Telecom следует увязать с гармонизацией проведения мероприятий, но при этом указал, что бюджет Telecom должен быть по-прежнему отделен от бюджета МСЭ, поскольку это самофинансируемая деятельность, а кроме того, </w:t>
      </w:r>
      <w:r w:rsidR="00384F15">
        <w:t xml:space="preserve">необходимо сократить </w:t>
      </w:r>
      <w:r>
        <w:t>объемы письменного и устного перевода.</w:t>
      </w:r>
    </w:p>
    <w:p w:rsidR="00067524" w:rsidRPr="00A225C7" w:rsidRDefault="0019520B" w:rsidP="008F52BD">
      <w:r>
        <w:rPr>
          <w:b/>
          <w:color w:val="0000FF"/>
        </w:rPr>
        <w:t>Рекомендация</w:t>
      </w:r>
      <w:r>
        <w:rPr>
          <w:color w:val="0000FF"/>
        </w:rPr>
        <w:t>:</w:t>
      </w:r>
      <w:r>
        <w:rPr>
          <w:b/>
        </w:rPr>
        <w:t xml:space="preserve"> </w:t>
      </w:r>
      <w:r>
        <w:t xml:space="preserve">Совету предлагается принять </w:t>
      </w:r>
      <w:r w:rsidR="00207A8D">
        <w:t>к сведению</w:t>
      </w:r>
      <w:r>
        <w:t xml:space="preserve"> </w:t>
      </w:r>
      <w:r w:rsidR="00207A8D">
        <w:t>сводную редакцию</w:t>
      </w:r>
      <w:r>
        <w:t xml:space="preserve"> проекта пересмотра Решения 5 с Приложениями 1 и 2, которая будет представлена в дальнейшем.</w:t>
      </w:r>
    </w:p>
    <w:p w:rsidR="00CC6D25" w:rsidRDefault="00CC6D25">
      <w:pPr>
        <w:tabs>
          <w:tab w:val="clear" w:pos="794"/>
          <w:tab w:val="clear" w:pos="1191"/>
          <w:tab w:val="clear" w:pos="1588"/>
          <w:tab w:val="clear" w:pos="1985"/>
        </w:tabs>
        <w:overflowPunct/>
        <w:autoSpaceDE/>
        <w:autoSpaceDN/>
        <w:adjustRightInd/>
        <w:spacing w:before="0"/>
        <w:textAlignment w:val="auto"/>
        <w:rPr>
          <w:b/>
        </w:rPr>
      </w:pPr>
      <w:r>
        <w:rPr>
          <w:b/>
        </w:rPr>
        <w:br w:type="page"/>
      </w:r>
    </w:p>
    <w:p w:rsidR="00067524" w:rsidRPr="00CC6D25" w:rsidRDefault="00C37ECB" w:rsidP="00CC6D25">
      <w:pPr>
        <w:pStyle w:val="ListParagraph"/>
        <w:spacing w:after="120"/>
        <w:ind w:left="1191" w:hanging="471"/>
        <w:rPr>
          <w:b/>
          <w:bCs/>
          <w:szCs w:val="22"/>
        </w:rPr>
      </w:pPr>
      <w:r w:rsidRPr="00CC6D25">
        <w:rPr>
          <w:b/>
        </w:rPr>
        <w:lastRenderedPageBreak/>
        <w:t>−</w:t>
      </w:r>
      <w:r w:rsidRPr="00CC6D25">
        <w:rPr>
          <w:b/>
        </w:rPr>
        <w:tab/>
        <w:t>Меры</w:t>
      </w:r>
      <w:r w:rsidR="002E0C96" w:rsidRPr="00CC6D25">
        <w:rPr>
          <w:b/>
        </w:rPr>
        <w:t>, направленные на</w:t>
      </w:r>
      <w:r w:rsidRPr="00CC6D25">
        <w:rPr>
          <w:b/>
        </w:rPr>
        <w:t xml:space="preserve"> повышени</w:t>
      </w:r>
      <w:r w:rsidR="002E0C96" w:rsidRPr="00CC6D25">
        <w:rPr>
          <w:b/>
        </w:rPr>
        <w:t>е</w:t>
      </w:r>
      <w:r w:rsidRPr="00CC6D25">
        <w:rPr>
          <w:b/>
        </w:rPr>
        <w:t xml:space="preserve"> эффективности </w:t>
      </w:r>
      <w:r w:rsidR="002E0C96" w:rsidRPr="00CC6D25">
        <w:rPr>
          <w:b/>
        </w:rPr>
        <w:t>–</w:t>
      </w:r>
      <w:r w:rsidRPr="00CC6D25">
        <w:rPr>
          <w:b/>
        </w:rPr>
        <w:t xml:space="preserve"> новый формат </w:t>
      </w:r>
      <w:r w:rsidR="00605AE0">
        <w:rPr>
          <w:b/>
        </w:rPr>
        <w:br/>
      </w:r>
      <w:r w:rsidRPr="00CC6D25">
        <w:rPr>
          <w:b/>
        </w:rPr>
        <w:t xml:space="preserve">(Документ </w:t>
      </w:r>
      <w:hyperlink r:id="rId35">
        <w:r w:rsidRPr="00CC6D25">
          <w:rPr>
            <w:rStyle w:val="Hyperlink"/>
            <w:b/>
          </w:rPr>
          <w:t>CWG-FHR 8/6</w:t>
        </w:r>
      </w:hyperlink>
      <w:r w:rsidRPr="00CC6D25">
        <w:rPr>
          <w:b/>
        </w:rPr>
        <w:t>)</w:t>
      </w:r>
    </w:p>
    <w:p w:rsidR="00067524" w:rsidRPr="00A225C7" w:rsidRDefault="00067524" w:rsidP="008F52BD">
      <w:r>
        <w:t>3.24</w:t>
      </w:r>
      <w:r>
        <w:tab/>
        <w:t>Секретариат представил обновленную информацию о реализации тридцати (30) мер, направленных на повышение эффективности, которые изложены в Приложении 2 к Решению 5 (</w:t>
      </w:r>
      <w:proofErr w:type="spellStart"/>
      <w:r>
        <w:t>Пересм</w:t>
      </w:r>
      <w:proofErr w:type="spellEnd"/>
      <w:r>
        <w:t xml:space="preserve">. </w:t>
      </w:r>
      <w:proofErr w:type="spellStart"/>
      <w:r>
        <w:t>Пусан</w:t>
      </w:r>
      <w:proofErr w:type="spellEnd"/>
      <w:r>
        <w:t>, 2014 г</w:t>
      </w:r>
      <w:r w:rsidR="00605AE0">
        <w:t>од</w:t>
      </w:r>
      <w:r>
        <w:t>).</w:t>
      </w:r>
    </w:p>
    <w:p w:rsidR="00067524" w:rsidRPr="00A225C7" w:rsidRDefault="00067524" w:rsidP="009753DF">
      <w:r>
        <w:t>3.25</w:t>
      </w:r>
      <w:r>
        <w:tab/>
      </w:r>
      <w:proofErr w:type="gramStart"/>
      <w:r>
        <w:t>В</w:t>
      </w:r>
      <w:proofErr w:type="gramEnd"/>
      <w:r>
        <w:t xml:space="preserve"> качестве положительн</w:t>
      </w:r>
      <w:r w:rsidR="002E0C96">
        <w:t>ых</w:t>
      </w:r>
      <w:r>
        <w:t xml:space="preserve"> результат</w:t>
      </w:r>
      <w:r w:rsidR="002E0C96">
        <w:t>ов</w:t>
      </w:r>
      <w:r>
        <w:t xml:space="preserve"> этих мер ожидается экономия в размере 24,4</w:t>
      </w:r>
      <w:r w:rsidR="002E0C96">
        <w:t> </w:t>
      </w:r>
      <w:r>
        <w:t>м</w:t>
      </w:r>
      <w:r w:rsidR="002E0C96">
        <w:t>лн.</w:t>
      </w:r>
      <w:r>
        <w:t xml:space="preserve"> швейцарских франков в 2014−2015 годах и дополнительная экономия в размере 17</w:t>
      </w:r>
      <w:r w:rsidR="002E0C96">
        <w:t> </w:t>
      </w:r>
      <w:r>
        <w:t>м</w:t>
      </w:r>
      <w:r w:rsidR="002E0C96">
        <w:t>лн.</w:t>
      </w:r>
      <w:r>
        <w:t xml:space="preserve"> швейцарских франков в 2016−2017 годах. В 2018−2019 годах (в соответствии с решением Совета</w:t>
      </w:r>
      <w:r w:rsidR="00605AE0">
        <w:t xml:space="preserve"> 20</w:t>
      </w:r>
      <w:r>
        <w:t>17</w:t>
      </w:r>
      <w:r w:rsidR="00605AE0">
        <w:t> года</w:t>
      </w:r>
      <w:r>
        <w:t>) прогнозируется дальнейшая экономия в размере 13,3</w:t>
      </w:r>
      <w:r w:rsidR="00476577">
        <w:t> </w:t>
      </w:r>
      <w:r>
        <w:t>м</w:t>
      </w:r>
      <w:r w:rsidR="00476577">
        <w:t>лн.</w:t>
      </w:r>
      <w:r>
        <w:t xml:space="preserve"> швейцарских франков как следствие различных мер по повышению эффективности (программа добровольного прекращения службы и доля вакантных должностей на уровне 5%). Общая сумма сэкономленных средств за период с 2014 по 2019 год </w:t>
      </w:r>
      <w:r w:rsidR="00476577">
        <w:t>превысит</w:t>
      </w:r>
      <w:r>
        <w:t xml:space="preserve"> 54,7</w:t>
      </w:r>
      <w:r w:rsidR="00476577">
        <w:t> </w:t>
      </w:r>
      <w:r>
        <w:t>м</w:t>
      </w:r>
      <w:r w:rsidR="00476577">
        <w:t>лн.</w:t>
      </w:r>
      <w:r>
        <w:t xml:space="preserve"> швейцарских франков.</w:t>
      </w:r>
    </w:p>
    <w:p w:rsidR="00067524" w:rsidRPr="00A225C7" w:rsidRDefault="00067524" w:rsidP="008F52BD">
      <w:r>
        <w:t>3.26</w:t>
      </w:r>
      <w:r>
        <w:tab/>
        <w:t>Дополнительная экономия может быть обеспечена за счет дальнейших мер по централизации финансовых и административных задач, совмещению мероприятий и сокращению числа командировок.</w:t>
      </w:r>
    </w:p>
    <w:p w:rsidR="00067524" w:rsidRPr="00A225C7" w:rsidRDefault="00067524" w:rsidP="008F52BD">
      <w:r>
        <w:t>3.27</w:t>
      </w:r>
      <w:r>
        <w:tab/>
        <w:t xml:space="preserve">Выработка новых и инновационных мер </w:t>
      </w:r>
      <w:r w:rsidR="00476577">
        <w:t xml:space="preserve">по </w:t>
      </w:r>
      <w:r>
        <w:t>повышени</w:t>
      </w:r>
      <w:r w:rsidR="00476577">
        <w:t>ю</w:t>
      </w:r>
      <w:r>
        <w:t xml:space="preserve"> эффективности поможет </w:t>
      </w:r>
      <w:r w:rsidR="00476577">
        <w:t>с</w:t>
      </w:r>
      <w:r>
        <w:t xml:space="preserve">балансировать бюджет в будущем и </w:t>
      </w:r>
      <w:r w:rsidR="00476577">
        <w:t>будет с</w:t>
      </w:r>
      <w:r>
        <w:t>пособств</w:t>
      </w:r>
      <w:r w:rsidR="00476577">
        <w:t>овать</w:t>
      </w:r>
      <w:r>
        <w:t xml:space="preserve"> оптимизации использования финансовых ресурсов Союза.</w:t>
      </w:r>
    </w:p>
    <w:p w:rsidR="00067524" w:rsidRPr="00A225C7" w:rsidRDefault="00067524" w:rsidP="008F52BD">
      <w:r>
        <w:t>3.28</w:t>
      </w:r>
      <w:r>
        <w:tab/>
        <w:t>Ряд делегатов выразил</w:t>
      </w:r>
      <w:r w:rsidR="00605AE0">
        <w:t>и</w:t>
      </w:r>
      <w:r>
        <w:t xml:space="preserve"> признательность Секретариату за </w:t>
      </w:r>
      <w:r w:rsidR="00C3584D">
        <w:t>огромную</w:t>
      </w:r>
      <w:r>
        <w:t xml:space="preserve"> экономию, которая была описана выше. В ответ на </w:t>
      </w:r>
      <w:r w:rsidR="00C3584D">
        <w:t xml:space="preserve">заданный некоторыми делегатами </w:t>
      </w:r>
      <w:r>
        <w:t>вопрос о том, почему для отдельных мер не указан</w:t>
      </w:r>
      <w:r w:rsidR="00605AE0">
        <w:t xml:space="preserve"> </w:t>
      </w:r>
      <w:r w:rsidR="00C3584D">
        <w:t xml:space="preserve">соответствующий </w:t>
      </w:r>
      <w:r>
        <w:t xml:space="preserve">размер экономии, Секретариат пояснил, что часть </w:t>
      </w:r>
      <w:r w:rsidR="0005300D">
        <w:t>этих мер</w:t>
      </w:r>
      <w:r>
        <w:t xml:space="preserve"> уже реализован</w:t>
      </w:r>
      <w:r w:rsidR="00DD0762">
        <w:t>а</w:t>
      </w:r>
      <w:r>
        <w:t xml:space="preserve"> или включен</w:t>
      </w:r>
      <w:r w:rsidR="00DD0762">
        <w:t>а</w:t>
      </w:r>
      <w:r>
        <w:t xml:space="preserve"> в состав других мер. Если возможность для дальнейшей экономии отсутствует, Секретариат предлагает изъять соответствующий пункт и заменить его другой мерой.</w:t>
      </w:r>
    </w:p>
    <w:p w:rsidR="00067524" w:rsidRPr="00A225C7" w:rsidRDefault="00067524" w:rsidP="008F52BD">
      <w:r>
        <w:t>3.29</w:t>
      </w:r>
      <w:r>
        <w:tab/>
        <w:t xml:space="preserve">В ответ на вопрос </w:t>
      </w:r>
      <w:r w:rsidR="0097780E">
        <w:t>об экспериментальном</w:t>
      </w:r>
      <w:r>
        <w:t xml:space="preserve"> проекте по</w:t>
      </w:r>
      <w:r w:rsidR="0097780E">
        <w:t xml:space="preserve"> письменному</w:t>
      </w:r>
      <w:r>
        <w:t xml:space="preserve"> переводу Секретариат проинформировал делегатов, что переведенные документы приходилось пересылать в Секцию перевод</w:t>
      </w:r>
      <w:r w:rsidR="0097780E">
        <w:t>ов</w:t>
      </w:r>
      <w:r>
        <w:t xml:space="preserve"> МСЭ, что приводило к росту первоначальных затрат и задержек. Секретариат </w:t>
      </w:r>
      <w:r w:rsidR="0097780E">
        <w:t>указал на возможность того, что</w:t>
      </w:r>
      <w:r>
        <w:t xml:space="preserve"> Государства-Член</w:t>
      </w:r>
      <w:r w:rsidR="0097780E">
        <w:t>ы будут</w:t>
      </w:r>
      <w:r>
        <w:t xml:space="preserve"> оцени</w:t>
      </w:r>
      <w:r w:rsidR="0097780E">
        <w:t>вать</w:t>
      </w:r>
      <w:r>
        <w:t xml:space="preserve"> качество перевод</w:t>
      </w:r>
      <w:r w:rsidR="0097780E">
        <w:t>а</w:t>
      </w:r>
      <w:r w:rsidR="00605AE0">
        <w:t>,</w:t>
      </w:r>
      <w:r>
        <w:t xml:space="preserve"> и если оно будет сочтено удовлетворительным, </w:t>
      </w:r>
      <w:r w:rsidR="008F5D92">
        <w:t>то переведенные</w:t>
      </w:r>
      <w:r>
        <w:t xml:space="preserve"> документы </w:t>
      </w:r>
      <w:r w:rsidR="008F5D92">
        <w:t>будут публиковаться на веб-сайте либо соответствующим</w:t>
      </w:r>
      <w:r>
        <w:t xml:space="preserve"> Государств</w:t>
      </w:r>
      <w:r w:rsidR="008F5D92">
        <w:t xml:space="preserve">ом-Членом, либо </w:t>
      </w:r>
      <w:r>
        <w:t>непосредственно Секретариат</w:t>
      </w:r>
      <w:r w:rsidR="003C6023">
        <w:t>ом</w:t>
      </w:r>
      <w:r>
        <w:t xml:space="preserve"> МСЭ. На этот счет РГС-ЯЗ вынесет рекомендацию Совету.</w:t>
      </w:r>
    </w:p>
    <w:p w:rsidR="00067524" w:rsidRPr="00A225C7" w:rsidRDefault="0019520B" w:rsidP="008F52BD">
      <w:r>
        <w:rPr>
          <w:b/>
          <w:color w:val="0000FF"/>
        </w:rPr>
        <w:t>Рекомендация</w:t>
      </w:r>
      <w:r>
        <w:rPr>
          <w:color w:val="0000FF"/>
        </w:rPr>
        <w:t>:</w:t>
      </w:r>
      <w:r>
        <w:rPr>
          <w:b/>
        </w:rPr>
        <w:t xml:space="preserve"> </w:t>
      </w:r>
      <w:r>
        <w:t xml:space="preserve">Совету предлагается принять </w:t>
      </w:r>
      <w:r w:rsidR="006474BE">
        <w:t>к сведению</w:t>
      </w:r>
      <w:r>
        <w:t xml:space="preserve"> Документ CWG-FHR 8/6.</w:t>
      </w:r>
    </w:p>
    <w:p w:rsidR="00067524" w:rsidRPr="00CC6D25" w:rsidRDefault="00C37ECB" w:rsidP="00CC6D25">
      <w:pPr>
        <w:pStyle w:val="ListParagraph"/>
        <w:spacing w:before="240" w:after="120"/>
        <w:ind w:left="1191" w:hanging="471"/>
        <w:rPr>
          <w:rFonts w:cs="Calibri"/>
          <w:b/>
          <w:bCs/>
          <w:szCs w:val="22"/>
        </w:rPr>
      </w:pPr>
      <w:r w:rsidRPr="00CC6D25">
        <w:rPr>
          <w:b/>
        </w:rPr>
        <w:t>−</w:t>
      </w:r>
      <w:r w:rsidRPr="00CC6D25">
        <w:rPr>
          <w:b/>
        </w:rPr>
        <w:tab/>
        <w:t>Вклад Российской Федерации, Республики Армени</w:t>
      </w:r>
      <w:r w:rsidR="00605AE0">
        <w:rPr>
          <w:b/>
        </w:rPr>
        <w:t>я</w:t>
      </w:r>
      <w:r w:rsidRPr="00CC6D25">
        <w:rPr>
          <w:b/>
        </w:rPr>
        <w:t>, Азербайджанской Республики, Республики Беларусь и Кыргызской Республики: Проект пересмотренной Резолюции 41 </w:t>
      </w:r>
      <w:r w:rsidR="00410BE7" w:rsidRPr="00CC6D25">
        <w:rPr>
          <w:b/>
        </w:rPr>
        <w:t>–</w:t>
      </w:r>
      <w:r w:rsidRPr="00CC6D25">
        <w:rPr>
          <w:b/>
        </w:rPr>
        <w:t xml:space="preserve"> Задолженности и специальные счета задолженностей </w:t>
      </w:r>
      <w:r w:rsidR="00CC6D25">
        <w:rPr>
          <w:b/>
        </w:rPr>
        <w:br/>
      </w:r>
      <w:r w:rsidRPr="00CC6D25">
        <w:rPr>
          <w:b/>
        </w:rPr>
        <w:t xml:space="preserve">(Документ </w:t>
      </w:r>
      <w:hyperlink r:id="rId36">
        <w:r w:rsidRPr="00CC6D25">
          <w:rPr>
            <w:rStyle w:val="Hyperlink"/>
            <w:b/>
          </w:rPr>
          <w:t>CWG-FHR 8/21</w:t>
        </w:r>
      </w:hyperlink>
      <w:r w:rsidRPr="00CC6D25">
        <w:rPr>
          <w:b/>
        </w:rPr>
        <w:t>)</w:t>
      </w:r>
    </w:p>
    <w:p w:rsidR="00067524" w:rsidRPr="00A225C7" w:rsidRDefault="00067524" w:rsidP="008F52BD">
      <w:r>
        <w:t>3.30</w:t>
      </w:r>
      <w:r>
        <w:tab/>
        <w:t>Документ представил делегат от Российской Федерации.</w:t>
      </w:r>
    </w:p>
    <w:p w:rsidR="00067524" w:rsidRPr="00A225C7" w:rsidRDefault="00067524" w:rsidP="008F52BD">
      <w:r>
        <w:t>3.31</w:t>
      </w:r>
      <w:r>
        <w:tab/>
        <w:t>Были внесены следующие предложения:</w:t>
      </w:r>
    </w:p>
    <w:p w:rsidR="00067524" w:rsidRPr="00A225C7" w:rsidRDefault="00C37ECB" w:rsidP="00CC6D25">
      <w:pPr>
        <w:pStyle w:val="a"/>
      </w:pPr>
      <w:r>
        <w:t>•</w:t>
      </w:r>
      <w:r>
        <w:tab/>
        <w:t>продолж</w:t>
      </w:r>
      <w:r w:rsidR="00410BE7">
        <w:t>а</w:t>
      </w:r>
      <w:r>
        <w:t>ть принимать все</w:t>
      </w:r>
      <w:r w:rsidR="00410BE7">
        <w:t xml:space="preserve"> возможные</w:t>
      </w:r>
      <w:r>
        <w:t xml:space="preserve"> меры для уменьшения все</w:t>
      </w:r>
      <w:r w:rsidR="00410BE7">
        <w:t xml:space="preserve">х </w:t>
      </w:r>
      <w:r>
        <w:t>видов задолженностей, которые снижают финансовую устойчивость Союза;</w:t>
      </w:r>
    </w:p>
    <w:p w:rsidR="00067524" w:rsidRPr="00A225C7" w:rsidRDefault="00C37ECB" w:rsidP="00CC6D25">
      <w:pPr>
        <w:pStyle w:val="a"/>
      </w:pPr>
      <w:r>
        <w:t>•</w:t>
      </w:r>
      <w:r>
        <w:tab/>
        <w:t xml:space="preserve">рассмотреть на ПК-18 возможность установить верхний допустимый уровень процентов, начисляемых по долгам, начиная с четвертого месяца каждого финансового года МСЭ в размере 3% годовых в течение трех следующих месяцев и </w:t>
      </w:r>
      <w:r w:rsidR="00410BE7">
        <w:t xml:space="preserve">в размере </w:t>
      </w:r>
      <w:r>
        <w:t>6% годовых </w:t>
      </w:r>
      <w:r w:rsidR="00410BE7">
        <w:t>–</w:t>
      </w:r>
      <w:r>
        <w:t xml:space="preserve"> начиная с седьмого месяца;</w:t>
      </w:r>
    </w:p>
    <w:p w:rsidR="00067524" w:rsidRPr="00A225C7" w:rsidRDefault="00C37ECB" w:rsidP="00CC6D25">
      <w:pPr>
        <w:pStyle w:val="a"/>
      </w:pPr>
      <w:r>
        <w:lastRenderedPageBreak/>
        <w:t>•</w:t>
      </w:r>
      <w:r>
        <w:tab/>
        <w:t xml:space="preserve">решением ПК-18 дать право Совету МСЭ в </w:t>
      </w:r>
      <w:r w:rsidR="00410BE7">
        <w:t xml:space="preserve">период </w:t>
      </w:r>
      <w:r>
        <w:t>2020</w:t>
      </w:r>
      <w:r w:rsidR="00410BE7">
        <w:t>–</w:t>
      </w:r>
      <w:r>
        <w:t>2023 г</w:t>
      </w:r>
      <w:r w:rsidR="00410BE7">
        <w:t>одов</w:t>
      </w:r>
      <w:r>
        <w:t xml:space="preserve"> </w:t>
      </w:r>
      <w:r w:rsidR="00410BE7">
        <w:t xml:space="preserve">на временной экспериментальной основе </w:t>
      </w:r>
      <w:r>
        <w:t xml:space="preserve">устанавливать </w:t>
      </w:r>
      <w:r w:rsidR="00862F23">
        <w:t xml:space="preserve">другой </w:t>
      </w:r>
      <w:r>
        <w:t>размер процентов, начисляемых на задолженность по просроченным взносам;</w:t>
      </w:r>
    </w:p>
    <w:p w:rsidR="00067524" w:rsidRPr="00A225C7" w:rsidRDefault="00862F23" w:rsidP="00CC6D25">
      <w:pPr>
        <w:pStyle w:val="a"/>
      </w:pPr>
      <w:r>
        <w:t>•</w:t>
      </w:r>
      <w:r>
        <w:tab/>
        <w:t xml:space="preserve">оформить предлагаемый проект </w:t>
      </w:r>
      <w:r w:rsidR="00C37ECB">
        <w:t>Руководящих указаний, касающихся графиков погашения задолженностей и специальных счетов задолженностей</w:t>
      </w:r>
      <w:r w:rsidR="00605AE0">
        <w:t>,</w:t>
      </w:r>
      <w:r w:rsidR="00C37ECB">
        <w:t xml:space="preserve"> в качестве Приложения к Резолюции 41.</w:t>
      </w:r>
    </w:p>
    <w:p w:rsidR="00067524" w:rsidRPr="00A225C7" w:rsidRDefault="00067524" w:rsidP="00ED280C">
      <w:r>
        <w:t>3.32</w:t>
      </w:r>
      <w:r>
        <w:tab/>
        <w:t>Некоторые делегаты поддержали предложения Российской Федерации</w:t>
      </w:r>
      <w:r w:rsidR="00862F23">
        <w:t>,</w:t>
      </w:r>
      <w:r>
        <w:t xml:space="preserve"> </w:t>
      </w:r>
      <w:r w:rsidR="00862F23">
        <w:t>однако</w:t>
      </w:r>
      <w:r>
        <w:t xml:space="preserve"> другие выразили </w:t>
      </w:r>
      <w:r w:rsidR="00862F23">
        <w:t>обеспокоенность</w:t>
      </w:r>
      <w:r>
        <w:t xml:space="preserve"> и </w:t>
      </w:r>
      <w:r w:rsidR="00862F23">
        <w:t>сделали оговорки в отношении</w:t>
      </w:r>
      <w:r>
        <w:t xml:space="preserve"> этих предложений, </w:t>
      </w:r>
      <w:r w:rsidR="00862F23">
        <w:t>из которых может</w:t>
      </w:r>
      <w:r>
        <w:t xml:space="preserve"> вытекать необходимост</w:t>
      </w:r>
      <w:r w:rsidR="00862F23">
        <w:t>ь</w:t>
      </w:r>
      <w:r>
        <w:t xml:space="preserve"> вн</w:t>
      </w:r>
      <w:r w:rsidR="00862F23">
        <w:t>есения</w:t>
      </w:r>
      <w:r>
        <w:t xml:space="preserve"> изменени</w:t>
      </w:r>
      <w:r w:rsidR="00862F23">
        <w:t>й</w:t>
      </w:r>
      <w:r>
        <w:t xml:space="preserve"> в Конвенцию.</w:t>
      </w:r>
    </w:p>
    <w:p w:rsidR="00067524" w:rsidRPr="00A225C7" w:rsidRDefault="00067524" w:rsidP="00ED280C">
      <w:r>
        <w:t>3.33</w:t>
      </w:r>
      <w:r>
        <w:tab/>
        <w:t>Секретариат разъяснил, что</w:t>
      </w:r>
      <w:r w:rsidR="00FB1C3A">
        <w:t xml:space="preserve"> в</w:t>
      </w:r>
      <w:r>
        <w:t xml:space="preserve"> п</w:t>
      </w:r>
      <w:r w:rsidR="00605AE0">
        <w:t>ункте</w:t>
      </w:r>
      <w:r>
        <w:t xml:space="preserve"> 474 Конвенции МСЭ четко </w:t>
      </w:r>
      <w:r w:rsidR="00FB1C3A">
        <w:t>устанавливается применяемый</w:t>
      </w:r>
      <w:r>
        <w:t xml:space="preserve"> фиксированный процент. Вышеупомянутое предложение указывает, что этот процент следует рассматривать как верхний предел, а не фиксированное значение. Изменение таких положений Конвенции находится в компетенции ПК-18. Реализация предложения об изменении начисляемого процента может вызвать проблемы с движением денежных средств. Для должников столь низкая процентная ставка служит стимулом к задержке уплаты взносов.</w:t>
      </w:r>
    </w:p>
    <w:p w:rsidR="00067524" w:rsidRPr="00A225C7" w:rsidRDefault="00067524" w:rsidP="00ED280C">
      <w:r>
        <w:t>3.34</w:t>
      </w:r>
      <w:r>
        <w:tab/>
        <w:t xml:space="preserve">Отметив, </w:t>
      </w:r>
      <w:r w:rsidR="00605AE0">
        <w:t xml:space="preserve">что </w:t>
      </w:r>
      <w:r w:rsidR="002E323B">
        <w:t>представленные предложения получили поддержку со стороны некоторых делегатов, но вызвали обеспокоенность у других</w:t>
      </w:r>
      <w:r>
        <w:t xml:space="preserve">, Председатель предложил Российской Федерации обсудить с Секретариатом возможность </w:t>
      </w:r>
      <w:r w:rsidR="00435AC4">
        <w:t>внесения поправок в</w:t>
      </w:r>
      <w:r>
        <w:t xml:space="preserve"> ее предложени</w:t>
      </w:r>
      <w:r w:rsidR="00435AC4">
        <w:t>я</w:t>
      </w:r>
      <w:r>
        <w:t xml:space="preserve">, с тем чтобы они не противоречили Конвенции МСЭ. Внесения изменений в Конвенцию следует избегать, чтобы избавить некоторые Государства-Члены от необходимости </w:t>
      </w:r>
      <w:r w:rsidR="001F6AD9">
        <w:t>прохождения</w:t>
      </w:r>
      <w:r>
        <w:t xml:space="preserve"> тяжел</w:t>
      </w:r>
      <w:r w:rsidR="001F6AD9">
        <w:t>ого</w:t>
      </w:r>
      <w:r>
        <w:t xml:space="preserve"> процесс</w:t>
      </w:r>
      <w:r w:rsidR="001F6AD9">
        <w:t>а</w:t>
      </w:r>
      <w:r>
        <w:t xml:space="preserve"> ратификации, предписываем</w:t>
      </w:r>
      <w:r w:rsidR="001F6AD9">
        <w:t>ого</w:t>
      </w:r>
      <w:r>
        <w:t xml:space="preserve"> их национальным законодательством.</w:t>
      </w:r>
    </w:p>
    <w:p w:rsidR="00067524" w:rsidRPr="00A225C7" w:rsidRDefault="0019520B" w:rsidP="00ED280C">
      <w:r>
        <w:rPr>
          <w:b/>
          <w:color w:val="0000FF"/>
        </w:rPr>
        <w:t>Рекомендация</w:t>
      </w:r>
      <w:r>
        <w:rPr>
          <w:color w:val="0000FF"/>
        </w:rPr>
        <w:t>:</w:t>
      </w:r>
      <w:r>
        <w:rPr>
          <w:b/>
        </w:rPr>
        <w:t xml:space="preserve"> </w:t>
      </w:r>
      <w:r>
        <w:t xml:space="preserve">Совету предлагается принять </w:t>
      </w:r>
      <w:r w:rsidR="009E310F">
        <w:t>к сведению</w:t>
      </w:r>
      <w:r>
        <w:t xml:space="preserve"> пересмотренное предложение Российской Федерации по проекту пересмотра Резолюции 41, которое будет представлено в дальнейшем.</w:t>
      </w:r>
    </w:p>
    <w:p w:rsidR="00067524" w:rsidRPr="00CC6D25" w:rsidRDefault="00067524" w:rsidP="00390236">
      <w:pPr>
        <w:pStyle w:val="Heading1"/>
        <w:rPr>
          <w:rFonts w:cs="Calibri"/>
          <w:sz w:val="22"/>
          <w:szCs w:val="22"/>
        </w:rPr>
      </w:pPr>
      <w:r w:rsidRPr="00CC6D25">
        <w:rPr>
          <w:sz w:val="22"/>
          <w:szCs w:val="22"/>
        </w:rPr>
        <w:t>4</w:t>
      </w:r>
      <w:r w:rsidRPr="00CC6D25">
        <w:rPr>
          <w:sz w:val="22"/>
          <w:szCs w:val="22"/>
        </w:rPr>
        <w:tab/>
      </w:r>
      <w:r w:rsidRPr="00CC6D25">
        <w:rPr>
          <w:rFonts w:asciiTheme="minorHAnsi" w:hAnsiTheme="minorHAnsi"/>
          <w:sz w:val="22"/>
          <w:szCs w:val="22"/>
        </w:rPr>
        <w:t xml:space="preserve">Результаты ВКРЭ-17, имеющие финансовые последствия: </w:t>
      </w:r>
      <w:r w:rsidR="00323BFF" w:rsidRPr="00CC6D25">
        <w:rPr>
          <w:sz w:val="22"/>
          <w:szCs w:val="22"/>
        </w:rPr>
        <w:t>О</w:t>
      </w:r>
      <w:r w:rsidRPr="00CC6D25">
        <w:rPr>
          <w:sz w:val="22"/>
          <w:szCs w:val="22"/>
        </w:rPr>
        <w:t>тчет Комитета по</w:t>
      </w:r>
      <w:r w:rsidR="00323BFF" w:rsidRPr="00CC6D25">
        <w:rPr>
          <w:sz w:val="22"/>
          <w:szCs w:val="22"/>
        </w:rPr>
        <w:t> </w:t>
      </w:r>
      <w:r w:rsidRPr="00CC6D25">
        <w:rPr>
          <w:sz w:val="22"/>
          <w:szCs w:val="22"/>
        </w:rPr>
        <w:t xml:space="preserve">бюджетному контролю (Комитет 2) пленарному заседанию (Документ </w:t>
      </w:r>
      <w:hyperlink r:id="rId37">
        <w:r w:rsidRPr="00CC6D25">
          <w:rPr>
            <w:rStyle w:val="Hyperlink"/>
            <w:sz w:val="22"/>
            <w:szCs w:val="22"/>
          </w:rPr>
          <w:t>CWG-FHR 8/2</w:t>
        </w:r>
      </w:hyperlink>
      <w:r w:rsidRPr="00CC6D25">
        <w:rPr>
          <w:sz w:val="22"/>
          <w:szCs w:val="22"/>
        </w:rPr>
        <w:t>)</w:t>
      </w:r>
    </w:p>
    <w:p w:rsidR="00067524" w:rsidRPr="00A225C7" w:rsidRDefault="00067524" w:rsidP="00ED280C">
      <w:r>
        <w:t>4.1</w:t>
      </w:r>
      <w:r>
        <w:tab/>
        <w:t xml:space="preserve">Секретариат представил отчет Комитета по бюджетному контролю ВКРЭ-17, содержащийся в Документе WTDC-17/85 и </w:t>
      </w:r>
      <w:hyperlink r:id="rId38">
        <w:r>
          <w:rPr>
            <w:rStyle w:val="Hyperlink"/>
          </w:rPr>
          <w:t>Документе C18/INF/1</w:t>
        </w:r>
      </w:hyperlink>
      <w:r>
        <w:t>.</w:t>
      </w:r>
    </w:p>
    <w:p w:rsidR="00067524" w:rsidRPr="00A225C7" w:rsidRDefault="00067524" w:rsidP="00ED280C">
      <w:r>
        <w:t>4.2</w:t>
      </w:r>
      <w:r>
        <w:tab/>
        <w:t xml:space="preserve">В отношении финансовой ответственности конференций внимание Комитета 2 было </w:t>
      </w:r>
      <w:r w:rsidR="00323BFF">
        <w:t>акцентировано на</w:t>
      </w:r>
      <w:r>
        <w:t xml:space="preserve"> п</w:t>
      </w:r>
      <w:r w:rsidR="00605AE0">
        <w:t>ункте</w:t>
      </w:r>
      <w:r>
        <w:t xml:space="preserve"> 142 Статьи 22 </w:t>
      </w:r>
      <w:r w:rsidR="000D6D97">
        <w:t>Устава</w:t>
      </w:r>
      <w:r w:rsidR="00605AE0">
        <w:t xml:space="preserve"> МСЭ, пункте</w:t>
      </w:r>
      <w:r>
        <w:t> 488 Статьи 34 Конвенции МСЭ и Резолюции 72 (</w:t>
      </w:r>
      <w:proofErr w:type="spellStart"/>
      <w:r w:rsidR="000D6D97">
        <w:t>П</w:t>
      </w:r>
      <w:r>
        <w:t>ересм</w:t>
      </w:r>
      <w:proofErr w:type="spellEnd"/>
      <w:r>
        <w:t xml:space="preserve">. </w:t>
      </w:r>
      <w:proofErr w:type="spellStart"/>
      <w:r>
        <w:t>Пусан</w:t>
      </w:r>
      <w:proofErr w:type="spellEnd"/>
      <w:r>
        <w:t>, 2014 г</w:t>
      </w:r>
      <w:r w:rsidR="00605AE0">
        <w:t>од</w:t>
      </w:r>
      <w:r>
        <w:t>).</w:t>
      </w:r>
    </w:p>
    <w:p w:rsidR="00067524" w:rsidRPr="00A225C7" w:rsidRDefault="00067524" w:rsidP="008D0AC2">
      <w:r>
        <w:t>4.3</w:t>
      </w:r>
      <w:r>
        <w:tab/>
        <w:t>Бюджет ВКРЭ-17 на 2016–2017 г</w:t>
      </w:r>
      <w:r w:rsidR="000D6D97">
        <w:t>оды</w:t>
      </w:r>
      <w:r>
        <w:t xml:space="preserve"> был утвержден Советом</w:t>
      </w:r>
      <w:r w:rsidR="00605AE0">
        <w:t xml:space="preserve"> 20</w:t>
      </w:r>
      <w:r>
        <w:t xml:space="preserve">15 </w:t>
      </w:r>
      <w:r w:rsidR="00605AE0">
        <w:t xml:space="preserve">года </w:t>
      </w:r>
      <w:r>
        <w:t>в размере 2 184 000</w:t>
      </w:r>
      <w:r w:rsidR="008D0AC2">
        <w:t> </w:t>
      </w:r>
      <w:r>
        <w:t>швейцарских франков (</w:t>
      </w:r>
      <w:r w:rsidR="000D6D97">
        <w:t xml:space="preserve">расходы в размере </w:t>
      </w:r>
      <w:r>
        <w:t>1 026 000 швейцарских франков плюс затрат</w:t>
      </w:r>
      <w:r w:rsidR="004A1161">
        <w:t>ы</w:t>
      </w:r>
      <w:r>
        <w:t xml:space="preserve"> на документацию в </w:t>
      </w:r>
      <w:r w:rsidR="004A1161">
        <w:t>размере</w:t>
      </w:r>
      <w:r>
        <w:t xml:space="preserve"> 1 158 000 швейцарских франков).</w:t>
      </w:r>
    </w:p>
    <w:p w:rsidR="00067524" w:rsidRPr="00A225C7" w:rsidRDefault="00067524" w:rsidP="00ED280C">
      <w:r>
        <w:t>4.4</w:t>
      </w:r>
      <w:r>
        <w:tab/>
        <w:t xml:space="preserve">Председатель Комитета по бюджетному контролю ВКРЭ-17 упомянул, что </w:t>
      </w:r>
      <w:r w:rsidR="004A1161">
        <w:t>на</w:t>
      </w:r>
      <w:r>
        <w:t xml:space="preserve"> кажд</w:t>
      </w:r>
      <w:r w:rsidR="000442A2">
        <w:t>ый</w:t>
      </w:r>
      <w:r>
        <w:t xml:space="preserve"> из шести регионов (Африка, Северная и Южная Америка, арабские государства, Азиатско-Тихоокеанский регион, СНГ и Европа) </w:t>
      </w:r>
      <w:r w:rsidR="000442A2">
        <w:t>приходится по</w:t>
      </w:r>
      <w:r>
        <w:t xml:space="preserve"> пять региональных инициатив. Для каждого региона </w:t>
      </w:r>
      <w:r w:rsidR="000442A2">
        <w:t>установлено</w:t>
      </w:r>
      <w:r>
        <w:t xml:space="preserve"> начальное финансирование в размере 1 250 000 швейцарских франков в год, что составляет в сумме 30 м</w:t>
      </w:r>
      <w:r w:rsidR="009C4E4F">
        <w:t>лн.</w:t>
      </w:r>
      <w:r>
        <w:t xml:space="preserve"> </w:t>
      </w:r>
      <w:r w:rsidR="009C4E4F">
        <w:t xml:space="preserve">швейцарских франков на период </w:t>
      </w:r>
      <w:r>
        <w:t>2018</w:t>
      </w:r>
      <w:r w:rsidR="009C4E4F">
        <w:t>–</w:t>
      </w:r>
      <w:r>
        <w:t>2021 г</w:t>
      </w:r>
      <w:r w:rsidR="009C4E4F">
        <w:t>од</w:t>
      </w:r>
      <w:r w:rsidR="00B52FB2">
        <w:t>ов</w:t>
      </w:r>
      <w:r>
        <w:t>. Предполагается, что это начальное финансирование позволит изыскать средства на реализацию Региональных инициатив за счет спонсорства и партнерства в шести регионах.</w:t>
      </w:r>
    </w:p>
    <w:p w:rsidR="00067524" w:rsidRPr="00A225C7" w:rsidRDefault="00067524" w:rsidP="00ED280C">
      <w:r>
        <w:t>4.5</w:t>
      </w:r>
      <w:r>
        <w:tab/>
        <w:t xml:space="preserve">Некоторые делегаты подчеркнули важность реализации Региональных инициатив, которые </w:t>
      </w:r>
      <w:r w:rsidR="002A6503">
        <w:t>весьма полезны</w:t>
      </w:r>
      <w:r>
        <w:t xml:space="preserve"> для развивающихся стран.</w:t>
      </w:r>
    </w:p>
    <w:p w:rsidR="00067524" w:rsidRPr="00A225C7" w:rsidRDefault="00067524" w:rsidP="00ED280C">
      <w:r>
        <w:t>4.6</w:t>
      </w:r>
      <w:r>
        <w:tab/>
      </w:r>
      <w:r w:rsidR="00053059">
        <w:t>Несколько делегатов высказали ряд опасений. В частности, им потребовались пояснения в отношении того, как осуществляется управление</w:t>
      </w:r>
      <w:r w:rsidR="00FB2EF1">
        <w:t xml:space="preserve"> начальным финансированием</w:t>
      </w:r>
      <w:r w:rsidR="0046478A">
        <w:t xml:space="preserve"> в настоящее время</w:t>
      </w:r>
      <w:r>
        <w:t>. Для принятия решений на Совете</w:t>
      </w:r>
      <w:r w:rsidR="00073BB4">
        <w:t xml:space="preserve"> 20</w:t>
      </w:r>
      <w:r>
        <w:t>18</w:t>
      </w:r>
      <w:r w:rsidR="00073BB4">
        <w:t xml:space="preserve"> года</w:t>
      </w:r>
      <w:r>
        <w:t xml:space="preserve"> и ПК-18 участникам важно понимать, как </w:t>
      </w:r>
      <w:r w:rsidR="00925771">
        <w:t xml:space="preserve">используются </w:t>
      </w:r>
      <w:r w:rsidR="00925771">
        <w:lastRenderedPageBreak/>
        <w:t>выделяемые в рамках</w:t>
      </w:r>
      <w:r>
        <w:t xml:space="preserve"> начально</w:t>
      </w:r>
      <w:r w:rsidR="00925771">
        <w:t>го</w:t>
      </w:r>
      <w:r>
        <w:t xml:space="preserve"> финансировани</w:t>
      </w:r>
      <w:r w:rsidR="00925771">
        <w:t>я средства</w:t>
      </w:r>
      <w:r>
        <w:t>, какая сумма освоена, каков остаток и т. д. Важно удовлетворять обоснованные потребности и стремления развивающихся стран. При этом необходимо со всей серьезностью учитывать финансовую ответственность конференций, которая устанавливается п</w:t>
      </w:r>
      <w:r w:rsidR="00925771">
        <w:t>унктами</w:t>
      </w:r>
      <w:r>
        <w:t xml:space="preserve"> 488 и 489 Статьи 34 Конвенции МСЭ. Кроме того, делегаты полагают, что им приходится иметь дело с МСЭ как единым целым, а не с несколькими организационными единицами. Соответственно </w:t>
      </w:r>
      <w:r w:rsidR="00925771">
        <w:t xml:space="preserve">считается, что </w:t>
      </w:r>
      <w:r>
        <w:t xml:space="preserve">Генеральный секретарь </w:t>
      </w:r>
      <w:r w:rsidR="00925771">
        <w:t>несет ответственность</w:t>
      </w:r>
      <w:r>
        <w:t xml:space="preserve"> за предложения</w:t>
      </w:r>
      <w:r w:rsidR="00925771">
        <w:t>, имеющие</w:t>
      </w:r>
      <w:r>
        <w:t xml:space="preserve"> финансовы</w:t>
      </w:r>
      <w:r w:rsidR="00925771">
        <w:t>е</w:t>
      </w:r>
      <w:r>
        <w:t xml:space="preserve"> последствия,</w:t>
      </w:r>
      <w:r w:rsidR="00925771">
        <w:t xml:space="preserve"> которые</w:t>
      </w:r>
      <w:r>
        <w:t xml:space="preserve"> определены Секретариатом, и </w:t>
      </w:r>
      <w:r w:rsidR="00925771">
        <w:t xml:space="preserve">что </w:t>
      </w:r>
      <w:r>
        <w:t>источником запрашиваемого начального финансирования должен быть Генеральный секретариат, а не Сектор</w:t>
      </w:r>
      <w:r w:rsidR="00073BB4">
        <w:t>ы</w:t>
      </w:r>
      <w:r>
        <w:t>.</w:t>
      </w:r>
    </w:p>
    <w:p w:rsidR="00067524" w:rsidRPr="00A225C7" w:rsidRDefault="00067524" w:rsidP="00ED280C">
      <w:r>
        <w:t>4.7</w:t>
      </w:r>
      <w:r>
        <w:tab/>
        <w:t xml:space="preserve">В ответ на вопросы делегатов о </w:t>
      </w:r>
      <w:r w:rsidR="00DC612E">
        <w:t>различии</w:t>
      </w:r>
      <w:r>
        <w:t xml:space="preserve"> между приоритетами и инициативами Секретариат разъяснил, что после выполнения план</w:t>
      </w:r>
      <w:r w:rsidR="00DC612E">
        <w:t>ов</w:t>
      </w:r>
      <w:r>
        <w:t xml:space="preserve"> действий несколько лет назад </w:t>
      </w:r>
      <w:r w:rsidR="00DC612E">
        <w:t xml:space="preserve">было </w:t>
      </w:r>
      <w:r>
        <w:t>решено сосредоточить</w:t>
      </w:r>
      <w:r w:rsidR="00DC612E">
        <w:t xml:space="preserve"> внимание</w:t>
      </w:r>
      <w:r>
        <w:t xml:space="preserve"> на </w:t>
      </w:r>
      <w:r w:rsidR="00073BB4">
        <w:t>Р</w:t>
      </w:r>
      <w:r>
        <w:t>егиональных инициативах, а не</w:t>
      </w:r>
      <w:r w:rsidR="00DC612E">
        <w:t xml:space="preserve"> на</w:t>
      </w:r>
      <w:r>
        <w:t xml:space="preserve"> приоритетах широкого плана, </w:t>
      </w:r>
      <w:r w:rsidR="00DC612E">
        <w:t>а также на оказании</w:t>
      </w:r>
      <w:r>
        <w:t xml:space="preserve"> помощи регионам вместо конкретных стран. Секретариат попросили представить данные о потребностях в ресурсах для осуществления </w:t>
      </w:r>
      <w:r w:rsidR="00073BB4">
        <w:t>Р</w:t>
      </w:r>
      <w:r>
        <w:t xml:space="preserve">егиональных инициатив, которые могут </w:t>
      </w:r>
      <w:r w:rsidR="00DC612E">
        <w:t>иметь</w:t>
      </w:r>
      <w:r>
        <w:t xml:space="preserve"> значительные финансовые последствия (в общей сложности 30</w:t>
      </w:r>
      <w:r w:rsidR="00DC612E">
        <w:t> </w:t>
      </w:r>
      <w:r>
        <w:t>м</w:t>
      </w:r>
      <w:r w:rsidR="00DC612E">
        <w:t>лн.</w:t>
      </w:r>
      <w:r>
        <w:t xml:space="preserve"> швейцарских франков). В этой сумме учтен размер потребностей развивающихся стран.</w:t>
      </w:r>
    </w:p>
    <w:p w:rsidR="00067524" w:rsidRPr="00A225C7" w:rsidRDefault="00067524" w:rsidP="00ED280C">
      <w:r>
        <w:t>4.8</w:t>
      </w:r>
      <w:r>
        <w:tab/>
        <w:t xml:space="preserve">Председатель пояснил, что начальное финансирование предназначено не для </w:t>
      </w:r>
      <w:r w:rsidR="00F8014C">
        <w:t>осуществления</w:t>
      </w:r>
      <w:r>
        <w:t xml:space="preserve"> проектов, а для их подготовки. </w:t>
      </w:r>
      <w:r w:rsidR="00F8014C">
        <w:t>Для осуществления</w:t>
      </w:r>
      <w:r>
        <w:t xml:space="preserve"> проектов предполагается </w:t>
      </w:r>
      <w:r w:rsidR="00F8014C">
        <w:t>использовать</w:t>
      </w:r>
      <w:r>
        <w:t xml:space="preserve"> внешни</w:t>
      </w:r>
      <w:r w:rsidR="00F8014C">
        <w:t>е</w:t>
      </w:r>
      <w:r>
        <w:t xml:space="preserve"> источник</w:t>
      </w:r>
      <w:r w:rsidR="00F8014C">
        <w:t>и</w:t>
      </w:r>
      <w:r>
        <w:t xml:space="preserve"> финансирования. Секретариатом подготовлен </w:t>
      </w:r>
      <w:r w:rsidR="00F8014C">
        <w:t>хороший</w:t>
      </w:r>
      <w:r>
        <w:t xml:space="preserve"> отчет на ВКРЭ-17. Однако следовало </w:t>
      </w:r>
      <w:r w:rsidR="00F8014C">
        <w:t xml:space="preserve">бы </w:t>
      </w:r>
      <w:r>
        <w:t>заявить о проблемах, выявленных в связи с осуществлением Региональных инициатив, чтобы избежать неприятных сюрпризов. Бюджет на 2018–2019 г</w:t>
      </w:r>
      <w:r w:rsidR="00F8014C">
        <w:t>оды</w:t>
      </w:r>
      <w:r>
        <w:t xml:space="preserve"> уже утвержден Советом</w:t>
      </w:r>
      <w:r w:rsidR="00073BB4">
        <w:t xml:space="preserve"> 20</w:t>
      </w:r>
      <w:r>
        <w:t>17</w:t>
      </w:r>
      <w:r w:rsidR="00073BB4">
        <w:t xml:space="preserve"> года</w:t>
      </w:r>
      <w:r>
        <w:t xml:space="preserve">, и в нем не предусмотрено дополнительное финансирование Региональных инициатив. Один из </w:t>
      </w:r>
      <w:r w:rsidR="00F8014C">
        <w:t xml:space="preserve">возможных </w:t>
      </w:r>
      <w:r>
        <w:t>вариантов </w:t>
      </w:r>
      <w:r w:rsidR="00F8014C">
        <w:t>–</w:t>
      </w:r>
      <w:r>
        <w:t xml:space="preserve"> финансировать некоторые региональные инициативы из сэкономленных средств.</w:t>
      </w:r>
    </w:p>
    <w:p w:rsidR="00067524" w:rsidRPr="00A225C7" w:rsidRDefault="0019520B" w:rsidP="009753DF">
      <w:r>
        <w:rPr>
          <w:b/>
          <w:color w:val="0000FF"/>
        </w:rPr>
        <w:t>Рекомендация</w:t>
      </w:r>
      <w:r>
        <w:rPr>
          <w:color w:val="0000FF"/>
        </w:rPr>
        <w:t>:</w:t>
      </w:r>
      <w:r>
        <w:t xml:space="preserve"> Совету предлагается принять </w:t>
      </w:r>
      <w:r w:rsidR="0064226B">
        <w:t>к сведению</w:t>
      </w:r>
      <w:r>
        <w:t xml:space="preserve"> </w:t>
      </w:r>
      <w:r>
        <w:rPr>
          <w:color w:val="000000"/>
        </w:rPr>
        <w:t xml:space="preserve">Отчет Комитета по бюджетному контролю ВКРЭ-17. </w:t>
      </w:r>
      <w:r>
        <w:t xml:space="preserve">Секретариату </w:t>
      </w:r>
      <w:r w:rsidR="00345C82">
        <w:t>было предложено</w:t>
      </w:r>
      <w:r>
        <w:t xml:space="preserve"> представить вар</w:t>
      </w:r>
      <w:r w:rsidR="00B52FB2">
        <w:t>ианты частичного осуществления Р</w:t>
      </w:r>
      <w:r>
        <w:t>егиональных инициатив, которые могут быть учтены в пересмотренном проекте Финансового плана на 2020–2023 г</w:t>
      </w:r>
      <w:r w:rsidR="00345C82">
        <w:t>оды</w:t>
      </w:r>
      <w:r>
        <w:t>.</w:t>
      </w:r>
    </w:p>
    <w:p w:rsidR="00067524" w:rsidRPr="00CC6D25" w:rsidRDefault="00067524" w:rsidP="00390236">
      <w:pPr>
        <w:pStyle w:val="Heading1"/>
        <w:rPr>
          <w:rFonts w:cs="Calibri"/>
          <w:sz w:val="22"/>
          <w:szCs w:val="22"/>
        </w:rPr>
      </w:pPr>
      <w:r w:rsidRPr="00CC6D25">
        <w:rPr>
          <w:sz w:val="22"/>
          <w:szCs w:val="22"/>
        </w:rPr>
        <w:t>5</w:t>
      </w:r>
      <w:r w:rsidRPr="00CC6D25">
        <w:rPr>
          <w:sz w:val="22"/>
          <w:szCs w:val="22"/>
        </w:rPr>
        <w:tab/>
        <w:t>Поправки к Финансовому регламенту и Финансовым правилам</w:t>
      </w:r>
      <w:r w:rsidRPr="00CC6D25">
        <w:rPr>
          <w:sz w:val="22"/>
          <w:szCs w:val="22"/>
        </w:rPr>
        <w:br/>
        <w:t xml:space="preserve">(Документ </w:t>
      </w:r>
      <w:hyperlink r:id="rId39">
        <w:r w:rsidRPr="00CC6D25">
          <w:rPr>
            <w:rStyle w:val="Hyperlink"/>
            <w:sz w:val="22"/>
            <w:szCs w:val="22"/>
          </w:rPr>
          <w:t>CWG-FHR 8/8</w:t>
        </w:r>
      </w:hyperlink>
      <w:r w:rsidRPr="00CC6D25">
        <w:rPr>
          <w:sz w:val="22"/>
          <w:szCs w:val="22"/>
        </w:rPr>
        <w:t>)</w:t>
      </w:r>
    </w:p>
    <w:p w:rsidR="00067524" w:rsidRPr="00A225C7" w:rsidRDefault="00067524" w:rsidP="00390236">
      <w:r>
        <w:t>5.1</w:t>
      </w:r>
      <w:r>
        <w:tab/>
        <w:t>Секретариат представил документ в соответствии с Рекомендацией 2/2016 Внешнего аудитора (</w:t>
      </w:r>
      <w:proofErr w:type="spellStart"/>
      <w:r>
        <w:t>Corte</w:t>
      </w:r>
      <w:proofErr w:type="spellEnd"/>
      <w:r>
        <w:t xml:space="preserve"> </w:t>
      </w:r>
      <w:proofErr w:type="spellStart"/>
      <w:r>
        <w:t>dei</w:t>
      </w:r>
      <w:proofErr w:type="spellEnd"/>
      <w:r>
        <w:t xml:space="preserve"> </w:t>
      </w:r>
      <w:proofErr w:type="spellStart"/>
      <w:r>
        <w:t>Conti</w:t>
      </w:r>
      <w:proofErr w:type="spellEnd"/>
      <w:r>
        <w:t>) о том, что руководств</w:t>
      </w:r>
      <w:r w:rsidR="00345C82">
        <w:t>у следует</w:t>
      </w:r>
      <w:r>
        <w:t xml:space="preserve"> представи</w:t>
      </w:r>
      <w:r w:rsidR="00345C82">
        <w:t>ть</w:t>
      </w:r>
      <w:r>
        <w:t xml:space="preserve"> на рассмотрение Совета предложение о внесении поправок в Финансовый регламент и Финансовые правила для приведения их в соответствие с принципами закупок, содержащимися в Служебном приказе № 14/06.</w:t>
      </w:r>
    </w:p>
    <w:p w:rsidR="00067524" w:rsidRPr="00A225C7" w:rsidRDefault="00067524" w:rsidP="00390236">
      <w:r>
        <w:t>5.2</w:t>
      </w:r>
      <w:r>
        <w:tab/>
        <w:t xml:space="preserve">В </w:t>
      </w:r>
      <w:r w:rsidR="00345C82">
        <w:t xml:space="preserve">этом </w:t>
      </w:r>
      <w:r>
        <w:t xml:space="preserve">документе приведены предлагаемые поправки к следующим </w:t>
      </w:r>
      <w:r w:rsidR="00345C82">
        <w:t>с</w:t>
      </w:r>
      <w:r>
        <w:t>татьям:</w:t>
      </w:r>
    </w:p>
    <w:p w:rsidR="00067524" w:rsidRPr="00A225C7" w:rsidRDefault="00436162" w:rsidP="00CC6D25">
      <w:pPr>
        <w:pStyle w:val="a"/>
      </w:pPr>
      <w:r>
        <w:t>•</w:t>
      </w:r>
      <w:r>
        <w:tab/>
        <w:t>Статья 1 </w:t>
      </w:r>
      <w:r w:rsidR="00073BB4">
        <w:t>–</w:t>
      </w:r>
      <w:r>
        <w:t xml:space="preserve"> Управление финансами Союза и финансовый контроль (добавлены принципы закупок);</w:t>
      </w:r>
    </w:p>
    <w:p w:rsidR="00067524" w:rsidRPr="00A225C7" w:rsidRDefault="00436162" w:rsidP="008D0AC2">
      <w:pPr>
        <w:pStyle w:val="a"/>
      </w:pPr>
      <w:r>
        <w:t>•</w:t>
      </w:r>
      <w:r>
        <w:tab/>
        <w:t>Статья 12 </w:t>
      </w:r>
      <w:r w:rsidR="00073BB4">
        <w:t>–</w:t>
      </w:r>
      <w:r>
        <w:t xml:space="preserve"> Контроль за фактическими расходами (новое наименование </w:t>
      </w:r>
      <w:r w:rsidR="008D0AC2">
        <w:t>департамента</w:t>
      </w:r>
      <w:r>
        <w:t>);</w:t>
      </w:r>
    </w:p>
    <w:p w:rsidR="00067524" w:rsidRPr="00A225C7" w:rsidRDefault="00436162" w:rsidP="00CC6D25">
      <w:pPr>
        <w:pStyle w:val="a"/>
      </w:pPr>
      <w:r>
        <w:t>•</w:t>
      </w:r>
      <w:r>
        <w:tab/>
        <w:t>Статья 15 </w:t>
      </w:r>
      <w:r w:rsidR="00073BB4">
        <w:t>–</w:t>
      </w:r>
      <w:r>
        <w:t xml:space="preserve"> Ликвидные активы Союза, Правило 15.1 (новое на</w:t>
      </w:r>
      <w:r w:rsidR="00345C82">
        <w:t>з</w:t>
      </w:r>
      <w:r>
        <w:t xml:space="preserve">вание </w:t>
      </w:r>
      <w:r w:rsidR="00345C82">
        <w:t>департамента</w:t>
      </w:r>
      <w:r>
        <w:t>);</w:t>
      </w:r>
    </w:p>
    <w:p w:rsidR="00067524" w:rsidRPr="00A225C7" w:rsidRDefault="00436162" w:rsidP="00CC6D25">
      <w:pPr>
        <w:pStyle w:val="a"/>
      </w:pPr>
      <w:r>
        <w:t>•</w:t>
      </w:r>
      <w:r>
        <w:tab/>
        <w:t>Статья 16 </w:t>
      </w:r>
      <w:r w:rsidR="00073BB4">
        <w:t>–</w:t>
      </w:r>
      <w:r>
        <w:t xml:space="preserve"> Инвестиции средств, Правило 16.2 (новое </w:t>
      </w:r>
      <w:r w:rsidR="00345C82">
        <w:t>название департамента</w:t>
      </w:r>
      <w:r>
        <w:t>);</w:t>
      </w:r>
    </w:p>
    <w:p w:rsidR="00067524" w:rsidRPr="00A225C7" w:rsidRDefault="00436162" w:rsidP="00CC6D25">
      <w:pPr>
        <w:pStyle w:val="a"/>
      </w:pPr>
      <w:r>
        <w:t>•</w:t>
      </w:r>
      <w:r>
        <w:tab/>
        <w:t>Статья 18 </w:t>
      </w:r>
      <w:r w:rsidR="00073BB4">
        <w:t>–</w:t>
      </w:r>
      <w:r>
        <w:t xml:space="preserve"> Ведение счетов и представление финансовой отчетности, Правило 18.4 (новое </w:t>
      </w:r>
      <w:r w:rsidR="00345C82">
        <w:t>название департамента</w:t>
      </w:r>
      <w:r>
        <w:t>);</w:t>
      </w:r>
    </w:p>
    <w:p w:rsidR="00067524" w:rsidRPr="00A225C7" w:rsidRDefault="00345C82" w:rsidP="00CC6D25">
      <w:pPr>
        <w:pStyle w:val="a"/>
      </w:pPr>
      <w:r>
        <w:t>•</w:t>
      </w:r>
      <w:r>
        <w:tab/>
        <w:t>Статья 27 </w:t>
      </w:r>
      <w:r w:rsidR="00073BB4">
        <w:t>–</w:t>
      </w:r>
      <w:r>
        <w:t xml:space="preserve"> </w:t>
      </w:r>
      <w:r w:rsidR="00B52FB2">
        <w:t>Чистые активы, включая Р</w:t>
      </w:r>
      <w:r w:rsidR="00436162">
        <w:t>езервный счет (стандарт IPSAS 25 аннулирован и заменен общим стандартом IPSAS с соответствующим заголовком).</w:t>
      </w:r>
    </w:p>
    <w:p w:rsidR="00CC6D25" w:rsidRDefault="00CC6D25">
      <w:pPr>
        <w:tabs>
          <w:tab w:val="clear" w:pos="794"/>
          <w:tab w:val="clear" w:pos="1191"/>
          <w:tab w:val="clear" w:pos="1588"/>
          <w:tab w:val="clear" w:pos="1985"/>
        </w:tabs>
        <w:overflowPunct/>
        <w:autoSpaceDE/>
        <w:autoSpaceDN/>
        <w:adjustRightInd/>
        <w:spacing w:before="0"/>
        <w:textAlignment w:val="auto"/>
        <w:rPr>
          <w:b/>
          <w:color w:val="0000FF"/>
        </w:rPr>
      </w:pPr>
      <w:r>
        <w:rPr>
          <w:b/>
          <w:color w:val="0000FF"/>
        </w:rPr>
        <w:br w:type="page"/>
      </w:r>
    </w:p>
    <w:p w:rsidR="00067524" w:rsidRPr="00A225C7" w:rsidRDefault="0019520B" w:rsidP="00390236">
      <w:r>
        <w:rPr>
          <w:b/>
          <w:color w:val="0000FF"/>
        </w:rPr>
        <w:lastRenderedPageBreak/>
        <w:t>Рекомендация</w:t>
      </w:r>
      <w:r>
        <w:rPr>
          <w:color w:val="0000FF"/>
        </w:rPr>
        <w:t>:</w:t>
      </w:r>
      <w:r>
        <w:rPr>
          <w:b/>
        </w:rPr>
        <w:t xml:space="preserve"> </w:t>
      </w:r>
      <w:r>
        <w:t xml:space="preserve">Совету предлагается принять </w:t>
      </w:r>
      <w:r w:rsidR="00345C82">
        <w:t>к сведению</w:t>
      </w:r>
      <w:r>
        <w:t xml:space="preserve"> Документ CWG-FHR 8/8 и утвердить предлагаемые поправки к Финансовому регламенту и Финансовым правилам </w:t>
      </w:r>
      <w:r w:rsidR="00345C82">
        <w:t xml:space="preserve">в том виде, в котором они </w:t>
      </w:r>
      <w:proofErr w:type="spellStart"/>
      <w:r w:rsidR="00345C82">
        <w:t>представленны</w:t>
      </w:r>
      <w:proofErr w:type="spellEnd"/>
      <w:r w:rsidR="00345C82">
        <w:t xml:space="preserve"> в Приложении 1 к</w:t>
      </w:r>
      <w:r>
        <w:t xml:space="preserve"> этому документу Совета.</w:t>
      </w:r>
    </w:p>
    <w:p w:rsidR="00067524" w:rsidRPr="00CC6D25" w:rsidRDefault="00067524" w:rsidP="00ED280C">
      <w:pPr>
        <w:pStyle w:val="Heading1"/>
        <w:rPr>
          <w:sz w:val="22"/>
          <w:szCs w:val="22"/>
        </w:rPr>
      </w:pPr>
      <w:r w:rsidRPr="00CC6D25">
        <w:rPr>
          <w:sz w:val="22"/>
          <w:szCs w:val="22"/>
        </w:rPr>
        <w:t>6</w:t>
      </w:r>
      <w:r w:rsidRPr="00CC6D25">
        <w:rPr>
          <w:sz w:val="22"/>
          <w:szCs w:val="22"/>
        </w:rPr>
        <w:tab/>
        <w:t xml:space="preserve">Ход </w:t>
      </w:r>
      <w:r w:rsidR="00345C82" w:rsidRPr="00CC6D25">
        <w:rPr>
          <w:sz w:val="22"/>
          <w:szCs w:val="22"/>
        </w:rPr>
        <w:t xml:space="preserve">осуществления </w:t>
      </w:r>
      <w:r w:rsidRPr="00CC6D25">
        <w:rPr>
          <w:sz w:val="22"/>
          <w:szCs w:val="22"/>
        </w:rPr>
        <w:t>пилотного проекта по участию МСП и дальнейшие шаги</w:t>
      </w:r>
      <w:r w:rsidRPr="00CC6D25">
        <w:rPr>
          <w:sz w:val="22"/>
          <w:szCs w:val="22"/>
        </w:rPr>
        <w:br/>
        <w:t>(Документ </w:t>
      </w:r>
      <w:hyperlink r:id="rId40">
        <w:r w:rsidRPr="00CC6D25">
          <w:rPr>
            <w:rStyle w:val="Hyperlink"/>
            <w:sz w:val="22"/>
            <w:szCs w:val="22"/>
          </w:rPr>
          <w:t>CWG-FHR 8/INF/3</w:t>
        </w:r>
      </w:hyperlink>
      <w:r w:rsidRPr="00CC6D25">
        <w:rPr>
          <w:sz w:val="22"/>
          <w:szCs w:val="22"/>
        </w:rPr>
        <w:t>)</w:t>
      </w:r>
    </w:p>
    <w:p w:rsidR="00067524" w:rsidRPr="00A225C7" w:rsidRDefault="00067524" w:rsidP="00390236">
      <w:r>
        <w:t>6.1</w:t>
      </w:r>
      <w:r>
        <w:tab/>
        <w:t xml:space="preserve">Секретариат представил обновленную информацию </w:t>
      </w:r>
      <w:r w:rsidR="00345C82">
        <w:t>об осуществлении</w:t>
      </w:r>
      <w:r>
        <w:t xml:space="preserve"> пилотного проекта по участию МСП. </w:t>
      </w:r>
      <w:r w:rsidR="00345C82">
        <w:t>Он был начат</w:t>
      </w:r>
      <w:r>
        <w:t xml:space="preserve"> в соответствии с решением Совета 2017 года на основе вклада Аргентины. Совет принял решение </w:t>
      </w:r>
      <w:r w:rsidR="00345C82">
        <w:t>начать осуществление</w:t>
      </w:r>
      <w:r>
        <w:t xml:space="preserve"> </w:t>
      </w:r>
      <w:r w:rsidR="00345C82">
        <w:t xml:space="preserve">этого пилотного проекта </w:t>
      </w:r>
      <w:r>
        <w:t xml:space="preserve">в заинтересованных исследовательских комиссиях МСЭ-T и МСЭ-D, </w:t>
      </w:r>
      <w:r w:rsidR="00345C82">
        <w:t>в результате чего</w:t>
      </w:r>
      <w:r>
        <w:t xml:space="preserve"> МСП </w:t>
      </w:r>
      <w:r w:rsidR="00345C82">
        <w:t>получили возможность</w:t>
      </w:r>
      <w:r>
        <w:t xml:space="preserve"> </w:t>
      </w:r>
      <w:r w:rsidR="00345C82">
        <w:t>в полном объеме</w:t>
      </w:r>
      <w:r>
        <w:t xml:space="preserve"> участвовать в собраниях соответствующих исследовательских комиссий без выполнения каких-либо функций по принятию решений</w:t>
      </w:r>
      <w:r w:rsidR="00345C82">
        <w:t>,</w:t>
      </w:r>
      <w:r>
        <w:t xml:space="preserve"> включая руководящие функции и функции по принятию резолюций или рекомендаций. МСП должны утверждаться соответствующей администрацией согласно национальному определению МСП. Совет поручил Секретариату представить Совету</w:t>
      </w:r>
      <w:r w:rsidR="00073BB4">
        <w:t xml:space="preserve"> 20</w:t>
      </w:r>
      <w:r>
        <w:t>18</w:t>
      </w:r>
      <w:r w:rsidR="00073BB4">
        <w:t xml:space="preserve"> года</w:t>
      </w:r>
      <w:r>
        <w:t xml:space="preserve"> </w:t>
      </w:r>
      <w:r w:rsidR="00345C82">
        <w:t xml:space="preserve">отчет </w:t>
      </w:r>
      <w:r>
        <w:t xml:space="preserve">о ходе </w:t>
      </w:r>
      <w:r w:rsidR="00345C82">
        <w:t>осуществле</w:t>
      </w:r>
      <w:r>
        <w:t>ния этого проекта, а ПК-18 </w:t>
      </w:r>
      <w:r w:rsidR="00073BB4">
        <w:t>–</w:t>
      </w:r>
      <w:r>
        <w:t xml:space="preserve"> более полный отчет о результатах. На сегодняшний день к </w:t>
      </w:r>
      <w:r w:rsidR="00345C82">
        <w:t>реализации данного</w:t>
      </w:r>
      <w:r>
        <w:t xml:space="preserve"> пилотного проекта приступили ИК5 и ИК20 МСЭ-T. В настоящее время для участия в собраниях МСЭ-T в рамках пилотного проекта </w:t>
      </w:r>
      <w:r w:rsidR="00345C82">
        <w:t xml:space="preserve">соответствующими администрациями </w:t>
      </w:r>
      <w:r>
        <w:t xml:space="preserve">утверждены 4 МСП, а еще 6 находятся на стадии утверждения. В 2018 году </w:t>
      </w:r>
      <w:r w:rsidR="00345C82">
        <w:t>в этом</w:t>
      </w:r>
      <w:r w:rsidR="00073BB4">
        <w:t xml:space="preserve"> проекте</w:t>
      </w:r>
      <w:r w:rsidR="00345C82">
        <w:t xml:space="preserve"> также будут участвовать </w:t>
      </w:r>
      <w:r>
        <w:t>исследовательские комиссии МСЭ-D</w:t>
      </w:r>
      <w:r w:rsidR="00345C82">
        <w:t>,</w:t>
      </w:r>
      <w:r>
        <w:t xml:space="preserve"> Государствам-Членам было направлено циркулярное письмо. Первые собрания </w:t>
      </w:r>
      <w:r w:rsidR="00345C82">
        <w:t>состоятся сразу</w:t>
      </w:r>
      <w:r>
        <w:t xml:space="preserve"> после </w:t>
      </w:r>
      <w:r w:rsidR="00345C82">
        <w:t xml:space="preserve">проведения </w:t>
      </w:r>
      <w:r>
        <w:t xml:space="preserve">Совета: </w:t>
      </w:r>
      <w:r w:rsidR="00345C82">
        <w:t>собрание</w:t>
      </w:r>
      <w:r>
        <w:t xml:space="preserve"> ИК1 — с 30 апреля по 4 мая 2018 г</w:t>
      </w:r>
      <w:r w:rsidR="00345C82">
        <w:t>ода</w:t>
      </w:r>
      <w:r>
        <w:t xml:space="preserve">, а </w:t>
      </w:r>
      <w:r w:rsidR="00345C82">
        <w:t>собрание</w:t>
      </w:r>
      <w:r>
        <w:t xml:space="preserve"> ИК2 — с 7 по 11 мая 2018 г</w:t>
      </w:r>
      <w:r w:rsidR="00345C82">
        <w:t>ода</w:t>
      </w:r>
      <w:r>
        <w:t xml:space="preserve">. После представления документа обсуждение не проводилось, </w:t>
      </w:r>
      <w:r w:rsidR="00345C82">
        <w:t>поскольку</w:t>
      </w:r>
      <w:r>
        <w:t xml:space="preserve"> он был пред</w:t>
      </w:r>
      <w:r w:rsidR="00345C82">
        <w:t>назначен</w:t>
      </w:r>
      <w:r>
        <w:t xml:space="preserve"> только для</w:t>
      </w:r>
      <w:r w:rsidR="00712DE4">
        <w:t xml:space="preserve"> информации</w:t>
      </w:r>
      <w:r>
        <w:t>.</w:t>
      </w:r>
    </w:p>
    <w:p w:rsidR="00067524" w:rsidRPr="00CC6D25" w:rsidRDefault="006B2460" w:rsidP="00CC6D25">
      <w:pPr>
        <w:pStyle w:val="ListParagraph"/>
        <w:spacing w:before="360" w:after="240"/>
        <w:ind w:left="1191" w:hanging="471"/>
        <w:rPr>
          <w:b/>
        </w:rPr>
      </w:pPr>
      <w:r w:rsidRPr="00CC6D25">
        <w:rPr>
          <w:b/>
        </w:rPr>
        <w:t>−</w:t>
      </w:r>
      <w:r w:rsidRPr="00CC6D25">
        <w:rPr>
          <w:b/>
        </w:rPr>
        <w:tab/>
        <w:t>Вклад Республики Инди</w:t>
      </w:r>
      <w:r w:rsidR="00073BB4">
        <w:rPr>
          <w:b/>
        </w:rPr>
        <w:t>я</w:t>
      </w:r>
      <w:r w:rsidRPr="00CC6D25">
        <w:rPr>
          <w:b/>
        </w:rPr>
        <w:t xml:space="preserve">: Специальный курс по коммуникационным технологиям </w:t>
      </w:r>
      <w:r w:rsidR="00073BB4">
        <w:rPr>
          <w:b/>
        </w:rPr>
        <w:br/>
      </w:r>
      <w:r w:rsidRPr="00CC6D25">
        <w:rPr>
          <w:b/>
        </w:rPr>
        <w:t xml:space="preserve">и финансам в Академии МСЭ (Документ </w:t>
      </w:r>
      <w:hyperlink r:id="rId41">
        <w:r w:rsidRPr="00CC6D25">
          <w:rPr>
            <w:rStyle w:val="Hyperlink"/>
            <w:b/>
          </w:rPr>
          <w:t>CWG-FHR 8/24</w:t>
        </w:r>
      </w:hyperlink>
      <w:r w:rsidRPr="00CC6D25">
        <w:rPr>
          <w:b/>
        </w:rPr>
        <w:t>)</w:t>
      </w:r>
    </w:p>
    <w:p w:rsidR="00067524" w:rsidRPr="00A225C7" w:rsidRDefault="00067524" w:rsidP="00F45C3F">
      <w:r>
        <w:t>6.2</w:t>
      </w:r>
      <w:r>
        <w:tab/>
        <w:t>Документ представил делегат от Республики Инди</w:t>
      </w:r>
      <w:r w:rsidR="00073BB4">
        <w:t>я</w:t>
      </w:r>
      <w:r>
        <w:t>.</w:t>
      </w:r>
    </w:p>
    <w:p w:rsidR="00067524" w:rsidRPr="00A225C7" w:rsidRDefault="00067524" w:rsidP="00F45C3F">
      <w:r>
        <w:t>6.4</w:t>
      </w:r>
      <w:r>
        <w:tab/>
        <w:t xml:space="preserve">В </w:t>
      </w:r>
      <w:r w:rsidR="003F0FF4">
        <w:t xml:space="preserve">этом </w:t>
      </w:r>
      <w:r>
        <w:t xml:space="preserve">документе </w:t>
      </w:r>
      <w:r w:rsidR="00073BB4">
        <w:t>в</w:t>
      </w:r>
      <w:r w:rsidR="003F0FF4">
        <w:t>нимание заострено на</w:t>
      </w:r>
      <w:r>
        <w:t xml:space="preserve"> следующ</w:t>
      </w:r>
      <w:r w:rsidR="003F0FF4">
        <w:t>их моментах</w:t>
      </w:r>
      <w:r>
        <w:t>:</w:t>
      </w:r>
    </w:p>
    <w:p w:rsidR="00067524" w:rsidRPr="00A225C7" w:rsidRDefault="00F45C3F" w:rsidP="00CC6D25">
      <w:pPr>
        <w:pStyle w:val="a"/>
      </w:pPr>
      <w:r>
        <w:t>•</w:t>
      </w:r>
      <w:r>
        <w:tab/>
        <w:t xml:space="preserve">финансовые инструменты заполняют пробел между развитием технологий и </w:t>
      </w:r>
      <w:r w:rsidR="003F0FF4">
        <w:t xml:space="preserve">их </w:t>
      </w:r>
      <w:r>
        <w:t>коммерческим внедрением;</w:t>
      </w:r>
    </w:p>
    <w:p w:rsidR="00067524" w:rsidRPr="00A225C7" w:rsidRDefault="00F45C3F" w:rsidP="00CC6D25">
      <w:pPr>
        <w:pStyle w:val="a"/>
      </w:pPr>
      <w:r>
        <w:t>•</w:t>
      </w:r>
      <w:r>
        <w:tab/>
        <w:t xml:space="preserve">разработчики технологий должны обладать </w:t>
      </w:r>
      <w:r w:rsidR="00903899">
        <w:t>хороши</w:t>
      </w:r>
      <w:r>
        <w:t>ми знаниями в области финансов и иметь возможность получать качественные консультации</w:t>
      </w:r>
      <w:r w:rsidR="00903899" w:rsidRPr="00903899">
        <w:t xml:space="preserve"> </w:t>
      </w:r>
      <w:r w:rsidR="00903899">
        <w:t>по финансовым вопросам</w:t>
      </w:r>
      <w:r>
        <w:t>;</w:t>
      </w:r>
    </w:p>
    <w:p w:rsidR="00067524" w:rsidRPr="00A225C7" w:rsidRDefault="00F45C3F" w:rsidP="00CC6D25">
      <w:pPr>
        <w:pStyle w:val="a"/>
      </w:pPr>
      <w:r>
        <w:t>•</w:t>
      </w:r>
      <w:r>
        <w:tab/>
        <w:t xml:space="preserve">в настоящее время наблюдается все </w:t>
      </w:r>
      <w:proofErr w:type="spellStart"/>
      <w:r>
        <w:t>б</w:t>
      </w:r>
      <w:r w:rsidR="00B52FB2">
        <w:rPr>
          <w:rFonts w:cs="Calibri"/>
        </w:rPr>
        <w:t>ó</w:t>
      </w:r>
      <w:r>
        <w:t>л</w:t>
      </w:r>
      <w:r w:rsidR="00903899">
        <w:t>ьшая</w:t>
      </w:r>
      <w:proofErr w:type="spellEnd"/>
      <w:r>
        <w:t xml:space="preserve"> конвергенция </w:t>
      </w:r>
      <w:r w:rsidR="00903899">
        <w:t>в</w:t>
      </w:r>
      <w:r>
        <w:t xml:space="preserve"> сфера</w:t>
      </w:r>
      <w:r w:rsidR="00903899">
        <w:t>х</w:t>
      </w:r>
      <w:r>
        <w:t xml:space="preserve"> технологий и финансов.</w:t>
      </w:r>
    </w:p>
    <w:p w:rsidR="00067524" w:rsidRPr="00A225C7" w:rsidRDefault="00067524" w:rsidP="00F45C3F">
      <w:r>
        <w:t>6.4</w:t>
      </w:r>
      <w:r>
        <w:tab/>
        <w:t xml:space="preserve">Академия МСЭ, которая считается ведущей платформой для всех услуг МСЭ по созданию потенциала, предлагает </w:t>
      </w:r>
      <w:r w:rsidR="00903899">
        <w:t>целый ряд</w:t>
      </w:r>
      <w:r>
        <w:t xml:space="preserve"> учебных мероприятий и информационных ресурсов, посвященных информационно-коммуникационным технологиям (ИКТ).</w:t>
      </w:r>
    </w:p>
    <w:p w:rsidR="00067524" w:rsidRPr="00A225C7" w:rsidRDefault="00067524" w:rsidP="00F45C3F">
      <w:pPr>
        <w:rPr>
          <w:szCs w:val="22"/>
        </w:rPr>
      </w:pPr>
      <w:r>
        <w:t>6.5</w:t>
      </w:r>
      <w:r>
        <w:tab/>
        <w:t>Предлагается, чтобы РГС-Ф</w:t>
      </w:r>
      <w:r w:rsidR="00903899">
        <w:t>ЛР</w:t>
      </w:r>
      <w:r>
        <w:t xml:space="preserve"> поручила Академии МСЭ расширить набор курсов, в которых делается упор на конвергенцию специальных областей знаний, </w:t>
      </w:r>
      <w:r w:rsidR="00903899">
        <w:t>то есть</w:t>
      </w:r>
      <w:r>
        <w:t xml:space="preserve"> коммуникационных технологий и финансов.</w:t>
      </w:r>
    </w:p>
    <w:p w:rsidR="00067524" w:rsidRPr="00A225C7" w:rsidRDefault="00067524" w:rsidP="00F45C3F">
      <w:pPr>
        <w:rPr>
          <w:szCs w:val="22"/>
        </w:rPr>
      </w:pPr>
      <w:r>
        <w:t>6.6</w:t>
      </w:r>
      <w:r>
        <w:tab/>
        <w:t xml:space="preserve">Некоторые члены </w:t>
      </w:r>
      <w:r w:rsidR="00903899">
        <w:t xml:space="preserve">Группы </w:t>
      </w:r>
      <w:r>
        <w:t>разъяснили, что РГС-Ф</w:t>
      </w:r>
      <w:r w:rsidR="00903899">
        <w:t>ЛР</w:t>
      </w:r>
      <w:r>
        <w:t xml:space="preserve"> — </w:t>
      </w:r>
      <w:r w:rsidR="00903899">
        <w:t>это не та структура, которая может</w:t>
      </w:r>
      <w:r>
        <w:t xml:space="preserve"> управл</w:t>
      </w:r>
      <w:r w:rsidR="00903899">
        <w:t>ять</w:t>
      </w:r>
      <w:r>
        <w:t xml:space="preserve"> учебными планами Академии МСЭ.</w:t>
      </w:r>
    </w:p>
    <w:p w:rsidR="00067524" w:rsidRPr="00A225C7" w:rsidRDefault="0019520B" w:rsidP="00F45C3F">
      <w:pPr>
        <w:rPr>
          <w:szCs w:val="22"/>
        </w:rPr>
      </w:pPr>
      <w:r>
        <w:rPr>
          <w:b/>
          <w:color w:val="0000FF"/>
        </w:rPr>
        <w:t>Рекомендация:</w:t>
      </w:r>
      <w:r>
        <w:rPr>
          <w:b/>
        </w:rPr>
        <w:t xml:space="preserve"> </w:t>
      </w:r>
      <w:r>
        <w:t>Предложение, изложенное в Документе CWG-FHR 8/24, следует представить вниманию Группы по инициативам в области создания потенциала.</w:t>
      </w:r>
    </w:p>
    <w:p w:rsidR="00067524" w:rsidRPr="00CC6D25" w:rsidRDefault="00067524" w:rsidP="00F45C3F">
      <w:pPr>
        <w:pStyle w:val="Heading1"/>
        <w:rPr>
          <w:sz w:val="22"/>
          <w:szCs w:val="22"/>
        </w:rPr>
      </w:pPr>
      <w:r w:rsidRPr="00CC6D25">
        <w:rPr>
          <w:sz w:val="22"/>
          <w:szCs w:val="22"/>
        </w:rPr>
        <w:lastRenderedPageBreak/>
        <w:t>7</w:t>
      </w:r>
      <w:r w:rsidRPr="00CC6D25">
        <w:rPr>
          <w:sz w:val="22"/>
          <w:szCs w:val="22"/>
        </w:rPr>
        <w:tab/>
        <w:t>Обзор гендерной политики МСЭ</w:t>
      </w:r>
    </w:p>
    <w:p w:rsidR="00067524" w:rsidRPr="00CC6D25" w:rsidRDefault="006B2460" w:rsidP="008D0AC2">
      <w:pPr>
        <w:pStyle w:val="ListParagraph"/>
        <w:spacing w:before="240" w:after="120"/>
        <w:ind w:left="1191" w:hanging="471"/>
        <w:rPr>
          <w:b/>
          <w:bCs/>
          <w:szCs w:val="22"/>
        </w:rPr>
      </w:pPr>
      <w:r w:rsidRPr="00CC6D25">
        <w:rPr>
          <w:b/>
        </w:rPr>
        <w:t>−</w:t>
      </w:r>
      <w:r w:rsidRPr="00CC6D25">
        <w:rPr>
          <w:b/>
        </w:rPr>
        <w:tab/>
        <w:t xml:space="preserve">Презентация Организации Объединенных Наций: </w:t>
      </w:r>
      <w:r w:rsidR="00F22C90" w:rsidRPr="00CC6D25">
        <w:rPr>
          <w:b/>
        </w:rPr>
        <w:t>О</w:t>
      </w:r>
      <w:r w:rsidRPr="00CC6D25">
        <w:rPr>
          <w:b/>
        </w:rPr>
        <w:t xml:space="preserve">бщесистемная стратегия </w:t>
      </w:r>
      <w:r w:rsidR="008D0AC2" w:rsidRPr="008D0AC2">
        <w:rPr>
          <w:b/>
        </w:rPr>
        <w:t xml:space="preserve">обеспечения равного соотношения мужчин и женщин </w:t>
      </w:r>
      <w:r w:rsidRPr="00CC6D25">
        <w:rPr>
          <w:b/>
        </w:rPr>
        <w:t>(Документ </w:t>
      </w:r>
      <w:hyperlink r:id="rId42">
        <w:r w:rsidRPr="00CC6D25">
          <w:rPr>
            <w:rStyle w:val="Hyperlink"/>
            <w:b/>
          </w:rPr>
          <w:t>CWG-FHR 8/INF/2</w:t>
        </w:r>
      </w:hyperlink>
      <w:r w:rsidRPr="00CC6D25">
        <w:rPr>
          <w:b/>
        </w:rPr>
        <w:t>)</w:t>
      </w:r>
    </w:p>
    <w:p w:rsidR="00067524" w:rsidRPr="00A225C7" w:rsidRDefault="00067524" w:rsidP="008D0AC2">
      <w:r>
        <w:t>7.1</w:t>
      </w:r>
      <w:r>
        <w:tab/>
        <w:t>Заместитель Генерального секретаря</w:t>
      </w:r>
      <w:r w:rsidR="00F22C90">
        <w:t xml:space="preserve"> ООН</w:t>
      </w:r>
      <w:r>
        <w:t xml:space="preserve">, старший советник по вопросам политики г-жа </w:t>
      </w:r>
      <w:proofErr w:type="spellStart"/>
      <w:r>
        <w:t>Ана</w:t>
      </w:r>
      <w:proofErr w:type="spellEnd"/>
      <w:r>
        <w:t xml:space="preserve"> Мария </w:t>
      </w:r>
      <w:proofErr w:type="spellStart"/>
      <w:r>
        <w:t>Мен</w:t>
      </w:r>
      <w:r w:rsidR="00F22C90">
        <w:t>ен</w:t>
      </w:r>
      <w:r>
        <w:t>дес</w:t>
      </w:r>
      <w:proofErr w:type="spellEnd"/>
      <w:r>
        <w:t xml:space="preserve"> представила Общесистемную стратегию </w:t>
      </w:r>
      <w:r w:rsidR="008D0AC2" w:rsidRPr="008D0AC2">
        <w:t xml:space="preserve">обеспечения равного соотношения мужчин и женщин </w:t>
      </w:r>
      <w:r w:rsidR="008D0AC2">
        <w:t>ООН</w:t>
      </w:r>
      <w:r w:rsidR="00B52FB2">
        <w:t>. В </w:t>
      </w:r>
      <w:r>
        <w:t xml:space="preserve">разработке стратегии, которая длилась восемь месяцев, участвовало около 30 структур, и все структуры ООН должны обеспечить соответствие установленным в ней </w:t>
      </w:r>
      <w:r w:rsidR="00F22C90">
        <w:t>целе</w:t>
      </w:r>
      <w:r>
        <w:t>вым показателям. Гендерн</w:t>
      </w:r>
      <w:r w:rsidR="008D0AC2">
        <w:t xml:space="preserve">ый паритет </w:t>
      </w:r>
      <w:r>
        <w:t xml:space="preserve">необходим для поддержания доверия к ООН и достоверного представления тех, кому ООН служит. Стратегия требует подотчетности с последующей реальной ответственностью. Отчеты представляются два раза в год через Группу старших руководителей и КСР. Заместитель Генерального секретаря подчеркнула важность лидерства и предложила </w:t>
      </w:r>
      <w:r w:rsidR="00F22C90">
        <w:t xml:space="preserve">всем </w:t>
      </w:r>
      <w:r>
        <w:t>старшим руководителям МСЭ публично принять на себя соответствующие обязательства, например те, которые выдвинуты Международной сетью борцов за гендерное равенство (IGC).</w:t>
      </w:r>
    </w:p>
    <w:p w:rsidR="00067524" w:rsidRPr="00A225C7" w:rsidRDefault="00067524" w:rsidP="008D0AC2">
      <w:r>
        <w:t>7.2</w:t>
      </w:r>
      <w:r>
        <w:tab/>
        <w:t xml:space="preserve">Делегаты поблагодарили г-жу </w:t>
      </w:r>
      <w:proofErr w:type="spellStart"/>
      <w:r>
        <w:t>Менендес</w:t>
      </w:r>
      <w:proofErr w:type="spellEnd"/>
      <w:r>
        <w:t xml:space="preserve"> за представление документа и </w:t>
      </w:r>
      <w:r w:rsidR="00F22C90">
        <w:t>высоко оценили</w:t>
      </w:r>
      <w:r>
        <w:t xml:space="preserve"> достижение гендерного </w:t>
      </w:r>
      <w:r w:rsidR="008D0AC2">
        <w:t>паритета</w:t>
      </w:r>
      <w:r>
        <w:t xml:space="preserve"> в Группе старших руководителей </w:t>
      </w:r>
      <w:r w:rsidR="00073BB4">
        <w:t>–</w:t>
      </w:r>
      <w:r>
        <w:t xml:space="preserve"> исторический прецедент, который должен послужить примером для всех учреждений ООН и Государств-Членов. Одна из делегаций задала вопрос о ситуации, когда высшее руководство выбирается, а </w:t>
      </w:r>
      <w:r w:rsidR="00F22C90">
        <w:t>не назначается. В</w:t>
      </w:r>
      <w:r w:rsidR="00865EAA">
        <w:t> </w:t>
      </w:r>
      <w:r w:rsidR="00F22C90">
        <w:t>ответ на это з</w:t>
      </w:r>
      <w:r>
        <w:t xml:space="preserve">аместитель Генерального секретаря предложила рассмотреть все вопросы, которые необходимо решить для достижения </w:t>
      </w:r>
      <w:r w:rsidR="008D0AC2">
        <w:t>паритета</w:t>
      </w:r>
      <w:r>
        <w:t xml:space="preserve"> на все</w:t>
      </w:r>
      <w:r w:rsidR="00F22C90">
        <w:t>х</w:t>
      </w:r>
      <w:r>
        <w:t xml:space="preserve"> уровнях при выборах должностных лиц.</w:t>
      </w:r>
    </w:p>
    <w:p w:rsidR="00067524" w:rsidRPr="00CC6D25" w:rsidRDefault="006B2460" w:rsidP="00CC6D25">
      <w:pPr>
        <w:pStyle w:val="ListParagraph"/>
        <w:spacing w:before="300" w:after="120"/>
        <w:ind w:left="1191" w:hanging="471"/>
        <w:rPr>
          <w:b/>
          <w:szCs w:val="22"/>
        </w:rPr>
      </w:pPr>
      <w:r w:rsidRPr="00CC6D25">
        <w:rPr>
          <w:b/>
        </w:rPr>
        <w:t>−</w:t>
      </w:r>
      <w:r w:rsidRPr="00CC6D25">
        <w:rPr>
          <w:b/>
        </w:rPr>
        <w:tab/>
        <w:t>Планирование реализации политики МСЭ в области гендерного равенства и учета гендерных аспектов на 2018 г</w:t>
      </w:r>
      <w:r w:rsidR="00EB31CF" w:rsidRPr="00CC6D25">
        <w:rPr>
          <w:b/>
        </w:rPr>
        <w:t>од</w:t>
      </w:r>
      <w:r w:rsidR="00CC6D25" w:rsidRPr="00CC6D25">
        <w:rPr>
          <w:b/>
        </w:rPr>
        <w:t xml:space="preserve"> </w:t>
      </w:r>
      <w:r w:rsidRPr="00CC6D25">
        <w:rPr>
          <w:b/>
        </w:rPr>
        <w:t xml:space="preserve">(Документ </w:t>
      </w:r>
      <w:hyperlink r:id="rId43">
        <w:r w:rsidRPr="00CC6D25">
          <w:rPr>
            <w:rStyle w:val="Hyperlink"/>
            <w:b/>
          </w:rPr>
          <w:t>CWG-FHR 8/11</w:t>
        </w:r>
      </w:hyperlink>
      <w:r w:rsidRPr="00CC6D25">
        <w:rPr>
          <w:b/>
        </w:rPr>
        <w:t>)</w:t>
      </w:r>
    </w:p>
    <w:p w:rsidR="00067524" w:rsidRPr="00A225C7" w:rsidRDefault="00067524" w:rsidP="008D0AC2">
      <w:r>
        <w:t>7.3</w:t>
      </w:r>
      <w:r>
        <w:tab/>
        <w:t xml:space="preserve">Секретариат представил информацию о ходе </w:t>
      </w:r>
      <w:r w:rsidR="00EB31CF">
        <w:t>выполнения</w:t>
      </w:r>
      <w:r>
        <w:t xml:space="preserve"> плана реализации политики в области гендерного равенства и учета гендерных аспектов (GEM), одобренного Советом 2017 года. Было отмечено три ключевых </w:t>
      </w:r>
      <w:proofErr w:type="spellStart"/>
      <w:proofErr w:type="gramStart"/>
      <w:r>
        <w:t>аспекта,в</w:t>
      </w:r>
      <w:proofErr w:type="spellEnd"/>
      <w:proofErr w:type="gramEnd"/>
      <w:r>
        <w:t xml:space="preserve"> которых был достигнут прогресс: 1) анализ политики GEM; 2) план реализации; 3) выделение ресурсов. При подготовке плана реализации на 2018 г</w:t>
      </w:r>
      <w:r w:rsidR="00EB31CF">
        <w:t>од</w:t>
      </w:r>
      <w:r>
        <w:t xml:space="preserve"> Секретариат будет и впредь ориентироваться на общесистемные стандарты ООН, </w:t>
      </w:r>
      <w:r w:rsidR="00EB31CF">
        <w:t>а именно</w:t>
      </w:r>
      <w:r>
        <w:t xml:space="preserve"> на UN</w:t>
      </w:r>
      <w:r w:rsidR="00865EAA">
        <w:noBreakHyphen/>
      </w:r>
      <w:r>
        <w:t xml:space="preserve">SWAP 2.0 и Общесистемную стратегию </w:t>
      </w:r>
      <w:r w:rsidR="008D0AC2" w:rsidRPr="008D0AC2">
        <w:t>обеспечения равного соотношения мужчин и женщин ООН</w:t>
      </w:r>
      <w:r>
        <w:t>.</w:t>
      </w:r>
    </w:p>
    <w:p w:rsidR="00067524" w:rsidRPr="00A225C7" w:rsidRDefault="00067524" w:rsidP="008D0AC2">
      <w:r>
        <w:t>7.4</w:t>
      </w:r>
      <w:r>
        <w:tab/>
        <w:t xml:space="preserve">Делегаты признали прогресс, достигнутый Секретариатом в деле обеспечения гендерного равенства. Один из делегатов задал вопрос </w:t>
      </w:r>
      <w:r w:rsidR="00865EAA">
        <w:t>относительно наличия</w:t>
      </w:r>
      <w:r>
        <w:t xml:space="preserve"> в МСЭ стратеги</w:t>
      </w:r>
      <w:r w:rsidR="00865EAA">
        <w:t>и</w:t>
      </w:r>
      <w:r>
        <w:t xml:space="preserve"> </w:t>
      </w:r>
      <w:r w:rsidR="00865EAA">
        <w:t xml:space="preserve">в области </w:t>
      </w:r>
      <w:r>
        <w:t xml:space="preserve">гендерного </w:t>
      </w:r>
      <w:r w:rsidR="008D0AC2">
        <w:t>паритета</w:t>
      </w:r>
      <w:r>
        <w:t xml:space="preserve"> и попросил предоставить ее для изучения.</w:t>
      </w:r>
    </w:p>
    <w:p w:rsidR="00067524" w:rsidRPr="00A225C7" w:rsidRDefault="00067524" w:rsidP="00F45C3F">
      <w:r>
        <w:t>7.5</w:t>
      </w:r>
      <w:r>
        <w:tab/>
        <w:t xml:space="preserve">Один из делегатов </w:t>
      </w:r>
      <w:r w:rsidR="00865EAA">
        <w:t>поинтересовался</w:t>
      </w:r>
      <w:r>
        <w:t>, почему недавно объявленная вакантной должность специалиста по гендерным вопросам предусматривает назначение сроком на один год без упоминания о возможности продления этого срока. Секретарь сослался</w:t>
      </w:r>
      <w:r w:rsidR="00073BB4">
        <w:t xml:space="preserve"> на решение Совета 2017 года и Р</w:t>
      </w:r>
      <w:r>
        <w:t xml:space="preserve">езолюцию 1388, согласно которым должность специалиста по гендерным вопросам в переходный период </w:t>
      </w:r>
      <w:r w:rsidR="00865EAA">
        <w:t xml:space="preserve">будет </w:t>
      </w:r>
      <w:r>
        <w:t>финансир</w:t>
      </w:r>
      <w:r w:rsidR="00865EAA">
        <w:t>оваться</w:t>
      </w:r>
      <w:r>
        <w:t xml:space="preserve"> из сэкономленных средств и предусмотрена в бюджете на 2020–2023 г</w:t>
      </w:r>
      <w:r w:rsidR="00865EAA">
        <w:t>оды</w:t>
      </w:r>
      <w:r>
        <w:t xml:space="preserve">. Делегации еще раз подчеркнули важность этой должности и </w:t>
      </w:r>
      <w:r w:rsidR="00865EAA">
        <w:t xml:space="preserve">ее непрерывного </w:t>
      </w:r>
      <w:r>
        <w:t>финансирования.</w:t>
      </w:r>
    </w:p>
    <w:p w:rsidR="008D0AC2" w:rsidRDefault="0019520B" w:rsidP="008D0AC2">
      <w:r>
        <w:rPr>
          <w:b/>
          <w:color w:val="0000FF"/>
        </w:rPr>
        <w:t>Рекомендация:</w:t>
      </w:r>
      <w:r>
        <w:rPr>
          <w:b/>
        </w:rPr>
        <w:t xml:space="preserve"> </w:t>
      </w:r>
      <w:r>
        <w:t xml:space="preserve">Секретариату предлагается представить Стратегию </w:t>
      </w:r>
      <w:r w:rsidR="005B76FB">
        <w:t xml:space="preserve">МСЭ в области </w:t>
      </w:r>
      <w:r>
        <w:t xml:space="preserve">гендерного </w:t>
      </w:r>
      <w:r w:rsidR="008D0AC2">
        <w:t>паритета</w:t>
      </w:r>
      <w:r>
        <w:t xml:space="preserve"> делегатам Совета 2018 г</w:t>
      </w:r>
      <w:r w:rsidR="005B76FB">
        <w:t>ода</w:t>
      </w:r>
      <w:r>
        <w:t xml:space="preserve"> как ответ организации на Общесистемную стратегию </w:t>
      </w:r>
      <w:r w:rsidR="008D0AC2" w:rsidRPr="008D0AC2">
        <w:t>обеспечения равного соотношения мужчин и женщин ООН</w:t>
      </w:r>
      <w:r>
        <w:t xml:space="preserve">, представленную </w:t>
      </w:r>
      <w:r w:rsidR="005B76FB">
        <w:t>з</w:t>
      </w:r>
      <w:r>
        <w:t>аместителем Генерального секретаря.</w:t>
      </w:r>
    </w:p>
    <w:p w:rsidR="008D0AC2" w:rsidRDefault="008D0AC2">
      <w:pPr>
        <w:tabs>
          <w:tab w:val="clear" w:pos="794"/>
          <w:tab w:val="clear" w:pos="1191"/>
          <w:tab w:val="clear" w:pos="1588"/>
          <w:tab w:val="clear" w:pos="1985"/>
        </w:tabs>
        <w:overflowPunct/>
        <w:autoSpaceDE/>
        <w:autoSpaceDN/>
        <w:adjustRightInd/>
        <w:spacing w:before="0"/>
        <w:textAlignment w:val="auto"/>
      </w:pPr>
      <w:r>
        <w:br w:type="page"/>
      </w:r>
    </w:p>
    <w:p w:rsidR="00067524" w:rsidRPr="00CC6D25" w:rsidRDefault="001B7D97" w:rsidP="00CC6D25">
      <w:pPr>
        <w:pStyle w:val="ListParagraph"/>
        <w:spacing w:before="300" w:after="120"/>
        <w:ind w:left="1191" w:hanging="471"/>
        <w:rPr>
          <w:b/>
          <w:szCs w:val="22"/>
        </w:rPr>
      </w:pPr>
      <w:r w:rsidRPr="00CC6D25">
        <w:rPr>
          <w:b/>
        </w:rPr>
        <w:lastRenderedPageBreak/>
        <w:t>−</w:t>
      </w:r>
      <w:r w:rsidRPr="00CC6D25">
        <w:rPr>
          <w:b/>
        </w:rPr>
        <w:tab/>
        <w:t>Вклад Республики Инди</w:t>
      </w:r>
      <w:r w:rsidR="00073BB4">
        <w:rPr>
          <w:b/>
        </w:rPr>
        <w:t>я</w:t>
      </w:r>
      <w:r w:rsidRPr="00CC6D25">
        <w:rPr>
          <w:b/>
        </w:rPr>
        <w:t xml:space="preserve">: Содействие обеспечению гендерного равенства в </w:t>
      </w:r>
      <w:proofErr w:type="gramStart"/>
      <w:r w:rsidRPr="00CC6D25">
        <w:rPr>
          <w:b/>
        </w:rPr>
        <w:t>МСЭ</w:t>
      </w:r>
      <w:r w:rsidRPr="00CC6D25">
        <w:rPr>
          <w:b/>
        </w:rPr>
        <w:br/>
        <w:t>(</w:t>
      </w:r>
      <w:proofErr w:type="gramEnd"/>
      <w:r w:rsidRPr="00CC6D25">
        <w:rPr>
          <w:b/>
        </w:rPr>
        <w:t>Документ </w:t>
      </w:r>
      <w:hyperlink r:id="rId44">
        <w:r w:rsidRPr="00CC6D25">
          <w:rPr>
            <w:rStyle w:val="Hyperlink"/>
            <w:b/>
          </w:rPr>
          <w:t>CWG-FHR 8/25</w:t>
        </w:r>
      </w:hyperlink>
      <w:r w:rsidRPr="00CC6D25">
        <w:rPr>
          <w:b/>
        </w:rPr>
        <w:t>)</w:t>
      </w:r>
    </w:p>
    <w:p w:rsidR="00067524" w:rsidRPr="00A225C7" w:rsidRDefault="00067524" w:rsidP="001B7D97">
      <w:r>
        <w:t>7.6</w:t>
      </w:r>
      <w:r>
        <w:tab/>
        <w:t>Документ представил делегат от Индии, отметив, что преодоление глобального цифрового разрыва является ключевым фактором преодоления гендерного неравенства, и наоборот. Признавая усилия МСЭ, направленные на обеспечение гендерного равенства, делегат призвал МСЭ при</w:t>
      </w:r>
      <w:r w:rsidR="005B76FB">
        <w:t>лагать дальнейшие усилия в этой</w:t>
      </w:r>
      <w:r>
        <w:t xml:space="preserve"> </w:t>
      </w:r>
      <w:r w:rsidR="005B76FB">
        <w:t xml:space="preserve">области </w:t>
      </w:r>
      <w:r>
        <w:t>и активнее вести информационно-пропагандистскую работу с квалифицированными специалистами</w:t>
      </w:r>
      <w:r w:rsidR="005B76FB">
        <w:t>-</w:t>
      </w:r>
      <w:r>
        <w:t>жен</w:t>
      </w:r>
      <w:r w:rsidR="005B76FB">
        <w:t>щинами</w:t>
      </w:r>
      <w:r>
        <w:t xml:space="preserve"> по всему миру, чтобы обеспечить женщинам более широкие возможности для занятия руководящих должностей различных категорий и уровней.</w:t>
      </w:r>
    </w:p>
    <w:p w:rsidR="00067524" w:rsidRPr="00A225C7" w:rsidRDefault="00067524" w:rsidP="001B7D97">
      <w:r>
        <w:t>7.7</w:t>
      </w:r>
      <w:r>
        <w:tab/>
        <w:t xml:space="preserve">В </w:t>
      </w:r>
      <w:r w:rsidR="005B76FB">
        <w:t xml:space="preserve">этом </w:t>
      </w:r>
      <w:r>
        <w:t>документе предлагается</w:t>
      </w:r>
      <w:r w:rsidR="005B76FB">
        <w:t>, чтобы</w:t>
      </w:r>
      <w:r>
        <w:t>: 1) Государства-Член</w:t>
      </w:r>
      <w:r w:rsidR="005B76FB">
        <w:t>ы</w:t>
      </w:r>
      <w:r>
        <w:t xml:space="preserve"> </w:t>
      </w:r>
      <w:r w:rsidR="005B76FB">
        <w:t xml:space="preserve">активизировали свои </w:t>
      </w:r>
      <w:r>
        <w:t>усили</w:t>
      </w:r>
      <w:r w:rsidR="005B76FB">
        <w:t>я</w:t>
      </w:r>
      <w:r>
        <w:t xml:space="preserve"> </w:t>
      </w:r>
      <w:r w:rsidR="005B76FB">
        <w:t>в области</w:t>
      </w:r>
      <w:r>
        <w:t xml:space="preserve"> </w:t>
      </w:r>
      <w:r w:rsidR="005B76FB">
        <w:t xml:space="preserve">создания </w:t>
      </w:r>
      <w:r>
        <w:t xml:space="preserve">потенциала и </w:t>
      </w:r>
      <w:r w:rsidR="005B76FB">
        <w:t>подбора кадров</w:t>
      </w:r>
      <w:r w:rsidR="00B52FB2">
        <w:t>;</w:t>
      </w:r>
      <w:r w:rsidR="005B76FB">
        <w:t xml:space="preserve"> и </w:t>
      </w:r>
      <w:r>
        <w:t>привле</w:t>
      </w:r>
      <w:r w:rsidR="005B76FB">
        <w:t>кали больше женщин</w:t>
      </w:r>
      <w:r>
        <w:t xml:space="preserve"> на технические должности</w:t>
      </w:r>
      <w:r w:rsidR="00B52FB2">
        <w:t>;</w:t>
      </w:r>
      <w:r>
        <w:t xml:space="preserve"> 2) </w:t>
      </w:r>
      <w:r w:rsidR="005B76FB">
        <w:t>поощрялся</w:t>
      </w:r>
      <w:r>
        <w:t xml:space="preserve"> </w:t>
      </w:r>
      <w:proofErr w:type="spellStart"/>
      <w:r>
        <w:t>найм</w:t>
      </w:r>
      <w:proofErr w:type="spellEnd"/>
      <w:r>
        <w:t xml:space="preserve"> молодых женщин; 3) </w:t>
      </w:r>
      <w:r w:rsidR="005B76FB">
        <w:t>поощрялось</w:t>
      </w:r>
      <w:r>
        <w:t xml:space="preserve"> участи</w:t>
      </w:r>
      <w:r w:rsidR="005B76FB">
        <w:t>е женщин в качестве делегатов</w:t>
      </w:r>
      <w:r>
        <w:t xml:space="preserve"> в конференциях, рабочих группах и собраниях МСЭ; 4) </w:t>
      </w:r>
      <w:r w:rsidR="005B76FB">
        <w:t>г</w:t>
      </w:r>
      <w:r>
        <w:t>осударства-</w:t>
      </w:r>
      <w:r w:rsidR="00073BB4">
        <w:t>ч</w:t>
      </w:r>
      <w:r>
        <w:t>лен</w:t>
      </w:r>
      <w:r w:rsidR="005B76FB">
        <w:t>ы</w:t>
      </w:r>
      <w:r>
        <w:t xml:space="preserve"> повыша</w:t>
      </w:r>
      <w:r w:rsidR="00073BB4">
        <w:t>ли</w:t>
      </w:r>
      <w:r>
        <w:t xml:space="preserve"> осведомленность о возможностях для женщин и стоящих перед ними трудностях на глобальном уровне.</w:t>
      </w:r>
    </w:p>
    <w:p w:rsidR="00067524" w:rsidRPr="00A225C7" w:rsidRDefault="00067524" w:rsidP="001B7D97">
      <w:pPr>
        <w:rPr>
          <w:szCs w:val="22"/>
        </w:rPr>
      </w:pPr>
      <w:r>
        <w:t>7.8</w:t>
      </w:r>
      <w:r>
        <w:tab/>
        <w:t>Делегаты высоко оценили предложение Индии и согласились с ним.</w:t>
      </w:r>
    </w:p>
    <w:p w:rsidR="00067524" w:rsidRPr="00A225C7" w:rsidRDefault="0019520B" w:rsidP="001B7D97">
      <w:pPr>
        <w:rPr>
          <w:szCs w:val="22"/>
        </w:rPr>
      </w:pPr>
      <w:r>
        <w:rPr>
          <w:b/>
          <w:color w:val="0000FF"/>
        </w:rPr>
        <w:t>Рекомендация</w:t>
      </w:r>
      <w:r>
        <w:rPr>
          <w:color w:val="0000FF"/>
        </w:rPr>
        <w:t>:</w:t>
      </w:r>
      <w:r>
        <w:rPr>
          <w:b/>
        </w:rPr>
        <w:t xml:space="preserve"> </w:t>
      </w:r>
      <w:r>
        <w:t>Индии предлагается представить документ Совету для обсуждения в рамках пункта повестки дня, посвященного гендерным вопросам.</w:t>
      </w:r>
    </w:p>
    <w:p w:rsidR="00067524" w:rsidRPr="00CC6D25" w:rsidRDefault="00067524" w:rsidP="001B7D97">
      <w:pPr>
        <w:pStyle w:val="Heading1"/>
        <w:rPr>
          <w:sz w:val="22"/>
          <w:szCs w:val="22"/>
        </w:rPr>
      </w:pPr>
      <w:r w:rsidRPr="00CC6D25">
        <w:rPr>
          <w:sz w:val="22"/>
          <w:szCs w:val="22"/>
        </w:rPr>
        <w:t>8</w:t>
      </w:r>
      <w:r w:rsidRPr="00CC6D25">
        <w:rPr>
          <w:sz w:val="22"/>
          <w:szCs w:val="22"/>
        </w:rPr>
        <w:tab/>
        <w:t>Отчет о выполнении Резолюции 48 ПК</w:t>
      </w:r>
    </w:p>
    <w:p w:rsidR="00067524" w:rsidRPr="00CC6D25" w:rsidRDefault="006B2460" w:rsidP="00CC6D25">
      <w:pPr>
        <w:pStyle w:val="ListParagraph"/>
        <w:rPr>
          <w:rFonts w:cs="Calibri"/>
          <w:b/>
          <w:bCs/>
          <w:szCs w:val="22"/>
        </w:rPr>
      </w:pPr>
      <w:r w:rsidRPr="00CC6D25">
        <w:rPr>
          <w:b/>
        </w:rPr>
        <w:t>−</w:t>
      </w:r>
      <w:r w:rsidRPr="00CC6D25">
        <w:rPr>
          <w:b/>
        </w:rPr>
        <w:tab/>
        <w:t xml:space="preserve">Отчетность и статистические данные по людским ресурсам (Документ </w:t>
      </w:r>
      <w:hyperlink r:id="rId45">
        <w:r w:rsidRPr="00CC6D25">
          <w:rPr>
            <w:rStyle w:val="Hyperlink"/>
            <w:b/>
          </w:rPr>
          <w:t>CWG-FHR 8/26</w:t>
        </w:r>
      </w:hyperlink>
      <w:r w:rsidRPr="00CC6D25">
        <w:rPr>
          <w:b/>
        </w:rPr>
        <w:t>)</w:t>
      </w:r>
    </w:p>
    <w:p w:rsidR="00067524" w:rsidRPr="00A225C7" w:rsidRDefault="00067524" w:rsidP="001B7D97">
      <w:r>
        <w:t>8.1</w:t>
      </w:r>
      <w:r>
        <w:tab/>
        <w:t>Документ, содержащий всеобъемлющий набор информации о персонале МСЭ в раз</w:t>
      </w:r>
      <w:r w:rsidR="005B76FB">
        <w:t>бивке по</w:t>
      </w:r>
      <w:r>
        <w:t xml:space="preserve"> категори</w:t>
      </w:r>
      <w:r w:rsidR="005B76FB">
        <w:t>ям</w:t>
      </w:r>
      <w:r>
        <w:t>, тип</w:t>
      </w:r>
      <w:r w:rsidR="005B76FB">
        <w:t>у</w:t>
      </w:r>
      <w:r>
        <w:t xml:space="preserve"> контракта, </w:t>
      </w:r>
      <w:r w:rsidR="005B76FB">
        <w:t>полу</w:t>
      </w:r>
      <w:r>
        <w:t>, национально</w:t>
      </w:r>
      <w:r w:rsidR="005B76FB">
        <w:t xml:space="preserve">й </w:t>
      </w:r>
      <w:proofErr w:type="spellStart"/>
      <w:r w:rsidR="005B76FB">
        <w:t>приналежно</w:t>
      </w:r>
      <w:r>
        <w:t>сти</w:t>
      </w:r>
      <w:proofErr w:type="spellEnd"/>
      <w:r>
        <w:t xml:space="preserve"> и</w:t>
      </w:r>
      <w:r w:rsidR="005B76FB">
        <w:t xml:space="preserve"> т. д.</w:t>
      </w:r>
      <w:r>
        <w:t xml:space="preserve">, представил Руководитель Департамента управления людскими ресурсами в рамках ежегодного отчета Секретариата о выполнении Стратегического плана в области людских ресурсов и Резолюции 48 ПК. Он также объяснил Рабочей группе причины запоздалой публикации </w:t>
      </w:r>
      <w:r w:rsidR="005B76FB">
        <w:t xml:space="preserve">этого </w:t>
      </w:r>
      <w:r>
        <w:t xml:space="preserve">документа, указав, что поскольку документ охватывает весь предыдущий год, извлечение и проверка данных становятся возможными только с первых чисел января следующего года. Кроме того, </w:t>
      </w:r>
      <w:r w:rsidR="00AB0701">
        <w:t>Руководитель Департамента</w:t>
      </w:r>
      <w:r>
        <w:t xml:space="preserve"> заметил, что разработка </w:t>
      </w:r>
      <w:r w:rsidR="00AB0701">
        <w:t xml:space="preserve">этого </w:t>
      </w:r>
      <w:r>
        <w:t xml:space="preserve">документа продолжается в </w:t>
      </w:r>
      <w:r w:rsidR="00AB0701">
        <w:t>течение многих лет</w:t>
      </w:r>
      <w:r w:rsidR="00073BB4">
        <w:t>,</w:t>
      </w:r>
      <w:r w:rsidR="00AB0701">
        <w:t xml:space="preserve"> и в нем приводится новая </w:t>
      </w:r>
      <w:r>
        <w:t>информация о новых сферах деятельност</w:t>
      </w:r>
      <w:r w:rsidR="00AB0701">
        <w:t>и</w:t>
      </w:r>
      <w:r>
        <w:t xml:space="preserve">, </w:t>
      </w:r>
      <w:r w:rsidR="00AB0701">
        <w:t xml:space="preserve">как, </w:t>
      </w:r>
      <w:r w:rsidR="00073BB4">
        <w:t xml:space="preserve">например, </w:t>
      </w:r>
      <w:r w:rsidR="00AB0701">
        <w:t xml:space="preserve">информация в издании на </w:t>
      </w:r>
      <w:r>
        <w:t>это</w:t>
      </w:r>
      <w:r w:rsidR="00AB0701">
        <w:t>т</w:t>
      </w:r>
      <w:r>
        <w:t xml:space="preserve"> год</w:t>
      </w:r>
      <w:r w:rsidR="00AB0701">
        <w:t xml:space="preserve"> о</w:t>
      </w:r>
      <w:r>
        <w:t xml:space="preserve"> внедрени</w:t>
      </w:r>
      <w:r w:rsidR="00AB0701">
        <w:t>и в МСЭ новой с</w:t>
      </w:r>
      <w:r>
        <w:t>истемы управления показателями деятельности и служебного роста.</w:t>
      </w:r>
    </w:p>
    <w:p w:rsidR="00067524" w:rsidRPr="00A225C7" w:rsidRDefault="00067524" w:rsidP="001B7D97">
      <w:r>
        <w:t>8.2</w:t>
      </w:r>
      <w:r>
        <w:tab/>
        <w:t xml:space="preserve">Отвечая на вопрос одной из делегаций, Руководитель Департамента дал пояснения по данным, касающимся консультационных услуг. Он указал, что </w:t>
      </w:r>
      <w:r w:rsidR="00935CC0">
        <w:t>система контрактов</w:t>
      </w:r>
      <w:r>
        <w:t xml:space="preserve">, </w:t>
      </w:r>
      <w:r w:rsidR="00935CC0">
        <w:t>подобных</w:t>
      </w:r>
      <w:r>
        <w:t xml:space="preserve"> использу</w:t>
      </w:r>
      <w:r w:rsidR="00935CC0">
        <w:t>емым в случае оказания таких услуг,</w:t>
      </w:r>
      <w:r>
        <w:t xml:space="preserve"> </w:t>
      </w:r>
      <w:r w:rsidR="00935CC0">
        <w:t xml:space="preserve">применяется в отношении вспомогательной эпизодической </w:t>
      </w:r>
      <w:r>
        <w:t xml:space="preserve">деятельности, </w:t>
      </w:r>
      <w:r w:rsidR="00935CC0">
        <w:t xml:space="preserve">не входящей в круг штатных должностных обязанностей, </w:t>
      </w:r>
      <w:proofErr w:type="gramStart"/>
      <w:r w:rsidR="00935CC0">
        <w:t>например</w:t>
      </w:r>
      <w:proofErr w:type="gramEnd"/>
      <w:r w:rsidR="00935CC0">
        <w:t xml:space="preserve"> деятельности, связанной с проведением конференций и собраний, такой как выполнение функций ведущего при дистанционном участии, устный перевод и материально-техническое обеспечение</w:t>
      </w:r>
      <w:r>
        <w:t xml:space="preserve">. Значительная часть этих контрактов также </w:t>
      </w:r>
      <w:r w:rsidR="00935CC0">
        <w:t xml:space="preserve">используется </w:t>
      </w:r>
      <w:r>
        <w:t xml:space="preserve">БРЭ в целях найма соответствующих специалистов для </w:t>
      </w:r>
      <w:r w:rsidR="00935CC0">
        <w:t>осуществле</w:t>
      </w:r>
      <w:r>
        <w:t>ния проектов.</w:t>
      </w:r>
    </w:p>
    <w:p w:rsidR="00CC6D25" w:rsidRDefault="00067524" w:rsidP="00821AF3">
      <w:pPr>
        <w:rPr>
          <w:b/>
        </w:rPr>
      </w:pPr>
      <w:r>
        <w:t>8.3</w:t>
      </w:r>
      <w:r>
        <w:tab/>
        <w:t>Еще один вопрос был поднят в связи с публикацией объявлений о вакансиях на уровнях P1 и P2 с ограниченным сроком действия контракта (4 года). В ответ последовало напоминание</w:t>
      </w:r>
      <w:r w:rsidR="003A2BCF">
        <w:t xml:space="preserve"> о том</w:t>
      </w:r>
      <w:r>
        <w:t xml:space="preserve">, что </w:t>
      </w:r>
      <w:r w:rsidR="003A2BCF">
        <w:t xml:space="preserve">речь идет </w:t>
      </w:r>
      <w:r>
        <w:t xml:space="preserve">только </w:t>
      </w:r>
      <w:r w:rsidR="003A2BCF">
        <w:t xml:space="preserve">о </w:t>
      </w:r>
      <w:r>
        <w:t>должност</w:t>
      </w:r>
      <w:r w:rsidR="003A2BCF">
        <w:t>ях</w:t>
      </w:r>
      <w:r>
        <w:t xml:space="preserve"> уровн</w:t>
      </w:r>
      <w:r w:rsidR="003A2BCF">
        <w:t>ей</w:t>
      </w:r>
      <w:r>
        <w:t xml:space="preserve"> P1 и P2 (т</w:t>
      </w:r>
      <w:r w:rsidR="00073BB4">
        <w:t>о</w:t>
      </w:r>
      <w:r>
        <w:t> е</w:t>
      </w:r>
      <w:r w:rsidR="00073BB4">
        <w:t>сть</w:t>
      </w:r>
      <w:r>
        <w:t xml:space="preserve"> начальных уровнях), которые предназначены для молодых специалистов без опыта или с небольшим опытом и не рассчитаны на то, чтобы их занимали на протяжении длительного времени. Накопив опыт и квалификацию за годы</w:t>
      </w:r>
      <w:r w:rsidR="003A2BCF">
        <w:t xml:space="preserve"> пребывания</w:t>
      </w:r>
      <w:r>
        <w:t xml:space="preserve"> на этих должностях, </w:t>
      </w:r>
      <w:r w:rsidR="003A2BCF">
        <w:t xml:space="preserve">данные </w:t>
      </w:r>
      <w:r>
        <w:t>лица могут</w:t>
      </w:r>
      <w:r w:rsidR="003A2BCF">
        <w:t xml:space="preserve"> получить</w:t>
      </w:r>
      <w:r>
        <w:t xml:space="preserve"> повышен</w:t>
      </w:r>
      <w:r w:rsidR="003A2BCF">
        <w:t>ие</w:t>
      </w:r>
      <w:r>
        <w:t xml:space="preserve"> по службе или претендовать на другие должности, а также могут покинуть организацию. </w:t>
      </w:r>
      <w:r w:rsidR="003A2BCF">
        <w:t xml:space="preserve">Между </w:t>
      </w:r>
      <w:r>
        <w:t>Генеральны</w:t>
      </w:r>
      <w:r w:rsidR="003A2BCF">
        <w:t>м</w:t>
      </w:r>
      <w:r>
        <w:t xml:space="preserve"> секретар</w:t>
      </w:r>
      <w:r w:rsidR="003A2BCF">
        <w:t>ем</w:t>
      </w:r>
      <w:r>
        <w:t>, Директора</w:t>
      </w:r>
      <w:r w:rsidR="003A2BCF">
        <w:t>ми</w:t>
      </w:r>
      <w:r>
        <w:t xml:space="preserve"> </w:t>
      </w:r>
      <w:r w:rsidR="003A2BCF">
        <w:t xml:space="preserve">Бюро </w:t>
      </w:r>
      <w:r>
        <w:t>и руководител</w:t>
      </w:r>
      <w:r w:rsidR="003A2BCF">
        <w:t>ям</w:t>
      </w:r>
      <w:r>
        <w:t xml:space="preserve">и </w:t>
      </w:r>
      <w:r w:rsidR="003A2BCF">
        <w:t xml:space="preserve">заинтересованных </w:t>
      </w:r>
      <w:r>
        <w:t xml:space="preserve">департаментов уже </w:t>
      </w:r>
      <w:r w:rsidR="003A2BCF">
        <w:t xml:space="preserve">проходили </w:t>
      </w:r>
      <w:r>
        <w:t>обсуждения</w:t>
      </w:r>
      <w:r w:rsidR="003A2BCF">
        <w:t>,</w:t>
      </w:r>
      <w:r>
        <w:t xml:space="preserve"> применительно к конкретным случая</w:t>
      </w:r>
      <w:r w:rsidR="00073BB4">
        <w:t>м</w:t>
      </w:r>
      <w:r w:rsidR="00BC3595">
        <w:t>,</w:t>
      </w:r>
      <w:r>
        <w:t xml:space="preserve"> вопрос</w:t>
      </w:r>
      <w:r w:rsidR="00BC3595">
        <w:t>а</w:t>
      </w:r>
      <w:r>
        <w:t xml:space="preserve"> продлени</w:t>
      </w:r>
      <w:r w:rsidR="00BC3595">
        <w:t>я</w:t>
      </w:r>
      <w:r>
        <w:t xml:space="preserve"> этих контрактов сверх четырехлетнего </w:t>
      </w:r>
      <w:r>
        <w:lastRenderedPageBreak/>
        <w:t>срока при условии наличия дальнейшей потребности, обеспечения финансирования и удовлетворительного качества работы соответствующих членов персонала на своих должностях.</w:t>
      </w:r>
    </w:p>
    <w:p w:rsidR="00067524" w:rsidRPr="00CC6D25" w:rsidRDefault="006B2460" w:rsidP="00CC6D25">
      <w:pPr>
        <w:pStyle w:val="ListParagraph"/>
        <w:ind w:left="1191" w:hanging="471"/>
        <w:rPr>
          <w:rFonts w:cs="Calibri"/>
          <w:b/>
          <w:bCs/>
          <w:szCs w:val="22"/>
        </w:rPr>
      </w:pPr>
      <w:r w:rsidRPr="00CC6D25">
        <w:rPr>
          <w:b/>
        </w:rPr>
        <w:t>−</w:t>
      </w:r>
      <w:r w:rsidRPr="00CC6D25">
        <w:rPr>
          <w:b/>
        </w:rPr>
        <w:tab/>
        <w:t>Вклад Республики Инди</w:t>
      </w:r>
      <w:r w:rsidR="00073BB4">
        <w:rPr>
          <w:b/>
        </w:rPr>
        <w:t>я</w:t>
      </w:r>
      <w:r w:rsidRPr="00CC6D25">
        <w:rPr>
          <w:b/>
        </w:rPr>
        <w:t xml:space="preserve">: Рамочная политика командирования государственных служащих в МСЭ для создания потенциала и обмена передовым </w:t>
      </w:r>
      <w:proofErr w:type="gramStart"/>
      <w:r w:rsidRPr="00CC6D25">
        <w:rPr>
          <w:b/>
        </w:rPr>
        <w:t>опытом</w:t>
      </w:r>
      <w:r w:rsidR="00CC6D25">
        <w:rPr>
          <w:b/>
        </w:rPr>
        <w:br/>
      </w:r>
      <w:r w:rsidRPr="00CC6D25">
        <w:rPr>
          <w:b/>
        </w:rPr>
        <w:t>(</w:t>
      </w:r>
      <w:proofErr w:type="gramEnd"/>
      <w:r w:rsidRPr="00CC6D25">
        <w:rPr>
          <w:b/>
        </w:rPr>
        <w:t xml:space="preserve">Документ </w:t>
      </w:r>
      <w:hyperlink r:id="rId46">
        <w:r w:rsidRPr="00CC6D25">
          <w:rPr>
            <w:rStyle w:val="Hyperlink"/>
            <w:b/>
          </w:rPr>
          <w:t>CWG-FHR 8/23</w:t>
        </w:r>
      </w:hyperlink>
      <w:r w:rsidRPr="00CC6D25">
        <w:rPr>
          <w:b/>
        </w:rPr>
        <w:t>)</w:t>
      </w:r>
    </w:p>
    <w:p w:rsidR="00067524" w:rsidRPr="00A225C7" w:rsidRDefault="00067524" w:rsidP="001B7D97">
      <w:r>
        <w:t>8.4</w:t>
      </w:r>
      <w:r>
        <w:tab/>
        <w:t xml:space="preserve">После представления документа делегатом от Индии Руководитель Департамента управления людскими ресурсами подтвердил, что такая система (Принципы политики временного привлечения и прикомандирования персонала в МСЭ) </w:t>
      </w:r>
      <w:r w:rsidR="00BC3595">
        <w:t xml:space="preserve">была введена </w:t>
      </w:r>
      <w:r>
        <w:t>в 2015 году</w:t>
      </w:r>
      <w:r w:rsidR="00BC3595">
        <w:t>,</w:t>
      </w:r>
      <w:r>
        <w:t xml:space="preserve"> позволя</w:t>
      </w:r>
      <w:r w:rsidR="00BC3595">
        <w:t>я</w:t>
      </w:r>
      <w:r>
        <w:t xml:space="preserve"> временно привлекать или прикомандировывать должностных лиц администраций Государств-Членов и</w:t>
      </w:r>
      <w:r w:rsidR="00BC3595">
        <w:t>ли</w:t>
      </w:r>
      <w:r>
        <w:t xml:space="preserve"> даже Членов Секторов в МСЭ на период от шести месяцев до двух лет по соглашению, которое должно быть заключено между администрацией МСЭ и администрацией соответствующего Государства-Члена. Он упомянул, что эта система была представлена Совету в 2015 году и уже использовалась некоторыми Государствами-Членами, как отражено в Документе CWG-FHR 8/26 (с. 22, таблица 21), представленном Рабочей группе Совета.</w:t>
      </w:r>
    </w:p>
    <w:p w:rsidR="00067524" w:rsidRPr="00A225C7" w:rsidRDefault="0019520B" w:rsidP="001B7D97">
      <w:r>
        <w:rPr>
          <w:b/>
          <w:color w:val="0000FF"/>
        </w:rPr>
        <w:t>Рекомендация</w:t>
      </w:r>
      <w:r>
        <w:rPr>
          <w:color w:val="0000FF"/>
        </w:rPr>
        <w:t>:</w:t>
      </w:r>
      <w:r>
        <w:rPr>
          <w:b/>
        </w:rPr>
        <w:t xml:space="preserve"> </w:t>
      </w:r>
      <w:r>
        <w:t>Рабочая группа Совета согласилась повторно представить имеющуюся систему на сессии Совета 2018 года.</w:t>
      </w:r>
    </w:p>
    <w:p w:rsidR="00067524" w:rsidRPr="00CC6D25" w:rsidRDefault="00067524" w:rsidP="001B7D97">
      <w:pPr>
        <w:pStyle w:val="Heading1"/>
        <w:rPr>
          <w:rFonts w:cs="Calibri"/>
          <w:sz w:val="22"/>
          <w:szCs w:val="22"/>
        </w:rPr>
      </w:pPr>
      <w:r w:rsidRPr="00CC6D25">
        <w:rPr>
          <w:sz w:val="22"/>
          <w:szCs w:val="22"/>
        </w:rPr>
        <w:t>9</w:t>
      </w:r>
      <w:r w:rsidRPr="00CC6D25">
        <w:rPr>
          <w:sz w:val="22"/>
          <w:szCs w:val="22"/>
        </w:rPr>
        <w:tab/>
        <w:t>Внес</w:t>
      </w:r>
      <w:r w:rsidR="00BC3595" w:rsidRPr="00CC6D25">
        <w:rPr>
          <w:sz w:val="22"/>
          <w:szCs w:val="22"/>
        </w:rPr>
        <w:t>ение изменений в Резолюцию 11 (</w:t>
      </w:r>
      <w:proofErr w:type="spellStart"/>
      <w:r w:rsidR="00BC3595" w:rsidRPr="00CC6D25">
        <w:rPr>
          <w:sz w:val="22"/>
          <w:szCs w:val="22"/>
        </w:rPr>
        <w:t>П</w:t>
      </w:r>
      <w:r w:rsidRPr="00CC6D25">
        <w:rPr>
          <w:sz w:val="22"/>
          <w:szCs w:val="22"/>
        </w:rPr>
        <w:t>ересм</w:t>
      </w:r>
      <w:proofErr w:type="spellEnd"/>
      <w:r w:rsidRPr="00CC6D25">
        <w:rPr>
          <w:sz w:val="22"/>
          <w:szCs w:val="22"/>
        </w:rPr>
        <w:t xml:space="preserve">. </w:t>
      </w:r>
      <w:proofErr w:type="spellStart"/>
      <w:r w:rsidRPr="00CC6D25">
        <w:rPr>
          <w:sz w:val="22"/>
          <w:szCs w:val="22"/>
        </w:rPr>
        <w:t>Пусан</w:t>
      </w:r>
      <w:proofErr w:type="spellEnd"/>
      <w:r w:rsidRPr="00CC6D25">
        <w:rPr>
          <w:sz w:val="22"/>
          <w:szCs w:val="22"/>
        </w:rPr>
        <w:t>, 2014 г</w:t>
      </w:r>
      <w:r w:rsidR="00073BB4">
        <w:rPr>
          <w:sz w:val="22"/>
          <w:szCs w:val="22"/>
        </w:rPr>
        <w:t>од</w:t>
      </w:r>
      <w:r w:rsidRPr="00CC6D25">
        <w:rPr>
          <w:sz w:val="22"/>
          <w:szCs w:val="22"/>
        </w:rPr>
        <w:t>), касающ</w:t>
      </w:r>
      <w:r w:rsidR="00BC3595" w:rsidRPr="00CC6D25">
        <w:rPr>
          <w:sz w:val="22"/>
          <w:szCs w:val="22"/>
        </w:rPr>
        <w:t>ую</w:t>
      </w:r>
      <w:r w:rsidRPr="00CC6D25">
        <w:rPr>
          <w:sz w:val="22"/>
          <w:szCs w:val="22"/>
        </w:rPr>
        <w:t>ся мероприятий ITU Telecom (Документ </w:t>
      </w:r>
      <w:hyperlink r:id="rId47">
        <w:r w:rsidRPr="00CC6D25">
          <w:rPr>
            <w:rStyle w:val="Hyperlink"/>
            <w:sz w:val="22"/>
            <w:szCs w:val="22"/>
          </w:rPr>
          <w:t>CWG-FHR 8/INF/1</w:t>
        </w:r>
      </w:hyperlink>
      <w:r w:rsidRPr="00CC6D25">
        <w:rPr>
          <w:sz w:val="22"/>
          <w:szCs w:val="22"/>
        </w:rPr>
        <w:t>)</w:t>
      </w:r>
    </w:p>
    <w:p w:rsidR="00067524" w:rsidRPr="00A225C7" w:rsidRDefault="00067524" w:rsidP="001B7D97">
      <w:r>
        <w:t>9.1</w:t>
      </w:r>
      <w:r>
        <w:tab/>
        <w:t>Документ</w:t>
      </w:r>
      <w:r w:rsidR="00BC3595">
        <w:t>, в котором</w:t>
      </w:r>
      <w:r>
        <w:t xml:space="preserve"> подробн</w:t>
      </w:r>
      <w:r w:rsidR="00BC3595">
        <w:t>о</w:t>
      </w:r>
      <w:r>
        <w:t xml:space="preserve"> </w:t>
      </w:r>
      <w:r w:rsidR="00BC3595">
        <w:t xml:space="preserve">излагаются </w:t>
      </w:r>
      <w:r>
        <w:t>предлагаемы</w:t>
      </w:r>
      <w:r w:rsidR="00BC3595">
        <w:t>е</w:t>
      </w:r>
      <w:r>
        <w:t xml:space="preserve"> изменения к Резолюции 11</w:t>
      </w:r>
      <w:r w:rsidR="00BC3595">
        <w:t>,</w:t>
      </w:r>
      <w:r>
        <w:t xml:space="preserve"> представил Ответственный руководитель ITU Telecom</w:t>
      </w:r>
      <w:r w:rsidR="00BC3595" w:rsidRPr="00BC3595">
        <w:t xml:space="preserve"> </w:t>
      </w:r>
      <w:r w:rsidR="00BC3595">
        <w:t>г-н Синь ЛЮ</w:t>
      </w:r>
      <w:r>
        <w:t>.</w:t>
      </w:r>
    </w:p>
    <w:p w:rsidR="00067524" w:rsidRPr="00A225C7" w:rsidRDefault="00067524" w:rsidP="001B7D97">
      <w:r>
        <w:t>9.2</w:t>
      </w:r>
      <w:r>
        <w:tab/>
        <w:t xml:space="preserve">После представления документа одна из делегаций </w:t>
      </w:r>
      <w:r w:rsidR="00BC3595">
        <w:t xml:space="preserve">высказалась в поддержку </w:t>
      </w:r>
      <w:r>
        <w:t>предлагаемы</w:t>
      </w:r>
      <w:r w:rsidR="00BC3595">
        <w:t>х</w:t>
      </w:r>
      <w:r>
        <w:t xml:space="preserve"> поправ</w:t>
      </w:r>
      <w:r w:rsidR="00BC3595">
        <w:t>ок</w:t>
      </w:r>
      <w:r>
        <w:t xml:space="preserve"> к Резолюции 11, отметив, что </w:t>
      </w:r>
      <w:r w:rsidR="00BC3595">
        <w:t>они</w:t>
      </w:r>
      <w:r>
        <w:t xml:space="preserve"> отражают текущие тенденции в отрасли и особенности самого мероприятия. Делегация одобрила предпринятую реформу, а также создани</w:t>
      </w:r>
      <w:r w:rsidR="00BC3595">
        <w:t>е</w:t>
      </w:r>
      <w:r>
        <w:t xml:space="preserve"> площадки для обмена мнениями и поддержки МСП. Кроме того, делегация отметила, что в проекте поправок придается ценность дальнейшей интеграции Союза, которая может способствовать </w:t>
      </w:r>
      <w:r w:rsidR="00BC3595">
        <w:t xml:space="preserve">усилению </w:t>
      </w:r>
      <w:r>
        <w:t xml:space="preserve">влияния МСЭ на международной арене. Делегация также выступила (в русле предыдущего своего выступления) в </w:t>
      </w:r>
      <w:r w:rsidR="00BC3595">
        <w:t xml:space="preserve">поддержку </w:t>
      </w:r>
      <w:r>
        <w:t xml:space="preserve">того, чтобы мероприятия ITU Telecom стали </w:t>
      </w:r>
      <w:r w:rsidR="00BC3595">
        <w:t>важ</w:t>
      </w:r>
      <w:r>
        <w:t>ной платформой</w:t>
      </w:r>
      <w:r w:rsidR="00BC3595">
        <w:t>, где</w:t>
      </w:r>
      <w:r>
        <w:t xml:space="preserve"> </w:t>
      </w:r>
      <w:r w:rsidR="00073BB4">
        <w:t xml:space="preserve">собираются </w:t>
      </w:r>
      <w:r>
        <w:t>высокопоставленны</w:t>
      </w:r>
      <w:r w:rsidR="00BC3595">
        <w:t>е</w:t>
      </w:r>
      <w:r>
        <w:t xml:space="preserve"> представител</w:t>
      </w:r>
      <w:r w:rsidR="00BC3595">
        <w:t>и</w:t>
      </w:r>
      <w:r>
        <w:t xml:space="preserve"> отрасли, министерств, регуляторных органов и академических организаций.</w:t>
      </w:r>
    </w:p>
    <w:p w:rsidR="00067524" w:rsidRPr="00A225C7" w:rsidRDefault="00067524" w:rsidP="001B7D97">
      <w:r>
        <w:t>9.3</w:t>
      </w:r>
      <w:r>
        <w:tab/>
        <w:t xml:space="preserve">Один из делегатов выразил мнение, что в документе присутствуют некоторые противоречия и что несмотря на поддержку мероприятия некоторыми регионами, другие регионы не считают его </w:t>
      </w:r>
      <w:r w:rsidR="00BC3595">
        <w:t xml:space="preserve">столь </w:t>
      </w:r>
      <w:r>
        <w:t xml:space="preserve">важным. Делегат сослался на большое количество </w:t>
      </w:r>
      <w:r w:rsidR="00BC3595">
        <w:t>собраний</w:t>
      </w:r>
      <w:r>
        <w:t xml:space="preserve"> высокого уровня, проход</w:t>
      </w:r>
      <w:r w:rsidR="00BC3595">
        <w:t>ящих</w:t>
      </w:r>
      <w:r>
        <w:t xml:space="preserve"> в МСЭ. Кроме того, </w:t>
      </w:r>
      <w:r w:rsidR="00BC3595">
        <w:t>он</w:t>
      </w:r>
      <w:r>
        <w:t xml:space="preserve"> упомянул, что мероприятия Telecom не всегда приносят доход, а </w:t>
      </w:r>
      <w:r w:rsidR="00BC3595">
        <w:t xml:space="preserve">любой полученный </w:t>
      </w:r>
      <w:r>
        <w:t xml:space="preserve">доход </w:t>
      </w:r>
      <w:r w:rsidR="00BC3595">
        <w:t>связан с</w:t>
      </w:r>
      <w:r>
        <w:t xml:space="preserve"> соглашени</w:t>
      </w:r>
      <w:r w:rsidR="00BC3595">
        <w:t>ями</w:t>
      </w:r>
      <w:r>
        <w:t xml:space="preserve"> с принимающей страной, поэтому включение этих мероприятий в бюджет МСЭ может привести к возникновению убытков. Секретариату следует привести более конкретные примеры того, что имеется в виду под новыми предложениями. </w:t>
      </w:r>
      <w:r w:rsidR="00073BB4">
        <w:br/>
      </w:r>
      <w:r>
        <w:t>До ПК-18, на которой будут приниматься решения о внесении изменений, еще остается время</w:t>
      </w:r>
      <w:r w:rsidR="00BC3595">
        <w:t>,</w:t>
      </w:r>
      <w:r>
        <w:t xml:space="preserve"> </w:t>
      </w:r>
      <w:r w:rsidR="00BC3595">
        <w:t xml:space="preserve">чтобы </w:t>
      </w:r>
      <w:r>
        <w:t>рассмотре</w:t>
      </w:r>
      <w:r w:rsidR="00BC3595">
        <w:t>ть</w:t>
      </w:r>
      <w:r>
        <w:t xml:space="preserve"> эт</w:t>
      </w:r>
      <w:r w:rsidR="00BC3595">
        <w:t>у</w:t>
      </w:r>
      <w:r>
        <w:t xml:space="preserve"> Резолюци</w:t>
      </w:r>
      <w:r w:rsidR="00BC3595">
        <w:t>ю</w:t>
      </w:r>
      <w:r>
        <w:t>.</w:t>
      </w:r>
    </w:p>
    <w:p w:rsidR="00067524" w:rsidRPr="00A225C7" w:rsidRDefault="00067524" w:rsidP="001B7D97">
      <w:r>
        <w:t>9.4</w:t>
      </w:r>
      <w:r>
        <w:tab/>
        <w:t xml:space="preserve">Председатель </w:t>
      </w:r>
      <w:r w:rsidR="001F7A05">
        <w:t>за</w:t>
      </w:r>
      <w:r>
        <w:t>метил, что речь идет о Резолюции ПК, поэтому окончательное решение о поправках будет приниматься на ПК-18.</w:t>
      </w:r>
    </w:p>
    <w:p w:rsidR="00CC6D25" w:rsidRDefault="00067524" w:rsidP="00523315">
      <w:r>
        <w:t>9.5</w:t>
      </w:r>
      <w:r>
        <w:tab/>
        <w:t xml:space="preserve">У одной из делегаций возникло два </w:t>
      </w:r>
      <w:r w:rsidR="001F7A05">
        <w:t>дополнительных</w:t>
      </w:r>
      <w:r>
        <w:t xml:space="preserve"> вопроса в связи с утверждением о том, что идея превращения мероприятия в платформу МСЭ для решения стратегических вопросов пользуется поддержкой. Делегация попросила разъяснить, во-первых, что такое стратегические вопросы (применительно к развитию рынка ИКТ), а во-вторых, </w:t>
      </w:r>
      <w:r w:rsidR="007C46F9">
        <w:t>соответствует ли</w:t>
      </w:r>
      <w:r>
        <w:t xml:space="preserve"> интереса</w:t>
      </w:r>
      <w:r w:rsidR="007C46F9">
        <w:t>м</w:t>
      </w:r>
      <w:r>
        <w:t xml:space="preserve"> Членов МСЭ</w:t>
      </w:r>
      <w:r w:rsidR="007C46F9">
        <w:t>/</w:t>
      </w:r>
      <w:r>
        <w:t>Государств-Членов выб</w:t>
      </w:r>
      <w:r w:rsidR="007C46F9">
        <w:t>ор</w:t>
      </w:r>
      <w:r>
        <w:t xml:space="preserve"> принимающ</w:t>
      </w:r>
      <w:r w:rsidR="007C46F9">
        <w:t>ей</w:t>
      </w:r>
      <w:r>
        <w:t xml:space="preserve"> стран</w:t>
      </w:r>
      <w:r w:rsidR="007C46F9">
        <w:t>ы (и место проведения мероприятия)</w:t>
      </w:r>
      <w:r>
        <w:t xml:space="preserve"> сроком на два года.</w:t>
      </w:r>
    </w:p>
    <w:p w:rsidR="00067524" w:rsidRPr="00A225C7" w:rsidRDefault="00067524" w:rsidP="00642C3F">
      <w:pPr>
        <w:spacing w:line="235" w:lineRule="auto"/>
      </w:pPr>
      <w:r>
        <w:lastRenderedPageBreak/>
        <w:t>9.6</w:t>
      </w:r>
      <w:r>
        <w:tab/>
      </w:r>
      <w:r w:rsidR="007C46F9">
        <w:t>Еще одна</w:t>
      </w:r>
      <w:r>
        <w:t xml:space="preserve"> делегация отметила, что Telecom </w:t>
      </w:r>
      <w:r w:rsidR="00073BB4">
        <w:t>–</w:t>
      </w:r>
      <w:r>
        <w:t xml:space="preserve"> мероприятие коммерческое, ориентированное на получение дохода. </w:t>
      </w:r>
      <w:r w:rsidR="007C46F9">
        <w:t>Она бы</w:t>
      </w:r>
      <w:r>
        <w:t xml:space="preserve"> поддержа</w:t>
      </w:r>
      <w:r w:rsidR="007C46F9">
        <w:t>ла усилия, направленные на</w:t>
      </w:r>
      <w:r>
        <w:t xml:space="preserve"> расширение этой платформы. Хороший способ положить начало реформированию мероприятия </w:t>
      </w:r>
      <w:r w:rsidR="00073BB4">
        <w:t>–</w:t>
      </w:r>
      <w:r>
        <w:t xml:space="preserve"> это изменить его название. Делегация высказала пожелание об организации исследования, посвященного переводу деятельности Telecom под эгиду Союза, и сведении воедино всех элементов, а также о проведении дальнейших обсуждений в Совете.</w:t>
      </w:r>
    </w:p>
    <w:p w:rsidR="00067524" w:rsidRPr="00A225C7" w:rsidRDefault="00067524" w:rsidP="00642C3F">
      <w:pPr>
        <w:spacing w:line="235" w:lineRule="auto"/>
      </w:pPr>
      <w:r>
        <w:t>9.7</w:t>
      </w:r>
      <w:r>
        <w:tab/>
        <w:t xml:space="preserve">В рамках позитивного подхода Председатель предложил при наличии </w:t>
      </w:r>
      <w:r w:rsidR="007C46F9">
        <w:t>смеж</w:t>
      </w:r>
      <w:r>
        <w:t xml:space="preserve">ных исследований (таких как исследование, упомянутое ранее </w:t>
      </w:r>
      <w:r w:rsidR="007C46F9">
        <w:t xml:space="preserve">заместителем Генерального секретаря </w:t>
      </w:r>
      <w:r>
        <w:t>г</w:t>
      </w:r>
      <w:r w:rsidR="007C46F9">
        <w:noBreakHyphen/>
      </w:r>
      <w:r>
        <w:t>ном Малколмом Джонсоном) рассматривать их в Совете и на ПК одновременно. Он отметил, что реформирование Telecom </w:t>
      </w:r>
      <w:r w:rsidR="00073BB4">
        <w:t>–</w:t>
      </w:r>
      <w:r>
        <w:t xml:space="preserve"> очень важная тема, и по крайней мере последни</w:t>
      </w:r>
      <w:r w:rsidR="007C46F9">
        <w:t>е</w:t>
      </w:r>
      <w:r>
        <w:t xml:space="preserve"> мероприятия </w:t>
      </w:r>
      <w:r w:rsidR="007C46F9">
        <w:t xml:space="preserve">продемонстрировали </w:t>
      </w:r>
      <w:r>
        <w:t>изменения к лучшему.</w:t>
      </w:r>
    </w:p>
    <w:p w:rsidR="00067524" w:rsidRPr="00A225C7" w:rsidRDefault="00067524" w:rsidP="00642C3F">
      <w:pPr>
        <w:spacing w:line="235" w:lineRule="auto"/>
      </w:pPr>
      <w:r>
        <w:t>9.8</w:t>
      </w:r>
      <w:r>
        <w:tab/>
        <w:t xml:space="preserve">Один из делегатов отметил, что, по его мнению, несмотря на поддержку от одной делегации, Секретариат может представлять только </w:t>
      </w:r>
      <w:r w:rsidR="007C46F9">
        <w:t>замечания</w:t>
      </w:r>
      <w:r>
        <w:t xml:space="preserve">, но не поправки к Резолюции. Поэтому данный документ следует считать информационным. Другой депутат назвал предложение удачным, </w:t>
      </w:r>
      <w:r w:rsidR="007C46F9">
        <w:t>упомянув</w:t>
      </w:r>
      <w:r>
        <w:t xml:space="preserve"> при этом, что на его изучение потребуется дополнительное время. У делегатов, вероятно, будет возможность изучить это предложение и выдвинуть </w:t>
      </w:r>
      <w:r w:rsidR="00475357">
        <w:t xml:space="preserve">некоторые </w:t>
      </w:r>
      <w:r>
        <w:t xml:space="preserve">другие поправки, </w:t>
      </w:r>
      <w:r w:rsidR="00475357">
        <w:t xml:space="preserve">такие как </w:t>
      </w:r>
      <w:r>
        <w:t>ново</w:t>
      </w:r>
      <w:r w:rsidR="00475357">
        <w:t>е</w:t>
      </w:r>
      <w:r>
        <w:t xml:space="preserve"> на</w:t>
      </w:r>
      <w:r w:rsidR="00475357">
        <w:t>звание</w:t>
      </w:r>
      <w:r>
        <w:t xml:space="preserve"> мероприятия. Что касается Telecom, </w:t>
      </w:r>
      <w:r w:rsidR="00475357">
        <w:t xml:space="preserve">то </w:t>
      </w:r>
      <w:r>
        <w:t>начиная с ITU Telecom World 2012 это мероприятие стало приносить доход в покрытие прежних убытко</w:t>
      </w:r>
      <w:r w:rsidR="00475357">
        <w:t>в</w:t>
      </w:r>
      <w:r>
        <w:t xml:space="preserve"> и служит великолепной платформой для общения высокопоставленных должностных лиц и руководителей. В его рамках проводятся форум и выставка, и есть надежда на расширение этого мероприятия в будущем.</w:t>
      </w:r>
    </w:p>
    <w:p w:rsidR="00067524" w:rsidRPr="00A225C7" w:rsidRDefault="00067524" w:rsidP="00642C3F">
      <w:pPr>
        <w:spacing w:line="235" w:lineRule="auto"/>
      </w:pPr>
      <w:r>
        <w:t>9.9</w:t>
      </w:r>
      <w:r>
        <w:tab/>
        <w:t>Одна из делегаций выразила о</w:t>
      </w:r>
      <w:r w:rsidR="00475357">
        <w:t>беспокоен</w:t>
      </w:r>
      <w:r>
        <w:t xml:space="preserve">ность </w:t>
      </w:r>
      <w:r w:rsidR="00475357">
        <w:t xml:space="preserve">в связи с </w:t>
      </w:r>
      <w:r>
        <w:t>тем, что</w:t>
      </w:r>
      <w:r w:rsidR="00475357">
        <w:t xml:space="preserve"> из</w:t>
      </w:r>
      <w:r>
        <w:t xml:space="preserve"> раздел</w:t>
      </w:r>
      <w:r w:rsidR="00475357">
        <w:t>а</w:t>
      </w:r>
      <w:r>
        <w:t xml:space="preserve"> "поручает", по всей видимости, исключены механизмы рассмотрения Советом. Делегация </w:t>
      </w:r>
      <w:r w:rsidR="00BD5055">
        <w:t xml:space="preserve">высказала опасения по поводу </w:t>
      </w:r>
      <w:r>
        <w:t>снижени</w:t>
      </w:r>
      <w:r w:rsidR="00BD5055">
        <w:t>я</w:t>
      </w:r>
      <w:r>
        <w:t xml:space="preserve"> прозрачности и</w:t>
      </w:r>
      <w:r w:rsidR="00BD5055">
        <w:t xml:space="preserve"> заявила,</w:t>
      </w:r>
      <w:r>
        <w:t xml:space="preserve"> что</w:t>
      </w:r>
      <w:r w:rsidR="00BD5055">
        <w:t xml:space="preserve">, по ее мнению, </w:t>
      </w:r>
      <w:r>
        <w:t xml:space="preserve">Совет должен </w:t>
      </w:r>
      <w:r w:rsidR="00BD5055">
        <w:t xml:space="preserve">играть свою роль </w:t>
      </w:r>
      <w:r>
        <w:t>в этом процессе.</w:t>
      </w:r>
    </w:p>
    <w:p w:rsidR="00067524" w:rsidRPr="00A225C7" w:rsidRDefault="00067524" w:rsidP="00642C3F">
      <w:pPr>
        <w:spacing w:line="235" w:lineRule="auto"/>
      </w:pPr>
      <w:r>
        <w:t>9.10</w:t>
      </w:r>
      <w:r>
        <w:tab/>
        <w:t xml:space="preserve">Отвечая на вопросы, г-н </w:t>
      </w:r>
      <w:proofErr w:type="spellStart"/>
      <w:r>
        <w:t>Лю</w:t>
      </w:r>
      <w:proofErr w:type="spellEnd"/>
      <w:r>
        <w:t xml:space="preserve"> в общих чертах изложил со</w:t>
      </w:r>
      <w:r w:rsidR="00475357">
        <w:t xml:space="preserve">держание </w:t>
      </w:r>
      <w:r w:rsidR="00BD5055">
        <w:t xml:space="preserve">проводимой </w:t>
      </w:r>
      <w:r w:rsidR="00475357">
        <w:t>с 2015 года</w:t>
      </w:r>
      <w:r w:rsidR="00BD5055" w:rsidRPr="00BD5055">
        <w:t xml:space="preserve"> </w:t>
      </w:r>
      <w:r w:rsidR="00BD5055">
        <w:t>реформы</w:t>
      </w:r>
      <w:r w:rsidR="00475357">
        <w:t>. В </w:t>
      </w:r>
      <w:r>
        <w:t xml:space="preserve">контексте стратегических вопросов развития рынка и роли мероприятия как важной платформы, в том числе для частного сектора, обсуждалось множество новых вопросов, </w:t>
      </w:r>
      <w:r w:rsidR="00BD5055">
        <w:t xml:space="preserve">как, </w:t>
      </w:r>
      <w:r>
        <w:t>например</w:t>
      </w:r>
      <w:r w:rsidR="00BD5055">
        <w:t>,</w:t>
      </w:r>
      <w:r>
        <w:t xml:space="preserve"> об "умных" городах, финансах и ИИ. По вопросу о выборе принимающей страны г-н </w:t>
      </w:r>
      <w:proofErr w:type="spellStart"/>
      <w:r>
        <w:t>Лю</w:t>
      </w:r>
      <w:proofErr w:type="spellEnd"/>
      <w:r>
        <w:t xml:space="preserve"> предложил Членам вносить свои предложения. Г-н </w:t>
      </w:r>
      <w:proofErr w:type="spellStart"/>
      <w:r>
        <w:t>Лю</w:t>
      </w:r>
      <w:proofErr w:type="spellEnd"/>
      <w:r>
        <w:t xml:space="preserve"> упомянул, что многие известные мероприятия, например CES и MWC, проводятся ежегодно в одних и тех же местах, а Telecom каждый год проходит в новом месте, что сопряжено с трудностями </w:t>
      </w:r>
      <w:r w:rsidR="00073BB4">
        <w:t>–</w:t>
      </w:r>
      <w:r>
        <w:t xml:space="preserve"> в частности, клиенты испытывают затруднения с выделением бюджета. В связи с этим Секретариат Telecom был бы признателен за возможность проводить мероприятия в одном и том же месте два года подряд.</w:t>
      </w:r>
    </w:p>
    <w:p w:rsidR="00067524" w:rsidRPr="00A225C7" w:rsidRDefault="00067524" w:rsidP="00642C3F">
      <w:pPr>
        <w:spacing w:line="235" w:lineRule="auto"/>
      </w:pPr>
      <w:r>
        <w:t>9.11</w:t>
      </w:r>
      <w:r>
        <w:tab/>
        <w:t>Председатель отметил, что вопрос прозрачности при выборе принимающей страны был крайне насущным много лет назад, но сейчас ситуация изменилась, поскольку больше нет региональных мероприятий, которые проводятся в разных регионах. Тогда выход был найден в</w:t>
      </w:r>
      <w:r w:rsidR="0035554E">
        <w:t xml:space="preserve"> ротации</w:t>
      </w:r>
      <w:r>
        <w:t xml:space="preserve"> мест проведения Всемирного мероприятия. Этот вопрос обсуждать уместно, но в таком обсуждении должны участвовать все Члены, а не только те, кто входит в </w:t>
      </w:r>
      <w:r w:rsidR="0035554E">
        <w:t>данную</w:t>
      </w:r>
      <w:r>
        <w:t xml:space="preserve"> Рабочую группу Совета. Он должен рассматриваться Советом в полном составе. Если Государство-Член предложит пересмотр Резолюции 11, его предложение будет рассмотрено в этом контексте. Глав</w:t>
      </w:r>
      <w:r w:rsidR="00B52FB2">
        <w:t xml:space="preserve">ные аспекты, требующие внимания, </w:t>
      </w:r>
      <w:r w:rsidR="00073BB4">
        <w:t>–</w:t>
      </w:r>
      <w:r>
        <w:t xml:space="preserve"> это прозрачность и адаптация Резолюции к текущей бизнес-модели. Текст </w:t>
      </w:r>
      <w:r w:rsidR="0035554E">
        <w:t xml:space="preserve">Резолюции </w:t>
      </w:r>
      <w:r>
        <w:t>необходимо пересмотреть так, чтобы он отражал новую бизнес-модель. Предлагаемый текст отражает взгляды МСЭ, но не является вкладом какого-либо Государства-Члена. Это следует учитывать Членам и Государствам-Членам, если они решат внести предложения на Совет или ПК.</w:t>
      </w:r>
    </w:p>
    <w:p w:rsidR="00067524" w:rsidRPr="00A225C7" w:rsidRDefault="00067524" w:rsidP="00642C3F">
      <w:pPr>
        <w:spacing w:line="235" w:lineRule="auto"/>
      </w:pPr>
      <w:r>
        <w:t>9.12</w:t>
      </w:r>
      <w:r>
        <w:tab/>
        <w:t xml:space="preserve">Одна из делегаций выразила </w:t>
      </w:r>
      <w:r w:rsidR="0035554E">
        <w:t>обеспокоен</w:t>
      </w:r>
      <w:r>
        <w:t>ность</w:t>
      </w:r>
      <w:r w:rsidR="0035554E">
        <w:t xml:space="preserve"> по поводу того</w:t>
      </w:r>
      <w:r>
        <w:t>, что тематика мероприятий Telecom включает "умные" технологии и ИИ, поскольку этим темам уже</w:t>
      </w:r>
      <w:r w:rsidR="0035554E">
        <w:t xml:space="preserve"> было</w:t>
      </w:r>
      <w:r>
        <w:t xml:space="preserve"> посвящено множеств</w:t>
      </w:r>
      <w:r w:rsidR="0035554E">
        <w:t>о</w:t>
      </w:r>
      <w:r>
        <w:t xml:space="preserve"> мероприятий. Делегация </w:t>
      </w:r>
      <w:r w:rsidR="0035554E">
        <w:t>обеспокоена</w:t>
      </w:r>
      <w:r>
        <w:t xml:space="preserve"> также большим количеством мероприятий МСЭ, проводимых в каждый конкретный момент времени, </w:t>
      </w:r>
      <w:r w:rsidR="0035554E">
        <w:t>поэтому, по ее мнению,</w:t>
      </w:r>
      <w:r>
        <w:t xml:space="preserve"> необходим</w:t>
      </w:r>
      <w:r w:rsidR="0035554E">
        <w:t>о</w:t>
      </w:r>
      <w:r>
        <w:t xml:space="preserve"> упорядочить </w:t>
      </w:r>
      <w:r w:rsidR="0035554E">
        <w:t xml:space="preserve">их </w:t>
      </w:r>
      <w:r>
        <w:t xml:space="preserve">проведение. Председатель отметил, что это </w:t>
      </w:r>
      <w:r w:rsidR="0035554E">
        <w:t xml:space="preserve">предложение связано с </w:t>
      </w:r>
      <w:r>
        <w:t>уже одобренн</w:t>
      </w:r>
      <w:r w:rsidR="0035554E">
        <w:t>ым</w:t>
      </w:r>
      <w:r>
        <w:t xml:space="preserve"> предложени</w:t>
      </w:r>
      <w:r w:rsidR="0035554E">
        <w:t>ем</w:t>
      </w:r>
      <w:r>
        <w:t xml:space="preserve"> одной из делегаций о совмещении мероприятий МСЭ.</w:t>
      </w:r>
    </w:p>
    <w:p w:rsidR="00067524" w:rsidRPr="00A225C7" w:rsidRDefault="00067524" w:rsidP="001B7D97">
      <w:r>
        <w:lastRenderedPageBreak/>
        <w:t>9.13</w:t>
      </w:r>
      <w:r>
        <w:tab/>
        <w:t>Другая делегация</w:t>
      </w:r>
      <w:r w:rsidR="0035554E">
        <w:t>,</w:t>
      </w:r>
      <w:r>
        <w:t xml:space="preserve"> заслуша</w:t>
      </w:r>
      <w:r w:rsidR="0035554E">
        <w:t>в</w:t>
      </w:r>
      <w:r>
        <w:t xml:space="preserve"> дополнительны</w:t>
      </w:r>
      <w:r w:rsidR="0035554E">
        <w:t>е</w:t>
      </w:r>
      <w:r>
        <w:t xml:space="preserve"> пояснени</w:t>
      </w:r>
      <w:r w:rsidR="0035554E">
        <w:t>я</w:t>
      </w:r>
      <w:r>
        <w:t xml:space="preserve"> по вопросу о возможности проведения мероприятия в одном и том же месте в течение двух лет</w:t>
      </w:r>
      <w:r w:rsidR="00073BB4">
        <w:t>,</w:t>
      </w:r>
      <w:r w:rsidR="0035554E" w:rsidRPr="0035554E">
        <w:t xml:space="preserve"> </w:t>
      </w:r>
      <w:r w:rsidR="0035554E">
        <w:t>отметила</w:t>
      </w:r>
      <w:r>
        <w:t xml:space="preserve">, что если в Резолюцию будут внесены поправки, процесс должен по-прежнему </w:t>
      </w:r>
      <w:r w:rsidR="0035554E">
        <w:t xml:space="preserve">быть </w:t>
      </w:r>
      <w:r>
        <w:t xml:space="preserve">прозрачным: например, если </w:t>
      </w:r>
      <w:r w:rsidR="0035554E">
        <w:t xml:space="preserve">какая-то </w:t>
      </w:r>
      <w:r>
        <w:t xml:space="preserve">страна подает заявку на второй год, а у другой страны-кандидата заявка на тот же год лучше, то следует выбрать ту страну, которая подала лучшую заявку. </w:t>
      </w:r>
      <w:r w:rsidR="0035554E">
        <w:t>Это мероприятие в</w:t>
      </w:r>
      <w:r>
        <w:t>виду характера</w:t>
      </w:r>
      <w:r w:rsidR="00C0510F">
        <w:t>,</w:t>
      </w:r>
      <w:r>
        <w:t xml:space="preserve"> </w:t>
      </w:r>
      <w:r w:rsidR="00C0510F">
        <w:t xml:space="preserve">который оно носит, </w:t>
      </w:r>
      <w:r>
        <w:t>и необходимости привле</w:t>
      </w:r>
      <w:r w:rsidR="00C0510F">
        <w:t>чения</w:t>
      </w:r>
      <w:r>
        <w:t xml:space="preserve"> МПС отличается от других мероприятий МСЭ. Секретариат </w:t>
      </w:r>
      <w:r w:rsidR="00C0510F">
        <w:t xml:space="preserve">должен </w:t>
      </w:r>
      <w:r>
        <w:t xml:space="preserve">подавать идеи Совету, </w:t>
      </w:r>
      <w:r w:rsidR="00B52FB2">
        <w:t>ч</w:t>
      </w:r>
      <w:r w:rsidR="00C0510F">
        <w:t>лены Совета</w:t>
      </w:r>
      <w:r>
        <w:t xml:space="preserve"> могут вносить предложения, </w:t>
      </w:r>
      <w:r w:rsidR="00C0510F">
        <w:t>которые</w:t>
      </w:r>
      <w:r>
        <w:t xml:space="preserve"> после одобрения могут </w:t>
      </w:r>
      <w:r w:rsidR="00C0510F">
        <w:t xml:space="preserve">быть реализованы </w:t>
      </w:r>
      <w:r>
        <w:t>к очередному Всемирному мероприятию.</w:t>
      </w:r>
    </w:p>
    <w:p w:rsidR="00067524" w:rsidRPr="00A225C7" w:rsidRDefault="00067524" w:rsidP="001B7D97">
      <w:r>
        <w:t>9.14</w:t>
      </w:r>
      <w:r>
        <w:tab/>
        <w:t>Председатель отметил</w:t>
      </w:r>
      <w:r w:rsidR="00C0510F">
        <w:t xml:space="preserve"> имеющуюся </w:t>
      </w:r>
      <w:r>
        <w:t>у других участников</w:t>
      </w:r>
      <w:r w:rsidR="00C0510F">
        <w:t xml:space="preserve"> собрания, за исключением одной делегации, </w:t>
      </w:r>
      <w:r>
        <w:t xml:space="preserve">потребность в дальнейших обсуждениях и уточнениях по вопросу о предлагаемых поправках </w:t>
      </w:r>
      <w:r w:rsidR="00C0510F">
        <w:t>к</w:t>
      </w:r>
      <w:r>
        <w:t xml:space="preserve"> Резолюци</w:t>
      </w:r>
      <w:r w:rsidR="00C0510F">
        <w:t>и</w:t>
      </w:r>
      <w:r>
        <w:t> 11. Соответствующие идеи необходимо выносить на обсуждение Совета. ПК </w:t>
      </w:r>
      <w:r w:rsidR="00073BB4">
        <w:t>–</w:t>
      </w:r>
      <w:r>
        <w:t xml:space="preserve"> единственный орган, уполномоченный вносить такие поправки. Был поднят вопрос</w:t>
      </w:r>
      <w:r w:rsidR="00C0510F">
        <w:t xml:space="preserve"> о том</w:t>
      </w:r>
      <w:r>
        <w:t xml:space="preserve">, может ли Секретариат </w:t>
      </w:r>
      <w:r w:rsidR="00C0510F">
        <w:t xml:space="preserve">представить </w:t>
      </w:r>
      <w:r>
        <w:t xml:space="preserve">такой документ на рассмотрение, чтобы затем Совет решил, как действовать дальше. Кроме того, был поднят вопрос </w:t>
      </w:r>
      <w:r w:rsidR="00C0510F">
        <w:t>в отношении</w:t>
      </w:r>
      <w:r>
        <w:t xml:space="preserve"> необходимости того, чтобы такой документ исходил от Государства-Члена.</w:t>
      </w:r>
    </w:p>
    <w:p w:rsidR="00067524" w:rsidRPr="00A225C7" w:rsidRDefault="00067524" w:rsidP="001B7D97">
      <w:r>
        <w:t>9.15</w:t>
      </w:r>
      <w:r>
        <w:tab/>
        <w:t>Секретар</w:t>
      </w:r>
      <w:r w:rsidR="00C0510F">
        <w:t>иат</w:t>
      </w:r>
      <w:r>
        <w:t xml:space="preserve"> пред</w:t>
      </w:r>
      <w:r w:rsidR="00C0510F">
        <w:t>по</w:t>
      </w:r>
      <w:r>
        <w:t>ложил</w:t>
      </w:r>
      <w:r w:rsidR="00C0510F">
        <w:t>,</w:t>
      </w:r>
      <w:r>
        <w:t xml:space="preserve"> </w:t>
      </w:r>
      <w:r w:rsidR="00C0510F">
        <w:t xml:space="preserve">что </w:t>
      </w:r>
      <w:r>
        <w:t xml:space="preserve">такой документ </w:t>
      </w:r>
      <w:r w:rsidR="00C0510F">
        <w:t xml:space="preserve">можно </w:t>
      </w:r>
      <w:r>
        <w:t xml:space="preserve">напрямую </w:t>
      </w:r>
      <w:r w:rsidR="00C0510F">
        <w:t xml:space="preserve">направлять </w:t>
      </w:r>
      <w:r>
        <w:t>в Совет с</w:t>
      </w:r>
      <w:r w:rsidR="00C0510F">
        <w:t xml:space="preserve"> указанием</w:t>
      </w:r>
      <w:r>
        <w:t xml:space="preserve">, что это делается по </w:t>
      </w:r>
      <w:r w:rsidR="00C0510F">
        <w:t>поручению</w:t>
      </w:r>
      <w:r>
        <w:t xml:space="preserve"> Рабочей группы Совета.</w:t>
      </w:r>
    </w:p>
    <w:p w:rsidR="00067524" w:rsidRPr="00A225C7" w:rsidRDefault="00067524" w:rsidP="001B7D97">
      <w:r>
        <w:t>9.16</w:t>
      </w:r>
      <w:r>
        <w:tab/>
        <w:t>Один из делегатов заметил, что, насколько он помнит, предлагать такие поправки уполномочен не Секретариат, а Государство-Член.</w:t>
      </w:r>
    </w:p>
    <w:p w:rsidR="00067524" w:rsidRPr="00A225C7" w:rsidRDefault="00067524" w:rsidP="001B7D97">
      <w:r>
        <w:t>9.17</w:t>
      </w:r>
      <w:r>
        <w:tab/>
        <w:t>Председатель и один из делегатов согласились с этим замечанием. Делегат не</w:t>
      </w:r>
      <w:r w:rsidR="00C0510F">
        <w:t xml:space="preserve"> мог припомнить случая</w:t>
      </w:r>
      <w:r>
        <w:t xml:space="preserve">, когда документ был бы представлен Совету таким способом. </w:t>
      </w:r>
      <w:r w:rsidR="00C0510F">
        <w:t>Он предположил, что</w:t>
      </w:r>
      <w:r>
        <w:t xml:space="preserve"> одно из Государств-Членов могло бы взять на себя посредническую роль и представить этот документ в Совет в качестве своего вклада. Председатель </w:t>
      </w:r>
      <w:r w:rsidR="00C0510F">
        <w:t>за</w:t>
      </w:r>
      <w:r>
        <w:t>метил, что предпочел бы, чтобы документ был представлен в качестве вклада от Государства-Члена.</w:t>
      </w:r>
    </w:p>
    <w:p w:rsidR="00067524" w:rsidRPr="00A225C7" w:rsidRDefault="00067524" w:rsidP="001B7D97">
      <w:pPr>
        <w:rPr>
          <w:rFonts w:cs="Calibri"/>
          <w:szCs w:val="22"/>
        </w:rPr>
      </w:pPr>
      <w:r>
        <w:t>9.18</w:t>
      </w:r>
      <w:r>
        <w:tab/>
        <w:t xml:space="preserve">Один из делегатов также отметил, что Секретариат мог бы </w:t>
      </w:r>
      <w:r w:rsidR="00C0510F">
        <w:t xml:space="preserve">представить </w:t>
      </w:r>
      <w:r>
        <w:t xml:space="preserve">эти предложения в качестве рекомендаций </w:t>
      </w:r>
      <w:r w:rsidR="00C0510F">
        <w:t>в свое</w:t>
      </w:r>
      <w:r w:rsidR="00B52FB2">
        <w:t>м</w:t>
      </w:r>
      <w:r w:rsidR="00C0510F">
        <w:t xml:space="preserve"> отчете Совету </w:t>
      </w:r>
      <w:r>
        <w:t xml:space="preserve">и привести </w:t>
      </w:r>
      <w:r w:rsidR="00C0510F">
        <w:t xml:space="preserve">некоторые </w:t>
      </w:r>
      <w:r>
        <w:t xml:space="preserve">обоснования </w:t>
      </w:r>
      <w:r w:rsidR="00C0510F">
        <w:t>для обсуждения</w:t>
      </w:r>
      <w:r>
        <w:t xml:space="preserve"> Совет</w:t>
      </w:r>
      <w:r w:rsidR="00C0510F">
        <w:t>ом</w:t>
      </w:r>
      <w:r>
        <w:t xml:space="preserve"> </w:t>
      </w:r>
      <w:r w:rsidR="00C0510F">
        <w:t xml:space="preserve">этого </w:t>
      </w:r>
      <w:r>
        <w:t>вопрос</w:t>
      </w:r>
      <w:r w:rsidR="00C0510F">
        <w:t>а</w:t>
      </w:r>
      <w:r>
        <w:t xml:space="preserve">. Можно было бы также предложить Государствам-Членам представить предлагаемые изменения к Резолюции, если Совет не укажет, что Секретариат </w:t>
      </w:r>
      <w:r w:rsidR="00C0510F">
        <w:t>вправе</w:t>
      </w:r>
      <w:r>
        <w:t xml:space="preserve"> представлять поправки к Резолюции.</w:t>
      </w:r>
    </w:p>
    <w:p w:rsidR="00067524" w:rsidRPr="00A225C7" w:rsidRDefault="00067524" w:rsidP="00523315">
      <w:pPr>
        <w:rPr>
          <w:rFonts w:cs="Calibri"/>
          <w:szCs w:val="22"/>
        </w:rPr>
      </w:pPr>
      <w:r>
        <w:t>9.19</w:t>
      </w:r>
      <w:r>
        <w:tab/>
      </w:r>
      <w:r w:rsidR="00E3467B">
        <w:t xml:space="preserve">В заключение </w:t>
      </w:r>
      <w:r>
        <w:t>Председатель</w:t>
      </w:r>
      <w:r w:rsidR="00E3467B">
        <w:t xml:space="preserve"> сказал</w:t>
      </w:r>
      <w:r>
        <w:t xml:space="preserve">, что </w:t>
      </w:r>
      <w:r w:rsidR="00E3467B">
        <w:t xml:space="preserve">в качестве </w:t>
      </w:r>
      <w:r>
        <w:t>следующе</w:t>
      </w:r>
      <w:r w:rsidR="00E3467B">
        <w:t>го</w:t>
      </w:r>
      <w:r>
        <w:t xml:space="preserve"> </w:t>
      </w:r>
      <w:r w:rsidR="00B52FB2">
        <w:t>ш</w:t>
      </w:r>
      <w:r w:rsidR="00E3467B">
        <w:t xml:space="preserve">ага </w:t>
      </w:r>
      <w:r>
        <w:t xml:space="preserve">Секретариату </w:t>
      </w:r>
      <w:r w:rsidR="00E3467B">
        <w:t xml:space="preserve">необходимо </w:t>
      </w:r>
      <w:r>
        <w:t xml:space="preserve">представить рекомендации </w:t>
      </w:r>
      <w:r w:rsidR="00E3467B">
        <w:t xml:space="preserve">по </w:t>
      </w:r>
      <w:r>
        <w:t>изменени</w:t>
      </w:r>
      <w:r w:rsidR="00E3467B">
        <w:t>ям в</w:t>
      </w:r>
      <w:r>
        <w:t xml:space="preserve"> Резолюции 11 в </w:t>
      </w:r>
      <w:r w:rsidR="00E3467B">
        <w:t xml:space="preserve">рамках </w:t>
      </w:r>
      <w:r>
        <w:t xml:space="preserve">своего </w:t>
      </w:r>
      <w:r w:rsidR="00E3467B">
        <w:t xml:space="preserve">отчета </w:t>
      </w:r>
      <w:r>
        <w:t xml:space="preserve">Совету (а не в виде поправок к Резолюции 11). Председатель также призвал </w:t>
      </w:r>
      <w:r w:rsidR="00E3467B">
        <w:t>команду</w:t>
      </w:r>
      <w:r>
        <w:t xml:space="preserve"> Telecom затронуть </w:t>
      </w:r>
      <w:proofErr w:type="spellStart"/>
      <w:r w:rsidR="00E3467B">
        <w:t>обсужда</w:t>
      </w:r>
      <w:r w:rsidR="00693C7C">
        <w:t>вш</w:t>
      </w:r>
      <w:r w:rsidR="00E3467B">
        <w:t>иеся</w:t>
      </w:r>
      <w:proofErr w:type="spellEnd"/>
      <w:r w:rsidR="00E3467B">
        <w:t xml:space="preserve"> </w:t>
      </w:r>
      <w:r>
        <w:t>вопросы</w:t>
      </w:r>
      <w:r w:rsidR="00E3467B">
        <w:t>, такие как</w:t>
      </w:r>
      <w:r>
        <w:t xml:space="preserve"> прозрачност</w:t>
      </w:r>
      <w:r w:rsidR="00E3467B">
        <w:t>ь</w:t>
      </w:r>
      <w:r>
        <w:t xml:space="preserve"> при выборе принимающей страны, отра</w:t>
      </w:r>
      <w:r w:rsidR="00E3467B">
        <w:t>зив</w:t>
      </w:r>
      <w:r>
        <w:t xml:space="preserve"> рыночны</w:t>
      </w:r>
      <w:r w:rsidR="00E3467B">
        <w:t>е</w:t>
      </w:r>
      <w:r>
        <w:t xml:space="preserve"> тенденци</w:t>
      </w:r>
      <w:r w:rsidR="00E3467B">
        <w:t>и</w:t>
      </w:r>
      <w:r>
        <w:t xml:space="preserve"> и нов</w:t>
      </w:r>
      <w:r w:rsidR="00E3467B">
        <w:t>ую</w:t>
      </w:r>
      <w:r>
        <w:t xml:space="preserve"> бизнес-модел</w:t>
      </w:r>
      <w:r w:rsidR="00E3467B">
        <w:t>ь</w:t>
      </w:r>
      <w:r>
        <w:t xml:space="preserve"> Telecom</w:t>
      </w:r>
      <w:r w:rsidR="00693C7C">
        <w:t>,</w:t>
      </w:r>
      <w:r>
        <w:t xml:space="preserve"> в своем </w:t>
      </w:r>
      <w:r w:rsidR="00E3467B">
        <w:t xml:space="preserve">отчете </w:t>
      </w:r>
      <w:r>
        <w:t>Совету.</w:t>
      </w:r>
    </w:p>
    <w:p w:rsidR="00067524" w:rsidRPr="00A225C7" w:rsidRDefault="0019520B" w:rsidP="001B7D97">
      <w:pPr>
        <w:rPr>
          <w:rFonts w:cs="Calibri"/>
          <w:szCs w:val="22"/>
        </w:rPr>
      </w:pPr>
      <w:r>
        <w:rPr>
          <w:b/>
          <w:color w:val="0000FF"/>
        </w:rPr>
        <w:t>Рекомендация</w:t>
      </w:r>
      <w:r>
        <w:rPr>
          <w:color w:val="0000FF"/>
        </w:rPr>
        <w:t>:</w:t>
      </w:r>
      <w:r>
        <w:rPr>
          <w:b/>
        </w:rPr>
        <w:t xml:space="preserve"> </w:t>
      </w:r>
      <w:r>
        <w:t>Документ CWG-FHR 8/INF/1 был принят к сведению, и было решено, что вопрос заслуживает дальнейшего рассмотрения. Председатель призвал Государства-Члены при желании представлять в Совет и ПК необходимые с их точки зрения поправки к Резолюции 11.</w:t>
      </w:r>
    </w:p>
    <w:p w:rsidR="00067524" w:rsidRPr="00642C3F" w:rsidRDefault="00067524" w:rsidP="003D6047">
      <w:pPr>
        <w:pStyle w:val="Heading1"/>
        <w:spacing w:before="360"/>
        <w:rPr>
          <w:sz w:val="22"/>
          <w:szCs w:val="22"/>
        </w:rPr>
      </w:pPr>
      <w:r w:rsidRPr="00642C3F">
        <w:rPr>
          <w:sz w:val="22"/>
          <w:szCs w:val="22"/>
        </w:rPr>
        <w:t>10</w:t>
      </w:r>
      <w:r w:rsidRPr="00642C3F">
        <w:rPr>
          <w:sz w:val="22"/>
          <w:szCs w:val="22"/>
        </w:rPr>
        <w:tab/>
        <w:t>Новая информация по проекту модернизации систем безопасности МСЭ (система контроля доступа)</w:t>
      </w:r>
      <w:r w:rsidR="00EB6A43" w:rsidRPr="00642C3F">
        <w:rPr>
          <w:sz w:val="22"/>
          <w:szCs w:val="22"/>
        </w:rPr>
        <w:t xml:space="preserve"> </w:t>
      </w:r>
      <w:r w:rsidRPr="00642C3F">
        <w:rPr>
          <w:sz w:val="22"/>
          <w:szCs w:val="22"/>
        </w:rPr>
        <w:t xml:space="preserve">(Документ </w:t>
      </w:r>
      <w:hyperlink r:id="rId48">
        <w:r w:rsidRPr="00642C3F">
          <w:rPr>
            <w:rStyle w:val="Hyperlink"/>
            <w:sz w:val="22"/>
            <w:szCs w:val="22"/>
          </w:rPr>
          <w:t>CWG-FHR 8/5</w:t>
        </w:r>
      </w:hyperlink>
      <w:r w:rsidRPr="00642C3F">
        <w:rPr>
          <w:sz w:val="22"/>
          <w:szCs w:val="22"/>
        </w:rPr>
        <w:t>)</w:t>
      </w:r>
    </w:p>
    <w:p w:rsidR="00AE5DD8" w:rsidRPr="007157BD" w:rsidRDefault="00AE5DD8" w:rsidP="00AE5DD8">
      <w:pPr>
        <w:pStyle w:val="ListParagraph"/>
        <w:snapToGrid w:val="0"/>
        <w:spacing w:after="120"/>
        <w:ind w:left="0"/>
        <w:contextualSpacing w:val="0"/>
        <w:jc w:val="both"/>
        <w:rPr>
          <w:rFonts w:asciiTheme="minorHAnsi" w:hAnsiTheme="minorHAnsi"/>
          <w:szCs w:val="22"/>
        </w:rPr>
      </w:pPr>
      <w:r w:rsidRPr="007157BD">
        <w:rPr>
          <w:rFonts w:asciiTheme="minorHAnsi" w:hAnsiTheme="minorHAnsi"/>
          <w:szCs w:val="22"/>
        </w:rPr>
        <w:t xml:space="preserve">Резюме данного пункта представлено в защищенной системой </w:t>
      </w:r>
      <w:r w:rsidRPr="007157BD">
        <w:rPr>
          <w:rFonts w:asciiTheme="minorHAnsi" w:hAnsiTheme="minorHAnsi"/>
          <w:szCs w:val="22"/>
          <w:lang w:val="en-US"/>
        </w:rPr>
        <w:t>TIES</w:t>
      </w:r>
      <w:r w:rsidRPr="007157BD">
        <w:rPr>
          <w:rFonts w:asciiTheme="minorHAnsi" w:hAnsiTheme="minorHAnsi"/>
          <w:szCs w:val="22"/>
        </w:rPr>
        <w:t xml:space="preserve"> версии документа </w:t>
      </w:r>
      <w:r>
        <w:rPr>
          <w:rFonts w:asciiTheme="minorHAnsi" w:hAnsiTheme="minorHAnsi"/>
          <w:szCs w:val="22"/>
          <w:lang w:val="fr-CH"/>
        </w:rPr>
        <w:t>C</w:t>
      </w:r>
      <w:r w:rsidRPr="009D1DA2">
        <w:rPr>
          <w:rFonts w:asciiTheme="minorHAnsi" w:hAnsiTheme="minorHAnsi"/>
          <w:szCs w:val="22"/>
        </w:rPr>
        <w:t>18/50</w:t>
      </w:r>
      <w:r w:rsidRPr="007157BD">
        <w:rPr>
          <w:rFonts w:asciiTheme="minorHAnsi" w:hAnsiTheme="minorHAnsi"/>
          <w:szCs w:val="22"/>
        </w:rPr>
        <w:t>.</w:t>
      </w:r>
    </w:p>
    <w:p w:rsidR="00067524" w:rsidRPr="00642C3F" w:rsidRDefault="00067524" w:rsidP="009D1DA2">
      <w:pPr>
        <w:pStyle w:val="Heading1"/>
        <w:spacing w:line="238" w:lineRule="auto"/>
        <w:rPr>
          <w:sz w:val="22"/>
          <w:szCs w:val="22"/>
        </w:rPr>
      </w:pPr>
      <w:r w:rsidRPr="00642C3F">
        <w:rPr>
          <w:sz w:val="22"/>
          <w:szCs w:val="22"/>
        </w:rPr>
        <w:t>11</w:t>
      </w:r>
      <w:r w:rsidRPr="00642C3F">
        <w:rPr>
          <w:sz w:val="22"/>
          <w:szCs w:val="22"/>
        </w:rPr>
        <w:tab/>
        <w:t>Другие вопросы</w:t>
      </w:r>
    </w:p>
    <w:p w:rsidR="00067524" w:rsidRPr="00642C3F" w:rsidRDefault="006B2460" w:rsidP="009D1DA2">
      <w:pPr>
        <w:pStyle w:val="ListParagraph"/>
        <w:keepNext/>
        <w:keepLines/>
        <w:spacing w:before="240" w:after="120"/>
        <w:rPr>
          <w:rFonts w:cs="Calibri"/>
          <w:b/>
          <w:bCs/>
          <w:szCs w:val="22"/>
        </w:rPr>
      </w:pPr>
      <w:r w:rsidRPr="00642C3F">
        <w:rPr>
          <w:b/>
        </w:rPr>
        <w:t>−</w:t>
      </w:r>
      <w:r w:rsidRPr="00642C3F">
        <w:rPr>
          <w:b/>
        </w:rPr>
        <w:tab/>
        <w:t>Эти</w:t>
      </w:r>
      <w:r w:rsidR="003D6047" w:rsidRPr="00642C3F">
        <w:rPr>
          <w:b/>
        </w:rPr>
        <w:t>ческие вопросы</w:t>
      </w:r>
      <w:r w:rsidRPr="00642C3F">
        <w:rPr>
          <w:b/>
        </w:rPr>
        <w:t xml:space="preserve"> (устное представление)</w:t>
      </w:r>
    </w:p>
    <w:p w:rsidR="00067524" w:rsidRPr="00A225C7" w:rsidRDefault="00067524" w:rsidP="009D1DA2">
      <w:pPr>
        <w:keepNext/>
        <w:keepLines/>
        <w:spacing w:line="238" w:lineRule="auto"/>
      </w:pPr>
      <w:r>
        <w:lastRenderedPageBreak/>
        <w:t>11.1</w:t>
      </w:r>
      <w:r>
        <w:tab/>
        <w:t>Сотрудник по вопросам этики представил сводный отчет о работе</w:t>
      </w:r>
      <w:r w:rsidR="003D6047">
        <w:t>, проделанной</w:t>
      </w:r>
      <w:r>
        <w:t xml:space="preserve"> Управлени</w:t>
      </w:r>
      <w:r w:rsidR="003D6047">
        <w:t>ем</w:t>
      </w:r>
      <w:r>
        <w:t xml:space="preserve"> по вопросам этики в 2017 г</w:t>
      </w:r>
      <w:r w:rsidR="003D6047">
        <w:t>оду</w:t>
      </w:r>
      <w:r>
        <w:t xml:space="preserve">. </w:t>
      </w:r>
      <w:r w:rsidR="003D6047">
        <w:t>Было в</w:t>
      </w:r>
      <w:r>
        <w:t>ыделено два направления деятельности:</w:t>
      </w:r>
      <w:r w:rsidR="00514EBE">
        <w:t xml:space="preserve"> </w:t>
      </w:r>
      <w:r>
        <w:t>a) подготовка сотрудников</w:t>
      </w:r>
      <w:r w:rsidR="003D6047">
        <w:t xml:space="preserve"> и повышение их осведомленности о важности</w:t>
      </w:r>
      <w:r>
        <w:t xml:space="preserve"> их этических обязательств; b) совершенствование правовой и административной базы. Среди отмеченных </w:t>
      </w:r>
      <w:r w:rsidR="003D6047">
        <w:t xml:space="preserve">значительных </w:t>
      </w:r>
      <w:r>
        <w:t>достижений </w:t>
      </w:r>
      <w:r w:rsidR="003D6047">
        <w:t>– организация</w:t>
      </w:r>
      <w:r>
        <w:t xml:space="preserve"> сери</w:t>
      </w:r>
      <w:r w:rsidR="003D6047">
        <w:t>и</w:t>
      </w:r>
      <w:r>
        <w:t xml:space="preserve"> очных занятий</w:t>
      </w:r>
      <w:r w:rsidR="003D6047">
        <w:t xml:space="preserve"> по повышению осведомленности, разработка</w:t>
      </w:r>
      <w:r>
        <w:t xml:space="preserve"> информационн</w:t>
      </w:r>
      <w:r w:rsidR="003D6047">
        <w:t xml:space="preserve">ых </w:t>
      </w:r>
      <w:r>
        <w:t xml:space="preserve">материалов и специальных программ подготовки, </w:t>
      </w:r>
      <w:r w:rsidR="003D6047">
        <w:t xml:space="preserve">разработка </w:t>
      </w:r>
      <w:r>
        <w:t>Руководящи</w:t>
      </w:r>
      <w:r w:rsidR="003D6047">
        <w:t>х</w:t>
      </w:r>
      <w:r>
        <w:t xml:space="preserve"> указани</w:t>
      </w:r>
      <w:r w:rsidR="003D6047">
        <w:t>й</w:t>
      </w:r>
      <w:r>
        <w:t xml:space="preserve"> по </w:t>
      </w:r>
      <w:r w:rsidR="003D6047">
        <w:t>конкрет</w:t>
      </w:r>
      <w:r>
        <w:t>ным вопросам, а также работа по составлению проекта политики противодействия мошенничеству, призванной устранить важный пробел в существующей системе. Сотрудник по вопросам этики отметил необходимость в уставе</w:t>
      </w:r>
      <w:r w:rsidR="003D6047">
        <w:t>,</w:t>
      </w:r>
      <w:r>
        <w:t xml:space="preserve"> проясн</w:t>
      </w:r>
      <w:r w:rsidR="003D6047">
        <w:t>яющем</w:t>
      </w:r>
      <w:r>
        <w:t xml:space="preserve"> рол</w:t>
      </w:r>
      <w:r w:rsidR="003D6047">
        <w:t>ь</w:t>
      </w:r>
      <w:r>
        <w:t xml:space="preserve"> и ответственност</w:t>
      </w:r>
      <w:r w:rsidR="003D6047">
        <w:t>ь</w:t>
      </w:r>
      <w:r>
        <w:t xml:space="preserve"> Управления по вопросам этики</w:t>
      </w:r>
      <w:r w:rsidR="003D6047">
        <w:t>,</w:t>
      </w:r>
      <w:r>
        <w:t xml:space="preserve"> и </w:t>
      </w:r>
      <w:r w:rsidR="003D6047">
        <w:t xml:space="preserve">в </w:t>
      </w:r>
      <w:r>
        <w:t xml:space="preserve">модернизации процесса раскрытия финансовой информации. Кроме того, </w:t>
      </w:r>
      <w:r w:rsidR="003D6047">
        <w:t>он</w:t>
      </w:r>
      <w:r>
        <w:t xml:space="preserve"> сообщил о двух важных обзорах по этической тематике, которые готовит Объединенная инспекционная группа: первый посвящен конфликту интересов, а второй </w:t>
      </w:r>
      <w:r w:rsidR="00B52FB2">
        <w:t>–</w:t>
      </w:r>
      <w:r>
        <w:t xml:space="preserve"> сотрудникам, сообщающим о нарушениях, и их защите. Ожидается, что на основании этих обзоров МСЭ будет определять дальнейшие меры по укреплению своей правовой и административной базы. Председатель дал высокую оценку отчету Управления по вопросам этики и отметил, что более подробный письменный отчет будет представлен Совету 2018 года в </w:t>
      </w:r>
      <w:r w:rsidR="003D6047">
        <w:t>соответствии с</w:t>
      </w:r>
      <w:r>
        <w:t xml:space="preserve"> запрос</w:t>
      </w:r>
      <w:r w:rsidR="003D6047">
        <w:t>ом</w:t>
      </w:r>
      <w:r>
        <w:t xml:space="preserve">, </w:t>
      </w:r>
      <w:r w:rsidR="003D6047">
        <w:t xml:space="preserve">сделанным в ходе </w:t>
      </w:r>
      <w:r>
        <w:t>Совет</w:t>
      </w:r>
      <w:r w:rsidR="003D6047">
        <w:t>а</w:t>
      </w:r>
      <w:r>
        <w:t xml:space="preserve"> 2017 года.</w:t>
      </w:r>
    </w:p>
    <w:p w:rsidR="00067524" w:rsidRPr="00642C3F" w:rsidRDefault="006B2460" w:rsidP="00642C3F">
      <w:pPr>
        <w:pStyle w:val="ListParagraph"/>
        <w:spacing w:before="240" w:after="120"/>
        <w:ind w:left="1191" w:hanging="471"/>
        <w:rPr>
          <w:rFonts w:cs="Calibri"/>
          <w:b/>
          <w:bCs/>
          <w:szCs w:val="22"/>
        </w:rPr>
      </w:pPr>
      <w:r w:rsidRPr="00642C3F">
        <w:rPr>
          <w:b/>
        </w:rPr>
        <w:t>−</w:t>
      </w:r>
      <w:r w:rsidRPr="00642C3F">
        <w:rPr>
          <w:b/>
        </w:rPr>
        <w:tab/>
        <w:t>Резолюция 94 (</w:t>
      </w:r>
      <w:proofErr w:type="spellStart"/>
      <w:r w:rsidR="003D6047" w:rsidRPr="00642C3F">
        <w:rPr>
          <w:b/>
        </w:rPr>
        <w:t>П</w:t>
      </w:r>
      <w:r w:rsidRPr="00642C3F">
        <w:rPr>
          <w:b/>
        </w:rPr>
        <w:t>ересм</w:t>
      </w:r>
      <w:proofErr w:type="spellEnd"/>
      <w:r w:rsidRPr="00642C3F">
        <w:rPr>
          <w:b/>
        </w:rPr>
        <w:t xml:space="preserve">. </w:t>
      </w:r>
      <w:proofErr w:type="spellStart"/>
      <w:r w:rsidRPr="00642C3F">
        <w:rPr>
          <w:b/>
        </w:rPr>
        <w:t>Пусан</w:t>
      </w:r>
      <w:proofErr w:type="spellEnd"/>
      <w:r w:rsidRPr="00642C3F">
        <w:rPr>
          <w:b/>
        </w:rPr>
        <w:t>, 2014 г</w:t>
      </w:r>
      <w:r w:rsidR="00514EBE">
        <w:rPr>
          <w:b/>
        </w:rPr>
        <w:t>од</w:t>
      </w:r>
      <w:r w:rsidRPr="00642C3F">
        <w:rPr>
          <w:b/>
        </w:rPr>
        <w:t>)</w:t>
      </w:r>
      <w:r w:rsidR="00B52FB2">
        <w:rPr>
          <w:b/>
        </w:rPr>
        <w:t>.</w:t>
      </w:r>
      <w:r w:rsidRPr="00642C3F">
        <w:rPr>
          <w:b/>
        </w:rPr>
        <w:t xml:space="preserve"> Аудит</w:t>
      </w:r>
      <w:r w:rsidR="003D6047" w:rsidRPr="00642C3F">
        <w:rPr>
          <w:b/>
        </w:rPr>
        <w:t>орская проверка</w:t>
      </w:r>
      <w:r w:rsidRPr="00642C3F">
        <w:rPr>
          <w:b/>
        </w:rPr>
        <w:t xml:space="preserve"> счетов Союза </w:t>
      </w:r>
      <w:r w:rsidR="00514EBE">
        <w:rPr>
          <w:b/>
        </w:rPr>
        <w:t>–</w:t>
      </w:r>
      <w:r w:rsidRPr="00642C3F">
        <w:rPr>
          <w:b/>
        </w:rPr>
        <w:t xml:space="preserve"> механизмы проведения тендеров для выбора </w:t>
      </w:r>
      <w:r w:rsidR="003D6047" w:rsidRPr="00642C3F">
        <w:rPr>
          <w:b/>
        </w:rPr>
        <w:t xml:space="preserve">нового </w:t>
      </w:r>
      <w:r w:rsidRPr="00642C3F">
        <w:rPr>
          <w:b/>
        </w:rPr>
        <w:t>Внешнего аудитора</w:t>
      </w:r>
      <w:r w:rsidR="003D6047" w:rsidRPr="00642C3F">
        <w:rPr>
          <w:b/>
        </w:rPr>
        <w:t xml:space="preserve"> </w:t>
      </w:r>
      <w:r w:rsidRPr="00642C3F">
        <w:rPr>
          <w:b/>
        </w:rPr>
        <w:br/>
        <w:t xml:space="preserve">(Документ </w:t>
      </w:r>
      <w:hyperlink r:id="rId49">
        <w:r w:rsidRPr="00642C3F">
          <w:rPr>
            <w:rStyle w:val="Hyperlink"/>
            <w:b/>
          </w:rPr>
          <w:t>CWG-FHR 8/16</w:t>
        </w:r>
      </w:hyperlink>
      <w:r w:rsidRPr="00642C3F">
        <w:rPr>
          <w:b/>
        </w:rPr>
        <w:t>)</w:t>
      </w:r>
    </w:p>
    <w:p w:rsidR="00067524" w:rsidRPr="00A225C7" w:rsidRDefault="00067524" w:rsidP="00E4459D">
      <w:pPr>
        <w:spacing w:line="238" w:lineRule="auto"/>
        <w:rPr>
          <w:rStyle w:val="Hyperlink"/>
          <w:color w:val="auto"/>
          <w:szCs w:val="22"/>
        </w:rPr>
      </w:pPr>
      <w:r>
        <w:t>11.2</w:t>
      </w:r>
      <w:r>
        <w:tab/>
        <w:t>Секретариат представил Документ CWG-FHR 8/16. Была сделана ссылка на Резолюцию 94 ПК и Статью 28 Финансового регламента МСЭ. В 2018 г</w:t>
      </w:r>
      <w:r w:rsidR="003D6047">
        <w:t>оду</w:t>
      </w:r>
      <w:r>
        <w:t xml:space="preserve"> Секретариату МСЭ необходимо будет начать процесс </w:t>
      </w:r>
      <w:r w:rsidR="003D6047">
        <w:t>от</w:t>
      </w:r>
      <w:r>
        <w:t>бора</w:t>
      </w:r>
      <w:r w:rsidR="003D6047">
        <w:t xml:space="preserve"> и назначения</w:t>
      </w:r>
      <w:r>
        <w:t xml:space="preserve"> Внешнего аудитора на период с 2019 г</w:t>
      </w:r>
      <w:r w:rsidR="00241ABD">
        <w:t>ода</w:t>
      </w:r>
      <w:r>
        <w:t>. Предлагаемый процесс аналогичен то</w:t>
      </w:r>
      <w:r w:rsidR="00241ABD">
        <w:t>му, который применялся в 2011 году</w:t>
      </w:r>
      <w:r>
        <w:t>, когда был</w:t>
      </w:r>
      <w:r w:rsidR="00241ABD">
        <w:t>а</w:t>
      </w:r>
      <w:r>
        <w:t xml:space="preserve"> </w:t>
      </w:r>
      <w:r w:rsidR="00241ABD">
        <w:t>назначена Верховная счетная палата Италии (</w:t>
      </w:r>
      <w:proofErr w:type="spellStart"/>
      <w:r>
        <w:t>Corte</w:t>
      </w:r>
      <w:proofErr w:type="spellEnd"/>
      <w:r>
        <w:t xml:space="preserve"> </w:t>
      </w:r>
      <w:proofErr w:type="spellStart"/>
      <w:r>
        <w:t>dei</w:t>
      </w:r>
      <w:proofErr w:type="spellEnd"/>
      <w:r>
        <w:t xml:space="preserve"> </w:t>
      </w:r>
      <w:proofErr w:type="spellStart"/>
      <w:r>
        <w:t>Conti</w:t>
      </w:r>
      <w:proofErr w:type="spellEnd"/>
      <w:r w:rsidR="00241ABD">
        <w:t>)</w:t>
      </w:r>
      <w:r>
        <w:t xml:space="preserve">. Руководить процессом будет Комитет по оценке, </w:t>
      </w:r>
      <w:r w:rsidR="00241ABD">
        <w:t>в состав которого</w:t>
      </w:r>
      <w:r>
        <w:t xml:space="preserve"> </w:t>
      </w:r>
      <w:r w:rsidR="00241ABD">
        <w:t xml:space="preserve">входят </w:t>
      </w:r>
      <w:r>
        <w:t>Государств</w:t>
      </w:r>
      <w:r w:rsidR="00241ABD">
        <w:t>а</w:t>
      </w:r>
      <w:r>
        <w:t>-Член</w:t>
      </w:r>
      <w:r w:rsidR="00241ABD">
        <w:t>ы</w:t>
      </w:r>
      <w:r>
        <w:t>. Комитет оценит поступившие предложения в конце 2018</w:t>
      </w:r>
      <w:r w:rsidR="00241ABD">
        <w:t xml:space="preserve"> года</w:t>
      </w:r>
      <w:r>
        <w:t> </w:t>
      </w:r>
      <w:r w:rsidR="00514EBE">
        <w:t>–</w:t>
      </w:r>
      <w:r>
        <w:t xml:space="preserve"> начале 2019 г</w:t>
      </w:r>
      <w:r w:rsidR="00241ABD">
        <w:t>ода</w:t>
      </w:r>
      <w:r>
        <w:t xml:space="preserve"> в соответствии с процессом и критериями, установленными в Запросе предложений, и вынесет рекомендации Совету для принятия решения на его сессии 2019 г</w:t>
      </w:r>
      <w:r w:rsidR="00241ABD">
        <w:t>ода</w:t>
      </w:r>
      <w:r>
        <w:t>.</w:t>
      </w:r>
    </w:p>
    <w:p w:rsidR="00067524" w:rsidRPr="00A225C7" w:rsidRDefault="00067524" w:rsidP="00E4459D">
      <w:pPr>
        <w:spacing w:line="238" w:lineRule="auto"/>
      </w:pPr>
      <w:r>
        <w:t>11.3</w:t>
      </w:r>
      <w:r>
        <w:tab/>
        <w:t xml:space="preserve">Документ был представлен Группе для запроса рекомендации </w:t>
      </w:r>
      <w:r w:rsidR="00241ABD">
        <w:t>Совету,</w:t>
      </w:r>
      <w:r>
        <w:t xml:space="preserve"> проверк</w:t>
      </w:r>
      <w:r w:rsidR="00B52FB2">
        <w:t>и</w:t>
      </w:r>
      <w:r>
        <w:t xml:space="preserve"> процесса, описанного в этом документе, и для приглашения </w:t>
      </w:r>
      <w:r w:rsidR="00241ABD">
        <w:t xml:space="preserve">– </w:t>
      </w:r>
      <w:r>
        <w:t xml:space="preserve">через Председателя этой Группы </w:t>
      </w:r>
      <w:r w:rsidR="00241ABD">
        <w:t xml:space="preserve">– </w:t>
      </w:r>
      <w:r>
        <w:t>выдви</w:t>
      </w:r>
      <w:r w:rsidR="00241ABD">
        <w:t>гать кандидатуры в</w:t>
      </w:r>
      <w:r>
        <w:t xml:space="preserve"> Комитет по оценке, </w:t>
      </w:r>
      <w:r w:rsidR="00241ABD">
        <w:t xml:space="preserve">состоящий из Государств-Членов, состав которого должен быть </w:t>
      </w:r>
      <w:r>
        <w:t>согласован Советом на его собрании в апреле этого года</w:t>
      </w:r>
      <w:r w:rsidR="00241ABD">
        <w:t>.</w:t>
      </w:r>
    </w:p>
    <w:p w:rsidR="00642C3F" w:rsidRDefault="00067524" w:rsidP="00523315">
      <w:pPr>
        <w:spacing w:line="238" w:lineRule="auto"/>
      </w:pPr>
      <w:r>
        <w:t>11.4</w:t>
      </w:r>
      <w:r>
        <w:tab/>
        <w:t xml:space="preserve">Председатель </w:t>
      </w:r>
      <w:r w:rsidR="00E4459D">
        <w:t xml:space="preserve">предоставил </w:t>
      </w:r>
      <w:r>
        <w:t>слово для замечаний, но</w:t>
      </w:r>
      <w:r w:rsidR="00E4459D">
        <w:t xml:space="preserve"> желающих выступить не оказалось</w:t>
      </w:r>
      <w:r>
        <w:t xml:space="preserve"> ни </w:t>
      </w:r>
      <w:r w:rsidR="00514EBE">
        <w:t xml:space="preserve">в </w:t>
      </w:r>
      <w:r>
        <w:t>одн</w:t>
      </w:r>
      <w:r w:rsidR="00514EBE">
        <w:t>ой</w:t>
      </w:r>
      <w:r>
        <w:t xml:space="preserve"> делегаци</w:t>
      </w:r>
      <w:r w:rsidR="00514EBE">
        <w:t>и</w:t>
      </w:r>
      <w:r>
        <w:t xml:space="preserve">. </w:t>
      </w:r>
      <w:r w:rsidR="00E4459D">
        <w:t>Тогда Пр</w:t>
      </w:r>
      <w:r>
        <w:t>едседатель</w:t>
      </w:r>
      <w:r w:rsidR="00E4459D">
        <w:t xml:space="preserve"> огласил следующие решения:</w:t>
      </w:r>
      <w:r>
        <w:t xml:space="preserve"> i) указанный процесс выбора будет передан на утверждение Совету в апреле 2018 года; </w:t>
      </w:r>
      <w:proofErr w:type="spellStart"/>
      <w:r>
        <w:t>ii</w:t>
      </w:r>
      <w:proofErr w:type="spellEnd"/>
      <w:r>
        <w:t xml:space="preserve">) тем временем </w:t>
      </w:r>
      <w:r w:rsidR="00E4459D">
        <w:t>в р</w:t>
      </w:r>
      <w:r>
        <w:t xml:space="preserve">егиональные организации будут направлены </w:t>
      </w:r>
      <w:r w:rsidR="00E4459D">
        <w:t>просьбы</w:t>
      </w:r>
      <w:r>
        <w:t xml:space="preserve"> о выдвижении кандидатов в </w:t>
      </w:r>
      <w:r w:rsidR="00E4459D">
        <w:t>ч</w:t>
      </w:r>
      <w:r>
        <w:t>лены Комитета по оценке, чтобы Совет мог согласовать его состав на своем собрании в апреле 2018 года.</w:t>
      </w:r>
    </w:p>
    <w:p w:rsidR="00067524" w:rsidRPr="00642C3F" w:rsidRDefault="0019520B" w:rsidP="00642C3F">
      <w:pPr>
        <w:pStyle w:val="ListParagraph"/>
        <w:ind w:left="1191" w:hanging="471"/>
        <w:rPr>
          <w:b/>
        </w:rPr>
      </w:pPr>
      <w:r w:rsidRPr="00642C3F">
        <w:rPr>
          <w:b/>
        </w:rPr>
        <w:t>−</w:t>
      </w:r>
      <w:r w:rsidRPr="00642C3F">
        <w:rPr>
          <w:b/>
        </w:rPr>
        <w:tab/>
        <w:t xml:space="preserve">Возможности спонсорской поддержки проекта строительства здания штаб-квартиры (Документ </w:t>
      </w:r>
      <w:hyperlink r:id="rId50">
        <w:r w:rsidRPr="00642C3F">
          <w:rPr>
            <w:rStyle w:val="Hyperlink"/>
            <w:b/>
          </w:rPr>
          <w:t>CWG-FHR 8/27</w:t>
        </w:r>
      </w:hyperlink>
      <w:r w:rsidRPr="00642C3F">
        <w:rPr>
          <w:b/>
        </w:rPr>
        <w:t>)</w:t>
      </w:r>
    </w:p>
    <w:p w:rsidR="00067524" w:rsidRPr="00A225C7" w:rsidRDefault="00067524" w:rsidP="00E4459D">
      <w:pPr>
        <w:spacing w:line="238" w:lineRule="auto"/>
      </w:pPr>
      <w:r>
        <w:t>11.5</w:t>
      </w:r>
      <w:r>
        <w:tab/>
        <w:t xml:space="preserve">От имени Генерального секретаря </w:t>
      </w:r>
      <w:r w:rsidR="00E4459D">
        <w:t>С</w:t>
      </w:r>
      <w:r>
        <w:t xml:space="preserve">екретариат представил информационный документ о проекте, связанном с помещениями штаб-квартиры, утвержденный Решением 588 Совета, в котором </w:t>
      </w:r>
      <w:r w:rsidR="00E4459D">
        <w:t>рассматриваются возможности спонсорской</w:t>
      </w:r>
      <w:r w:rsidR="00514EBE">
        <w:t xml:space="preserve"> </w:t>
      </w:r>
      <w:r w:rsidR="00E4459D">
        <w:t>поддержки строительства нового здания штаб-квартиры МСЭ</w:t>
      </w:r>
      <w:r>
        <w:t>. Документ был запрошен на 3-м собрании КГГЧ</w:t>
      </w:r>
      <w:r w:rsidR="00E4459D">
        <w:t>, с тем чтобы</w:t>
      </w:r>
      <w:r>
        <w:t xml:space="preserve"> определить принципы спонсорской поддержки и заручиться руководящими указаниями по спонсорской поддержке элементов нового здания. Он будет представлен КГГЧ как Документ MSAG 4/4. От Женевской группы (МСЭ) был получен отзыв </w:t>
      </w:r>
      <w:r w:rsidR="00E4459D">
        <w:t>п</w:t>
      </w:r>
      <w:r>
        <w:t>о проект</w:t>
      </w:r>
      <w:r w:rsidR="00E4459D">
        <w:t>у</w:t>
      </w:r>
      <w:r>
        <w:t xml:space="preserve"> этого документа.</w:t>
      </w:r>
    </w:p>
    <w:p w:rsidR="00067524" w:rsidRPr="00A225C7" w:rsidRDefault="00067524" w:rsidP="00ED280C">
      <w:r>
        <w:t>11.6</w:t>
      </w:r>
      <w:r>
        <w:tab/>
        <w:t xml:space="preserve">В </w:t>
      </w:r>
      <w:r w:rsidR="00D01419">
        <w:t xml:space="preserve">этом </w:t>
      </w:r>
      <w:r>
        <w:t xml:space="preserve">документе </w:t>
      </w:r>
      <w:r w:rsidR="00D01419">
        <w:t>приведен</w:t>
      </w:r>
      <w:r>
        <w:t xml:space="preserve">ы принципы, взятые из Документа </w:t>
      </w:r>
      <w:hyperlink r:id="rId51">
        <w:r>
          <w:rPr>
            <w:rStyle w:val="Hyperlink"/>
          </w:rPr>
          <w:t>C17/67</w:t>
        </w:r>
      </w:hyperlink>
      <w:r w:rsidR="00D01419">
        <w:t xml:space="preserve">, </w:t>
      </w:r>
      <w:r>
        <w:t>одобрен</w:t>
      </w:r>
      <w:r w:rsidR="00D01419">
        <w:t>ного</w:t>
      </w:r>
      <w:r>
        <w:t xml:space="preserve"> Советом 2017 года, предлагаемые руководящие указания по спонсорской поддержке нового здания и </w:t>
      </w:r>
      <w:r>
        <w:lastRenderedPageBreak/>
        <w:t xml:space="preserve">перечень элементов нового здания, которые могут представлять интерес для спонсоров. Секретариат открыт для обсуждения любых вопросов с Государствами-Членами, которых интересуют возможности спонсорской поддержки. В ответ на вопрос одного из делегатов Председатель напомнил, что КГГЧ была создана Советом для консультирования Генерального секретаря и Совета по проекту строительства здания штаб-квартиры и что это закрытая группа, в </w:t>
      </w:r>
      <w:r w:rsidR="00D01419">
        <w:t xml:space="preserve">состав </w:t>
      </w:r>
      <w:r>
        <w:t xml:space="preserve">которой </w:t>
      </w:r>
      <w:r w:rsidR="00D01419">
        <w:t xml:space="preserve">входит </w:t>
      </w:r>
      <w:r>
        <w:t xml:space="preserve">по одному представителю от каждого </w:t>
      </w:r>
      <w:r w:rsidR="00D01419">
        <w:t xml:space="preserve">региона </w:t>
      </w:r>
      <w:r>
        <w:t>МСЭ. Другой делегат поднял вопрос о потенциальной спонсорской поддержке центра "Открытие ИКТ", отметив, что позиции по этому вопросу были согласованы</w:t>
      </w:r>
      <w:r w:rsidR="00D01419" w:rsidRPr="00D01419">
        <w:t xml:space="preserve"> </w:t>
      </w:r>
      <w:r w:rsidR="00D01419">
        <w:t>на последних Советах</w:t>
      </w:r>
      <w:r>
        <w:t>.</w:t>
      </w:r>
    </w:p>
    <w:p w:rsidR="009753DF" w:rsidRDefault="009753DF">
      <w:pPr>
        <w:tabs>
          <w:tab w:val="clear" w:pos="794"/>
          <w:tab w:val="clear" w:pos="1191"/>
          <w:tab w:val="clear" w:pos="1588"/>
          <w:tab w:val="clear" w:pos="1985"/>
        </w:tabs>
        <w:overflowPunct/>
        <w:autoSpaceDE/>
        <w:autoSpaceDN/>
        <w:adjustRightInd/>
        <w:spacing w:before="0"/>
        <w:textAlignment w:val="auto"/>
      </w:pPr>
      <w:r>
        <w:br w:type="page"/>
      </w:r>
    </w:p>
    <w:p w:rsidR="00ED280C" w:rsidRDefault="00733B7B" w:rsidP="00733B7B">
      <w:pPr>
        <w:pStyle w:val="AnnexNo"/>
      </w:pPr>
      <w:r>
        <w:lastRenderedPageBreak/>
        <w:t>ПРИЛОЖЕНИЕ 1</w:t>
      </w:r>
    </w:p>
    <w:p w:rsidR="00733B7B" w:rsidRPr="006B1104" w:rsidRDefault="00514EBE" w:rsidP="006B1104">
      <w:pPr>
        <w:pStyle w:val="Annextitle"/>
      </w:pPr>
      <w:r>
        <w:t xml:space="preserve">ПРЕДЛАГАЕМЫЕ ПОПРАВКИ К ФИНАНСОВОМУ РЕГЛАМЕНТУ </w:t>
      </w:r>
      <w:r>
        <w:br/>
        <w:t>И ФИНАНСОВЫМ ПРАВИЛАМ</w:t>
      </w:r>
    </w:p>
    <w:tbl>
      <w:tblPr>
        <w:tblStyle w:val="TableGrid"/>
        <w:tblW w:w="0" w:type="auto"/>
        <w:tblInd w:w="108" w:type="dxa"/>
        <w:tblLayout w:type="fixed"/>
        <w:tblLook w:val="04A0" w:firstRow="1" w:lastRow="0" w:firstColumn="1" w:lastColumn="0" w:noHBand="0" w:noVBand="1"/>
      </w:tblPr>
      <w:tblGrid>
        <w:gridCol w:w="4706"/>
        <w:gridCol w:w="4933"/>
      </w:tblGrid>
      <w:tr w:rsidR="00733B7B" w:rsidTr="00C80E37">
        <w:tc>
          <w:tcPr>
            <w:tcW w:w="4706" w:type="dxa"/>
          </w:tcPr>
          <w:p w:rsidR="00733B7B" w:rsidRDefault="00D27726" w:rsidP="00D27726">
            <w:pPr>
              <w:pStyle w:val="Tablehead"/>
            </w:pPr>
            <w:r>
              <w:t>Финансовый регламент и Финансовые правила</w:t>
            </w:r>
          </w:p>
        </w:tc>
        <w:tc>
          <w:tcPr>
            <w:tcW w:w="4933" w:type="dxa"/>
          </w:tcPr>
          <w:p w:rsidR="00733B7B" w:rsidRDefault="009A7375" w:rsidP="00733B7B">
            <w:pPr>
              <w:pStyle w:val="Tablehead"/>
            </w:pPr>
            <w:r>
              <w:t>Предлагаемые поправки к Финансовому регламенту и Финансовым правилам</w:t>
            </w:r>
          </w:p>
        </w:tc>
      </w:tr>
      <w:tr w:rsidR="009A7375" w:rsidTr="00C80E37">
        <w:tc>
          <w:tcPr>
            <w:tcW w:w="4706" w:type="dxa"/>
          </w:tcPr>
          <w:p w:rsidR="009A7375" w:rsidRPr="006B1104" w:rsidRDefault="009A7375" w:rsidP="007C3FEC">
            <w:pPr>
              <w:pStyle w:val="Tabletext"/>
              <w:keepNext/>
              <w:spacing w:before="120"/>
              <w:jc w:val="center"/>
              <w:rPr>
                <w:b/>
                <w:bCs/>
              </w:rPr>
            </w:pPr>
            <w:r>
              <w:rPr>
                <w:b/>
              </w:rPr>
              <w:t>Статья 1</w:t>
            </w:r>
            <w:r>
              <w:rPr>
                <w:b/>
                <w:bCs/>
              </w:rPr>
              <w:br/>
            </w:r>
            <w:r>
              <w:rPr>
                <w:b/>
              </w:rPr>
              <w:t xml:space="preserve">Управление финансами Союза </w:t>
            </w:r>
            <w:r>
              <w:rPr>
                <w:b/>
                <w:bCs/>
              </w:rPr>
              <w:br/>
            </w:r>
            <w:r>
              <w:rPr>
                <w:b/>
              </w:rPr>
              <w:t>и финансовый контроль</w:t>
            </w:r>
          </w:p>
        </w:tc>
        <w:tc>
          <w:tcPr>
            <w:tcW w:w="4933" w:type="dxa"/>
          </w:tcPr>
          <w:p w:rsidR="009A7375" w:rsidRPr="006B1104" w:rsidRDefault="009A7375" w:rsidP="007C3FEC">
            <w:pPr>
              <w:pStyle w:val="Tabletext"/>
              <w:keepNext/>
              <w:spacing w:before="120"/>
              <w:jc w:val="center"/>
              <w:rPr>
                <w:b/>
                <w:bCs/>
              </w:rPr>
            </w:pPr>
            <w:r>
              <w:rPr>
                <w:b/>
              </w:rPr>
              <w:t>Статья 1</w:t>
            </w:r>
            <w:r>
              <w:rPr>
                <w:b/>
                <w:bCs/>
              </w:rPr>
              <w:br/>
            </w:r>
            <w:r>
              <w:rPr>
                <w:b/>
              </w:rPr>
              <w:t xml:space="preserve">Управление финансами Союза </w:t>
            </w:r>
            <w:r>
              <w:rPr>
                <w:b/>
                <w:bCs/>
              </w:rPr>
              <w:br/>
            </w:r>
            <w:r>
              <w:rPr>
                <w:b/>
              </w:rPr>
              <w:t>и финансовый контроль</w:t>
            </w:r>
          </w:p>
        </w:tc>
      </w:tr>
      <w:tr w:rsidR="009A7375" w:rsidTr="00C80E37">
        <w:tc>
          <w:tcPr>
            <w:tcW w:w="4706" w:type="dxa"/>
          </w:tcPr>
          <w:p w:rsidR="009A7375" w:rsidRDefault="009A7375" w:rsidP="007C3FEC">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5</w:t>
            </w:r>
            <w:r w:rsidR="00514EBE">
              <w:t>.</w:t>
            </w:r>
            <w:r>
              <w:tab/>
            </w:r>
            <w:r w:rsidRPr="00B52FB2">
              <w:t>Комитет по контрактам оказывает содействие Генеральному секретарю в изучении проектов контрактов, которые предстоит заключить Союзу и сумма которых превышает предел, установленный Генеральным секретарем. Он предоставляет рекомендации о том, каким образом выполнить предлагаемые требования, принимая во внимание вопросы экономии и качества, а также интересы Союза. Состав Комитета определяется Генеральным секретарем на основе консультаций с Координационным комитетом. Круг ведения Комитета и порядок заключения Союзом контрактов определяются Генеральным секретарем на основе консультаций с Координационным комитетом.</w:t>
            </w:r>
          </w:p>
        </w:tc>
        <w:tc>
          <w:tcPr>
            <w:tcW w:w="4933" w:type="dxa"/>
          </w:tcPr>
          <w:p w:rsidR="009A7375" w:rsidRDefault="009A7375" w:rsidP="0010534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5</w:t>
            </w:r>
            <w:r w:rsidR="00514EBE">
              <w:t>.</w:t>
            </w:r>
            <w:r>
              <w:tab/>
              <w:t>Комитет по контрактам оказывает содействие Генеральному секретарю в изучении проектов контрактов, которые предстоит заключить Союзу и сумма которых превышает предел, установленный Генеральным секретарем. Он предоставляет рекомендации о том, каким образом выполнить предлагаемые требования, принимая во внимание вопросы экономии и качества, а также</w:t>
            </w:r>
            <w:r w:rsidR="00D01419">
              <w:t xml:space="preserve"> </w:t>
            </w:r>
            <w:r w:rsidR="00AE367F">
              <w:t>следующие принципы закупок</w:t>
            </w:r>
            <w:r w:rsidR="00105345">
              <w:t>:</w:t>
            </w:r>
          </w:p>
          <w:p w:rsidR="00105345" w:rsidRDefault="00105345" w:rsidP="0010534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proofErr w:type="gramStart"/>
            <w:r>
              <w:t>а)</w:t>
            </w:r>
            <w:r>
              <w:tab/>
            </w:r>
            <w:proofErr w:type="gramEnd"/>
            <w:r>
              <w:t>честность, добросовестность и прозрачность;</w:t>
            </w:r>
          </w:p>
          <w:p w:rsidR="00105345" w:rsidRDefault="00105345" w:rsidP="0010534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b)</w:t>
            </w:r>
            <w:r>
              <w:tab/>
              <w:t>эффективная конкуренция, когда это целесообразно, международная;</w:t>
            </w:r>
          </w:p>
          <w:p w:rsidR="00105345" w:rsidRDefault="00105345" w:rsidP="0010534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proofErr w:type="gramStart"/>
            <w:r>
              <w:t>с)</w:t>
            </w:r>
            <w:r>
              <w:tab/>
            </w:r>
            <w:proofErr w:type="gramEnd"/>
            <w:r>
              <w:t>оптимальное соотношение цены и качества;</w:t>
            </w:r>
          </w:p>
          <w:p w:rsidR="00105345" w:rsidRDefault="00105345" w:rsidP="0010534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d)</w:t>
            </w:r>
            <w:r>
              <w:tab/>
              <w:t>интересы Союза.</w:t>
            </w:r>
          </w:p>
          <w:p w:rsidR="009A7375" w:rsidRDefault="009A7375" w:rsidP="00B52FB2">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Состав Комитета определяется Генеральным секретарем на основе консультаций с Координационным комитетом. Круг ведения Комитета и порядок заключения Союзом контрактов определяются Генеральным секретарем на основе консультаций с Координационным комитетом.</w:t>
            </w:r>
          </w:p>
        </w:tc>
      </w:tr>
      <w:tr w:rsidR="009A7375" w:rsidTr="00C80E37">
        <w:tc>
          <w:tcPr>
            <w:tcW w:w="4706" w:type="dxa"/>
          </w:tcPr>
          <w:p w:rsidR="009A7375" w:rsidRPr="009A7375" w:rsidRDefault="009A7375" w:rsidP="007C3FEC">
            <w:pPr>
              <w:pStyle w:val="Tabletext"/>
              <w:keepNext/>
              <w:spacing w:before="120"/>
              <w:jc w:val="center"/>
              <w:rPr>
                <w:b/>
                <w:bCs/>
              </w:rPr>
            </w:pPr>
            <w:r>
              <w:rPr>
                <w:b/>
              </w:rPr>
              <w:t>Статья 12</w:t>
            </w:r>
            <w:r>
              <w:rPr>
                <w:b/>
                <w:bCs/>
              </w:rPr>
              <w:br/>
            </w:r>
            <w:r>
              <w:rPr>
                <w:b/>
              </w:rPr>
              <w:t>Контроль за фактическими расходами</w:t>
            </w:r>
          </w:p>
        </w:tc>
        <w:tc>
          <w:tcPr>
            <w:tcW w:w="4933" w:type="dxa"/>
          </w:tcPr>
          <w:p w:rsidR="009A7375" w:rsidRPr="009A7375" w:rsidRDefault="009A7375" w:rsidP="007C3FEC">
            <w:pPr>
              <w:pStyle w:val="Tabletext"/>
              <w:keepNext/>
              <w:spacing w:before="120"/>
              <w:jc w:val="center"/>
              <w:rPr>
                <w:b/>
                <w:bCs/>
              </w:rPr>
            </w:pPr>
            <w:r>
              <w:rPr>
                <w:b/>
              </w:rPr>
              <w:t>Статья 12</w:t>
            </w:r>
            <w:r>
              <w:rPr>
                <w:b/>
                <w:bCs/>
              </w:rPr>
              <w:br/>
            </w:r>
            <w:r>
              <w:rPr>
                <w:b/>
              </w:rPr>
              <w:t>Контроль за фактическими расходами</w:t>
            </w:r>
          </w:p>
        </w:tc>
      </w:tr>
      <w:tr w:rsidR="009A7375" w:rsidTr="00C80E37">
        <w:tc>
          <w:tcPr>
            <w:tcW w:w="4706" w:type="dxa"/>
          </w:tcPr>
          <w:p w:rsidR="009A7375" w:rsidRPr="00514EBE" w:rsidRDefault="009A7375" w:rsidP="007C3FEC">
            <w:pPr>
              <w:pStyle w:val="Tabletext"/>
              <w:tabs>
                <w:tab w:val="clear" w:pos="1985"/>
              </w:tabs>
              <w:spacing w:before="120"/>
              <w:rPr>
                <w:b/>
                <w:bCs/>
                <w:iCs/>
              </w:rPr>
            </w:pPr>
            <w:r w:rsidRPr="00514EBE">
              <w:rPr>
                <w:b/>
              </w:rPr>
              <w:t>Правило 12.1</w:t>
            </w:r>
          </w:p>
          <w:p w:rsidR="009A7375" w:rsidRPr="00514EBE" w:rsidRDefault="009A7375" w:rsidP="009A7375">
            <w:pPr>
              <w:pStyle w:val="Tabletext"/>
              <w:tabs>
                <w:tab w:val="clear" w:pos="1985"/>
              </w:tabs>
              <w:rPr>
                <w:b/>
                <w:bCs/>
                <w:iCs/>
              </w:rPr>
            </w:pPr>
            <w:r w:rsidRPr="00514EBE">
              <w:rPr>
                <w:b/>
              </w:rPr>
              <w:t>Сотрудники, заверяющие документы</w:t>
            </w:r>
          </w:p>
          <w:p w:rsidR="009A7375" w:rsidRDefault="009A7375" w:rsidP="00C80E37">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2</w:t>
            </w:r>
            <w:r w:rsidR="00514EBE">
              <w:t>.</w:t>
            </w:r>
            <w:r>
              <w:tab/>
              <w:t xml:space="preserve">Сотрудники, заверяющие документы, несут ответственность за управление использованием ресурсов в соответствии с целями, на которые эти ресурсы были утверждены, с соблюдением при этом принципов эффективности, результативности и экономии, а также всех регламентов, правил и инструкций Союза, которые могут применяться к использованию этих ресурсов. Руководитель Департамента администрирования и финансов обеспечивает, чтобы сотрудники, заверяющие документы, имели беспрепятственный доступ к информации по расходам и обязательствам, зачисленным </w:t>
            </w:r>
            <w:r w:rsidR="00C80E37">
              <w:t>в</w:t>
            </w:r>
            <w:r>
              <w:t xml:space="preserve"> рамках бюджетных ассигнований. Сотрудники, заверяющие документы, должны быть готовы представить любые подтверждающие документы, разъяснения и обоснования, </w:t>
            </w:r>
            <w:r>
              <w:lastRenderedPageBreak/>
              <w:t>запрашиваемые Генеральным секретарем, или любыми назначенны</w:t>
            </w:r>
            <w:r w:rsidR="00514EBE">
              <w:t>ми им официальными лицами, или В</w:t>
            </w:r>
            <w:r>
              <w:t>нешним аудитором.</w:t>
            </w:r>
          </w:p>
        </w:tc>
        <w:tc>
          <w:tcPr>
            <w:tcW w:w="4933" w:type="dxa"/>
          </w:tcPr>
          <w:p w:rsidR="009A7375" w:rsidRPr="00514EBE" w:rsidRDefault="009A7375" w:rsidP="007C3FEC">
            <w:pPr>
              <w:pStyle w:val="Tabletext"/>
              <w:tabs>
                <w:tab w:val="clear" w:pos="1985"/>
              </w:tabs>
              <w:spacing w:before="120"/>
              <w:rPr>
                <w:b/>
                <w:bCs/>
                <w:iCs/>
              </w:rPr>
            </w:pPr>
            <w:r w:rsidRPr="00514EBE">
              <w:rPr>
                <w:b/>
              </w:rPr>
              <w:lastRenderedPageBreak/>
              <w:t>Правило 12.1</w:t>
            </w:r>
          </w:p>
          <w:p w:rsidR="009A7375" w:rsidRPr="00514EBE" w:rsidRDefault="009A7375" w:rsidP="009A7375">
            <w:pPr>
              <w:pStyle w:val="Tabletext"/>
              <w:tabs>
                <w:tab w:val="clear" w:pos="1985"/>
              </w:tabs>
              <w:rPr>
                <w:b/>
                <w:bCs/>
                <w:iCs/>
              </w:rPr>
            </w:pPr>
            <w:r w:rsidRPr="00514EBE">
              <w:rPr>
                <w:b/>
              </w:rPr>
              <w:t>Сотрудники, заверяющие документы</w:t>
            </w:r>
          </w:p>
          <w:p w:rsidR="009A7375" w:rsidRDefault="009A737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2</w:t>
            </w:r>
            <w:r w:rsidR="00514EBE">
              <w:t>.</w:t>
            </w:r>
            <w:r>
              <w:tab/>
              <w:t xml:space="preserve">Сотрудники, заверяющие документы, несут ответственность за управление использованием ресурсов в соответствии с целями, на которые эти ресурсы были утверждены, с соблюдением при этом принципов эффективности, результативности и экономии, а также всех регламентов, правил и инструкций Союза, которые могут применяться к использованию этих ресурсов. </w:t>
            </w:r>
            <w:r w:rsidR="00105345">
              <w:t xml:space="preserve">Руководитель Департамента управления финансовыми ресурсами </w:t>
            </w:r>
            <w:r>
              <w:t>обеспечивает, чтобы сотрудники, заверяющие документы, имели беспрепятственный доступ к информации по расходам</w:t>
            </w:r>
            <w:r w:rsidR="00C80E37">
              <w:t xml:space="preserve"> и обязательствам, зачисленным в</w:t>
            </w:r>
            <w:r>
              <w:t xml:space="preserve"> рамках бюджетных ассигнований. Сотрудники, заверяющие документы, должны быть готовы представить любые подтверждающие документы, разъяснения и обоснования, </w:t>
            </w:r>
            <w:r>
              <w:lastRenderedPageBreak/>
              <w:t>запрашиваемые Генеральным секретарем, или любыми назначенны</w:t>
            </w:r>
            <w:r w:rsidR="00514EBE">
              <w:t>ми им официальными лицами, или В</w:t>
            </w:r>
            <w:r>
              <w:t>нешним аудитором.</w:t>
            </w:r>
          </w:p>
        </w:tc>
      </w:tr>
      <w:tr w:rsidR="007C3FEC" w:rsidTr="00C80E37">
        <w:tc>
          <w:tcPr>
            <w:tcW w:w="4706" w:type="dxa"/>
          </w:tcPr>
          <w:p w:rsidR="007C3FEC" w:rsidRPr="009A7375" w:rsidRDefault="007C3FEC" w:rsidP="007C3FEC">
            <w:pPr>
              <w:pStyle w:val="Tabletext"/>
              <w:keepNext/>
              <w:spacing w:before="120"/>
              <w:jc w:val="center"/>
              <w:rPr>
                <w:b/>
                <w:bCs/>
              </w:rPr>
            </w:pPr>
            <w:r>
              <w:rPr>
                <w:b/>
              </w:rPr>
              <w:lastRenderedPageBreak/>
              <w:t>Статья 15</w:t>
            </w:r>
            <w:r>
              <w:rPr>
                <w:b/>
                <w:bCs/>
              </w:rPr>
              <w:br/>
            </w:r>
            <w:r>
              <w:rPr>
                <w:b/>
              </w:rPr>
              <w:t>Ликвидные активы Союза</w:t>
            </w:r>
          </w:p>
        </w:tc>
        <w:tc>
          <w:tcPr>
            <w:tcW w:w="4933" w:type="dxa"/>
          </w:tcPr>
          <w:p w:rsidR="007C3FEC" w:rsidRPr="009A7375" w:rsidRDefault="007C3FEC" w:rsidP="007C3FEC">
            <w:pPr>
              <w:pStyle w:val="Tabletext"/>
              <w:keepNext/>
              <w:spacing w:before="120"/>
              <w:jc w:val="center"/>
              <w:rPr>
                <w:b/>
                <w:bCs/>
              </w:rPr>
            </w:pPr>
            <w:r>
              <w:rPr>
                <w:b/>
              </w:rPr>
              <w:t>Статья 15</w:t>
            </w:r>
            <w:r>
              <w:rPr>
                <w:b/>
                <w:bCs/>
              </w:rPr>
              <w:br/>
            </w:r>
            <w:r>
              <w:rPr>
                <w:b/>
              </w:rPr>
              <w:t>Ликвидные активы Союза</w:t>
            </w:r>
          </w:p>
        </w:tc>
      </w:tr>
      <w:tr w:rsidR="007C3FEC" w:rsidTr="00C80E37">
        <w:tc>
          <w:tcPr>
            <w:tcW w:w="4706" w:type="dxa"/>
          </w:tcPr>
          <w:p w:rsidR="007C3FEC" w:rsidRPr="00514EBE" w:rsidRDefault="007C3FEC" w:rsidP="007C3FEC">
            <w:pPr>
              <w:pStyle w:val="Tabletext"/>
              <w:tabs>
                <w:tab w:val="clear" w:pos="1985"/>
              </w:tabs>
              <w:spacing w:before="120"/>
              <w:rPr>
                <w:b/>
                <w:bCs/>
                <w:iCs/>
              </w:rPr>
            </w:pPr>
            <w:r w:rsidRPr="00514EBE">
              <w:rPr>
                <w:b/>
              </w:rPr>
              <w:t>Правило 15.1</w:t>
            </w:r>
          </w:p>
          <w:p w:rsidR="007C3FEC" w:rsidRPr="00514EBE" w:rsidRDefault="007C3FEC" w:rsidP="007C3FEC">
            <w:pPr>
              <w:pStyle w:val="Tabletext"/>
              <w:tabs>
                <w:tab w:val="clear" w:pos="1985"/>
              </w:tabs>
              <w:rPr>
                <w:b/>
                <w:bCs/>
                <w:iCs/>
              </w:rPr>
            </w:pPr>
            <w:r w:rsidRPr="00514EBE">
              <w:rPr>
                <w:b/>
              </w:rPr>
              <w:t>Поступление средств</w:t>
            </w:r>
          </w:p>
          <w:p w:rsidR="007C3FEC" w:rsidRDefault="007C3FEC" w:rsidP="007C3FEC">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Полномочия на выставление официальных счетов имеют только назначенные Генеральным секретарем должностные лица. При получении другими должностными лицами денежных средств, предназначенных Союзу, эти лица должны незамедлительно направить такие средства должностным лицам, имеющим полномочия на выставление официальных счетов. Руководитель Департамента администрирования и финансов или назначенное им должностное лицо подтверждает получение всех средств, подписывает все относящиеся к этим средствам документы и заверяет все чеки, выставленные Союзу.</w:t>
            </w:r>
          </w:p>
        </w:tc>
        <w:tc>
          <w:tcPr>
            <w:tcW w:w="4933" w:type="dxa"/>
          </w:tcPr>
          <w:p w:rsidR="007C3FEC" w:rsidRPr="00514EBE" w:rsidRDefault="007C3FEC" w:rsidP="007C3FEC">
            <w:pPr>
              <w:pStyle w:val="Tabletext"/>
              <w:tabs>
                <w:tab w:val="clear" w:pos="1985"/>
              </w:tabs>
              <w:spacing w:before="120"/>
              <w:rPr>
                <w:b/>
                <w:bCs/>
                <w:iCs/>
              </w:rPr>
            </w:pPr>
            <w:r w:rsidRPr="00514EBE">
              <w:rPr>
                <w:b/>
              </w:rPr>
              <w:t>Правило 15.1</w:t>
            </w:r>
          </w:p>
          <w:p w:rsidR="007C3FEC" w:rsidRPr="00514EBE" w:rsidRDefault="007C3FEC" w:rsidP="007C3FEC">
            <w:pPr>
              <w:pStyle w:val="Tabletext"/>
              <w:tabs>
                <w:tab w:val="clear" w:pos="1985"/>
              </w:tabs>
              <w:rPr>
                <w:b/>
                <w:bCs/>
                <w:iCs/>
              </w:rPr>
            </w:pPr>
            <w:r w:rsidRPr="00514EBE">
              <w:rPr>
                <w:b/>
              </w:rPr>
              <w:t>Поступление средств</w:t>
            </w:r>
          </w:p>
          <w:p w:rsidR="007C3FEC" w:rsidRDefault="007C3FEC" w:rsidP="0010534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 xml:space="preserve">Полномочия на выставление официальных счетов имеют только назначенные Генеральным секретарем должностные лица. При получении другими должностными лицами денежных средств, предназначенных Союзу, эти лица должны незамедлительно направить такие средства должностным лицам, имеющим полномочия на выставление официальных счетов. </w:t>
            </w:r>
            <w:r w:rsidR="00105345">
              <w:t xml:space="preserve">Руководитель Департамента управления финансовыми ресурсами </w:t>
            </w:r>
            <w:r>
              <w:t>или назначенное им должностное лицо подтверждает получение всех средств, подписывает все относящиеся к этим средствам документы и заверяет все чеки, выставленные Союзу.</w:t>
            </w:r>
          </w:p>
        </w:tc>
      </w:tr>
      <w:tr w:rsidR="007C3FEC" w:rsidTr="00C80E37">
        <w:tc>
          <w:tcPr>
            <w:tcW w:w="4706" w:type="dxa"/>
          </w:tcPr>
          <w:p w:rsidR="007C3FEC" w:rsidRPr="009A7375" w:rsidRDefault="007C3FEC" w:rsidP="007C3FEC">
            <w:pPr>
              <w:pStyle w:val="Tabletext"/>
              <w:keepNext/>
              <w:spacing w:before="120"/>
              <w:jc w:val="center"/>
              <w:rPr>
                <w:b/>
                <w:bCs/>
              </w:rPr>
            </w:pPr>
            <w:r>
              <w:rPr>
                <w:b/>
              </w:rPr>
              <w:t>Статья 16</w:t>
            </w:r>
            <w:r>
              <w:rPr>
                <w:b/>
                <w:bCs/>
              </w:rPr>
              <w:br/>
            </w:r>
            <w:r>
              <w:rPr>
                <w:b/>
              </w:rPr>
              <w:t>Инвестиции средств</w:t>
            </w:r>
          </w:p>
        </w:tc>
        <w:tc>
          <w:tcPr>
            <w:tcW w:w="4933" w:type="dxa"/>
          </w:tcPr>
          <w:p w:rsidR="007C3FEC" w:rsidRPr="009A7375" w:rsidRDefault="007C3FEC" w:rsidP="007C3FEC">
            <w:pPr>
              <w:pStyle w:val="Tabletext"/>
              <w:keepNext/>
              <w:spacing w:before="120"/>
              <w:jc w:val="center"/>
              <w:rPr>
                <w:b/>
                <w:bCs/>
              </w:rPr>
            </w:pPr>
            <w:r>
              <w:rPr>
                <w:b/>
              </w:rPr>
              <w:t>Статья 16</w:t>
            </w:r>
            <w:r>
              <w:rPr>
                <w:b/>
                <w:bCs/>
              </w:rPr>
              <w:br/>
            </w:r>
            <w:r>
              <w:rPr>
                <w:b/>
              </w:rPr>
              <w:t>Инвестиции средств</w:t>
            </w:r>
          </w:p>
        </w:tc>
      </w:tr>
      <w:tr w:rsidR="007C3FEC" w:rsidTr="00C80E37">
        <w:tc>
          <w:tcPr>
            <w:tcW w:w="4706" w:type="dxa"/>
          </w:tcPr>
          <w:p w:rsidR="007C3FEC" w:rsidRPr="00514EBE" w:rsidRDefault="007C3FEC" w:rsidP="007C3FEC">
            <w:pPr>
              <w:pStyle w:val="Tabletext"/>
              <w:tabs>
                <w:tab w:val="clear" w:pos="1985"/>
              </w:tabs>
              <w:spacing w:before="120"/>
              <w:rPr>
                <w:b/>
                <w:bCs/>
                <w:iCs/>
              </w:rPr>
            </w:pPr>
            <w:r w:rsidRPr="00514EBE">
              <w:rPr>
                <w:b/>
              </w:rPr>
              <w:t>Правило 16.2</w:t>
            </w:r>
          </w:p>
          <w:p w:rsidR="007C3FEC" w:rsidRPr="00514EBE" w:rsidRDefault="007C3FEC" w:rsidP="007C3FEC">
            <w:pPr>
              <w:pStyle w:val="Tabletext"/>
              <w:tabs>
                <w:tab w:val="clear" w:pos="1985"/>
              </w:tabs>
              <w:rPr>
                <w:b/>
                <w:bCs/>
                <w:iCs/>
              </w:rPr>
            </w:pPr>
            <w:r w:rsidRPr="00514EBE">
              <w:rPr>
                <w:b/>
              </w:rPr>
              <w:t>Инвестиции</w:t>
            </w:r>
          </w:p>
          <w:p w:rsidR="007C3FEC" w:rsidRDefault="007C3FEC" w:rsidP="007C3FEC">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1</w:t>
            </w:r>
            <w:r w:rsidR="00514EBE">
              <w:t>.</w:t>
            </w:r>
            <w:r>
              <w:tab/>
              <w:t>Генеральный секретарь делегирует руководителю Департамента администрирования и финансов полномочия осуществлять инвестиции и разумно управлять ими.</w:t>
            </w:r>
          </w:p>
        </w:tc>
        <w:tc>
          <w:tcPr>
            <w:tcW w:w="4933" w:type="dxa"/>
          </w:tcPr>
          <w:p w:rsidR="007C3FEC" w:rsidRPr="00514EBE" w:rsidRDefault="007C3FEC" w:rsidP="007C3FEC">
            <w:pPr>
              <w:pStyle w:val="Tabletext"/>
              <w:tabs>
                <w:tab w:val="clear" w:pos="1985"/>
              </w:tabs>
              <w:spacing w:before="120"/>
              <w:rPr>
                <w:b/>
                <w:bCs/>
                <w:iCs/>
              </w:rPr>
            </w:pPr>
            <w:r w:rsidRPr="00514EBE">
              <w:rPr>
                <w:b/>
              </w:rPr>
              <w:t>Правило 16.2</w:t>
            </w:r>
          </w:p>
          <w:p w:rsidR="007C3FEC" w:rsidRPr="00514EBE" w:rsidRDefault="007C3FEC" w:rsidP="007C3FEC">
            <w:pPr>
              <w:pStyle w:val="Tabletext"/>
              <w:tabs>
                <w:tab w:val="clear" w:pos="1985"/>
              </w:tabs>
              <w:rPr>
                <w:b/>
                <w:bCs/>
                <w:iCs/>
              </w:rPr>
            </w:pPr>
            <w:r w:rsidRPr="00514EBE">
              <w:rPr>
                <w:b/>
              </w:rPr>
              <w:t>Инвестиции</w:t>
            </w:r>
          </w:p>
          <w:p w:rsidR="007C3FEC" w:rsidRDefault="007C3FEC">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1</w:t>
            </w:r>
            <w:r w:rsidR="00514EBE">
              <w:t>.</w:t>
            </w:r>
            <w:r>
              <w:tab/>
              <w:t xml:space="preserve">Генеральный секретарь делегирует </w:t>
            </w:r>
            <w:r w:rsidR="00105345">
              <w:t xml:space="preserve">руководителю Департамента управления финансовыми ресурсами </w:t>
            </w:r>
            <w:r>
              <w:t>полномочия осуществлять инвестиции и разумно управлять ими.</w:t>
            </w:r>
          </w:p>
        </w:tc>
      </w:tr>
      <w:tr w:rsidR="007C3FEC" w:rsidTr="00C80E37">
        <w:tc>
          <w:tcPr>
            <w:tcW w:w="4706" w:type="dxa"/>
          </w:tcPr>
          <w:p w:rsidR="007C3FEC" w:rsidRPr="009A7375" w:rsidRDefault="007C3FEC" w:rsidP="007C3FEC">
            <w:pPr>
              <w:pStyle w:val="Tabletext"/>
              <w:keepNext/>
              <w:spacing w:before="120"/>
              <w:jc w:val="center"/>
              <w:rPr>
                <w:b/>
                <w:bCs/>
              </w:rPr>
            </w:pPr>
            <w:r>
              <w:rPr>
                <w:b/>
              </w:rPr>
              <w:t>Статья 18</w:t>
            </w:r>
            <w:r>
              <w:rPr>
                <w:b/>
                <w:bCs/>
              </w:rPr>
              <w:br/>
            </w:r>
            <w:r>
              <w:rPr>
                <w:b/>
              </w:rPr>
              <w:t xml:space="preserve">Ведение счетов и представление </w:t>
            </w:r>
            <w:r>
              <w:rPr>
                <w:b/>
                <w:bCs/>
              </w:rPr>
              <w:br/>
            </w:r>
            <w:r>
              <w:rPr>
                <w:b/>
              </w:rPr>
              <w:t>финансовой отчетности</w:t>
            </w:r>
          </w:p>
        </w:tc>
        <w:tc>
          <w:tcPr>
            <w:tcW w:w="4933" w:type="dxa"/>
          </w:tcPr>
          <w:p w:rsidR="007C3FEC" w:rsidRPr="009A7375" w:rsidRDefault="007C3FEC" w:rsidP="007C3FEC">
            <w:pPr>
              <w:pStyle w:val="Tabletext"/>
              <w:keepNext/>
              <w:spacing w:before="120"/>
              <w:jc w:val="center"/>
              <w:rPr>
                <w:b/>
                <w:bCs/>
              </w:rPr>
            </w:pPr>
            <w:r>
              <w:rPr>
                <w:b/>
              </w:rPr>
              <w:t>Статья 18</w:t>
            </w:r>
            <w:r>
              <w:rPr>
                <w:b/>
                <w:bCs/>
              </w:rPr>
              <w:br/>
            </w:r>
            <w:r>
              <w:rPr>
                <w:b/>
              </w:rPr>
              <w:t xml:space="preserve">Ведение счетов и представление </w:t>
            </w:r>
            <w:r>
              <w:rPr>
                <w:b/>
                <w:bCs/>
              </w:rPr>
              <w:br/>
            </w:r>
            <w:r>
              <w:rPr>
                <w:b/>
              </w:rPr>
              <w:t>финансовой отчетности</w:t>
            </w:r>
          </w:p>
        </w:tc>
      </w:tr>
      <w:tr w:rsidR="007C3FEC" w:rsidTr="00C80E37">
        <w:tc>
          <w:tcPr>
            <w:tcW w:w="4706" w:type="dxa"/>
          </w:tcPr>
          <w:p w:rsidR="007C3FEC" w:rsidRPr="00514EBE" w:rsidRDefault="007C3FEC" w:rsidP="007C3FEC">
            <w:pPr>
              <w:pStyle w:val="Tabletext"/>
              <w:tabs>
                <w:tab w:val="clear" w:pos="1985"/>
              </w:tabs>
              <w:spacing w:before="120"/>
              <w:rPr>
                <w:b/>
                <w:bCs/>
                <w:iCs/>
              </w:rPr>
            </w:pPr>
            <w:r w:rsidRPr="00514EBE">
              <w:rPr>
                <w:b/>
              </w:rPr>
              <w:t>Правило 18.4</w:t>
            </w:r>
          </w:p>
          <w:p w:rsidR="007C3FEC" w:rsidRPr="00514EBE" w:rsidRDefault="007C3FEC" w:rsidP="007C3FEC">
            <w:pPr>
              <w:pStyle w:val="Tabletext"/>
              <w:tabs>
                <w:tab w:val="clear" w:pos="1985"/>
              </w:tabs>
              <w:rPr>
                <w:b/>
                <w:bCs/>
                <w:iCs/>
              </w:rPr>
            </w:pPr>
            <w:r w:rsidRPr="00514EBE">
              <w:rPr>
                <w:b/>
              </w:rPr>
              <w:t>Учет банковских операций</w:t>
            </w:r>
          </w:p>
          <w:p w:rsidR="007C3FEC" w:rsidRDefault="007C3FEC" w:rsidP="007C3FEC">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2</w:t>
            </w:r>
            <w:r w:rsidR="00514EBE">
              <w:t>.</w:t>
            </w:r>
            <w:r>
              <w:tab/>
              <w:t>Не реже одного раза в месяц или, при необходимости, более часто все финансовые операции, включая банковские сборы и комиссионные платежи, должны сверяться со сведениями, представленными в выписках с банковского счета, если только руководитель Департамента администрирования и финансов не предоставит в письменном виде исключение.</w:t>
            </w:r>
          </w:p>
        </w:tc>
        <w:tc>
          <w:tcPr>
            <w:tcW w:w="4933" w:type="dxa"/>
          </w:tcPr>
          <w:p w:rsidR="007C3FEC" w:rsidRPr="00514EBE" w:rsidRDefault="007C3FEC" w:rsidP="007C3FEC">
            <w:pPr>
              <w:pStyle w:val="Tabletext"/>
              <w:tabs>
                <w:tab w:val="clear" w:pos="1985"/>
              </w:tabs>
              <w:spacing w:before="120"/>
              <w:rPr>
                <w:b/>
                <w:bCs/>
                <w:iCs/>
              </w:rPr>
            </w:pPr>
            <w:r w:rsidRPr="00514EBE">
              <w:rPr>
                <w:b/>
              </w:rPr>
              <w:t>Правило 18.4</w:t>
            </w:r>
          </w:p>
          <w:p w:rsidR="007C3FEC" w:rsidRPr="00514EBE" w:rsidRDefault="007C3FEC" w:rsidP="007C3FEC">
            <w:pPr>
              <w:pStyle w:val="Tabletext"/>
              <w:tabs>
                <w:tab w:val="clear" w:pos="1985"/>
              </w:tabs>
              <w:rPr>
                <w:b/>
                <w:bCs/>
                <w:iCs/>
              </w:rPr>
            </w:pPr>
            <w:r w:rsidRPr="00514EBE">
              <w:rPr>
                <w:b/>
              </w:rPr>
              <w:t>Учет банковских операций</w:t>
            </w:r>
          </w:p>
          <w:p w:rsidR="007C3FEC" w:rsidRDefault="007C3FEC">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2</w:t>
            </w:r>
            <w:r w:rsidR="00514EBE">
              <w:t>.</w:t>
            </w:r>
            <w:r>
              <w:tab/>
              <w:t xml:space="preserve">Не реже одного раза в месяц или, при необходимости, более часто все финансовые операции, включая банковские сборы и комиссионные платежи, должны сверяться со сведениями, представленными в выписках с банковского счета, если только </w:t>
            </w:r>
            <w:r w:rsidR="00105345">
              <w:t xml:space="preserve">руководитель Департамента управления финансовыми ресурсами </w:t>
            </w:r>
            <w:r>
              <w:t>не предоставит в письменном виде исключение.</w:t>
            </w:r>
          </w:p>
        </w:tc>
      </w:tr>
      <w:tr w:rsidR="007C3FEC" w:rsidTr="00C80E37">
        <w:tc>
          <w:tcPr>
            <w:tcW w:w="4706" w:type="dxa"/>
          </w:tcPr>
          <w:p w:rsidR="007C3FEC" w:rsidRPr="009A7375" w:rsidRDefault="007C3FEC" w:rsidP="007C3FEC">
            <w:pPr>
              <w:pStyle w:val="Tabletext"/>
              <w:keepNext/>
              <w:spacing w:before="120"/>
              <w:jc w:val="center"/>
              <w:rPr>
                <w:b/>
                <w:bCs/>
              </w:rPr>
            </w:pPr>
            <w:r>
              <w:rPr>
                <w:b/>
              </w:rPr>
              <w:lastRenderedPageBreak/>
              <w:t>Статья 27</w:t>
            </w:r>
            <w:r>
              <w:rPr>
                <w:b/>
                <w:bCs/>
              </w:rPr>
              <w:br/>
            </w:r>
            <w:r>
              <w:rPr>
                <w:b/>
              </w:rPr>
              <w:t>Чистые активы, включая Резервный счет</w:t>
            </w:r>
          </w:p>
        </w:tc>
        <w:tc>
          <w:tcPr>
            <w:tcW w:w="4933" w:type="dxa"/>
          </w:tcPr>
          <w:p w:rsidR="007C3FEC" w:rsidRPr="009A7375" w:rsidRDefault="007C3FEC" w:rsidP="007C3FEC">
            <w:pPr>
              <w:pStyle w:val="Tabletext"/>
              <w:keepNext/>
              <w:spacing w:before="120"/>
              <w:jc w:val="center"/>
              <w:rPr>
                <w:b/>
                <w:bCs/>
              </w:rPr>
            </w:pPr>
            <w:r>
              <w:rPr>
                <w:b/>
              </w:rPr>
              <w:t>Статья 27</w:t>
            </w:r>
            <w:r>
              <w:rPr>
                <w:b/>
                <w:bCs/>
              </w:rPr>
              <w:br/>
            </w:r>
            <w:r>
              <w:rPr>
                <w:b/>
              </w:rPr>
              <w:t>Чистые активы, включая Резервный счет</w:t>
            </w:r>
          </w:p>
        </w:tc>
      </w:tr>
      <w:tr w:rsidR="007C3FEC" w:rsidTr="00C80E37">
        <w:tc>
          <w:tcPr>
            <w:tcW w:w="4706" w:type="dxa"/>
          </w:tcPr>
          <w:p w:rsidR="007C3FEC" w:rsidRPr="00862E7C" w:rsidRDefault="007C3FEC" w:rsidP="007C3FEC">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1</w:t>
            </w:r>
            <w:r w:rsidR="00514EBE">
              <w:t>.</w:t>
            </w:r>
            <w:r>
              <w:tab/>
              <w:t>Чистые активы включают:</w:t>
            </w:r>
          </w:p>
          <w:p w:rsidR="007C3FEC" w:rsidRPr="00862E7C" w:rsidRDefault="007C3FEC" w:rsidP="00514EBE">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t>воздействие перехода на стандарты IPSAS;</w:t>
            </w:r>
          </w:p>
          <w:p w:rsidR="007C3FEC" w:rsidRPr="00862E7C" w:rsidRDefault="007C3FEC" w:rsidP="00514EBE">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t>Резервный счет;</w:t>
            </w:r>
          </w:p>
          <w:p w:rsidR="007C3FEC" w:rsidRPr="00862E7C" w:rsidRDefault="007C3FEC" w:rsidP="00514EBE">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r>
            <w:r w:rsidR="00514EBE">
              <w:t>с</w:t>
            </w:r>
            <w:r>
              <w:t>траховую кассу персонала и инвестиционные фонды;</w:t>
            </w:r>
          </w:p>
          <w:p w:rsidR="007C3FEC" w:rsidRPr="00862E7C" w:rsidRDefault="007C3FEC" w:rsidP="00514EBE">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t>актуарные потери АСХИ, как они определены в стандарте IPSAS 25, как только МСЭ решит признавать актуарные прибыли и убытки в тот период, когда они были понесены;</w:t>
            </w:r>
          </w:p>
          <w:p w:rsidR="007C3FEC" w:rsidRPr="00862E7C" w:rsidRDefault="007C3FEC" w:rsidP="00514EBE">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t>изменения в чистых активах внебюджетных фондов и воздействие представления их в валюте, в которой представляется финансовая отчетность;</w:t>
            </w:r>
          </w:p>
          <w:p w:rsidR="007C3FEC" w:rsidRDefault="007C3FEC" w:rsidP="00C80E37">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r>
            <w:r w:rsidR="00514EBE">
              <w:t>а</w:t>
            </w:r>
            <w:r>
              <w:t>ктивное сальдо или убыток за рассматриваемый период согласно IPSAS.</w:t>
            </w:r>
          </w:p>
        </w:tc>
        <w:tc>
          <w:tcPr>
            <w:tcW w:w="4933" w:type="dxa"/>
          </w:tcPr>
          <w:p w:rsidR="007C3FEC" w:rsidRPr="00862E7C" w:rsidRDefault="007C3FEC" w:rsidP="007C3FEC">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1</w:t>
            </w:r>
            <w:r w:rsidR="00514EBE">
              <w:t>.</w:t>
            </w:r>
            <w:r>
              <w:tab/>
              <w:t>Чистые активы включают:</w:t>
            </w:r>
          </w:p>
          <w:p w:rsidR="007C3FEC" w:rsidRPr="00862E7C" w:rsidRDefault="007C3FEC" w:rsidP="00514EBE">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t>воздействие перехода на стандарты IPSAS;</w:t>
            </w:r>
          </w:p>
          <w:p w:rsidR="007C3FEC" w:rsidRPr="00862E7C" w:rsidRDefault="007C3FEC" w:rsidP="00514EBE">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t>Резервный счет;</w:t>
            </w:r>
          </w:p>
          <w:p w:rsidR="007C3FEC" w:rsidRPr="00862E7C" w:rsidRDefault="007C3FEC" w:rsidP="00514EBE">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r>
            <w:r w:rsidR="00514EBE">
              <w:t>с</w:t>
            </w:r>
            <w:r>
              <w:t>траховую кассу персонала и инвестиционные фонды;</w:t>
            </w:r>
          </w:p>
          <w:p w:rsidR="007C3FEC" w:rsidRPr="00862E7C" w:rsidRDefault="007C3FEC">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t>актуарные потери АСХИ, как они определены в стандарте IPSAS</w:t>
            </w:r>
            <w:r w:rsidR="00105345">
              <w:t xml:space="preserve"> о вознаграждении работникам</w:t>
            </w:r>
            <w:r>
              <w:t>, как только МСЭ решит признавать актуарные прибыли и убытки в тот период, когда они были понесены;</w:t>
            </w:r>
          </w:p>
          <w:p w:rsidR="007C3FEC" w:rsidRPr="00862E7C" w:rsidRDefault="007C3FEC" w:rsidP="00514EBE">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t>изменения в чистых активах внебюджетных фондов и воздействие представления их в валюте, в которой представляется финансовая отчетность;</w:t>
            </w:r>
          </w:p>
          <w:p w:rsidR="007C3FEC" w:rsidRDefault="007C3FEC" w:rsidP="00C80E37">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pPr>
            <w:r>
              <w:t>−</w:t>
            </w:r>
            <w:r>
              <w:tab/>
            </w:r>
            <w:r w:rsidR="00514EBE">
              <w:t>а</w:t>
            </w:r>
            <w:r>
              <w:t>ктивное сальдо или убыток за рассматриваемый период согласно IPSAS.</w:t>
            </w:r>
          </w:p>
        </w:tc>
      </w:tr>
    </w:tbl>
    <w:p w:rsidR="009A7375" w:rsidRDefault="009A7375" w:rsidP="009A7375">
      <w:pPr>
        <w:spacing w:before="720"/>
        <w:jc w:val="center"/>
      </w:pPr>
      <w:r>
        <w:t>______________</w:t>
      </w:r>
    </w:p>
    <w:sectPr w:rsidR="009A7375" w:rsidSect="00CF629C">
      <w:headerReference w:type="default" r:id="rId52"/>
      <w:footerReference w:type="default" r:id="rId53"/>
      <w:footerReference w:type="first" r:id="rId5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CBA" w:rsidRDefault="00812CBA">
      <w:r>
        <w:separator/>
      </w:r>
    </w:p>
  </w:endnote>
  <w:endnote w:type="continuationSeparator" w:id="0">
    <w:p w:rsidR="00812CBA" w:rsidRDefault="0081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5D" w:rsidRPr="009D1DA2" w:rsidRDefault="00CE5A5D" w:rsidP="00E930AE">
    <w:pPr>
      <w:pStyle w:val="Footer"/>
      <w:rPr>
        <w:color w:val="BFBFBF" w:themeColor="background1" w:themeShade="BF"/>
        <w:lang w:val="en-US"/>
      </w:rPr>
    </w:pPr>
    <w:r w:rsidRPr="009D1DA2">
      <w:rPr>
        <w:color w:val="BFBFBF" w:themeColor="background1" w:themeShade="BF"/>
      </w:rPr>
      <w:fldChar w:fldCharType="begin"/>
    </w:r>
    <w:r w:rsidRPr="009D1DA2">
      <w:rPr>
        <w:color w:val="BFBFBF" w:themeColor="background1" w:themeShade="BF"/>
        <w:lang w:val="en-US"/>
      </w:rPr>
      <w:instrText xml:space="preserve"> FILENAME \p  \* MERGEFORMAT </w:instrText>
    </w:r>
    <w:r w:rsidRPr="009D1DA2">
      <w:rPr>
        <w:color w:val="BFBFBF" w:themeColor="background1" w:themeShade="BF"/>
      </w:rPr>
      <w:fldChar w:fldCharType="separate"/>
    </w:r>
    <w:r w:rsidRPr="009D1DA2">
      <w:rPr>
        <w:color w:val="BFBFBF" w:themeColor="background1" w:themeShade="BF"/>
        <w:lang w:val="en-US"/>
      </w:rPr>
      <w:t>D:\ITU_JOBS\237\050R_corrected.docx</w:t>
    </w:r>
    <w:r w:rsidRPr="009D1DA2">
      <w:rPr>
        <w:color w:val="BFBFBF" w:themeColor="background1" w:themeShade="BF"/>
      </w:rPr>
      <w:fldChar w:fldCharType="end"/>
    </w:r>
    <w:r w:rsidRPr="009D1DA2">
      <w:rPr>
        <w:color w:val="BFBFBF" w:themeColor="background1" w:themeShade="BF"/>
        <w:lang w:val="en-US"/>
      </w:rPr>
      <w:t xml:space="preserve"> (429735)</w:t>
    </w:r>
    <w:r w:rsidRPr="009D1DA2">
      <w:rPr>
        <w:color w:val="BFBFBF" w:themeColor="background1" w:themeShade="BF"/>
        <w:lang w:val="en-US"/>
      </w:rPr>
      <w:tab/>
    </w:r>
    <w:r w:rsidRPr="009D1DA2">
      <w:rPr>
        <w:color w:val="BFBFBF" w:themeColor="background1" w:themeShade="BF"/>
      </w:rPr>
      <w:fldChar w:fldCharType="begin"/>
    </w:r>
    <w:r w:rsidRPr="009D1DA2">
      <w:rPr>
        <w:color w:val="BFBFBF" w:themeColor="background1" w:themeShade="BF"/>
      </w:rPr>
      <w:instrText xml:space="preserve"> SAVEDATE \@ DD.MM.YY </w:instrText>
    </w:r>
    <w:r w:rsidRPr="009D1DA2">
      <w:rPr>
        <w:color w:val="BFBFBF" w:themeColor="background1" w:themeShade="BF"/>
      </w:rPr>
      <w:fldChar w:fldCharType="separate"/>
    </w:r>
    <w:r w:rsidR="00AE5DD8" w:rsidRPr="009D1DA2">
      <w:rPr>
        <w:color w:val="BFBFBF" w:themeColor="background1" w:themeShade="BF"/>
      </w:rPr>
      <w:t>03.04.18</w:t>
    </w:r>
    <w:r w:rsidRPr="009D1DA2">
      <w:rPr>
        <w:color w:val="BFBFBF" w:themeColor="background1" w:themeShade="BF"/>
      </w:rPr>
      <w:fldChar w:fldCharType="end"/>
    </w:r>
    <w:r w:rsidRPr="009D1DA2">
      <w:rPr>
        <w:color w:val="BFBFBF" w:themeColor="background1" w:themeShade="BF"/>
        <w:lang w:val="en-US"/>
      </w:rPr>
      <w:tab/>
    </w:r>
    <w:r w:rsidRPr="009D1DA2">
      <w:rPr>
        <w:color w:val="BFBFBF" w:themeColor="background1" w:themeShade="BF"/>
      </w:rPr>
      <w:fldChar w:fldCharType="begin"/>
    </w:r>
    <w:r w:rsidRPr="009D1DA2">
      <w:rPr>
        <w:color w:val="BFBFBF" w:themeColor="background1" w:themeShade="BF"/>
      </w:rPr>
      <w:instrText xml:space="preserve"> PRINTDATE \@ DD.MM.YY </w:instrText>
    </w:r>
    <w:r w:rsidRPr="009D1DA2">
      <w:rPr>
        <w:color w:val="BFBFBF" w:themeColor="background1" w:themeShade="BF"/>
      </w:rPr>
      <w:fldChar w:fldCharType="separate"/>
    </w:r>
    <w:r w:rsidRPr="009D1DA2">
      <w:rPr>
        <w:color w:val="BFBFBF" w:themeColor="background1" w:themeShade="BF"/>
      </w:rPr>
      <w:t>27.03.18</w:t>
    </w:r>
    <w:r w:rsidRPr="009D1DA2">
      <w:rPr>
        <w:color w:val="BFBFBF" w:themeColor="background1" w:themeShade="B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5D" w:rsidRDefault="00CE5A5D">
    <w:pPr>
      <w:spacing w:after="120"/>
      <w:jc w:val="center"/>
    </w:pPr>
    <w:r>
      <w:t xml:space="preserve">• </w:t>
    </w:r>
    <w:hyperlink r:id="rId1">
      <w:r>
        <w:rPr>
          <w:rStyle w:val="Hyperlink"/>
        </w:rPr>
        <w:t>http://www.itu.int/council</w:t>
      </w:r>
    </w:hyperlink>
    <w:r>
      <w:t xml:space="preserve"> •</w:t>
    </w:r>
  </w:p>
  <w:p w:rsidR="00CE5A5D" w:rsidRPr="009D1DA2" w:rsidRDefault="00CE5A5D" w:rsidP="00E930AE">
    <w:pPr>
      <w:pStyle w:val="Footer"/>
      <w:rPr>
        <w:color w:val="BFBFBF" w:themeColor="background1" w:themeShade="BF"/>
        <w:lang w:val="en-US"/>
      </w:rPr>
    </w:pPr>
    <w:r w:rsidRPr="009D1DA2">
      <w:rPr>
        <w:color w:val="BFBFBF" w:themeColor="background1" w:themeShade="BF"/>
      </w:rPr>
      <w:fldChar w:fldCharType="begin"/>
    </w:r>
    <w:r w:rsidRPr="009D1DA2">
      <w:rPr>
        <w:color w:val="BFBFBF" w:themeColor="background1" w:themeShade="BF"/>
        <w:lang w:val="en-US"/>
      </w:rPr>
      <w:instrText xml:space="preserve"> FILENAME \p  \* MERGEFORMAT </w:instrText>
    </w:r>
    <w:r w:rsidRPr="009D1DA2">
      <w:rPr>
        <w:color w:val="BFBFBF" w:themeColor="background1" w:themeShade="BF"/>
      </w:rPr>
      <w:fldChar w:fldCharType="separate"/>
    </w:r>
    <w:r w:rsidRPr="009D1DA2">
      <w:rPr>
        <w:color w:val="BFBFBF" w:themeColor="background1" w:themeShade="BF"/>
        <w:lang w:val="en-US"/>
      </w:rPr>
      <w:t>D:\ITU_JOBS\237\050R_corrected.docx</w:t>
    </w:r>
    <w:r w:rsidRPr="009D1DA2">
      <w:rPr>
        <w:color w:val="BFBFBF" w:themeColor="background1" w:themeShade="BF"/>
      </w:rPr>
      <w:fldChar w:fldCharType="end"/>
    </w:r>
    <w:r w:rsidRPr="009D1DA2">
      <w:rPr>
        <w:color w:val="BFBFBF" w:themeColor="background1" w:themeShade="BF"/>
        <w:lang w:val="en-US"/>
      </w:rPr>
      <w:t xml:space="preserve"> (429735)</w:t>
    </w:r>
    <w:r w:rsidRPr="009D1DA2">
      <w:rPr>
        <w:color w:val="BFBFBF" w:themeColor="background1" w:themeShade="BF"/>
        <w:lang w:val="en-US"/>
      </w:rPr>
      <w:tab/>
    </w:r>
    <w:r w:rsidRPr="009D1DA2">
      <w:rPr>
        <w:color w:val="BFBFBF" w:themeColor="background1" w:themeShade="BF"/>
      </w:rPr>
      <w:fldChar w:fldCharType="begin"/>
    </w:r>
    <w:r w:rsidRPr="009D1DA2">
      <w:rPr>
        <w:color w:val="BFBFBF" w:themeColor="background1" w:themeShade="BF"/>
      </w:rPr>
      <w:instrText xml:space="preserve"> SAVEDATE \@ DD.MM.YY </w:instrText>
    </w:r>
    <w:r w:rsidRPr="009D1DA2">
      <w:rPr>
        <w:color w:val="BFBFBF" w:themeColor="background1" w:themeShade="BF"/>
      </w:rPr>
      <w:fldChar w:fldCharType="separate"/>
    </w:r>
    <w:r w:rsidR="00AE5DD8" w:rsidRPr="009D1DA2">
      <w:rPr>
        <w:color w:val="BFBFBF" w:themeColor="background1" w:themeShade="BF"/>
      </w:rPr>
      <w:t>03.04.18</w:t>
    </w:r>
    <w:r w:rsidRPr="009D1DA2">
      <w:rPr>
        <w:color w:val="BFBFBF" w:themeColor="background1" w:themeShade="BF"/>
      </w:rPr>
      <w:fldChar w:fldCharType="end"/>
    </w:r>
    <w:r w:rsidRPr="009D1DA2">
      <w:rPr>
        <w:color w:val="BFBFBF" w:themeColor="background1" w:themeShade="BF"/>
        <w:lang w:val="en-US"/>
      </w:rPr>
      <w:tab/>
    </w:r>
    <w:r w:rsidRPr="009D1DA2">
      <w:rPr>
        <w:color w:val="BFBFBF" w:themeColor="background1" w:themeShade="BF"/>
      </w:rPr>
      <w:fldChar w:fldCharType="begin"/>
    </w:r>
    <w:r w:rsidRPr="009D1DA2">
      <w:rPr>
        <w:color w:val="BFBFBF" w:themeColor="background1" w:themeShade="BF"/>
      </w:rPr>
      <w:instrText xml:space="preserve"> PRINTDATE \@ DD.MM.YY </w:instrText>
    </w:r>
    <w:r w:rsidRPr="009D1DA2">
      <w:rPr>
        <w:color w:val="BFBFBF" w:themeColor="background1" w:themeShade="BF"/>
      </w:rPr>
      <w:fldChar w:fldCharType="separate"/>
    </w:r>
    <w:r w:rsidRPr="009D1DA2">
      <w:rPr>
        <w:color w:val="BFBFBF" w:themeColor="background1" w:themeShade="BF"/>
      </w:rPr>
      <w:t>27.03.18</w:t>
    </w:r>
    <w:r w:rsidRPr="009D1DA2">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CBA" w:rsidRDefault="00812CBA">
      <w:r>
        <w:t>____________________</w:t>
      </w:r>
    </w:p>
  </w:footnote>
  <w:footnote w:type="continuationSeparator" w:id="0">
    <w:p w:rsidR="00812CBA" w:rsidRDefault="00812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5D" w:rsidRDefault="00CE5A5D" w:rsidP="00BD57B7">
    <w:pPr>
      <w:pStyle w:val="Header"/>
    </w:pPr>
    <w:r>
      <w:fldChar w:fldCharType="begin"/>
    </w:r>
    <w:r>
      <w:instrText>PAGE</w:instrText>
    </w:r>
    <w:r>
      <w:fldChar w:fldCharType="separate"/>
    </w:r>
    <w:r w:rsidR="009D1DA2">
      <w:rPr>
        <w:noProof/>
      </w:rPr>
      <w:t>21</w:t>
    </w:r>
    <w:r>
      <w:rPr>
        <w:noProof/>
      </w:rPr>
      <w:fldChar w:fldCharType="end"/>
    </w:r>
  </w:p>
  <w:p w:rsidR="00CE5A5D" w:rsidRDefault="00CE5A5D" w:rsidP="00E930AE">
    <w:pPr>
      <w:pStyle w:val="Header"/>
    </w:pPr>
    <w:r>
      <w:t>C18/50-R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96784"/>
    <w:multiLevelType w:val="hybridMultilevel"/>
    <w:tmpl w:val="0E30A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9E210B"/>
    <w:multiLevelType w:val="hybridMultilevel"/>
    <w:tmpl w:val="B90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0056A"/>
    <w:multiLevelType w:val="hybridMultilevel"/>
    <w:tmpl w:val="4334A43A"/>
    <w:lvl w:ilvl="0" w:tplc="A9187A2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 w15:restartNumberingAfterBreak="0">
    <w:nsid w:val="19D12AB5"/>
    <w:multiLevelType w:val="hybridMultilevel"/>
    <w:tmpl w:val="B12ED822"/>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5" w15:restartNumberingAfterBreak="0">
    <w:nsid w:val="1A5272C0"/>
    <w:multiLevelType w:val="hybridMultilevel"/>
    <w:tmpl w:val="3F54F5EA"/>
    <w:lvl w:ilvl="0" w:tplc="5BE27DF4">
      <w:start w:val="1"/>
      <w:numFmt w:val="lowerLetter"/>
      <w:lvlText w:val="%1)"/>
      <w:lvlJc w:val="left"/>
      <w:pPr>
        <w:ind w:left="1155" w:hanging="360"/>
      </w:pPr>
    </w:lvl>
    <w:lvl w:ilvl="1" w:tplc="9DA2E0B4">
      <w:numFmt w:val="bullet"/>
      <w:lvlText w:val="•"/>
      <w:lvlJc w:val="left"/>
      <w:pPr>
        <w:ind w:left="2310" w:hanging="795"/>
      </w:pPr>
      <w:rPr>
        <w:rFonts w:ascii="Calibri" w:eastAsia="Times New Roman" w:hAnsi="Calibri" w:cs="Times New Roman" w:hint="default"/>
      </w:r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6" w15:restartNumberingAfterBreak="0">
    <w:nsid w:val="1A5572A9"/>
    <w:multiLevelType w:val="hybridMultilevel"/>
    <w:tmpl w:val="AE0208A6"/>
    <w:lvl w:ilvl="0" w:tplc="C748A45A">
      <w:start w:val="1"/>
      <w:numFmt w:val="decimal"/>
      <w:lvlText w:val="%1."/>
      <w:lvlJc w:val="left"/>
      <w:pPr>
        <w:ind w:left="999" w:hanging="984"/>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DA87B58"/>
    <w:multiLevelType w:val="hybridMultilevel"/>
    <w:tmpl w:val="550E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649BB"/>
    <w:multiLevelType w:val="hybridMultilevel"/>
    <w:tmpl w:val="79D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12B51"/>
    <w:multiLevelType w:val="hybridMultilevel"/>
    <w:tmpl w:val="96C0EEF0"/>
    <w:lvl w:ilvl="0" w:tplc="F9C477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56004"/>
    <w:multiLevelType w:val="multilevel"/>
    <w:tmpl w:val="68A4E5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5440E"/>
    <w:multiLevelType w:val="hybridMultilevel"/>
    <w:tmpl w:val="ECBCAC34"/>
    <w:lvl w:ilvl="0" w:tplc="9ECEB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968CD"/>
    <w:multiLevelType w:val="hybridMultilevel"/>
    <w:tmpl w:val="AC2A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F7986"/>
    <w:multiLevelType w:val="hybridMultilevel"/>
    <w:tmpl w:val="BD20FFA8"/>
    <w:lvl w:ilvl="0" w:tplc="9C48E132">
      <w:numFmt w:val="bullet"/>
      <w:lvlText w:val="-"/>
      <w:lvlJc w:val="left"/>
      <w:pPr>
        <w:ind w:left="785" w:hanging="360"/>
      </w:pPr>
      <w:rPr>
        <w:rFonts w:ascii="Calibri" w:eastAsia="Times New Roman" w:hAnsi="Calibri"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C0580"/>
    <w:multiLevelType w:val="hybridMultilevel"/>
    <w:tmpl w:val="4A9C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1197D"/>
    <w:multiLevelType w:val="hybridMultilevel"/>
    <w:tmpl w:val="FADA2BB8"/>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A59E2"/>
    <w:multiLevelType w:val="multilevel"/>
    <w:tmpl w:val="F7E46D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44F94CB8"/>
    <w:multiLevelType w:val="hybridMultilevel"/>
    <w:tmpl w:val="EE3E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70DCF"/>
    <w:multiLevelType w:val="hybridMultilevel"/>
    <w:tmpl w:val="2D046B90"/>
    <w:lvl w:ilvl="0" w:tplc="1B04CD58">
      <w:start w:val="1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C24EA"/>
    <w:multiLevelType w:val="hybridMultilevel"/>
    <w:tmpl w:val="CCB86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C487860"/>
    <w:multiLevelType w:val="hybridMultilevel"/>
    <w:tmpl w:val="4D120A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2" w15:restartNumberingAfterBreak="0">
    <w:nsid w:val="5E553C54"/>
    <w:multiLevelType w:val="hybridMultilevel"/>
    <w:tmpl w:val="707239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7D8109B"/>
    <w:multiLevelType w:val="hybridMultilevel"/>
    <w:tmpl w:val="740A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6391F"/>
    <w:multiLevelType w:val="hybridMultilevel"/>
    <w:tmpl w:val="2F625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4749A8"/>
    <w:multiLevelType w:val="multilevel"/>
    <w:tmpl w:val="D4C04F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AB3D79"/>
    <w:multiLevelType w:val="hybridMultilevel"/>
    <w:tmpl w:val="3B4AF734"/>
    <w:lvl w:ilvl="0" w:tplc="F8FC91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E37F7E"/>
    <w:multiLevelType w:val="multilevel"/>
    <w:tmpl w:val="DC844974"/>
    <w:lvl w:ilvl="0">
      <w:start w:val="10"/>
      <w:numFmt w:val="upperRoman"/>
      <w:lvlText w:val="%1"/>
      <w:lvlJc w:val="left"/>
      <w:pPr>
        <w:ind w:hanging="715"/>
      </w:pPr>
      <w:rPr>
        <w:rFonts w:hint="default"/>
      </w:rPr>
    </w:lvl>
    <w:lvl w:ilvl="1">
      <w:start w:val="2"/>
      <w:numFmt w:val="decimal"/>
      <w:lvlText w:val="%1.%2"/>
      <w:lvlJc w:val="left"/>
      <w:pPr>
        <w:ind w:hanging="715"/>
      </w:pPr>
      <w:rPr>
        <w:rFonts w:ascii="Arial" w:eastAsia="Arial" w:hAnsi="Arial" w:hint="default"/>
        <w:color w:val="313131"/>
        <w:w w:val="85"/>
        <w:sz w:val="21"/>
        <w:szCs w:val="21"/>
      </w:rPr>
    </w:lvl>
    <w:lvl w:ilvl="2">
      <w:start w:val="1"/>
      <w:numFmt w:val="bullet"/>
      <w:lvlText w:val="•"/>
      <w:lvlJc w:val="left"/>
      <w:pPr>
        <w:ind w:hanging="365"/>
      </w:pPr>
      <w:rPr>
        <w:rFonts w:ascii="Arial" w:eastAsia="Arial" w:hAnsi="Arial" w:hint="default"/>
        <w:color w:val="313131"/>
        <w:w w:val="17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91345"/>
    <w:multiLevelType w:val="hybridMultilevel"/>
    <w:tmpl w:val="F1BA0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E0042D"/>
    <w:multiLevelType w:val="hybridMultilevel"/>
    <w:tmpl w:val="D7FC60D6"/>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4C723A"/>
    <w:multiLevelType w:val="hybridMultilevel"/>
    <w:tmpl w:val="B7AA6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5520B2"/>
    <w:multiLevelType w:val="hybridMultilevel"/>
    <w:tmpl w:val="FC8667CA"/>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FA41C2"/>
    <w:multiLevelType w:val="hybridMultilevel"/>
    <w:tmpl w:val="04381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506E97"/>
    <w:multiLevelType w:val="hybridMultilevel"/>
    <w:tmpl w:val="C294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B6C75"/>
    <w:multiLevelType w:val="hybridMultilevel"/>
    <w:tmpl w:val="0296731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36"/>
  </w:num>
  <w:num w:numId="4">
    <w:abstractNumId w:val="2"/>
  </w:num>
  <w:num w:numId="5">
    <w:abstractNumId w:val="31"/>
  </w:num>
  <w:num w:numId="6">
    <w:abstractNumId w:val="23"/>
  </w:num>
  <w:num w:numId="7">
    <w:abstractNumId w:val="33"/>
  </w:num>
  <w:num w:numId="8">
    <w:abstractNumId w:val="10"/>
  </w:num>
  <w:num w:numId="9">
    <w:abstractNumId w:val="24"/>
  </w:num>
  <w:num w:numId="10">
    <w:abstractNumId w:val="16"/>
  </w:num>
  <w:num w:numId="11">
    <w:abstractNumId w:val="7"/>
  </w:num>
  <w:num w:numId="12">
    <w:abstractNumId w:val="14"/>
  </w:num>
  <w:num w:numId="13">
    <w:abstractNumId w:val="29"/>
  </w:num>
  <w:num w:numId="14">
    <w:abstractNumId w:val="17"/>
  </w:num>
  <w:num w:numId="15">
    <w:abstractNumId w:val="27"/>
  </w:num>
  <w:num w:numId="16">
    <w:abstractNumId w:val="21"/>
  </w:num>
  <w:num w:numId="17">
    <w:abstractNumId w:val="32"/>
  </w:num>
  <w:num w:numId="18">
    <w:abstractNumId w:val="8"/>
  </w:num>
  <w:num w:numId="19">
    <w:abstractNumId w:val="20"/>
  </w:num>
  <w:num w:numId="20">
    <w:abstractNumId w:val="1"/>
  </w:num>
  <w:num w:numId="21">
    <w:abstractNumId w:val="25"/>
  </w:num>
  <w:num w:numId="22">
    <w:abstractNumId w:val="30"/>
  </w:num>
  <w:num w:numId="23">
    <w:abstractNumId w:val="18"/>
  </w:num>
  <w:num w:numId="24">
    <w:abstractNumId w:val="22"/>
  </w:num>
  <w:num w:numId="25">
    <w:abstractNumId w:val="35"/>
  </w:num>
  <w:num w:numId="26">
    <w:abstractNumId w:val="13"/>
  </w:num>
  <w:num w:numId="27">
    <w:abstractNumId w:val="12"/>
  </w:num>
  <w:num w:numId="28">
    <w:abstractNumId w:val="34"/>
  </w:num>
  <w:num w:numId="29">
    <w:abstractNumId w:val="28"/>
  </w:num>
  <w:num w:numId="30">
    <w:abstractNumId w:val="4"/>
  </w:num>
  <w:num w:numId="31">
    <w:abstractNumId w:val="11"/>
  </w:num>
  <w:num w:numId="32">
    <w:abstractNumId w:val="26"/>
  </w:num>
  <w:num w:numId="33">
    <w:abstractNumId w:val="15"/>
  </w:num>
  <w:num w:numId="34">
    <w:abstractNumId w:val="19"/>
  </w:num>
  <w:num w:numId="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15"/>
    <w:rsid w:val="00011934"/>
    <w:rsid w:val="00012D27"/>
    <w:rsid w:val="00013093"/>
    <w:rsid w:val="000137DC"/>
    <w:rsid w:val="00021278"/>
    <w:rsid w:val="0002183E"/>
    <w:rsid w:val="000442A2"/>
    <w:rsid w:val="000501CB"/>
    <w:rsid w:val="0005300D"/>
    <w:rsid w:val="00053059"/>
    <w:rsid w:val="000569B4"/>
    <w:rsid w:val="00057094"/>
    <w:rsid w:val="00067524"/>
    <w:rsid w:val="00073BB4"/>
    <w:rsid w:val="00080E82"/>
    <w:rsid w:val="00097176"/>
    <w:rsid w:val="000A5F80"/>
    <w:rsid w:val="000D01DE"/>
    <w:rsid w:val="000D6D97"/>
    <w:rsid w:val="000E568E"/>
    <w:rsid w:val="00105345"/>
    <w:rsid w:val="00106B36"/>
    <w:rsid w:val="00115F15"/>
    <w:rsid w:val="00117BDE"/>
    <w:rsid w:val="00122C4B"/>
    <w:rsid w:val="00140ABB"/>
    <w:rsid w:val="0014734F"/>
    <w:rsid w:val="00147C3F"/>
    <w:rsid w:val="00147DBC"/>
    <w:rsid w:val="0015672B"/>
    <w:rsid w:val="0015710D"/>
    <w:rsid w:val="00163A32"/>
    <w:rsid w:val="00175FB1"/>
    <w:rsid w:val="00176A5B"/>
    <w:rsid w:val="0017792D"/>
    <w:rsid w:val="00190547"/>
    <w:rsid w:val="001909A5"/>
    <w:rsid w:val="00192B41"/>
    <w:rsid w:val="0019520B"/>
    <w:rsid w:val="001B7B09"/>
    <w:rsid w:val="001B7D97"/>
    <w:rsid w:val="001D6E5A"/>
    <w:rsid w:val="001E6719"/>
    <w:rsid w:val="001F6AD9"/>
    <w:rsid w:val="001F7A05"/>
    <w:rsid w:val="00207889"/>
    <w:rsid w:val="00207A8D"/>
    <w:rsid w:val="00210683"/>
    <w:rsid w:val="002141A2"/>
    <w:rsid w:val="0021460C"/>
    <w:rsid w:val="00225368"/>
    <w:rsid w:val="00227FF0"/>
    <w:rsid w:val="00241ABD"/>
    <w:rsid w:val="00254A63"/>
    <w:rsid w:val="00281AF3"/>
    <w:rsid w:val="00285F7F"/>
    <w:rsid w:val="002872BA"/>
    <w:rsid w:val="00291EB6"/>
    <w:rsid w:val="0029238F"/>
    <w:rsid w:val="002A46B1"/>
    <w:rsid w:val="002A6503"/>
    <w:rsid w:val="002C25FE"/>
    <w:rsid w:val="002C47B4"/>
    <w:rsid w:val="002D1ADA"/>
    <w:rsid w:val="002D2F57"/>
    <w:rsid w:val="002D48C5"/>
    <w:rsid w:val="002E0C96"/>
    <w:rsid w:val="002E323B"/>
    <w:rsid w:val="003237D8"/>
    <w:rsid w:val="00323BFF"/>
    <w:rsid w:val="00345C82"/>
    <w:rsid w:val="0035554E"/>
    <w:rsid w:val="00376C2D"/>
    <w:rsid w:val="00384F15"/>
    <w:rsid w:val="00385781"/>
    <w:rsid w:val="00390236"/>
    <w:rsid w:val="00396378"/>
    <w:rsid w:val="003A056D"/>
    <w:rsid w:val="003A2BCF"/>
    <w:rsid w:val="003C6023"/>
    <w:rsid w:val="003D6047"/>
    <w:rsid w:val="003F099E"/>
    <w:rsid w:val="003F0FF4"/>
    <w:rsid w:val="003F235E"/>
    <w:rsid w:val="003F46E2"/>
    <w:rsid w:val="003F5F37"/>
    <w:rsid w:val="004023E0"/>
    <w:rsid w:val="00403DD8"/>
    <w:rsid w:val="00410BE7"/>
    <w:rsid w:val="00411EAB"/>
    <w:rsid w:val="00427669"/>
    <w:rsid w:val="00430AF5"/>
    <w:rsid w:val="00435AC4"/>
    <w:rsid w:val="00436162"/>
    <w:rsid w:val="00440B51"/>
    <w:rsid w:val="004461D3"/>
    <w:rsid w:val="0044707C"/>
    <w:rsid w:val="0045056B"/>
    <w:rsid w:val="0045686C"/>
    <w:rsid w:val="00457384"/>
    <w:rsid w:val="0046247D"/>
    <w:rsid w:val="00463334"/>
    <w:rsid w:val="0046478A"/>
    <w:rsid w:val="004706B1"/>
    <w:rsid w:val="00475357"/>
    <w:rsid w:val="00476577"/>
    <w:rsid w:val="004843D4"/>
    <w:rsid w:val="004918C4"/>
    <w:rsid w:val="00497703"/>
    <w:rsid w:val="004A0374"/>
    <w:rsid w:val="004A1161"/>
    <w:rsid w:val="004A45B5"/>
    <w:rsid w:val="004B70ED"/>
    <w:rsid w:val="004C137F"/>
    <w:rsid w:val="004D0129"/>
    <w:rsid w:val="004E4274"/>
    <w:rsid w:val="004E6C24"/>
    <w:rsid w:val="004F297F"/>
    <w:rsid w:val="004F4D90"/>
    <w:rsid w:val="004F661B"/>
    <w:rsid w:val="004F77D6"/>
    <w:rsid w:val="00514EBE"/>
    <w:rsid w:val="00523315"/>
    <w:rsid w:val="005426BA"/>
    <w:rsid w:val="005474EA"/>
    <w:rsid w:val="00564547"/>
    <w:rsid w:val="005A64D5"/>
    <w:rsid w:val="005B4865"/>
    <w:rsid w:val="005B76FB"/>
    <w:rsid w:val="005D124B"/>
    <w:rsid w:val="005F3E53"/>
    <w:rsid w:val="005F40E5"/>
    <w:rsid w:val="00601994"/>
    <w:rsid w:val="00605AE0"/>
    <w:rsid w:val="00615B59"/>
    <w:rsid w:val="006227F1"/>
    <w:rsid w:val="00623D5F"/>
    <w:rsid w:val="00626EC7"/>
    <w:rsid w:val="00627D89"/>
    <w:rsid w:val="0064226B"/>
    <w:rsid w:val="00642C3F"/>
    <w:rsid w:val="006474BE"/>
    <w:rsid w:val="006830B7"/>
    <w:rsid w:val="00693C7C"/>
    <w:rsid w:val="006B1104"/>
    <w:rsid w:val="006B2460"/>
    <w:rsid w:val="006D0DF8"/>
    <w:rsid w:val="006D5093"/>
    <w:rsid w:val="006D7CA6"/>
    <w:rsid w:val="006E2D42"/>
    <w:rsid w:val="006F52D4"/>
    <w:rsid w:val="00703676"/>
    <w:rsid w:val="00707304"/>
    <w:rsid w:val="00707383"/>
    <w:rsid w:val="00707759"/>
    <w:rsid w:val="00712DE4"/>
    <w:rsid w:val="00732269"/>
    <w:rsid w:val="00733B7B"/>
    <w:rsid w:val="00741BB9"/>
    <w:rsid w:val="00742E1A"/>
    <w:rsid w:val="00776771"/>
    <w:rsid w:val="0078480A"/>
    <w:rsid w:val="00785ABD"/>
    <w:rsid w:val="00786919"/>
    <w:rsid w:val="00794A32"/>
    <w:rsid w:val="0079770E"/>
    <w:rsid w:val="007A2DD4"/>
    <w:rsid w:val="007A4564"/>
    <w:rsid w:val="007C1E1B"/>
    <w:rsid w:val="007C3FEC"/>
    <w:rsid w:val="007C46F9"/>
    <w:rsid w:val="007C62B7"/>
    <w:rsid w:val="007D17C9"/>
    <w:rsid w:val="007D38B5"/>
    <w:rsid w:val="007E5365"/>
    <w:rsid w:val="007E7EA0"/>
    <w:rsid w:val="00807255"/>
    <w:rsid w:val="0081023E"/>
    <w:rsid w:val="0081196C"/>
    <w:rsid w:val="00812CBA"/>
    <w:rsid w:val="008173AA"/>
    <w:rsid w:val="00821AF3"/>
    <w:rsid w:val="00823729"/>
    <w:rsid w:val="00824CC8"/>
    <w:rsid w:val="00834938"/>
    <w:rsid w:val="008361AF"/>
    <w:rsid w:val="00840A14"/>
    <w:rsid w:val="00862E7C"/>
    <w:rsid w:val="00862F23"/>
    <w:rsid w:val="00865EAA"/>
    <w:rsid w:val="008744C9"/>
    <w:rsid w:val="0088263B"/>
    <w:rsid w:val="00892709"/>
    <w:rsid w:val="008954D4"/>
    <w:rsid w:val="008B62B4"/>
    <w:rsid w:val="008C316D"/>
    <w:rsid w:val="008C58F6"/>
    <w:rsid w:val="008D0AC2"/>
    <w:rsid w:val="008D2D7B"/>
    <w:rsid w:val="008D3241"/>
    <w:rsid w:val="008E0737"/>
    <w:rsid w:val="008E34E5"/>
    <w:rsid w:val="008F250A"/>
    <w:rsid w:val="008F2D86"/>
    <w:rsid w:val="008F52BD"/>
    <w:rsid w:val="008F5D92"/>
    <w:rsid w:val="008F7C2C"/>
    <w:rsid w:val="00903899"/>
    <w:rsid w:val="0091402A"/>
    <w:rsid w:val="009158E5"/>
    <w:rsid w:val="00917ED6"/>
    <w:rsid w:val="0092326F"/>
    <w:rsid w:val="00925771"/>
    <w:rsid w:val="009333CC"/>
    <w:rsid w:val="00935CC0"/>
    <w:rsid w:val="0093674B"/>
    <w:rsid w:val="00940E96"/>
    <w:rsid w:val="00944F9E"/>
    <w:rsid w:val="0095143D"/>
    <w:rsid w:val="00960485"/>
    <w:rsid w:val="00960F32"/>
    <w:rsid w:val="009753DF"/>
    <w:rsid w:val="0097780E"/>
    <w:rsid w:val="00983CAB"/>
    <w:rsid w:val="00992BC3"/>
    <w:rsid w:val="009A7010"/>
    <w:rsid w:val="009A7375"/>
    <w:rsid w:val="009B0BAE"/>
    <w:rsid w:val="009B3F7B"/>
    <w:rsid w:val="009C1C89"/>
    <w:rsid w:val="009C4BBD"/>
    <w:rsid w:val="009C4E4F"/>
    <w:rsid w:val="009D1DA2"/>
    <w:rsid w:val="009D64A3"/>
    <w:rsid w:val="009E310F"/>
    <w:rsid w:val="009F3448"/>
    <w:rsid w:val="009F40FB"/>
    <w:rsid w:val="00A01CF9"/>
    <w:rsid w:val="00A07F10"/>
    <w:rsid w:val="00A1115D"/>
    <w:rsid w:val="00A138B1"/>
    <w:rsid w:val="00A225C7"/>
    <w:rsid w:val="00A54881"/>
    <w:rsid w:val="00A716AF"/>
    <w:rsid w:val="00A71773"/>
    <w:rsid w:val="00A84560"/>
    <w:rsid w:val="00A92E49"/>
    <w:rsid w:val="00AB0701"/>
    <w:rsid w:val="00AC5408"/>
    <w:rsid w:val="00AE2C85"/>
    <w:rsid w:val="00AE367F"/>
    <w:rsid w:val="00AE5DD8"/>
    <w:rsid w:val="00B01326"/>
    <w:rsid w:val="00B06D91"/>
    <w:rsid w:val="00B12A37"/>
    <w:rsid w:val="00B153DB"/>
    <w:rsid w:val="00B16B26"/>
    <w:rsid w:val="00B3511F"/>
    <w:rsid w:val="00B37327"/>
    <w:rsid w:val="00B40241"/>
    <w:rsid w:val="00B52FB2"/>
    <w:rsid w:val="00B6308A"/>
    <w:rsid w:val="00B63EF2"/>
    <w:rsid w:val="00B75D20"/>
    <w:rsid w:val="00BA7D89"/>
    <w:rsid w:val="00BC0D39"/>
    <w:rsid w:val="00BC34E4"/>
    <w:rsid w:val="00BC3595"/>
    <w:rsid w:val="00BC7BC0"/>
    <w:rsid w:val="00BD5055"/>
    <w:rsid w:val="00BD57B7"/>
    <w:rsid w:val="00BE63E2"/>
    <w:rsid w:val="00C0510F"/>
    <w:rsid w:val="00C12DAB"/>
    <w:rsid w:val="00C16827"/>
    <w:rsid w:val="00C22596"/>
    <w:rsid w:val="00C3584D"/>
    <w:rsid w:val="00C36E16"/>
    <w:rsid w:val="00C37ECB"/>
    <w:rsid w:val="00C5425D"/>
    <w:rsid w:val="00C80547"/>
    <w:rsid w:val="00C80E37"/>
    <w:rsid w:val="00C84813"/>
    <w:rsid w:val="00C86EF1"/>
    <w:rsid w:val="00C91CAE"/>
    <w:rsid w:val="00CB0390"/>
    <w:rsid w:val="00CB34BB"/>
    <w:rsid w:val="00CB3678"/>
    <w:rsid w:val="00CC12BC"/>
    <w:rsid w:val="00CC6D25"/>
    <w:rsid w:val="00CD2009"/>
    <w:rsid w:val="00CD7AE0"/>
    <w:rsid w:val="00CE5A5D"/>
    <w:rsid w:val="00CF50DF"/>
    <w:rsid w:val="00CF629C"/>
    <w:rsid w:val="00D01419"/>
    <w:rsid w:val="00D02813"/>
    <w:rsid w:val="00D072FD"/>
    <w:rsid w:val="00D2281E"/>
    <w:rsid w:val="00D27726"/>
    <w:rsid w:val="00D33FFF"/>
    <w:rsid w:val="00D475F0"/>
    <w:rsid w:val="00D60366"/>
    <w:rsid w:val="00D8310A"/>
    <w:rsid w:val="00D84ACE"/>
    <w:rsid w:val="00D92EEA"/>
    <w:rsid w:val="00DA447A"/>
    <w:rsid w:val="00DA5D4E"/>
    <w:rsid w:val="00DB4CCB"/>
    <w:rsid w:val="00DB7887"/>
    <w:rsid w:val="00DC612E"/>
    <w:rsid w:val="00DD0762"/>
    <w:rsid w:val="00DD44CF"/>
    <w:rsid w:val="00DD561F"/>
    <w:rsid w:val="00DE2944"/>
    <w:rsid w:val="00DE6C75"/>
    <w:rsid w:val="00DF7B73"/>
    <w:rsid w:val="00E137DE"/>
    <w:rsid w:val="00E16B49"/>
    <w:rsid w:val="00E176BA"/>
    <w:rsid w:val="00E22A38"/>
    <w:rsid w:val="00E240A2"/>
    <w:rsid w:val="00E25997"/>
    <w:rsid w:val="00E3467B"/>
    <w:rsid w:val="00E36A1E"/>
    <w:rsid w:val="00E42287"/>
    <w:rsid w:val="00E423EC"/>
    <w:rsid w:val="00E4459D"/>
    <w:rsid w:val="00E500C4"/>
    <w:rsid w:val="00E55121"/>
    <w:rsid w:val="00E57E0C"/>
    <w:rsid w:val="00E6325E"/>
    <w:rsid w:val="00E66768"/>
    <w:rsid w:val="00E72E1F"/>
    <w:rsid w:val="00E930AE"/>
    <w:rsid w:val="00EB31CF"/>
    <w:rsid w:val="00EB4FCB"/>
    <w:rsid w:val="00EB6A43"/>
    <w:rsid w:val="00EC340D"/>
    <w:rsid w:val="00EC3C65"/>
    <w:rsid w:val="00EC5EE0"/>
    <w:rsid w:val="00EC6BC5"/>
    <w:rsid w:val="00ED09EE"/>
    <w:rsid w:val="00ED280C"/>
    <w:rsid w:val="00EE2DB3"/>
    <w:rsid w:val="00EE47FE"/>
    <w:rsid w:val="00EF1FE2"/>
    <w:rsid w:val="00EF3BAF"/>
    <w:rsid w:val="00F03348"/>
    <w:rsid w:val="00F22C90"/>
    <w:rsid w:val="00F35898"/>
    <w:rsid w:val="00F45C3F"/>
    <w:rsid w:val="00F5225B"/>
    <w:rsid w:val="00F8014C"/>
    <w:rsid w:val="00F97C12"/>
    <w:rsid w:val="00FA3BF7"/>
    <w:rsid w:val="00FA4628"/>
    <w:rsid w:val="00FB1C3A"/>
    <w:rsid w:val="00FB23DA"/>
    <w:rsid w:val="00FB2EF1"/>
    <w:rsid w:val="00FB42B0"/>
    <w:rsid w:val="00FC1A96"/>
    <w:rsid w:val="00FD2D75"/>
    <w:rsid w:val="00FD458D"/>
    <w:rsid w:val="00FE5701"/>
    <w:rsid w:val="00FF07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BF3278-037D-4051-B73C-85C751C1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C7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rPr>
  </w:style>
  <w:style w:type="paragraph" w:styleId="Heading1">
    <w:name w:val="heading 1"/>
    <w:basedOn w:val="Normal"/>
    <w:next w:val="Normal"/>
    <w:link w:val="Heading1Char"/>
    <w:qFormat/>
    <w:rsid w:val="00C37ECB"/>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uiPriority w:val="99"/>
    <w:qFormat/>
    <w:rsid w:val="006D7CA6"/>
    <w:pPr>
      <w:spacing w:before="200"/>
      <w:ind w:left="0" w:firstLine="0"/>
      <w:outlineLvl w:val="2"/>
    </w:pPr>
    <w:rPr>
      <w:sz w:val="22"/>
    </w:rPr>
  </w:style>
  <w:style w:type="paragraph" w:styleId="Heading4">
    <w:name w:val="heading 4"/>
    <w:basedOn w:val="Heading3"/>
    <w:next w:val="Normal"/>
    <w:qFormat/>
    <w:rsid w:val="006D7CA6"/>
    <w:pPr>
      <w:tabs>
        <w:tab w:val="clear" w:pos="794"/>
        <w:tab w:val="clear" w:pos="1191"/>
        <w:tab w:val="clear" w:pos="1588"/>
        <w:tab w:val="clear" w:pos="1985"/>
      </w:tabs>
      <w:outlineLvl w:val="3"/>
    </w:p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ECB"/>
    <w:rPr>
      <w:rFonts w:ascii="Calibri" w:hAnsi="Calibri"/>
      <w:b/>
      <w:sz w:val="26"/>
      <w:lang w:val="ru-RU" w:eastAsia="ru-RU"/>
    </w:rPr>
  </w:style>
  <w:style w:type="character" w:customStyle="1" w:styleId="Heading2Char">
    <w:name w:val="Heading 2 Char"/>
    <w:basedOn w:val="DefaultParagraphFont"/>
    <w:link w:val="Heading2"/>
    <w:rsid w:val="00067524"/>
    <w:rPr>
      <w:rFonts w:ascii="Calibri" w:hAnsi="Calibri"/>
      <w:b/>
      <w:sz w:val="22"/>
      <w:lang w:val="ru-RU" w:eastAsia="ru-RU"/>
    </w:rPr>
  </w:style>
  <w:style w:type="character" w:customStyle="1" w:styleId="Heading3Char">
    <w:name w:val="Heading 3 Char"/>
    <w:basedOn w:val="DefaultParagraphFont"/>
    <w:link w:val="Heading3"/>
    <w:uiPriority w:val="99"/>
    <w:locked/>
    <w:rsid w:val="00067524"/>
    <w:rPr>
      <w:rFonts w:ascii="Calibri" w:hAnsi="Calibri"/>
      <w:b/>
      <w:sz w:val="22"/>
      <w:lang w:val="ru-RU" w:eastAsia="ru-RU"/>
    </w:rPr>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uiPriority w:val="99"/>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067524"/>
    <w:rPr>
      <w:rFonts w:ascii="Calibri" w:hAnsi="Calibri"/>
      <w:caps/>
      <w:noProof/>
      <w:sz w:val="16"/>
      <w:lang w:val="ru-RU" w:eastAsia="ru-RU"/>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067524"/>
    <w:rPr>
      <w:rFonts w:ascii="Calibri" w:hAnsi="Calibri"/>
      <w:sz w:val="18"/>
      <w:lang w:val="ru-RU" w:eastAsia="ru-RU"/>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character" w:customStyle="1" w:styleId="FootnoteTextChar">
    <w:name w:val="Footnote Text Char"/>
    <w:basedOn w:val="DefaultParagraphFont"/>
    <w:link w:val="FootnoteText"/>
    <w:uiPriority w:val="99"/>
    <w:locked/>
    <w:rsid w:val="00067524"/>
    <w:rPr>
      <w:rFonts w:ascii="Calibri" w:hAnsi="Calibri"/>
      <w:lang w:val="ru-RU" w:eastAsia="ru-RU"/>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character" w:customStyle="1" w:styleId="NormalaftertitleChar">
    <w:name w:val="Normal after title Char"/>
    <w:basedOn w:val="DefaultParagraphFont"/>
    <w:link w:val="Normalaftertitle"/>
    <w:locked/>
    <w:rsid w:val="00067524"/>
    <w:rPr>
      <w:rFonts w:ascii="Calibri" w:hAnsi="Calibri"/>
      <w:sz w:val="22"/>
      <w:lang w:val="ru-RU" w:eastAsia="ru-RU"/>
    </w:r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uiPriority w:val="99"/>
    <w:rsid w:val="006D7CA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uiPriority w:val="99"/>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uiPriority w:val="99"/>
    <w:rsid w:val="00227FF0"/>
    <w:pPr>
      <w:keepNext/>
      <w:keepLines/>
      <w:spacing w:before="480" w:after="80"/>
      <w:jc w:val="center"/>
    </w:pPr>
    <w:rPr>
      <w:caps/>
      <w:sz w:val="26"/>
    </w:rPr>
  </w:style>
  <w:style w:type="paragraph" w:customStyle="1" w:styleId="Annextitle">
    <w:name w:val="Annex_title"/>
    <w:basedOn w:val="Normal"/>
    <w:next w:val="Annexref"/>
    <w:uiPriority w:val="99"/>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067524"/>
    <w:rPr>
      <w:rFonts w:ascii="Calibri" w:hAnsi="Calibri"/>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uiPriority w:val="99"/>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title">
    <w:name w:val="Question_title"/>
    <w:basedOn w:val="Rectitle"/>
    <w:next w:val="Questionref"/>
    <w:rsid w:val="001E6719"/>
  </w:style>
  <w:style w:type="paragraph" w:customStyle="1" w:styleId="Questionref">
    <w:name w:val="Question_ref"/>
    <w:basedOn w:val="Recref"/>
    <w:next w:val="Questiondate"/>
    <w:rsid w:val="00227FF0"/>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uiPriority w:val="99"/>
    <w:rsid w:val="00227FF0"/>
    <w:rPr>
      <w:sz w:val="26"/>
    </w:rPr>
  </w:style>
  <w:style w:type="paragraph" w:customStyle="1" w:styleId="SpecialFooter">
    <w:name w:val="Special Footer"/>
    <w:basedOn w:val="Footer"/>
    <w:uiPriority w:val="99"/>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uiPriority w:val="99"/>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067524"/>
    <w:pPr>
      <w:spacing w:before="480"/>
      <w:jc w:val="center"/>
    </w:pPr>
    <w:rPr>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uiPriority w:val="99"/>
    <w:rsid w:val="00227FF0"/>
  </w:style>
  <w:style w:type="paragraph" w:styleId="ListParagraph">
    <w:name w:val="List Paragraph"/>
    <w:basedOn w:val="Normal"/>
    <w:uiPriority w:val="34"/>
    <w:qFormat/>
    <w:rsid w:val="0044707C"/>
    <w:pPr>
      <w:ind w:left="720"/>
      <w:contextualSpacing/>
    </w:pPr>
  </w:style>
  <w:style w:type="paragraph" w:styleId="BalloonText">
    <w:name w:val="Balloon Text"/>
    <w:basedOn w:val="Normal"/>
    <w:link w:val="BalloonTextChar"/>
    <w:uiPriority w:val="99"/>
    <w:semiHidden/>
    <w:rsid w:val="00067524"/>
    <w:pPr>
      <w:tabs>
        <w:tab w:val="clear" w:pos="794"/>
        <w:tab w:val="clear" w:pos="1191"/>
        <w:tab w:val="clear" w:pos="1588"/>
        <w:tab w:val="clear" w:pos="1985"/>
      </w:tabs>
      <w:overflowPunct/>
      <w:autoSpaceDE/>
      <w:autoSpaceDN/>
      <w:adjustRightInd/>
      <w:spacing w:before="0"/>
      <w:textAlignment w:val="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067524"/>
    <w:rPr>
      <w:rFonts w:ascii="Tahoma" w:eastAsia="SimSun" w:hAnsi="Tahoma" w:cs="Tahoma"/>
      <w:sz w:val="16"/>
      <w:szCs w:val="16"/>
      <w:lang w:val="ru-RU" w:eastAsia="ru-RU"/>
    </w:rPr>
  </w:style>
  <w:style w:type="paragraph" w:styleId="Title">
    <w:name w:val="Title"/>
    <w:basedOn w:val="Normal"/>
    <w:link w:val="TitleChar"/>
    <w:uiPriority w:val="99"/>
    <w:qFormat/>
    <w:rsid w:val="00067524"/>
    <w:pPr>
      <w:tabs>
        <w:tab w:val="clear" w:pos="794"/>
        <w:tab w:val="clear" w:pos="1191"/>
        <w:tab w:val="clear" w:pos="1588"/>
        <w:tab w:val="clear" w:pos="1985"/>
      </w:tabs>
      <w:overflowPunct/>
      <w:autoSpaceDE/>
      <w:autoSpaceDN/>
      <w:adjustRightInd/>
      <w:spacing w:before="0"/>
      <w:jc w:val="center"/>
      <w:textAlignment w:val="auto"/>
    </w:pPr>
    <w:rPr>
      <w:rFonts w:ascii="Times New Roman" w:eastAsia="SimSun" w:hAnsi="Times New Roman"/>
      <w:b/>
      <w:bCs/>
      <w:sz w:val="24"/>
      <w:szCs w:val="24"/>
    </w:rPr>
  </w:style>
  <w:style w:type="character" w:customStyle="1" w:styleId="TitleChar">
    <w:name w:val="Title Char"/>
    <w:basedOn w:val="DefaultParagraphFont"/>
    <w:link w:val="Title"/>
    <w:uiPriority w:val="99"/>
    <w:rsid w:val="00067524"/>
    <w:rPr>
      <w:rFonts w:ascii="Times New Roman" w:eastAsia="SimSun" w:hAnsi="Times New Roman"/>
      <w:b/>
      <w:bCs/>
      <w:sz w:val="24"/>
      <w:szCs w:val="24"/>
      <w:lang w:eastAsia="ru-RU"/>
    </w:rPr>
  </w:style>
  <w:style w:type="table" w:styleId="TableGrid">
    <w:name w:val="Table Grid"/>
    <w:basedOn w:val="TableNormal"/>
    <w:uiPriority w:val="99"/>
    <w:rsid w:val="00067524"/>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67524"/>
    <w:pPr>
      <w:tabs>
        <w:tab w:val="clear" w:pos="794"/>
        <w:tab w:val="clear" w:pos="1191"/>
        <w:tab w:val="clear" w:pos="1588"/>
        <w:tab w:val="clear" w:pos="1985"/>
      </w:tabs>
      <w:overflowPunct/>
      <w:autoSpaceDE/>
      <w:autoSpaceDN/>
      <w:adjustRightInd/>
      <w:spacing w:before="45" w:after="120"/>
      <w:textAlignment w:val="auto"/>
    </w:pPr>
    <w:rPr>
      <w:rFonts w:ascii="Times New Roman" w:eastAsia="SimSun" w:hAnsi="Times New Roman"/>
      <w:sz w:val="24"/>
      <w:szCs w:val="24"/>
    </w:rPr>
  </w:style>
  <w:style w:type="character" w:customStyle="1" w:styleId="Caractredenotedebasdepage">
    <w:name w:val="Caractère de note de bas de page"/>
    <w:uiPriority w:val="99"/>
    <w:rsid w:val="00067524"/>
    <w:rPr>
      <w:position w:val="6"/>
      <w:sz w:val="18"/>
    </w:rPr>
  </w:style>
  <w:style w:type="paragraph" w:customStyle="1" w:styleId="Default">
    <w:name w:val="Default"/>
    <w:rsid w:val="00067524"/>
    <w:pPr>
      <w:autoSpaceDE w:val="0"/>
      <w:autoSpaceDN w:val="0"/>
      <w:adjustRightInd w:val="0"/>
    </w:pPr>
    <w:rPr>
      <w:rFonts w:ascii="Times New Roman" w:eastAsia="SimSun" w:hAnsi="Times New Roman"/>
      <w:color w:val="000000"/>
      <w:sz w:val="24"/>
      <w:szCs w:val="24"/>
    </w:rPr>
  </w:style>
  <w:style w:type="paragraph" w:styleId="DocumentMap">
    <w:name w:val="Document Map"/>
    <w:basedOn w:val="Normal"/>
    <w:link w:val="DocumentMapChar"/>
    <w:uiPriority w:val="99"/>
    <w:semiHidden/>
    <w:rsid w:val="00067524"/>
    <w:pPr>
      <w:shd w:val="clear" w:color="auto" w:fill="000080"/>
      <w:tabs>
        <w:tab w:val="clear" w:pos="794"/>
        <w:tab w:val="clear" w:pos="1191"/>
        <w:tab w:val="clear" w:pos="1588"/>
        <w:tab w:val="clear" w:pos="1985"/>
      </w:tabs>
      <w:overflowPunct/>
      <w:autoSpaceDE/>
      <w:autoSpaceDN/>
      <w:adjustRightInd/>
      <w:spacing w:before="0"/>
      <w:textAlignment w:val="auto"/>
    </w:pPr>
    <w:rPr>
      <w:rFonts w:ascii="Tahoma" w:eastAsia="SimSun" w:hAnsi="Tahoma" w:cs="Tahoma"/>
      <w:sz w:val="20"/>
    </w:rPr>
  </w:style>
  <w:style w:type="character" w:customStyle="1" w:styleId="DocumentMapChar">
    <w:name w:val="Document Map Char"/>
    <w:basedOn w:val="DefaultParagraphFont"/>
    <w:link w:val="DocumentMap"/>
    <w:uiPriority w:val="99"/>
    <w:semiHidden/>
    <w:rsid w:val="00067524"/>
    <w:rPr>
      <w:rFonts w:ascii="Tahoma" w:eastAsia="SimSun" w:hAnsi="Tahoma" w:cs="Tahoma"/>
      <w:shd w:val="clear" w:color="auto" w:fill="000080"/>
      <w:lang w:val="ru-RU" w:eastAsia="ru-RU"/>
    </w:rPr>
  </w:style>
  <w:style w:type="paragraph" w:styleId="PlainText">
    <w:name w:val="Plain Text"/>
    <w:basedOn w:val="Normal"/>
    <w:link w:val="PlainTextChar"/>
    <w:uiPriority w:val="99"/>
    <w:unhideWhenUsed/>
    <w:rsid w:val="00067524"/>
    <w:pPr>
      <w:tabs>
        <w:tab w:val="clear" w:pos="794"/>
        <w:tab w:val="clear" w:pos="1191"/>
        <w:tab w:val="clear" w:pos="1588"/>
        <w:tab w:val="clear" w:pos="1985"/>
      </w:tabs>
      <w:overflowPunct/>
      <w:autoSpaceDE/>
      <w:autoSpaceDN/>
      <w:adjustRightInd/>
      <w:spacing w:before="0"/>
      <w:textAlignment w:val="auto"/>
    </w:pPr>
    <w:rPr>
      <w:rFonts w:eastAsiaTheme="minorEastAsia" w:cstheme="minorBidi"/>
      <w:szCs w:val="21"/>
    </w:rPr>
  </w:style>
  <w:style w:type="character" w:customStyle="1" w:styleId="PlainTextChar">
    <w:name w:val="Plain Text Char"/>
    <w:basedOn w:val="DefaultParagraphFont"/>
    <w:link w:val="PlainText"/>
    <w:uiPriority w:val="99"/>
    <w:rsid w:val="00067524"/>
    <w:rPr>
      <w:rFonts w:ascii="Calibri" w:eastAsiaTheme="minorEastAsia" w:hAnsi="Calibri" w:cstheme="minorBidi"/>
      <w:sz w:val="22"/>
      <w:szCs w:val="21"/>
    </w:rPr>
  </w:style>
  <w:style w:type="character" w:customStyle="1" w:styleId="hps">
    <w:name w:val="hps"/>
    <w:basedOn w:val="DefaultParagraphFont"/>
    <w:rsid w:val="00067524"/>
  </w:style>
  <w:style w:type="paragraph" w:styleId="EndnoteText">
    <w:name w:val="endnote text"/>
    <w:basedOn w:val="Normal"/>
    <w:link w:val="EndnoteTextChar"/>
    <w:uiPriority w:val="99"/>
    <w:semiHidden/>
    <w:unhideWhenUsed/>
    <w:rsid w:val="00067524"/>
    <w:pPr>
      <w:spacing w:before="0"/>
    </w:pPr>
    <w:rPr>
      <w:rFonts w:ascii="Times New Roman" w:hAnsi="Times New Roman"/>
      <w:sz w:val="20"/>
    </w:rPr>
  </w:style>
  <w:style w:type="character" w:customStyle="1" w:styleId="EndnoteTextChar">
    <w:name w:val="Endnote Text Char"/>
    <w:basedOn w:val="DefaultParagraphFont"/>
    <w:link w:val="EndnoteText"/>
    <w:uiPriority w:val="99"/>
    <w:semiHidden/>
    <w:rsid w:val="00067524"/>
    <w:rPr>
      <w:rFonts w:ascii="Times New Roman" w:hAnsi="Times New Roman"/>
      <w:lang w:val="ru-RU" w:eastAsia="ru-RU"/>
    </w:rPr>
  </w:style>
  <w:style w:type="character" w:styleId="CommentReference">
    <w:name w:val="annotation reference"/>
    <w:basedOn w:val="DefaultParagraphFont"/>
    <w:uiPriority w:val="99"/>
    <w:semiHidden/>
    <w:unhideWhenUsed/>
    <w:rsid w:val="00067524"/>
    <w:rPr>
      <w:sz w:val="16"/>
      <w:szCs w:val="16"/>
    </w:rPr>
  </w:style>
  <w:style w:type="paragraph" w:styleId="CommentText">
    <w:name w:val="annotation text"/>
    <w:basedOn w:val="Normal"/>
    <w:link w:val="CommentTextChar"/>
    <w:uiPriority w:val="99"/>
    <w:semiHidden/>
    <w:unhideWhenUsed/>
    <w:rsid w:val="00067524"/>
    <w:pPr>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EastAsia" w:hAnsiTheme="minorHAnsi" w:cstheme="minorBidi"/>
      <w:sz w:val="20"/>
      <w:szCs w:val="22"/>
    </w:rPr>
  </w:style>
  <w:style w:type="character" w:customStyle="1" w:styleId="CommentTextChar">
    <w:name w:val="Comment Text Char"/>
    <w:basedOn w:val="DefaultParagraphFont"/>
    <w:link w:val="CommentText"/>
    <w:uiPriority w:val="99"/>
    <w:semiHidden/>
    <w:rsid w:val="00067524"/>
    <w:rPr>
      <w:rFonts w:asciiTheme="minorHAnsi" w:eastAsiaTheme="minorEastAsia" w:hAnsiTheme="minorHAnsi" w:cstheme="minorBidi"/>
      <w:szCs w:val="22"/>
    </w:rPr>
  </w:style>
  <w:style w:type="paragraph" w:styleId="CommentSubject">
    <w:name w:val="annotation subject"/>
    <w:basedOn w:val="CommentText"/>
    <w:next w:val="CommentText"/>
    <w:link w:val="CommentSubjectChar"/>
    <w:uiPriority w:val="99"/>
    <w:semiHidden/>
    <w:unhideWhenUsed/>
    <w:rsid w:val="00067524"/>
    <w:pPr>
      <w:spacing w:after="0" w:line="240" w:lineRule="auto"/>
    </w:pPr>
    <w:rPr>
      <w:rFonts w:ascii="Times New Roman" w:eastAsia="SimSun" w:hAnsi="Times New Roman" w:cs="Times New Roman"/>
      <w:b/>
      <w:bCs/>
      <w:szCs w:val="20"/>
    </w:rPr>
  </w:style>
  <w:style w:type="character" w:customStyle="1" w:styleId="CommentSubjectChar">
    <w:name w:val="Comment Subject Char"/>
    <w:basedOn w:val="CommentTextChar"/>
    <w:link w:val="CommentSubject"/>
    <w:uiPriority w:val="99"/>
    <w:semiHidden/>
    <w:rsid w:val="00067524"/>
    <w:rPr>
      <w:rFonts w:ascii="Times New Roman" w:eastAsia="SimSun" w:hAnsi="Times New Roman" w:cstheme="minorBidi"/>
      <w:b/>
      <w:bCs/>
      <w:szCs w:val="22"/>
      <w:lang w:val="ru-RU" w:eastAsia="ru-RU"/>
    </w:rPr>
  </w:style>
  <w:style w:type="paragraph" w:styleId="Revision">
    <w:name w:val="Revision"/>
    <w:hidden/>
    <w:uiPriority w:val="99"/>
    <w:semiHidden/>
    <w:rsid w:val="00067524"/>
    <w:rPr>
      <w:rFonts w:ascii="Times New Roman" w:eastAsia="SimSun" w:hAnsi="Times New Roman"/>
      <w:sz w:val="24"/>
      <w:szCs w:val="24"/>
    </w:rPr>
  </w:style>
  <w:style w:type="table" w:customStyle="1" w:styleId="TableGrid1">
    <w:name w:val="Table Grid1"/>
    <w:basedOn w:val="TableNormal"/>
    <w:next w:val="TableGrid"/>
    <w:uiPriority w:val="59"/>
    <w:rsid w:val="0006752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 точкой"/>
    <w:basedOn w:val="enumlev1"/>
    <w:qFormat/>
    <w:rsid w:val="00CC6D25"/>
    <w:pPr>
      <w:ind w:left="1219"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inr/Pages/roa.aspx" TargetMode="External"/><Relationship Id="rId18" Type="http://schemas.openxmlformats.org/officeDocument/2006/relationships/hyperlink" Target="http://www.itu.int/md/S18-CLCWGFHRM8-C-0004/en" TargetMode="External"/><Relationship Id="rId26" Type="http://schemas.openxmlformats.org/officeDocument/2006/relationships/hyperlink" Target="http://www.itu.int/md/S18-CLCWGFHRM8-C-0012/en" TargetMode="External"/><Relationship Id="rId39" Type="http://schemas.openxmlformats.org/officeDocument/2006/relationships/hyperlink" Target="http://www.itu.int/md/S18-CLCWGFHRM8-C-0008/en" TargetMode="External"/><Relationship Id="rId21" Type="http://schemas.openxmlformats.org/officeDocument/2006/relationships/hyperlink" Target="https://www.itu.int/md/S18-CL-C-0020/en" TargetMode="External"/><Relationship Id="rId34" Type="http://schemas.openxmlformats.org/officeDocument/2006/relationships/hyperlink" Target="http://www.itu.int/md/S18-CLCWGFHRM8-C-0022/en" TargetMode="External"/><Relationship Id="rId42" Type="http://schemas.openxmlformats.org/officeDocument/2006/relationships/hyperlink" Target="https://www.itu.int/md/S18-CLCWGFHRM8-INF-0002/en" TargetMode="External"/><Relationship Id="rId47" Type="http://schemas.openxmlformats.org/officeDocument/2006/relationships/hyperlink" Target="https://www.itu.int/md/S18-CLCWGFHRM8-INF-0001/en" TargetMode="External"/><Relationship Id="rId50" Type="http://schemas.openxmlformats.org/officeDocument/2006/relationships/hyperlink" Target="http://www.itu.int/md/S18-CLCWGFHRM8-C-0027/en"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S18-CLCWGFHRM8-C-0018/en" TargetMode="External"/><Relationship Id="rId17" Type="http://schemas.openxmlformats.org/officeDocument/2006/relationships/hyperlink" Target="http://www.itu.int/md/S18-CLCWGFHRM8-C-0020/en" TargetMode="External"/><Relationship Id="rId25" Type="http://schemas.openxmlformats.org/officeDocument/2006/relationships/hyperlink" Target="http://www.itu.int/md/S18-CLCWGFHRM8-C-0013/en" TargetMode="External"/><Relationship Id="rId33" Type="http://schemas.openxmlformats.org/officeDocument/2006/relationships/hyperlink" Target="http://www.itu.int/md/S18-CLCWGFHRM8-C-0015/en" TargetMode="External"/><Relationship Id="rId38" Type="http://schemas.openxmlformats.org/officeDocument/2006/relationships/hyperlink" Target="https://www.itu.int/md/S18-CL-INF-0001/en" TargetMode="External"/><Relationship Id="rId46" Type="http://schemas.openxmlformats.org/officeDocument/2006/relationships/hyperlink" Target="http://www.itu.int/md/S18-CLCWGFHRM8-C-0023/en" TargetMode="External"/><Relationship Id="rId2" Type="http://schemas.openxmlformats.org/officeDocument/2006/relationships/numbering" Target="numbering.xml"/><Relationship Id="rId16" Type="http://schemas.openxmlformats.org/officeDocument/2006/relationships/hyperlink" Target="http://www.itu.int/md/S18-CLCWGFHRM8-C-0020/en" TargetMode="External"/><Relationship Id="rId20" Type="http://schemas.openxmlformats.org/officeDocument/2006/relationships/hyperlink" Target="http://www.itu.int/md/S18-CLCWGFHRM8-C-0009/en" TargetMode="External"/><Relationship Id="rId29" Type="http://schemas.openxmlformats.org/officeDocument/2006/relationships/hyperlink" Target="http://www.itu.int/md/S18-CLCWGFHRM8-C-0014/en" TargetMode="External"/><Relationship Id="rId41" Type="http://schemas.openxmlformats.org/officeDocument/2006/relationships/hyperlink" Target="http://www.itu.int/md/S18-CLCWGFHRM8-C-0024/e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FHRM8-C-0028/en" TargetMode="External"/><Relationship Id="rId24" Type="http://schemas.openxmlformats.org/officeDocument/2006/relationships/hyperlink" Target="http://www.itu.int/md/S18-CLCWGFHRM8-C-0012/en" TargetMode="External"/><Relationship Id="rId32" Type="http://schemas.openxmlformats.org/officeDocument/2006/relationships/hyperlink" Target="https://www.itu.int/md/S17-CL-170515-DL-0003/en" TargetMode="External"/><Relationship Id="rId37" Type="http://schemas.openxmlformats.org/officeDocument/2006/relationships/hyperlink" Target="http://www.itu.int/md/S18-CLCWGFHRM8-C-0002/en" TargetMode="External"/><Relationship Id="rId40" Type="http://schemas.openxmlformats.org/officeDocument/2006/relationships/hyperlink" Target="https://www.itu.int/md/S18-CLCWGFHRM8-INF-0003/en" TargetMode="External"/><Relationship Id="rId45" Type="http://schemas.openxmlformats.org/officeDocument/2006/relationships/hyperlink" Target="http://www.itu.int/md/S18-CLCWGFHRM8-C-0026/en"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S18-CLCWGFHRM8-C-0017/en" TargetMode="External"/><Relationship Id="rId23" Type="http://schemas.openxmlformats.org/officeDocument/2006/relationships/hyperlink" Target="https://www.itu.int/md/S17-CL-C-0097/en" TargetMode="External"/><Relationship Id="rId28" Type="http://schemas.openxmlformats.org/officeDocument/2006/relationships/hyperlink" Target="http://www.itu.int/md/S18-CLCWGFHRM8-C-0007/en" TargetMode="External"/><Relationship Id="rId36" Type="http://schemas.openxmlformats.org/officeDocument/2006/relationships/hyperlink" Target="http://www.itu.int/md/S18-CLCWGFHRM8-C-0021/en" TargetMode="External"/><Relationship Id="rId49" Type="http://schemas.openxmlformats.org/officeDocument/2006/relationships/hyperlink" Target="http://www.itu.int/md/S18-CLCWGFHRM8-C-0016/en" TargetMode="External"/><Relationship Id="rId10" Type="http://schemas.openxmlformats.org/officeDocument/2006/relationships/hyperlink" Target="http://www.itu.int/md/S13-CL-C-0113/en" TargetMode="External"/><Relationship Id="rId19" Type="http://schemas.openxmlformats.org/officeDocument/2006/relationships/hyperlink" Target="http://www.itu.int/md/S18-CLCWGFHRM8-C-0004/en" TargetMode="External"/><Relationship Id="rId31" Type="http://schemas.openxmlformats.org/officeDocument/2006/relationships/hyperlink" Target="http://www.itu.int/md/S18-CLCWGFHRM8-C-0010/en" TargetMode="External"/><Relationship Id="rId44" Type="http://schemas.openxmlformats.org/officeDocument/2006/relationships/hyperlink" Target="http://www.itu.int/md/S18-CLCWGFHRM8-C-0025/e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7-CL-C-0050/en" TargetMode="External"/><Relationship Id="rId14" Type="http://schemas.openxmlformats.org/officeDocument/2006/relationships/hyperlink" Target="http://www.itu.int/md/S18-CLCWGFHRM8-C-0019/en" TargetMode="External"/><Relationship Id="rId22" Type="http://schemas.openxmlformats.org/officeDocument/2006/relationships/hyperlink" Target="http://www.itu.int/md/S18-CLCWGFHRM8-C-0003/en" TargetMode="External"/><Relationship Id="rId27" Type="http://schemas.openxmlformats.org/officeDocument/2006/relationships/hyperlink" Target="http://www.itu.int/md/S18-CLCWGFHRM8-C-0013/en" TargetMode="External"/><Relationship Id="rId30" Type="http://schemas.openxmlformats.org/officeDocument/2006/relationships/hyperlink" Target="https://www.itu.int/md/S17-CL-C-0049/en" TargetMode="External"/><Relationship Id="rId35" Type="http://schemas.openxmlformats.org/officeDocument/2006/relationships/hyperlink" Target="http://www.itu.int/md/S18-CLCWGFHRM8-C-0006/en" TargetMode="External"/><Relationship Id="rId43" Type="http://schemas.openxmlformats.org/officeDocument/2006/relationships/hyperlink" Target="http://www.itu.int/md/S18-CLCWGFHRM8-C-0011/en" TargetMode="External"/><Relationship Id="rId48" Type="http://schemas.openxmlformats.org/officeDocument/2006/relationships/hyperlink" Target="http://www.itu.int/md/S18-CLCWGFHRM8-C-0005/en"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md/S17-CL-C-0067/e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8F72-FE8D-48E7-AF6D-FAB08227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PR_C18.dotx</Template>
  <TotalTime>3</TotalTime>
  <Pages>26</Pages>
  <Words>11951</Words>
  <Characters>68123</Characters>
  <Application>Microsoft Office Word</Application>
  <DocSecurity>0</DocSecurity>
  <Lines>567</Lines>
  <Paragraphs>159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79915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CWG-FHR</dc:title>
  <dc:subject>Council 2018</dc:subject>
  <dc:creator>Maloletkova, Svetlana</dc:creator>
  <cp:keywords>C2018, C18</cp:keywords>
  <cp:lastModifiedBy>Brouard, Ricarda</cp:lastModifiedBy>
  <cp:revision>3</cp:revision>
  <cp:lastPrinted>2018-03-27T10:06:00Z</cp:lastPrinted>
  <dcterms:created xsi:type="dcterms:W3CDTF">2018-04-12T09:49:00Z</dcterms:created>
  <dcterms:modified xsi:type="dcterms:W3CDTF">2018-04-12T09:52:00Z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