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4FBC81B" w14:textId="77777777" w:rsidTr="00464B6C">
        <w:trPr>
          <w:cantSplit/>
        </w:trPr>
        <w:tc>
          <w:tcPr>
            <w:tcW w:w="6911" w:type="dxa"/>
          </w:tcPr>
          <w:p w14:paraId="31699BFC" w14:textId="77777777" w:rsidR="002A2188" w:rsidRPr="00813E5E" w:rsidRDefault="002A2188" w:rsidP="00623AE3">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14:paraId="3B91D742" w14:textId="77777777" w:rsidR="002A2188" w:rsidRPr="00813E5E" w:rsidRDefault="002A2188" w:rsidP="00464B6C">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69609E96" wp14:editId="3AB0D621">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3144E277" w14:textId="77777777" w:rsidTr="00464B6C">
        <w:trPr>
          <w:cantSplit/>
        </w:trPr>
        <w:tc>
          <w:tcPr>
            <w:tcW w:w="6911" w:type="dxa"/>
            <w:tcBorders>
              <w:bottom w:val="single" w:sz="12" w:space="0" w:color="auto"/>
            </w:tcBorders>
          </w:tcPr>
          <w:p w14:paraId="2A389870"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583CD85A" w14:textId="77777777" w:rsidR="002A2188" w:rsidRPr="00813E5E" w:rsidRDefault="002A2188" w:rsidP="00464B6C">
            <w:pPr>
              <w:spacing w:before="0" w:line="240" w:lineRule="atLeast"/>
              <w:rPr>
                <w:szCs w:val="24"/>
              </w:rPr>
            </w:pPr>
          </w:p>
        </w:tc>
      </w:tr>
      <w:tr w:rsidR="002A2188" w:rsidRPr="00813E5E" w14:paraId="2216A237" w14:textId="77777777" w:rsidTr="00464B6C">
        <w:trPr>
          <w:cantSplit/>
        </w:trPr>
        <w:tc>
          <w:tcPr>
            <w:tcW w:w="6911" w:type="dxa"/>
            <w:tcBorders>
              <w:top w:val="single" w:sz="12" w:space="0" w:color="auto"/>
            </w:tcBorders>
          </w:tcPr>
          <w:p w14:paraId="3AB0CD0B"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2BB6E25C" w14:textId="77777777" w:rsidR="002A2188" w:rsidRPr="00813E5E" w:rsidRDefault="002A2188" w:rsidP="00464B6C">
            <w:pPr>
              <w:spacing w:before="0" w:line="240" w:lineRule="atLeast"/>
              <w:rPr>
                <w:szCs w:val="24"/>
              </w:rPr>
            </w:pPr>
          </w:p>
        </w:tc>
      </w:tr>
      <w:tr w:rsidR="002A2188" w:rsidRPr="00813E5E" w14:paraId="40172CB6" w14:textId="77777777" w:rsidTr="00464B6C">
        <w:trPr>
          <w:cantSplit/>
          <w:trHeight w:val="23"/>
        </w:trPr>
        <w:tc>
          <w:tcPr>
            <w:tcW w:w="6911" w:type="dxa"/>
            <w:vMerge w:val="restart"/>
          </w:tcPr>
          <w:p w14:paraId="5959D3B2" w14:textId="4497BCE4" w:rsidR="002A2188" w:rsidRPr="00E85629" w:rsidRDefault="00D04E39" w:rsidP="00D04E39">
            <w:pPr>
              <w:tabs>
                <w:tab w:val="left" w:pos="851"/>
              </w:tabs>
              <w:spacing w:before="0" w:line="240" w:lineRule="atLeast"/>
              <w:rPr>
                <w:b/>
              </w:rPr>
            </w:pPr>
            <w:bookmarkStart w:id="3" w:name="dmeeting" w:colFirst="0" w:colLast="0"/>
            <w:bookmarkStart w:id="4" w:name="dnum" w:colFirst="1" w:colLast="1"/>
            <w:r>
              <w:rPr>
                <w:b/>
              </w:rPr>
              <w:t xml:space="preserve">Agenda item: </w:t>
            </w:r>
            <w:r w:rsidR="0083399C">
              <w:rPr>
                <w:b/>
              </w:rPr>
              <w:t>ADM 18</w:t>
            </w:r>
          </w:p>
        </w:tc>
        <w:tc>
          <w:tcPr>
            <w:tcW w:w="3120" w:type="dxa"/>
          </w:tcPr>
          <w:p w14:paraId="661B4AF3" w14:textId="200968BB" w:rsidR="002A2188" w:rsidRPr="00E85629" w:rsidRDefault="002A2188" w:rsidP="0083399C">
            <w:pPr>
              <w:tabs>
                <w:tab w:val="left" w:pos="851"/>
              </w:tabs>
              <w:spacing w:before="0" w:line="240" w:lineRule="atLeast"/>
              <w:rPr>
                <w:b/>
              </w:rPr>
            </w:pPr>
            <w:r>
              <w:rPr>
                <w:b/>
              </w:rPr>
              <w:t>Document C1</w:t>
            </w:r>
            <w:r w:rsidR="00623AE3">
              <w:rPr>
                <w:b/>
              </w:rPr>
              <w:t>8</w:t>
            </w:r>
            <w:r>
              <w:rPr>
                <w:b/>
              </w:rPr>
              <w:t>/</w:t>
            </w:r>
            <w:r w:rsidR="0083399C">
              <w:rPr>
                <w:b/>
              </w:rPr>
              <w:t>47</w:t>
            </w:r>
            <w:r>
              <w:rPr>
                <w:b/>
              </w:rPr>
              <w:t>-E</w:t>
            </w:r>
          </w:p>
        </w:tc>
      </w:tr>
      <w:tr w:rsidR="002A2188" w:rsidRPr="00813E5E" w14:paraId="215DFC08" w14:textId="77777777" w:rsidTr="00464B6C">
        <w:trPr>
          <w:cantSplit/>
          <w:trHeight w:val="23"/>
        </w:trPr>
        <w:tc>
          <w:tcPr>
            <w:tcW w:w="6911" w:type="dxa"/>
            <w:vMerge/>
          </w:tcPr>
          <w:p w14:paraId="541B1330" w14:textId="77777777"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14:paraId="2DBC06CF" w14:textId="193A9362" w:rsidR="002A2188" w:rsidRPr="00E85629" w:rsidRDefault="0083399C" w:rsidP="009237C9">
            <w:pPr>
              <w:tabs>
                <w:tab w:val="left" w:pos="993"/>
              </w:tabs>
              <w:spacing w:before="0"/>
              <w:rPr>
                <w:b/>
              </w:rPr>
            </w:pPr>
            <w:r>
              <w:rPr>
                <w:b/>
              </w:rPr>
              <w:t>8</w:t>
            </w:r>
            <w:r w:rsidR="008B7027">
              <w:rPr>
                <w:b/>
              </w:rPr>
              <w:t xml:space="preserve"> </w:t>
            </w:r>
            <w:r w:rsidR="006709EC">
              <w:rPr>
                <w:b/>
              </w:rPr>
              <w:t>Febr</w:t>
            </w:r>
            <w:r w:rsidR="009237C9">
              <w:rPr>
                <w:b/>
              </w:rPr>
              <w:t>uary</w:t>
            </w:r>
            <w:r w:rsidR="002A2188">
              <w:rPr>
                <w:b/>
              </w:rPr>
              <w:t xml:space="preserve"> 201</w:t>
            </w:r>
            <w:r w:rsidR="00623AE3">
              <w:rPr>
                <w:b/>
              </w:rPr>
              <w:t>8</w:t>
            </w:r>
          </w:p>
        </w:tc>
      </w:tr>
      <w:tr w:rsidR="002A2188" w:rsidRPr="00813E5E" w14:paraId="41C62EC5" w14:textId="77777777" w:rsidTr="00464B6C">
        <w:trPr>
          <w:cantSplit/>
          <w:trHeight w:val="23"/>
        </w:trPr>
        <w:tc>
          <w:tcPr>
            <w:tcW w:w="6911" w:type="dxa"/>
            <w:vMerge/>
          </w:tcPr>
          <w:p w14:paraId="2D9A87AA" w14:textId="77777777"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14:paraId="1C53468C" w14:textId="77777777" w:rsidR="002A2188" w:rsidRPr="00E85629" w:rsidRDefault="002A2188" w:rsidP="00464B6C">
            <w:pPr>
              <w:tabs>
                <w:tab w:val="left" w:pos="993"/>
              </w:tabs>
              <w:spacing w:before="0"/>
              <w:rPr>
                <w:b/>
              </w:rPr>
            </w:pPr>
            <w:r>
              <w:rPr>
                <w:b/>
              </w:rPr>
              <w:t>Original: English</w:t>
            </w:r>
          </w:p>
        </w:tc>
      </w:tr>
      <w:tr w:rsidR="002A2188" w:rsidRPr="00813E5E" w14:paraId="07200B81" w14:textId="77777777" w:rsidTr="00464B6C">
        <w:trPr>
          <w:cantSplit/>
        </w:trPr>
        <w:tc>
          <w:tcPr>
            <w:tcW w:w="10031" w:type="dxa"/>
            <w:gridSpan w:val="2"/>
          </w:tcPr>
          <w:p w14:paraId="6AFD0119" w14:textId="77777777" w:rsidR="002A2188" w:rsidRPr="00813E5E" w:rsidRDefault="00D04E39" w:rsidP="00464B6C">
            <w:pPr>
              <w:pStyle w:val="Source"/>
            </w:pPr>
            <w:bookmarkStart w:id="7" w:name="dsource" w:colFirst="0" w:colLast="0"/>
            <w:bookmarkEnd w:id="6"/>
            <w:r w:rsidRPr="00D04E39">
              <w:t>Report by the Secretary-General</w:t>
            </w:r>
          </w:p>
        </w:tc>
      </w:tr>
      <w:tr w:rsidR="002A2188" w:rsidRPr="00813E5E" w14:paraId="2CC9DF8E" w14:textId="77777777" w:rsidTr="00464B6C">
        <w:trPr>
          <w:cantSplit/>
        </w:trPr>
        <w:tc>
          <w:tcPr>
            <w:tcW w:w="10031" w:type="dxa"/>
            <w:gridSpan w:val="2"/>
          </w:tcPr>
          <w:p w14:paraId="73660B3C" w14:textId="77777777" w:rsidR="002A2188" w:rsidRPr="008A772A" w:rsidRDefault="008A772A" w:rsidP="008A772A">
            <w:pPr>
              <w:jc w:val="center"/>
              <w:rPr>
                <w:caps/>
                <w:sz w:val="28"/>
              </w:rPr>
            </w:pPr>
            <w:bookmarkStart w:id="8" w:name="dtitle1" w:colFirst="0" w:colLast="0"/>
            <w:bookmarkEnd w:id="7"/>
            <w:r w:rsidRPr="008A772A">
              <w:rPr>
                <w:caps/>
                <w:sz w:val="28"/>
              </w:rPr>
              <w:t>Sponsorship possibilities for the HQ Premises Project</w:t>
            </w:r>
          </w:p>
        </w:tc>
      </w:tr>
      <w:bookmarkEnd w:id="8"/>
    </w:tbl>
    <w:p w14:paraId="57920DA5" w14:textId="77777777" w:rsidR="002A2188" w:rsidRPr="008A772A" w:rsidRDefault="002A2188" w:rsidP="002A2188">
      <w:pPr>
        <w:rPr>
          <w:caps/>
          <w:sz w:val="28"/>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57E18" w:rsidRPr="00C8350C" w14:paraId="1953DE9E" w14:textId="77777777" w:rsidTr="00557E18">
        <w:trPr>
          <w:trHeight w:val="3372"/>
        </w:trPr>
        <w:tc>
          <w:tcPr>
            <w:tcW w:w="8080" w:type="dxa"/>
            <w:tcBorders>
              <w:top w:val="single" w:sz="12" w:space="0" w:color="auto"/>
              <w:left w:val="single" w:sz="12" w:space="0" w:color="auto"/>
              <w:bottom w:val="single" w:sz="12" w:space="0" w:color="auto"/>
              <w:right w:val="single" w:sz="12" w:space="0" w:color="auto"/>
            </w:tcBorders>
          </w:tcPr>
          <w:p w14:paraId="19226296" w14:textId="77777777" w:rsidR="00557E18" w:rsidRPr="00DF21F3" w:rsidRDefault="00557E18" w:rsidP="00557E18">
            <w:pPr>
              <w:pStyle w:val="Headingb"/>
              <w:rPr>
                <w:szCs w:val="24"/>
              </w:rPr>
            </w:pPr>
            <w:r w:rsidRPr="00DF21F3">
              <w:rPr>
                <w:szCs w:val="24"/>
              </w:rPr>
              <w:t>Summary</w:t>
            </w:r>
          </w:p>
          <w:p w14:paraId="572CE0B1" w14:textId="77777777" w:rsidR="00557E18" w:rsidRPr="00DF21F3" w:rsidRDefault="006709EC" w:rsidP="00F467A6">
            <w:pPr>
              <w:jc w:val="both"/>
              <w:rPr>
                <w:rFonts w:asciiTheme="minorHAnsi" w:hAnsiTheme="minorHAnsi"/>
                <w:bCs/>
                <w:color w:val="000000" w:themeColor="text1"/>
                <w:szCs w:val="24"/>
              </w:rPr>
            </w:pPr>
            <w:r w:rsidRPr="00C8350C">
              <w:rPr>
                <w:rFonts w:asciiTheme="minorHAnsi" w:hAnsiTheme="minorHAnsi"/>
                <w:szCs w:val="24"/>
              </w:rPr>
              <w:t xml:space="preserve">This document presents </w:t>
            </w:r>
            <w:r w:rsidRPr="00DF21F3">
              <w:rPr>
                <w:rFonts w:asciiTheme="minorHAnsi" w:hAnsiTheme="minorHAnsi"/>
                <w:bCs/>
                <w:color w:val="000000" w:themeColor="text1"/>
                <w:szCs w:val="24"/>
              </w:rPr>
              <w:t xml:space="preserve">sponsorship possibilities for the HQ Premises Project. </w:t>
            </w:r>
          </w:p>
          <w:p w14:paraId="6FB4DC16" w14:textId="77777777" w:rsidR="00557E18" w:rsidRPr="00DF21F3" w:rsidRDefault="00557E18" w:rsidP="00F467A6">
            <w:pPr>
              <w:pStyle w:val="Headingb"/>
              <w:jc w:val="both"/>
              <w:rPr>
                <w:szCs w:val="24"/>
              </w:rPr>
            </w:pPr>
            <w:r w:rsidRPr="00DF21F3">
              <w:rPr>
                <w:szCs w:val="24"/>
              </w:rPr>
              <w:t>Action required</w:t>
            </w:r>
          </w:p>
          <w:p w14:paraId="086C2684" w14:textId="77777777" w:rsidR="00557E18" w:rsidRPr="00DF21F3" w:rsidRDefault="006709EC" w:rsidP="00F467A6">
            <w:pPr>
              <w:jc w:val="both"/>
              <w:rPr>
                <w:szCs w:val="24"/>
              </w:rPr>
            </w:pPr>
            <w:r w:rsidRPr="00C8350C">
              <w:rPr>
                <w:rFonts w:asciiTheme="minorHAnsi" w:hAnsiTheme="minorHAnsi"/>
                <w:szCs w:val="24"/>
              </w:rPr>
              <w:t xml:space="preserve">The Council is invited to </w:t>
            </w:r>
            <w:r w:rsidRPr="00C8350C">
              <w:rPr>
                <w:rFonts w:asciiTheme="minorHAnsi" w:hAnsiTheme="minorHAnsi"/>
                <w:b/>
                <w:bCs/>
                <w:szCs w:val="24"/>
              </w:rPr>
              <w:t>take note</w:t>
            </w:r>
            <w:r w:rsidRPr="00C8350C">
              <w:rPr>
                <w:rFonts w:asciiTheme="minorHAnsi" w:hAnsiTheme="minorHAnsi"/>
                <w:szCs w:val="24"/>
              </w:rPr>
              <w:t xml:space="preserve"> of the document and provide any guidance and action as appropriate, including possible circulation of this document to Member States in advance of PP-18</w:t>
            </w:r>
            <w:r w:rsidR="00557E18" w:rsidRPr="00DF21F3">
              <w:rPr>
                <w:szCs w:val="24"/>
              </w:rPr>
              <w:t>. </w:t>
            </w:r>
          </w:p>
          <w:p w14:paraId="380E466F" w14:textId="77777777" w:rsidR="002516A0" w:rsidRPr="00DF21F3" w:rsidRDefault="002516A0" w:rsidP="002516A0">
            <w:pPr>
              <w:pStyle w:val="Table"/>
              <w:keepNext w:val="0"/>
              <w:spacing w:before="0" w:after="0"/>
              <w:rPr>
                <w:rFonts w:ascii="Calibri" w:hAnsi="Calibri"/>
                <w:caps w:val="0"/>
                <w:szCs w:val="24"/>
              </w:rPr>
            </w:pPr>
            <w:r w:rsidRPr="00DF21F3">
              <w:rPr>
                <w:rFonts w:ascii="Calibri" w:hAnsi="Calibri"/>
                <w:caps w:val="0"/>
                <w:szCs w:val="24"/>
              </w:rPr>
              <w:t>____________</w:t>
            </w:r>
          </w:p>
          <w:p w14:paraId="16B0D7CF" w14:textId="77777777" w:rsidR="00C666E3" w:rsidRPr="00DF21F3" w:rsidRDefault="00C666E3" w:rsidP="006709EC">
            <w:pPr>
              <w:pStyle w:val="Headingb"/>
              <w:rPr>
                <w:szCs w:val="24"/>
              </w:rPr>
            </w:pPr>
          </w:p>
        </w:tc>
      </w:tr>
    </w:tbl>
    <w:p w14:paraId="419012A3" w14:textId="77777777" w:rsidR="00EA2F9F" w:rsidRPr="00DF21F3" w:rsidRDefault="00EA2F9F" w:rsidP="00EA2F9F">
      <w:pPr>
        <w:pStyle w:val="Heading1"/>
        <w:keepNext w:val="0"/>
        <w:keepLines w:val="0"/>
        <w:tabs>
          <w:tab w:val="clear" w:pos="567"/>
          <w:tab w:val="clear" w:pos="1134"/>
          <w:tab w:val="clear" w:pos="1701"/>
          <w:tab w:val="clear" w:pos="2268"/>
          <w:tab w:val="clear" w:pos="2835"/>
        </w:tabs>
        <w:snapToGrid w:val="0"/>
        <w:spacing w:before="600" w:after="120"/>
        <w:ind w:left="0" w:firstLine="0"/>
        <w:jc w:val="both"/>
        <w:rPr>
          <w:rFonts w:asciiTheme="minorHAnsi" w:hAnsiTheme="minorHAnsi"/>
          <w:sz w:val="24"/>
          <w:szCs w:val="24"/>
        </w:rPr>
      </w:pPr>
      <w:bookmarkStart w:id="9" w:name="dstart"/>
      <w:bookmarkStart w:id="10" w:name="dbreak"/>
      <w:bookmarkEnd w:id="9"/>
      <w:bookmarkEnd w:id="10"/>
      <w:r w:rsidRPr="00DF21F3">
        <w:rPr>
          <w:rFonts w:asciiTheme="minorHAnsi" w:hAnsiTheme="minorHAnsi"/>
          <w:sz w:val="24"/>
          <w:szCs w:val="24"/>
        </w:rPr>
        <w:t>1.</w:t>
      </w:r>
      <w:r w:rsidRPr="00DF21F3">
        <w:rPr>
          <w:rFonts w:asciiTheme="minorHAnsi" w:hAnsiTheme="minorHAnsi"/>
          <w:sz w:val="24"/>
          <w:szCs w:val="24"/>
        </w:rPr>
        <w:tab/>
        <w:t>Background</w:t>
      </w:r>
    </w:p>
    <w:p w14:paraId="4F27DCBE" w14:textId="0CF060AE" w:rsidR="00EA2F9F" w:rsidRPr="00C8350C" w:rsidRDefault="00EA2F9F" w:rsidP="000563C7">
      <w:pPr>
        <w:tabs>
          <w:tab w:val="clear" w:pos="567"/>
          <w:tab w:val="clear" w:pos="1134"/>
          <w:tab w:val="clear" w:pos="1701"/>
          <w:tab w:val="clear" w:pos="2268"/>
          <w:tab w:val="clear" w:pos="2835"/>
          <w:tab w:val="left" w:pos="709"/>
        </w:tabs>
        <w:snapToGrid w:val="0"/>
        <w:spacing w:after="120"/>
        <w:jc w:val="both"/>
        <w:rPr>
          <w:rFonts w:asciiTheme="minorHAnsi" w:hAnsiTheme="minorHAnsi"/>
          <w:szCs w:val="24"/>
        </w:rPr>
      </w:pPr>
      <w:r w:rsidRPr="00C8350C">
        <w:rPr>
          <w:rFonts w:asciiTheme="minorHAnsi" w:hAnsiTheme="minorHAnsi"/>
          <w:szCs w:val="24"/>
        </w:rPr>
        <w:t>1.1</w:t>
      </w:r>
      <w:r w:rsidRPr="00C8350C">
        <w:rPr>
          <w:rFonts w:asciiTheme="minorHAnsi" w:hAnsiTheme="minorHAnsi"/>
          <w:szCs w:val="24"/>
        </w:rPr>
        <w:tab/>
      </w:r>
      <w:r w:rsidR="006709EC" w:rsidRPr="00C8350C">
        <w:rPr>
          <w:rFonts w:asciiTheme="minorHAnsi" w:hAnsiTheme="minorHAnsi" w:cs="TimesNewRoman,Bold"/>
          <w:color w:val="000000" w:themeColor="text1"/>
          <w:szCs w:val="24"/>
        </w:rPr>
        <w:t xml:space="preserve">ITU’s iconic new HQ building will </w:t>
      </w:r>
      <w:r w:rsidR="00521386" w:rsidRPr="00C8350C">
        <w:rPr>
          <w:rFonts w:asciiTheme="minorHAnsi" w:hAnsiTheme="minorHAnsi" w:cs="TimesNewRoman,Bold"/>
          <w:color w:val="000000" w:themeColor="text1"/>
          <w:szCs w:val="24"/>
        </w:rPr>
        <w:t>face</w:t>
      </w:r>
      <w:r w:rsidR="006709EC" w:rsidRPr="00C8350C">
        <w:rPr>
          <w:rFonts w:asciiTheme="minorHAnsi" w:hAnsiTheme="minorHAnsi" w:cs="TimesNewRoman,Bold"/>
          <w:color w:val="000000" w:themeColor="text1"/>
          <w:szCs w:val="24"/>
        </w:rPr>
        <w:t xml:space="preserve"> Place des Nations</w:t>
      </w:r>
      <w:r w:rsidR="00A3576B" w:rsidRPr="00C8350C">
        <w:rPr>
          <w:rFonts w:asciiTheme="minorHAnsi" w:hAnsiTheme="minorHAnsi" w:cs="TimesNewRoman,Bold"/>
          <w:color w:val="000000" w:themeColor="text1"/>
          <w:szCs w:val="24"/>
        </w:rPr>
        <w:t xml:space="preserve"> in</w:t>
      </w:r>
      <w:r w:rsidR="006709EC" w:rsidRPr="00C8350C">
        <w:rPr>
          <w:rFonts w:asciiTheme="minorHAnsi" w:hAnsiTheme="minorHAnsi" w:cs="TimesNewRoman,Bold"/>
          <w:color w:val="000000" w:themeColor="text1"/>
          <w:szCs w:val="24"/>
        </w:rPr>
        <w:t xml:space="preserve"> the </w:t>
      </w:r>
      <w:r w:rsidR="00521386" w:rsidRPr="00C8350C">
        <w:rPr>
          <w:rFonts w:asciiTheme="minorHAnsi" w:hAnsiTheme="minorHAnsi" w:cs="TimesNewRoman,Bold"/>
          <w:color w:val="000000" w:themeColor="text1"/>
          <w:szCs w:val="24"/>
        </w:rPr>
        <w:t xml:space="preserve">heart </w:t>
      </w:r>
      <w:r w:rsidR="006709EC" w:rsidRPr="00C8350C">
        <w:rPr>
          <w:rFonts w:asciiTheme="minorHAnsi" w:hAnsiTheme="minorHAnsi" w:cs="TimesNewRoman,Bold"/>
          <w:color w:val="000000" w:themeColor="text1"/>
          <w:szCs w:val="24"/>
        </w:rPr>
        <w:t>of International Geneva</w:t>
      </w:r>
      <w:r w:rsidRPr="00C8350C">
        <w:rPr>
          <w:rFonts w:asciiTheme="minorHAnsi" w:hAnsiTheme="minorHAnsi"/>
          <w:szCs w:val="24"/>
        </w:rPr>
        <w:t>.</w:t>
      </w:r>
    </w:p>
    <w:p w14:paraId="474C4395" w14:textId="3826DA11" w:rsidR="00EA2F9F" w:rsidRPr="00C8350C" w:rsidRDefault="00EA2F9F" w:rsidP="000563C7">
      <w:pPr>
        <w:tabs>
          <w:tab w:val="clear" w:pos="567"/>
          <w:tab w:val="clear" w:pos="1134"/>
          <w:tab w:val="clear" w:pos="1701"/>
          <w:tab w:val="clear" w:pos="2268"/>
          <w:tab w:val="clear" w:pos="2835"/>
          <w:tab w:val="left" w:pos="709"/>
        </w:tabs>
        <w:snapToGrid w:val="0"/>
        <w:spacing w:after="120"/>
        <w:jc w:val="both"/>
        <w:rPr>
          <w:rFonts w:asciiTheme="minorHAnsi" w:hAnsiTheme="minorHAnsi"/>
          <w:szCs w:val="24"/>
        </w:rPr>
      </w:pPr>
      <w:r w:rsidRPr="00C8350C">
        <w:rPr>
          <w:rFonts w:asciiTheme="minorHAnsi" w:hAnsiTheme="minorHAnsi"/>
          <w:bCs/>
          <w:szCs w:val="24"/>
        </w:rPr>
        <w:t>1.2</w:t>
      </w:r>
      <w:r w:rsidRPr="00C8350C">
        <w:rPr>
          <w:rFonts w:asciiTheme="minorHAnsi" w:hAnsiTheme="minorHAnsi"/>
          <w:szCs w:val="24"/>
        </w:rPr>
        <w:tab/>
      </w:r>
      <w:r w:rsidR="006709EC" w:rsidRPr="00C8350C">
        <w:rPr>
          <w:rFonts w:asciiTheme="minorHAnsi" w:hAnsiTheme="minorHAnsi" w:cs="TimesNewRoman,Bold"/>
          <w:color w:val="000000" w:themeColor="text1"/>
          <w:szCs w:val="24"/>
        </w:rPr>
        <w:t xml:space="preserve">ITU premises have </w:t>
      </w:r>
      <w:r w:rsidR="000563C7" w:rsidRPr="00C8350C">
        <w:rPr>
          <w:rFonts w:asciiTheme="minorHAnsi" w:hAnsiTheme="minorHAnsi" w:cs="TimesNewRoman,Bold"/>
          <w:color w:val="000000" w:themeColor="text1"/>
          <w:szCs w:val="24"/>
        </w:rPr>
        <w:t xml:space="preserve">in the past </w:t>
      </w:r>
      <w:r w:rsidR="006709EC" w:rsidRPr="00C8350C">
        <w:rPr>
          <w:rFonts w:asciiTheme="minorHAnsi" w:hAnsiTheme="minorHAnsi" w:cs="TimesNewRoman,Bold"/>
          <w:color w:val="000000" w:themeColor="text1"/>
          <w:szCs w:val="24"/>
        </w:rPr>
        <w:t xml:space="preserve">benefitted greatly from the generous donations and sponsorships from Member States and </w:t>
      </w:r>
      <w:r w:rsidR="000563C7" w:rsidRPr="00C8350C">
        <w:rPr>
          <w:rFonts w:asciiTheme="minorHAnsi" w:hAnsiTheme="minorHAnsi" w:cs="TimesNewRoman,Bold"/>
          <w:color w:val="000000" w:themeColor="text1"/>
          <w:szCs w:val="24"/>
        </w:rPr>
        <w:t>S</w:t>
      </w:r>
      <w:r w:rsidR="006709EC" w:rsidRPr="00C8350C">
        <w:rPr>
          <w:rFonts w:asciiTheme="minorHAnsi" w:hAnsiTheme="minorHAnsi" w:cs="TimesNewRoman,Bold"/>
          <w:color w:val="000000" w:themeColor="text1"/>
          <w:szCs w:val="24"/>
        </w:rPr>
        <w:t xml:space="preserve">ector </w:t>
      </w:r>
      <w:r w:rsidR="000563C7" w:rsidRPr="00C8350C">
        <w:rPr>
          <w:rFonts w:asciiTheme="minorHAnsi" w:hAnsiTheme="minorHAnsi" w:cs="TimesNewRoman,Bold"/>
          <w:color w:val="000000" w:themeColor="text1"/>
          <w:szCs w:val="24"/>
        </w:rPr>
        <w:t>M</w:t>
      </w:r>
      <w:r w:rsidR="006709EC" w:rsidRPr="00C8350C">
        <w:rPr>
          <w:rFonts w:asciiTheme="minorHAnsi" w:hAnsiTheme="minorHAnsi" w:cs="TimesNewRoman,Bold"/>
          <w:color w:val="000000" w:themeColor="text1"/>
          <w:szCs w:val="24"/>
        </w:rPr>
        <w:t xml:space="preserve">embers. The construction of the New Building will </w:t>
      </w:r>
      <w:r w:rsidR="000563C7" w:rsidRPr="00C8350C">
        <w:rPr>
          <w:rFonts w:asciiTheme="minorHAnsi" w:hAnsiTheme="minorHAnsi" w:cs="TimesNewRoman,Bold"/>
          <w:color w:val="000000" w:themeColor="text1"/>
          <w:szCs w:val="24"/>
        </w:rPr>
        <w:t>offer a unique</w:t>
      </w:r>
      <w:r w:rsidR="006709EC" w:rsidRPr="00C8350C">
        <w:rPr>
          <w:rFonts w:asciiTheme="minorHAnsi" w:hAnsiTheme="minorHAnsi" w:cs="TimesNewRoman,Bold"/>
          <w:color w:val="000000" w:themeColor="text1"/>
          <w:szCs w:val="24"/>
        </w:rPr>
        <w:t xml:space="preserve"> opportunity for sponsors to </w:t>
      </w:r>
      <w:r w:rsidR="000563C7" w:rsidRPr="00C8350C">
        <w:rPr>
          <w:rFonts w:asciiTheme="minorHAnsi" w:hAnsiTheme="minorHAnsi" w:cs="TimesNewRoman,Bold"/>
          <w:color w:val="000000" w:themeColor="text1"/>
          <w:szCs w:val="24"/>
        </w:rPr>
        <w:t xml:space="preserve">contribute to the future home of ITU and </w:t>
      </w:r>
      <w:r w:rsidR="006709EC" w:rsidRPr="00C8350C">
        <w:rPr>
          <w:rFonts w:asciiTheme="minorHAnsi" w:hAnsiTheme="minorHAnsi" w:cs="TimesNewRoman,Bold"/>
          <w:color w:val="000000" w:themeColor="text1"/>
          <w:szCs w:val="24"/>
        </w:rPr>
        <w:t xml:space="preserve">gain </w:t>
      </w:r>
      <w:r w:rsidR="000563C7" w:rsidRPr="00C8350C">
        <w:rPr>
          <w:rFonts w:asciiTheme="minorHAnsi" w:hAnsiTheme="minorHAnsi" w:cs="TimesNewRoman,Bold"/>
          <w:color w:val="000000" w:themeColor="text1"/>
          <w:szCs w:val="24"/>
        </w:rPr>
        <w:t>recognition</w:t>
      </w:r>
      <w:r w:rsidRPr="00C8350C">
        <w:rPr>
          <w:rFonts w:asciiTheme="minorHAnsi" w:hAnsiTheme="minorHAnsi"/>
          <w:bCs/>
          <w:szCs w:val="24"/>
        </w:rPr>
        <w:t>.</w:t>
      </w:r>
      <w:r w:rsidRPr="00C8350C">
        <w:rPr>
          <w:rFonts w:asciiTheme="minorHAnsi" w:hAnsiTheme="minorHAnsi"/>
          <w:szCs w:val="24"/>
        </w:rPr>
        <w:t xml:space="preserve"> </w:t>
      </w:r>
    </w:p>
    <w:p w14:paraId="53C98DCF" w14:textId="458899AA" w:rsidR="00227283" w:rsidRPr="00C8350C" w:rsidRDefault="00227283" w:rsidP="000563C7">
      <w:pPr>
        <w:tabs>
          <w:tab w:val="clear" w:pos="567"/>
          <w:tab w:val="clear" w:pos="1134"/>
          <w:tab w:val="clear" w:pos="1701"/>
          <w:tab w:val="clear" w:pos="2268"/>
          <w:tab w:val="clear" w:pos="2835"/>
          <w:tab w:val="left" w:pos="709"/>
        </w:tabs>
        <w:snapToGrid w:val="0"/>
        <w:spacing w:after="120"/>
        <w:jc w:val="both"/>
        <w:rPr>
          <w:rFonts w:asciiTheme="minorHAnsi" w:hAnsiTheme="minorHAnsi"/>
          <w:szCs w:val="24"/>
        </w:rPr>
      </w:pPr>
      <w:r w:rsidRPr="00DF21F3">
        <w:rPr>
          <w:rFonts w:asciiTheme="minorHAnsi" w:hAnsiTheme="minorHAnsi"/>
          <w:bCs/>
          <w:color w:val="000000" w:themeColor="text1"/>
          <w:szCs w:val="24"/>
        </w:rPr>
        <w:t>1.3</w:t>
      </w:r>
      <w:r w:rsidRPr="00DF21F3">
        <w:rPr>
          <w:rFonts w:asciiTheme="minorHAnsi" w:hAnsiTheme="minorHAnsi"/>
          <w:bCs/>
          <w:color w:val="000000" w:themeColor="text1"/>
          <w:szCs w:val="24"/>
        </w:rPr>
        <w:tab/>
        <w:t xml:space="preserve">This </w:t>
      </w:r>
      <w:r w:rsidR="000563C7" w:rsidRPr="00DF21F3">
        <w:rPr>
          <w:rFonts w:asciiTheme="minorHAnsi" w:hAnsiTheme="minorHAnsi"/>
          <w:bCs/>
          <w:color w:val="000000" w:themeColor="text1"/>
          <w:szCs w:val="24"/>
        </w:rPr>
        <w:t xml:space="preserve">document </w:t>
      </w:r>
      <w:r w:rsidRPr="00DF21F3">
        <w:rPr>
          <w:rFonts w:asciiTheme="minorHAnsi" w:hAnsiTheme="minorHAnsi"/>
          <w:bCs/>
          <w:color w:val="000000" w:themeColor="text1"/>
          <w:szCs w:val="24"/>
        </w:rPr>
        <w:t>has been developed in close collaboration with MSAG, whose guidance is much appreciated. A draft version of this document has been discussed and supported by MSAG in its fourth meeting (24 January 2018)</w:t>
      </w:r>
      <w:r w:rsidRPr="00C8350C">
        <w:rPr>
          <w:rFonts w:asciiTheme="minorHAnsi" w:eastAsia="SimSun" w:hAnsiTheme="minorHAnsi" w:cstheme="minorHAnsi"/>
          <w:bCs/>
          <w:color w:val="000000"/>
          <w:szCs w:val="24"/>
          <w:lang w:eastAsia="zh-CN"/>
        </w:rPr>
        <w:t>.</w:t>
      </w:r>
    </w:p>
    <w:p w14:paraId="76522081" w14:textId="77777777" w:rsidR="00EA2F9F" w:rsidRPr="00DF21F3" w:rsidRDefault="006709EC" w:rsidP="00EA2F9F">
      <w:pPr>
        <w:tabs>
          <w:tab w:val="clear" w:pos="567"/>
          <w:tab w:val="clear" w:pos="1134"/>
          <w:tab w:val="clear" w:pos="1701"/>
          <w:tab w:val="clear" w:pos="2268"/>
          <w:tab w:val="clear" w:pos="2835"/>
        </w:tabs>
        <w:overflowPunct/>
        <w:autoSpaceDE/>
        <w:autoSpaceDN/>
        <w:snapToGrid w:val="0"/>
        <w:spacing w:before="480" w:after="120"/>
        <w:jc w:val="both"/>
        <w:textAlignment w:val="auto"/>
        <w:rPr>
          <w:rFonts w:asciiTheme="minorHAnsi" w:hAnsiTheme="minorHAnsi"/>
          <w:b/>
          <w:bCs/>
          <w:szCs w:val="24"/>
        </w:rPr>
      </w:pPr>
      <w:r w:rsidRPr="00DF21F3">
        <w:rPr>
          <w:rFonts w:asciiTheme="minorHAnsi" w:hAnsiTheme="minorHAnsi"/>
          <w:b/>
          <w:bCs/>
          <w:szCs w:val="24"/>
        </w:rPr>
        <w:t>2.</w:t>
      </w:r>
      <w:r w:rsidRPr="00DF21F3">
        <w:rPr>
          <w:rFonts w:asciiTheme="minorHAnsi" w:hAnsiTheme="minorHAnsi"/>
          <w:b/>
          <w:bCs/>
          <w:szCs w:val="24"/>
        </w:rPr>
        <w:tab/>
        <w:t>Sponsorship Principles</w:t>
      </w:r>
    </w:p>
    <w:p w14:paraId="47B5DAB1" w14:textId="2AF1F11B" w:rsidR="003A39D9" w:rsidRPr="00C8350C" w:rsidRDefault="00EA2F9F" w:rsidP="00F560F4">
      <w:pPr>
        <w:tabs>
          <w:tab w:val="clear" w:pos="567"/>
          <w:tab w:val="clear" w:pos="1134"/>
          <w:tab w:val="left" w:pos="709"/>
          <w:tab w:val="left" w:pos="851"/>
        </w:tabs>
        <w:spacing w:after="120"/>
        <w:jc w:val="both"/>
        <w:rPr>
          <w:rFonts w:asciiTheme="minorHAnsi" w:hAnsiTheme="minorHAnsi"/>
          <w:szCs w:val="24"/>
          <w:lang w:val="en-US"/>
        </w:rPr>
      </w:pPr>
      <w:r w:rsidRPr="00C8350C">
        <w:rPr>
          <w:rFonts w:asciiTheme="minorHAnsi" w:hAnsiTheme="minorHAnsi"/>
          <w:szCs w:val="24"/>
          <w:lang w:val="en-US"/>
        </w:rPr>
        <w:t>2.1</w:t>
      </w:r>
      <w:r w:rsidRPr="00C8350C">
        <w:rPr>
          <w:rFonts w:asciiTheme="minorHAnsi" w:hAnsiTheme="minorHAnsi"/>
          <w:szCs w:val="24"/>
        </w:rPr>
        <w:tab/>
      </w:r>
      <w:r w:rsidR="006709EC" w:rsidRPr="00C8350C">
        <w:rPr>
          <w:rFonts w:asciiTheme="minorHAnsi" w:hAnsiTheme="minorHAnsi" w:cs="TimesNewRoman"/>
          <w:color w:val="000000" w:themeColor="text1"/>
          <w:szCs w:val="24"/>
        </w:rPr>
        <w:t xml:space="preserve">At its 2017 ordinary session, ITU Council endorsed the document </w:t>
      </w:r>
      <w:hyperlink r:id="rId9" w:history="1">
        <w:r w:rsidR="006709EC" w:rsidRPr="00DF21F3">
          <w:rPr>
            <w:rStyle w:val="Hyperlink"/>
            <w:bCs/>
            <w:szCs w:val="24"/>
            <w:lang w:val="en-US"/>
          </w:rPr>
          <w:t>C17/67</w:t>
        </w:r>
      </w:hyperlink>
      <w:r w:rsidR="006709EC" w:rsidRPr="00C8350C">
        <w:rPr>
          <w:rFonts w:asciiTheme="minorHAnsi" w:hAnsiTheme="minorHAnsi" w:cs="TimesNewRoman"/>
          <w:color w:val="000000" w:themeColor="text1"/>
          <w:szCs w:val="24"/>
        </w:rPr>
        <w:t>, “Improving the stability and predictability of the financial base of the Union”, including Annex 1 on Principles for Resource Mobilization</w:t>
      </w:r>
      <w:r w:rsidR="008B7027">
        <w:rPr>
          <w:rFonts w:asciiTheme="minorHAnsi" w:hAnsiTheme="minorHAnsi" w:cs="TimesNewRoman"/>
          <w:color w:val="000000" w:themeColor="text1"/>
          <w:szCs w:val="24"/>
        </w:rPr>
        <w:t xml:space="preserve"> (that is also annexed to this document)</w:t>
      </w:r>
      <w:r w:rsidR="006709EC" w:rsidRPr="00C8350C">
        <w:rPr>
          <w:rFonts w:asciiTheme="minorHAnsi" w:hAnsiTheme="minorHAnsi" w:cs="TimesNewRoman"/>
          <w:color w:val="000000" w:themeColor="text1"/>
          <w:szCs w:val="24"/>
        </w:rPr>
        <w:t>. The following general principles guide any sponsorship activity in ITU:</w:t>
      </w:r>
      <w:r w:rsidRPr="00C8350C">
        <w:rPr>
          <w:rFonts w:asciiTheme="minorHAnsi" w:hAnsiTheme="minorHAnsi"/>
          <w:szCs w:val="24"/>
          <w:lang w:val="en-US"/>
        </w:rPr>
        <w:t xml:space="preserve"> </w:t>
      </w:r>
    </w:p>
    <w:p w14:paraId="26938C72" w14:textId="77777777" w:rsidR="003A39D9" w:rsidRPr="00C8350C" w:rsidRDefault="003A39D9" w:rsidP="00C666E3">
      <w:pPr>
        <w:tabs>
          <w:tab w:val="clear" w:pos="567"/>
          <w:tab w:val="left" w:pos="709"/>
          <w:tab w:val="left" w:pos="993"/>
        </w:tabs>
        <w:spacing w:after="120"/>
        <w:jc w:val="both"/>
        <w:rPr>
          <w:rFonts w:asciiTheme="minorHAnsi" w:hAnsiTheme="minorHAnsi"/>
          <w:szCs w:val="24"/>
          <w:lang w:val="en-US"/>
        </w:rPr>
      </w:pPr>
      <w:r w:rsidRPr="00C8350C">
        <w:rPr>
          <w:rFonts w:asciiTheme="minorHAnsi" w:hAnsiTheme="minorHAnsi"/>
          <w:szCs w:val="24"/>
          <w:lang w:val="en-US"/>
        </w:rPr>
        <w:lastRenderedPageBreak/>
        <w:t>2.2</w:t>
      </w:r>
      <w:r w:rsidRPr="00C8350C">
        <w:rPr>
          <w:rFonts w:asciiTheme="minorHAnsi" w:hAnsiTheme="minorHAnsi"/>
          <w:szCs w:val="24"/>
          <w:lang w:val="en-US"/>
        </w:rPr>
        <w:tab/>
      </w:r>
      <w:r w:rsidR="006709EC" w:rsidRPr="00DF21F3">
        <w:rPr>
          <w:rFonts w:eastAsiaTheme="minorEastAsia" w:cstheme="minorBidi"/>
          <w:b/>
          <w:szCs w:val="24"/>
        </w:rPr>
        <w:t>Adherence to UN principles</w:t>
      </w:r>
      <w:r w:rsidR="006709EC" w:rsidRPr="00DF21F3">
        <w:rPr>
          <w:rFonts w:eastAsiaTheme="minorEastAsia" w:cstheme="minorBidi"/>
          <w:szCs w:val="24"/>
        </w:rPr>
        <w:t>: ITU will only offer sponsorship opportunities to entities that exhibit behaviour which is in line with UN principles, including human rights, labour, environment and anti-corruption</w:t>
      </w:r>
      <w:r w:rsidRPr="00C8350C">
        <w:rPr>
          <w:rFonts w:asciiTheme="minorHAnsi" w:hAnsiTheme="minorHAnsi"/>
          <w:szCs w:val="24"/>
          <w:lang w:val="en-US"/>
        </w:rPr>
        <w:t>.</w:t>
      </w:r>
    </w:p>
    <w:p w14:paraId="057FCA95" w14:textId="77777777" w:rsidR="003A39D9" w:rsidRPr="00C8350C" w:rsidRDefault="003A39D9" w:rsidP="00F560F4">
      <w:pPr>
        <w:tabs>
          <w:tab w:val="clear" w:pos="567"/>
          <w:tab w:val="clear" w:pos="1134"/>
          <w:tab w:val="left" w:pos="709"/>
          <w:tab w:val="left" w:pos="851"/>
        </w:tabs>
        <w:spacing w:after="120"/>
        <w:jc w:val="both"/>
        <w:rPr>
          <w:szCs w:val="24"/>
        </w:rPr>
      </w:pPr>
      <w:r w:rsidRPr="00C8350C">
        <w:rPr>
          <w:szCs w:val="24"/>
        </w:rPr>
        <w:t>2</w:t>
      </w:r>
      <w:r w:rsidR="00753456" w:rsidRPr="00C8350C">
        <w:rPr>
          <w:szCs w:val="24"/>
        </w:rPr>
        <w:t>.3</w:t>
      </w:r>
      <w:r w:rsidRPr="00C8350C">
        <w:rPr>
          <w:szCs w:val="24"/>
        </w:rPr>
        <w:tab/>
      </w:r>
      <w:r w:rsidR="006709EC" w:rsidRPr="00DF21F3">
        <w:rPr>
          <w:rFonts w:eastAsiaTheme="minorEastAsia" w:cstheme="minorBidi"/>
          <w:b/>
          <w:szCs w:val="24"/>
        </w:rPr>
        <w:t>Advancement of ITU goals</w:t>
      </w:r>
      <w:r w:rsidR="006709EC" w:rsidRPr="00DF21F3">
        <w:rPr>
          <w:rFonts w:eastAsiaTheme="minorEastAsia" w:cstheme="minorBidi"/>
          <w:szCs w:val="24"/>
        </w:rPr>
        <w:t>: The objective of the sponsorship arrangement needs to be articulated clearly and must be consistent with the overall ITU goals as outlined in its Constitution and Convention and ITU Strategic Plan. Furthermore, while the sponsor does not need to be a telecommunications/ICT company or entity, they should have activities related to the work of ITU, which could be highlighted as part of the sponsorship visibility</w:t>
      </w:r>
      <w:r w:rsidRPr="00C8350C">
        <w:rPr>
          <w:szCs w:val="24"/>
        </w:rPr>
        <w:t xml:space="preserve">. </w:t>
      </w:r>
      <w:r w:rsidRPr="00C8350C">
        <w:rPr>
          <w:rFonts w:asciiTheme="minorHAnsi" w:hAnsiTheme="minorHAnsi"/>
          <w:szCs w:val="24"/>
          <w:lang w:val="en-US"/>
        </w:rPr>
        <w:t xml:space="preserve"> </w:t>
      </w:r>
    </w:p>
    <w:p w14:paraId="128B6F74" w14:textId="77777777" w:rsidR="003A39D9" w:rsidRPr="00C8350C" w:rsidRDefault="00753456" w:rsidP="00F560F4">
      <w:pPr>
        <w:tabs>
          <w:tab w:val="clear" w:pos="567"/>
          <w:tab w:val="left" w:pos="709"/>
          <w:tab w:val="left" w:pos="993"/>
        </w:tabs>
        <w:spacing w:after="120"/>
        <w:jc w:val="both"/>
        <w:rPr>
          <w:szCs w:val="24"/>
        </w:rPr>
      </w:pPr>
      <w:r w:rsidRPr="00C8350C">
        <w:rPr>
          <w:rFonts w:asciiTheme="minorHAnsi" w:hAnsiTheme="minorHAnsi"/>
          <w:szCs w:val="24"/>
          <w:lang w:val="en-US"/>
        </w:rPr>
        <w:t>2.4</w:t>
      </w:r>
      <w:r w:rsidR="003A39D9" w:rsidRPr="00C8350C">
        <w:rPr>
          <w:rFonts w:asciiTheme="minorHAnsi" w:hAnsiTheme="minorHAnsi"/>
          <w:szCs w:val="24"/>
          <w:lang w:val="en-US"/>
        </w:rPr>
        <w:tab/>
      </w:r>
      <w:r w:rsidR="006709EC" w:rsidRPr="00DF21F3">
        <w:rPr>
          <w:rFonts w:eastAsiaTheme="minorEastAsia" w:cstheme="minorBidi"/>
          <w:b/>
          <w:szCs w:val="24"/>
        </w:rPr>
        <w:t>Clearly defined roles and responsibilities</w:t>
      </w:r>
      <w:r w:rsidR="006709EC" w:rsidRPr="00DF21F3">
        <w:rPr>
          <w:rFonts w:eastAsiaTheme="minorEastAsia" w:cstheme="minorBidi"/>
          <w:szCs w:val="24"/>
        </w:rPr>
        <w:t>: The sponsorship arrangement must be based on a clear understanding of respective roles and expectations, with accountability and a clear division of responsibilities between ITU and the sponsor</w:t>
      </w:r>
      <w:r w:rsidRPr="00C8350C">
        <w:rPr>
          <w:szCs w:val="24"/>
        </w:rPr>
        <w:t xml:space="preserve">. </w:t>
      </w:r>
    </w:p>
    <w:p w14:paraId="0A3F66E6" w14:textId="5E6A2B4A" w:rsidR="006709EC" w:rsidRPr="00DF21F3" w:rsidRDefault="006709EC" w:rsidP="00F560F4">
      <w:pPr>
        <w:tabs>
          <w:tab w:val="clear" w:pos="567"/>
          <w:tab w:val="left" w:pos="709"/>
          <w:tab w:val="left" w:pos="993"/>
        </w:tabs>
        <w:spacing w:after="120"/>
        <w:jc w:val="both"/>
        <w:rPr>
          <w:rFonts w:eastAsiaTheme="minorEastAsia" w:cstheme="minorBidi"/>
          <w:szCs w:val="24"/>
        </w:rPr>
      </w:pPr>
      <w:r w:rsidRPr="00DF21F3">
        <w:rPr>
          <w:rFonts w:eastAsiaTheme="minorEastAsia" w:cstheme="minorBidi"/>
          <w:szCs w:val="24"/>
        </w:rPr>
        <w:t>2.5</w:t>
      </w:r>
      <w:r w:rsidRPr="00DF21F3">
        <w:rPr>
          <w:rFonts w:eastAsiaTheme="minorEastAsia" w:cstheme="minorBidi"/>
          <w:szCs w:val="24"/>
        </w:rPr>
        <w:tab/>
      </w:r>
      <w:r w:rsidRPr="00DF21F3">
        <w:rPr>
          <w:rFonts w:eastAsiaTheme="minorEastAsia" w:cstheme="minorBidi"/>
          <w:b/>
          <w:szCs w:val="24"/>
        </w:rPr>
        <w:t>Maintenance of integrity, independence, impartiality</w:t>
      </w:r>
      <w:r w:rsidR="0086326D">
        <w:rPr>
          <w:rFonts w:eastAsiaTheme="minorEastAsia" w:cstheme="minorBidi"/>
          <w:b/>
          <w:szCs w:val="24"/>
        </w:rPr>
        <w:t>,</w:t>
      </w:r>
      <w:r w:rsidRPr="00DF21F3">
        <w:rPr>
          <w:rFonts w:eastAsiaTheme="minorEastAsia" w:cstheme="minorBidi"/>
          <w:b/>
          <w:szCs w:val="24"/>
        </w:rPr>
        <w:t xml:space="preserve"> and good name</w:t>
      </w:r>
      <w:r w:rsidRPr="00DF21F3">
        <w:rPr>
          <w:rFonts w:eastAsiaTheme="minorEastAsia" w:cstheme="minorBidi"/>
          <w:szCs w:val="24"/>
        </w:rPr>
        <w:t>: Sponsorship arrangements must not diminish or negatively affect ITU’s integrity, independence and impartiality and must not confer any unfair advantage. In particular, they must not convey or suggest a direct or indirect endorsement of a company/organization, its policies, products or services. Nor should the sponsor be seen as potentially influencing ITU policies or providing an inside track to ITU’s decision-making processes.</w:t>
      </w:r>
    </w:p>
    <w:p w14:paraId="3D5B2A0C" w14:textId="03A26D98" w:rsidR="006709EC" w:rsidRPr="00C8350C" w:rsidRDefault="006709EC" w:rsidP="0086326D">
      <w:pPr>
        <w:tabs>
          <w:tab w:val="clear" w:pos="567"/>
          <w:tab w:val="left" w:pos="709"/>
          <w:tab w:val="left" w:pos="993"/>
        </w:tabs>
        <w:spacing w:after="120"/>
        <w:jc w:val="both"/>
        <w:rPr>
          <w:rFonts w:eastAsiaTheme="minorEastAsia" w:cstheme="minorBidi"/>
        </w:rPr>
      </w:pPr>
      <w:r w:rsidRPr="00C8350C">
        <w:rPr>
          <w:rFonts w:eastAsiaTheme="minorEastAsia" w:cstheme="minorBidi"/>
        </w:rPr>
        <w:t>2.6</w:t>
      </w:r>
      <w:r w:rsidRPr="00C8350C">
        <w:rPr>
          <w:rFonts w:eastAsiaTheme="minorEastAsia" w:cstheme="minorBidi"/>
        </w:rPr>
        <w:tab/>
      </w:r>
      <w:r w:rsidRPr="00C8350C">
        <w:rPr>
          <w:rFonts w:eastAsiaTheme="minorEastAsia" w:cstheme="minorBidi"/>
          <w:b/>
        </w:rPr>
        <w:t>Ensuring transparency</w:t>
      </w:r>
      <w:r w:rsidRPr="00C8350C">
        <w:rPr>
          <w:rFonts w:eastAsiaTheme="minorEastAsia" w:cstheme="minorBidi"/>
        </w:rPr>
        <w:t xml:space="preserve">: General information on the nature and scope of sponsorship opportunities should be available on the ITU website and communicated to all ITU </w:t>
      </w:r>
      <w:r w:rsidR="0086326D">
        <w:rPr>
          <w:rFonts w:eastAsiaTheme="minorEastAsia" w:cstheme="minorBidi"/>
        </w:rPr>
        <w:t>m</w:t>
      </w:r>
      <w:r w:rsidRPr="00C8350C">
        <w:rPr>
          <w:rFonts w:eastAsiaTheme="minorEastAsia" w:cstheme="minorBidi"/>
        </w:rPr>
        <w:t>embers</w:t>
      </w:r>
      <w:r w:rsidR="0086326D">
        <w:rPr>
          <w:rFonts w:eastAsiaTheme="minorEastAsia" w:cstheme="minorBidi"/>
        </w:rPr>
        <w:t>hip</w:t>
      </w:r>
      <w:r w:rsidRPr="00C8350C">
        <w:rPr>
          <w:rFonts w:eastAsiaTheme="minorEastAsia" w:cstheme="minorBidi"/>
        </w:rPr>
        <w:t>.</w:t>
      </w:r>
    </w:p>
    <w:p w14:paraId="6D68D371" w14:textId="77777777" w:rsidR="00EA2F9F" w:rsidRPr="00DF21F3" w:rsidRDefault="00EA2F9F">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sz w:val="24"/>
          <w:szCs w:val="24"/>
        </w:rPr>
      </w:pPr>
      <w:r w:rsidRPr="00DF21F3">
        <w:rPr>
          <w:rFonts w:asciiTheme="minorHAnsi" w:hAnsiTheme="minorHAnsi"/>
          <w:sz w:val="24"/>
          <w:szCs w:val="24"/>
        </w:rPr>
        <w:t>3.</w:t>
      </w:r>
      <w:r w:rsidRPr="00DF21F3">
        <w:rPr>
          <w:rFonts w:asciiTheme="minorHAnsi" w:hAnsiTheme="minorHAnsi"/>
          <w:sz w:val="24"/>
          <w:szCs w:val="24"/>
        </w:rPr>
        <w:tab/>
      </w:r>
      <w:r w:rsidR="006709EC" w:rsidRPr="00DF21F3">
        <w:rPr>
          <w:rFonts w:asciiTheme="minorHAnsi" w:hAnsiTheme="minorHAnsi" w:cstheme="minorHAnsi"/>
          <w:sz w:val="24"/>
          <w:szCs w:val="24"/>
        </w:rPr>
        <w:t>Sponsorship Principles as applied to the New Building</w:t>
      </w:r>
      <w:r w:rsidR="006709EC" w:rsidRPr="00DF21F3">
        <w:rPr>
          <w:rFonts w:asciiTheme="minorHAnsi" w:hAnsiTheme="minorHAnsi"/>
          <w:sz w:val="24"/>
          <w:szCs w:val="24"/>
        </w:rPr>
        <w:t xml:space="preserve"> </w:t>
      </w:r>
    </w:p>
    <w:p w14:paraId="1B7CF048" w14:textId="378B2151" w:rsidR="006709EC" w:rsidRPr="00C8350C" w:rsidRDefault="006709EC" w:rsidP="001D6BAF">
      <w:pPr>
        <w:jc w:val="both"/>
        <w:rPr>
          <w:rFonts w:cs="Calibri"/>
          <w:color w:val="000000" w:themeColor="text1"/>
          <w:szCs w:val="24"/>
        </w:rPr>
      </w:pPr>
      <w:r w:rsidRPr="00C8350C">
        <w:rPr>
          <w:rFonts w:asciiTheme="minorHAnsi" w:hAnsiTheme="minorHAnsi" w:cs="TimesNewRoman"/>
          <w:color w:val="000000" w:themeColor="text1"/>
          <w:szCs w:val="24"/>
        </w:rPr>
        <w:t>3.1</w:t>
      </w:r>
      <w:r w:rsidRPr="00C8350C">
        <w:rPr>
          <w:rFonts w:asciiTheme="minorHAnsi" w:hAnsiTheme="minorHAnsi" w:cs="TimesNewRoman"/>
          <w:color w:val="000000" w:themeColor="text1"/>
          <w:szCs w:val="24"/>
        </w:rPr>
        <w:tab/>
      </w:r>
      <w:r w:rsidRPr="00C8350C">
        <w:rPr>
          <w:rFonts w:cs="Calibri"/>
          <w:color w:val="000000" w:themeColor="text1"/>
          <w:szCs w:val="24"/>
        </w:rPr>
        <w:t>The following draft guidelines provide transparency, fairness</w:t>
      </w:r>
      <w:r w:rsidR="0086326D">
        <w:rPr>
          <w:rFonts w:cs="Calibri"/>
          <w:color w:val="000000" w:themeColor="text1"/>
          <w:szCs w:val="24"/>
        </w:rPr>
        <w:t>,</w:t>
      </w:r>
      <w:r w:rsidRPr="00C8350C">
        <w:rPr>
          <w:rFonts w:cs="Calibri"/>
          <w:color w:val="000000" w:themeColor="text1"/>
          <w:szCs w:val="24"/>
        </w:rPr>
        <w:t xml:space="preserve"> and financial predictability for the Union in the organization of any sponsorships to be received to support various elements of the new building, such as for conference/meeting rooms and their related technology, provision of equipment, facilities</w:t>
      </w:r>
      <w:r w:rsidR="0086326D">
        <w:rPr>
          <w:rFonts w:cs="Calibri"/>
          <w:color w:val="000000" w:themeColor="text1"/>
          <w:szCs w:val="24"/>
        </w:rPr>
        <w:t>,</w:t>
      </w:r>
      <w:r w:rsidRPr="00C8350C">
        <w:rPr>
          <w:rFonts w:cs="Calibri"/>
          <w:color w:val="000000" w:themeColor="text1"/>
          <w:szCs w:val="24"/>
        </w:rPr>
        <w:t xml:space="preserve"> etc. These guidelines are consistent with the principles for resource mobilization endorsed by Council 2017. </w:t>
      </w:r>
    </w:p>
    <w:p w14:paraId="5283C603" w14:textId="20E2A5BF" w:rsidR="006709EC" w:rsidRPr="00DF21F3" w:rsidRDefault="006709EC" w:rsidP="001D6BAF">
      <w:pPr>
        <w:pStyle w:val="ListParagraph"/>
        <w:spacing w:before="120"/>
        <w:ind w:left="360" w:hanging="360"/>
        <w:jc w:val="both"/>
        <w:rPr>
          <w:sz w:val="24"/>
          <w:szCs w:val="24"/>
        </w:rPr>
      </w:pPr>
      <w:r w:rsidRPr="00DF21F3">
        <w:rPr>
          <w:rFonts w:ascii="Calibri" w:hAnsi="Calibri" w:cs="Calibri"/>
          <w:color w:val="000000" w:themeColor="text1"/>
          <w:sz w:val="24"/>
          <w:szCs w:val="24"/>
        </w:rPr>
        <w:t>-</w:t>
      </w:r>
      <w:r w:rsidRPr="00DF21F3">
        <w:rPr>
          <w:color w:val="000000" w:themeColor="text1"/>
          <w:sz w:val="24"/>
          <w:szCs w:val="24"/>
        </w:rPr>
        <w:tab/>
      </w:r>
      <w:r w:rsidRPr="00DF21F3">
        <w:rPr>
          <w:rFonts w:ascii="Calibri" w:hAnsi="Calibri" w:cs="Calibri"/>
          <w:color w:val="000000" w:themeColor="text1"/>
          <w:sz w:val="24"/>
          <w:szCs w:val="24"/>
        </w:rPr>
        <w:t xml:space="preserve">Opportunities </w:t>
      </w:r>
      <w:r w:rsidRPr="001D6BAF">
        <w:rPr>
          <w:rFonts w:cstheme="minorHAnsi"/>
          <w:color w:val="000000" w:themeColor="text1"/>
          <w:sz w:val="24"/>
          <w:szCs w:val="24"/>
        </w:rPr>
        <w:t>for</w:t>
      </w:r>
      <w:r w:rsidRPr="00DF21F3">
        <w:rPr>
          <w:rFonts w:ascii="Calibri" w:hAnsi="Calibri" w:cs="Calibri"/>
          <w:color w:val="000000" w:themeColor="text1"/>
          <w:sz w:val="24"/>
          <w:szCs w:val="24"/>
        </w:rPr>
        <w:t xml:space="preserve"> sponsorship shall be made known and available to the entire membership of the Union, with a transparent process for the advertising, pricing</w:t>
      </w:r>
      <w:r w:rsidR="0086326D">
        <w:rPr>
          <w:rFonts w:ascii="Calibri" w:hAnsi="Calibri" w:cs="Calibri"/>
          <w:color w:val="000000" w:themeColor="text1"/>
          <w:sz w:val="24"/>
          <w:szCs w:val="24"/>
        </w:rPr>
        <w:t>,</w:t>
      </w:r>
      <w:r w:rsidRPr="00DF21F3">
        <w:rPr>
          <w:rFonts w:ascii="Calibri" w:hAnsi="Calibri" w:cs="Calibri"/>
          <w:color w:val="000000" w:themeColor="text1"/>
          <w:sz w:val="24"/>
          <w:szCs w:val="24"/>
        </w:rPr>
        <w:t xml:space="preserve"> and selection;</w:t>
      </w:r>
      <w:r w:rsidRPr="00DF21F3">
        <w:rPr>
          <w:rStyle w:val="apple-converted-space"/>
          <w:rFonts w:ascii="Calibri" w:hAnsi="Calibri" w:cs="Calibri"/>
          <w:color w:val="000000" w:themeColor="text1"/>
          <w:sz w:val="24"/>
          <w:szCs w:val="24"/>
        </w:rPr>
        <w:t> </w:t>
      </w:r>
    </w:p>
    <w:p w14:paraId="24504B57" w14:textId="706B4FAA" w:rsidR="006709EC" w:rsidRPr="008B7027" w:rsidRDefault="006709EC" w:rsidP="001D6BAF">
      <w:pPr>
        <w:pStyle w:val="ListParagraph"/>
        <w:ind w:left="360" w:hanging="360"/>
        <w:jc w:val="both"/>
        <w:rPr>
          <w:rFonts w:cstheme="minorHAnsi"/>
          <w:color w:val="000000" w:themeColor="text1"/>
          <w:sz w:val="24"/>
          <w:szCs w:val="24"/>
        </w:rPr>
      </w:pPr>
      <w:r w:rsidRPr="008B7027">
        <w:rPr>
          <w:rFonts w:cstheme="minorHAnsi"/>
          <w:color w:val="000000" w:themeColor="text1"/>
          <w:sz w:val="24"/>
          <w:szCs w:val="24"/>
        </w:rPr>
        <w:t>-</w:t>
      </w:r>
      <w:r w:rsidRPr="008B7027">
        <w:rPr>
          <w:rFonts w:cstheme="minorHAnsi"/>
          <w:color w:val="000000" w:themeColor="text1"/>
          <w:sz w:val="24"/>
          <w:szCs w:val="24"/>
        </w:rPr>
        <w:tab/>
      </w:r>
      <w:r w:rsidR="008B7027" w:rsidRPr="008B7027">
        <w:rPr>
          <w:rFonts w:cstheme="minorHAnsi"/>
          <w:color w:val="000000" w:themeColor="text1"/>
          <w:sz w:val="24"/>
          <w:szCs w:val="24"/>
        </w:rPr>
        <w:t>Sponsorship arrangements shall comply with the general principles mentioned in secti</w:t>
      </w:r>
      <w:r w:rsidR="008B7027">
        <w:rPr>
          <w:rFonts w:cstheme="minorHAnsi"/>
          <w:color w:val="000000" w:themeColor="text1"/>
          <w:sz w:val="24"/>
          <w:szCs w:val="24"/>
        </w:rPr>
        <w:t>on 2 above; with Annex 1 “</w:t>
      </w:r>
      <w:r w:rsidR="008B7027" w:rsidRPr="008B7027">
        <w:rPr>
          <w:rFonts w:cstheme="minorHAnsi"/>
          <w:color w:val="000000" w:themeColor="text1"/>
          <w:sz w:val="24"/>
          <w:szCs w:val="24"/>
        </w:rPr>
        <w:t>Principles for Resource Mobilization</w:t>
      </w:r>
      <w:r w:rsidR="008B7027">
        <w:rPr>
          <w:rFonts w:cstheme="minorHAnsi"/>
          <w:color w:val="000000" w:themeColor="text1"/>
          <w:sz w:val="24"/>
          <w:szCs w:val="24"/>
        </w:rPr>
        <w:t>”</w:t>
      </w:r>
      <w:r w:rsidR="008B7027" w:rsidRPr="008B7027">
        <w:rPr>
          <w:rFonts w:cstheme="minorHAnsi"/>
          <w:color w:val="000000" w:themeColor="text1"/>
          <w:sz w:val="24"/>
          <w:szCs w:val="24"/>
        </w:rPr>
        <w:t xml:space="preserve"> (</w:t>
      </w:r>
      <w:r w:rsidR="008B7027">
        <w:rPr>
          <w:rFonts w:cstheme="minorHAnsi"/>
          <w:color w:val="000000" w:themeColor="text1"/>
          <w:sz w:val="24"/>
          <w:szCs w:val="24"/>
        </w:rPr>
        <w:t xml:space="preserve">from </w:t>
      </w:r>
      <w:r w:rsidR="008B7027" w:rsidRPr="008B7027">
        <w:rPr>
          <w:rFonts w:cstheme="minorHAnsi"/>
          <w:color w:val="000000" w:themeColor="text1"/>
          <w:sz w:val="24"/>
          <w:szCs w:val="24"/>
        </w:rPr>
        <w:t>document C17/67); with the Financial Rules and Regulations of ITU; and with ITU procurement principles and rules</w:t>
      </w:r>
      <w:r w:rsidRPr="008B7027">
        <w:rPr>
          <w:rFonts w:cstheme="minorHAnsi"/>
          <w:color w:val="000000" w:themeColor="text1"/>
          <w:sz w:val="24"/>
          <w:szCs w:val="24"/>
        </w:rPr>
        <w:t xml:space="preserve">; </w:t>
      </w:r>
    </w:p>
    <w:p w14:paraId="376711D0" w14:textId="77777777" w:rsidR="006709EC" w:rsidRPr="00DF21F3" w:rsidRDefault="006709EC" w:rsidP="001D6BAF">
      <w:pPr>
        <w:pStyle w:val="ListParagraph"/>
        <w:ind w:left="360" w:hanging="360"/>
        <w:jc w:val="both"/>
        <w:rPr>
          <w:rFonts w:cstheme="minorHAnsi"/>
          <w:color w:val="000000" w:themeColor="text1"/>
          <w:sz w:val="24"/>
          <w:szCs w:val="24"/>
        </w:rPr>
      </w:pPr>
      <w:r w:rsidRPr="00DF21F3">
        <w:rPr>
          <w:rFonts w:cstheme="minorHAnsi"/>
          <w:color w:val="000000" w:themeColor="text1"/>
          <w:sz w:val="24"/>
          <w:szCs w:val="24"/>
        </w:rPr>
        <w:t>-</w:t>
      </w:r>
      <w:r w:rsidRPr="00DF21F3">
        <w:rPr>
          <w:rFonts w:cstheme="minorHAnsi"/>
          <w:color w:val="000000" w:themeColor="text1"/>
          <w:sz w:val="24"/>
          <w:szCs w:val="24"/>
        </w:rPr>
        <w:tab/>
        <w:t xml:space="preserve">To avoid unbounded future costs to the Union, visibility and other benefits to </w:t>
      </w:r>
      <w:r w:rsidRPr="00DF21F3">
        <w:rPr>
          <w:rFonts w:ascii="Calibri" w:hAnsi="Calibri" w:cs="Calibri"/>
          <w:color w:val="000000" w:themeColor="text1"/>
          <w:sz w:val="24"/>
          <w:szCs w:val="24"/>
        </w:rPr>
        <w:t xml:space="preserve">sponsors </w:t>
      </w:r>
      <w:r w:rsidRPr="00DF21F3">
        <w:rPr>
          <w:rFonts w:cstheme="minorHAnsi"/>
          <w:color w:val="000000" w:themeColor="text1"/>
          <w:sz w:val="24"/>
          <w:szCs w:val="24"/>
        </w:rPr>
        <w:t>are not offered on a permanent basis;</w:t>
      </w:r>
    </w:p>
    <w:p w14:paraId="08231DCD" w14:textId="077ED24B" w:rsidR="006709EC" w:rsidRPr="008B7027" w:rsidRDefault="006709EC" w:rsidP="001D6BAF">
      <w:pPr>
        <w:pStyle w:val="ListParagraph"/>
        <w:ind w:left="360" w:hanging="360"/>
        <w:jc w:val="both"/>
        <w:rPr>
          <w:rFonts w:cstheme="minorHAnsi"/>
          <w:color w:val="000000" w:themeColor="text1"/>
          <w:sz w:val="24"/>
          <w:szCs w:val="24"/>
        </w:rPr>
      </w:pPr>
      <w:r w:rsidRPr="00DF21F3">
        <w:rPr>
          <w:rFonts w:cstheme="minorHAnsi"/>
          <w:color w:val="000000" w:themeColor="text1"/>
          <w:sz w:val="24"/>
          <w:szCs w:val="24"/>
        </w:rPr>
        <w:t>-</w:t>
      </w:r>
      <w:r w:rsidRPr="00DF21F3">
        <w:rPr>
          <w:rFonts w:cstheme="minorHAnsi"/>
          <w:color w:val="000000" w:themeColor="text1"/>
          <w:sz w:val="24"/>
          <w:szCs w:val="24"/>
        </w:rPr>
        <w:tab/>
      </w:r>
      <w:r w:rsidR="008B7027" w:rsidRPr="008B7027">
        <w:rPr>
          <w:rFonts w:cstheme="minorHAnsi"/>
          <w:color w:val="000000" w:themeColor="text1"/>
          <w:sz w:val="24"/>
          <w:szCs w:val="24"/>
        </w:rPr>
        <w:t>Sponsorships received by ITU must fully cover all direct and indirect costs of the element funded by the sponsorship during the agreed sponsorship period. For example, the sponsorship period of a conference room would be limited to the expected lifetime of</w:t>
      </w:r>
      <w:r w:rsidR="008B7027">
        <w:rPr>
          <w:rFonts w:cstheme="minorHAnsi"/>
          <w:color w:val="000000" w:themeColor="text1"/>
          <w:sz w:val="24"/>
          <w:szCs w:val="24"/>
        </w:rPr>
        <w:t xml:space="preserve"> the equipment and furniture;</w:t>
      </w:r>
      <w:r w:rsidR="008B7027" w:rsidRPr="008B7027">
        <w:rPr>
          <w:rFonts w:cstheme="minorHAnsi"/>
          <w:color w:val="000000" w:themeColor="text1"/>
          <w:sz w:val="24"/>
          <w:szCs w:val="24"/>
        </w:rPr>
        <w:t xml:space="preserve"> but could be open to extension provided the cost of replacements are covered by the sponsor. Indirect costs would not include costs that ITU would in any case incur without such sponsorship (e.g. maintenance and replacement of defective items)</w:t>
      </w:r>
      <w:r w:rsidRPr="008B7027">
        <w:rPr>
          <w:rStyle w:val="apple-converted-space"/>
          <w:rFonts w:ascii="Calibri" w:hAnsi="Calibri" w:cs="Calibri"/>
          <w:color w:val="000000" w:themeColor="text1"/>
          <w:sz w:val="24"/>
          <w:szCs w:val="24"/>
        </w:rPr>
        <w:t>.</w:t>
      </w:r>
      <w:r w:rsidRPr="008B7027">
        <w:rPr>
          <w:sz w:val="24"/>
          <w:szCs w:val="24"/>
        </w:rPr>
        <w:t xml:space="preserve"> </w:t>
      </w:r>
      <w:r w:rsidRPr="008B7027">
        <w:rPr>
          <w:rFonts w:cstheme="minorHAnsi"/>
          <w:color w:val="000000" w:themeColor="text1"/>
          <w:sz w:val="24"/>
          <w:szCs w:val="24"/>
        </w:rPr>
        <w:t xml:space="preserve"> </w:t>
      </w:r>
    </w:p>
    <w:p w14:paraId="463AEEA8" w14:textId="3F57F59C" w:rsidR="006709EC" w:rsidRPr="00C8350C" w:rsidRDefault="006709EC" w:rsidP="001D6BAF">
      <w:pPr>
        <w:jc w:val="both"/>
        <w:rPr>
          <w:rFonts w:asciiTheme="minorHAnsi" w:hAnsiTheme="minorHAnsi" w:cs="TimesNewRoman"/>
          <w:color w:val="000000" w:themeColor="text1"/>
          <w:szCs w:val="24"/>
        </w:rPr>
      </w:pPr>
      <w:r w:rsidRPr="00C8350C">
        <w:rPr>
          <w:rFonts w:asciiTheme="minorHAnsi" w:hAnsiTheme="minorHAnsi" w:cs="TimesNewRoman"/>
          <w:color w:val="000000" w:themeColor="text1"/>
          <w:szCs w:val="24"/>
        </w:rPr>
        <w:t>3.2</w:t>
      </w:r>
      <w:r w:rsidRPr="00C8350C">
        <w:rPr>
          <w:rFonts w:asciiTheme="minorHAnsi" w:hAnsiTheme="minorHAnsi" w:cs="TimesNewRoman"/>
          <w:color w:val="000000" w:themeColor="text1"/>
          <w:szCs w:val="24"/>
        </w:rPr>
        <w:tab/>
        <w:t>Sponsorship benefits may include “naming” of an element for the sponsorship period</w:t>
      </w:r>
      <w:r w:rsidR="00C06B85" w:rsidRPr="00C8350C">
        <w:rPr>
          <w:rFonts w:asciiTheme="minorHAnsi" w:hAnsiTheme="minorHAnsi" w:cs="TimesNewRoman"/>
          <w:color w:val="000000" w:themeColor="text1"/>
          <w:szCs w:val="24"/>
        </w:rPr>
        <w:t>.</w:t>
      </w:r>
      <w:r w:rsidRPr="00C8350C">
        <w:rPr>
          <w:rFonts w:asciiTheme="minorHAnsi" w:hAnsiTheme="minorHAnsi" w:cs="TimesNewRoman"/>
          <w:color w:val="000000" w:themeColor="text1"/>
          <w:szCs w:val="24"/>
        </w:rPr>
        <w:t xml:space="preserve"> </w:t>
      </w:r>
    </w:p>
    <w:p w14:paraId="5DE26AD0" w14:textId="77777777" w:rsidR="006709EC" w:rsidRPr="00C8350C" w:rsidRDefault="006709EC" w:rsidP="001D6BAF">
      <w:pPr>
        <w:jc w:val="both"/>
        <w:rPr>
          <w:rFonts w:asciiTheme="minorHAnsi" w:hAnsiTheme="minorHAnsi" w:cs="TimesNewRoman"/>
          <w:color w:val="000000" w:themeColor="text1"/>
          <w:szCs w:val="24"/>
        </w:rPr>
      </w:pPr>
      <w:r w:rsidRPr="00C8350C">
        <w:rPr>
          <w:rFonts w:asciiTheme="minorHAnsi" w:hAnsiTheme="minorHAnsi" w:cs="TimesNewRoman"/>
          <w:color w:val="000000" w:themeColor="text1"/>
          <w:szCs w:val="24"/>
        </w:rPr>
        <w:t>3.3</w:t>
      </w:r>
      <w:r w:rsidRPr="00C8350C">
        <w:rPr>
          <w:rFonts w:asciiTheme="minorHAnsi" w:hAnsiTheme="minorHAnsi" w:cs="TimesNewRoman"/>
          <w:color w:val="000000" w:themeColor="text1"/>
          <w:szCs w:val="24"/>
        </w:rPr>
        <w:tab/>
        <w:t xml:space="preserve">The acquisition of goods or services will be subject to ITU procurement procedures. </w:t>
      </w:r>
    </w:p>
    <w:p w14:paraId="522887DA" w14:textId="77777777" w:rsidR="006709EC" w:rsidRPr="00C8350C" w:rsidRDefault="006709EC" w:rsidP="001D6BAF">
      <w:pPr>
        <w:jc w:val="both"/>
        <w:rPr>
          <w:rFonts w:asciiTheme="minorHAnsi" w:hAnsiTheme="minorHAnsi" w:cs="TimesNewRoman"/>
          <w:color w:val="000000" w:themeColor="text1"/>
          <w:szCs w:val="24"/>
        </w:rPr>
      </w:pPr>
      <w:r w:rsidRPr="00C8350C">
        <w:rPr>
          <w:rFonts w:asciiTheme="minorHAnsi" w:hAnsiTheme="minorHAnsi" w:cs="TimesNewRoman"/>
          <w:color w:val="000000" w:themeColor="text1"/>
          <w:szCs w:val="24"/>
        </w:rPr>
        <w:t>3.4</w:t>
      </w:r>
      <w:r w:rsidRPr="00C8350C">
        <w:rPr>
          <w:rFonts w:asciiTheme="minorHAnsi" w:hAnsiTheme="minorHAnsi" w:cs="TimesNewRoman"/>
          <w:color w:val="000000" w:themeColor="text1"/>
          <w:szCs w:val="24"/>
        </w:rPr>
        <w:tab/>
        <w:t xml:space="preserve">The secretariat reserves the right to decline any offer of sponsorship it considers inappropriate. </w:t>
      </w:r>
    </w:p>
    <w:p w14:paraId="77F08B50" w14:textId="55778AB2" w:rsidR="006709EC" w:rsidRPr="00C8350C" w:rsidRDefault="006709EC" w:rsidP="001D6BAF">
      <w:pPr>
        <w:pStyle w:val="Headingb"/>
        <w:keepNext w:val="0"/>
        <w:keepLines w:val="0"/>
        <w:snapToGrid w:val="0"/>
        <w:spacing w:before="360" w:after="120"/>
        <w:jc w:val="both"/>
        <w:rPr>
          <w:rFonts w:asciiTheme="minorHAnsi" w:hAnsiTheme="minorHAnsi" w:cstheme="minorHAnsi"/>
          <w:color w:val="000000" w:themeColor="text1"/>
          <w:szCs w:val="24"/>
        </w:rPr>
      </w:pPr>
      <w:r w:rsidRPr="00C8350C">
        <w:rPr>
          <w:rFonts w:asciiTheme="minorHAnsi" w:hAnsiTheme="minorHAnsi" w:cstheme="minorHAnsi"/>
          <w:color w:val="000000" w:themeColor="text1"/>
          <w:szCs w:val="24"/>
        </w:rPr>
        <w:t xml:space="preserve">4 </w:t>
      </w:r>
      <w:r w:rsidRPr="00C8350C">
        <w:rPr>
          <w:rFonts w:asciiTheme="minorHAnsi" w:hAnsiTheme="minorHAnsi" w:cstheme="minorHAnsi"/>
          <w:color w:val="000000" w:themeColor="text1"/>
          <w:szCs w:val="24"/>
        </w:rPr>
        <w:tab/>
        <w:t xml:space="preserve">Elements that might be the subject of </w:t>
      </w:r>
      <w:r w:rsidR="00A511B1">
        <w:rPr>
          <w:rFonts w:asciiTheme="minorHAnsi" w:hAnsiTheme="minorHAnsi" w:cstheme="minorHAnsi"/>
          <w:color w:val="000000" w:themeColor="text1"/>
          <w:szCs w:val="24"/>
        </w:rPr>
        <w:t>s</w:t>
      </w:r>
      <w:r w:rsidRPr="00C8350C">
        <w:rPr>
          <w:rFonts w:asciiTheme="minorHAnsi" w:hAnsiTheme="minorHAnsi" w:cstheme="minorHAnsi"/>
          <w:color w:val="000000" w:themeColor="text1"/>
          <w:szCs w:val="24"/>
        </w:rPr>
        <w:t>ponsorship</w:t>
      </w:r>
    </w:p>
    <w:p w14:paraId="621D6316" w14:textId="77777777" w:rsidR="006709EC" w:rsidRPr="00C8350C" w:rsidRDefault="006709EC">
      <w:pPr>
        <w:jc w:val="both"/>
        <w:rPr>
          <w:rFonts w:asciiTheme="minorHAnsi" w:hAnsiTheme="minorHAnsi" w:cs="TimesNewRoman"/>
          <w:color w:val="000000" w:themeColor="text1"/>
          <w:szCs w:val="24"/>
        </w:rPr>
      </w:pPr>
      <w:r w:rsidRPr="00C8350C">
        <w:rPr>
          <w:rFonts w:asciiTheme="minorHAnsi" w:hAnsiTheme="minorHAnsi" w:cs="TimesNewRoman"/>
          <w:color w:val="000000" w:themeColor="text1"/>
          <w:szCs w:val="24"/>
        </w:rPr>
        <w:t>4.1</w:t>
      </w:r>
      <w:r w:rsidRPr="00C8350C">
        <w:rPr>
          <w:rFonts w:asciiTheme="minorHAnsi" w:hAnsiTheme="minorHAnsi" w:cs="TimesNewRoman"/>
          <w:color w:val="000000" w:themeColor="text1"/>
          <w:szCs w:val="24"/>
        </w:rPr>
        <w:tab/>
        <w:t xml:space="preserve">The following elements within the project might be of interest to sponsors.  </w:t>
      </w:r>
    </w:p>
    <w:p w14:paraId="1C6F39E8" w14:textId="77777777" w:rsidR="006709EC" w:rsidRPr="00C8350C" w:rsidRDefault="006709EC" w:rsidP="001D6BAF">
      <w:pPr>
        <w:jc w:val="both"/>
        <w:rPr>
          <w:rFonts w:asciiTheme="minorHAnsi" w:hAnsiTheme="minorHAnsi" w:cstheme="minorHAnsi"/>
          <w:szCs w:val="24"/>
        </w:rPr>
      </w:pPr>
      <w:r w:rsidRPr="00C8350C">
        <w:rPr>
          <w:rFonts w:asciiTheme="minorHAnsi" w:hAnsiTheme="minorHAnsi" w:cstheme="minorHAnsi"/>
          <w:szCs w:val="24"/>
        </w:rPr>
        <w:t>4.2</w:t>
      </w:r>
      <w:r w:rsidRPr="00C8350C">
        <w:rPr>
          <w:rFonts w:asciiTheme="minorHAnsi" w:hAnsiTheme="minorHAnsi" w:cstheme="minorHAnsi"/>
          <w:szCs w:val="24"/>
        </w:rPr>
        <w:tab/>
        <w:t>Conference and Meeting Rooms</w:t>
      </w:r>
    </w:p>
    <w:p w14:paraId="720D36DF" w14:textId="1DF141AB" w:rsidR="006709EC" w:rsidRPr="00C8350C" w:rsidRDefault="0083399C" w:rsidP="001D6BAF">
      <w:pPr>
        <w:jc w:val="both"/>
        <w:rPr>
          <w:rFonts w:asciiTheme="minorHAnsi" w:hAnsiTheme="minorHAnsi" w:cstheme="minorHAnsi"/>
          <w:szCs w:val="24"/>
        </w:rPr>
      </w:pPr>
      <w:r>
        <w:rPr>
          <w:rFonts w:asciiTheme="minorHAnsi" w:hAnsiTheme="minorHAnsi" w:cstheme="minorHAnsi"/>
          <w:szCs w:val="24"/>
        </w:rPr>
        <w:tab/>
      </w:r>
      <w:r w:rsidR="006709EC" w:rsidRPr="00C8350C">
        <w:rPr>
          <w:rFonts w:asciiTheme="minorHAnsi" w:hAnsiTheme="minorHAnsi" w:cstheme="minorHAnsi"/>
          <w:szCs w:val="24"/>
        </w:rPr>
        <w:t>-</w:t>
      </w:r>
      <w:r>
        <w:rPr>
          <w:rFonts w:asciiTheme="minorHAnsi" w:hAnsiTheme="minorHAnsi" w:cstheme="minorHAnsi"/>
          <w:szCs w:val="24"/>
        </w:rPr>
        <w:tab/>
      </w:r>
      <w:r w:rsidR="006709EC" w:rsidRPr="00C8350C">
        <w:rPr>
          <w:rFonts w:asciiTheme="minorHAnsi" w:hAnsiTheme="minorHAnsi" w:cstheme="minorHAnsi"/>
          <w:b/>
          <w:szCs w:val="24"/>
        </w:rPr>
        <w:t>1 x 500 seat conference room</w:t>
      </w:r>
      <w:r w:rsidR="006709EC" w:rsidRPr="00C8350C">
        <w:rPr>
          <w:rFonts w:asciiTheme="minorHAnsi" w:hAnsiTheme="minorHAnsi" w:cstheme="minorHAnsi"/>
          <w:szCs w:val="24"/>
        </w:rPr>
        <w:t xml:space="preserve">; </w:t>
      </w:r>
    </w:p>
    <w:p w14:paraId="7FFEEEB0" w14:textId="41060EC6" w:rsidR="006709EC" w:rsidRPr="00C8350C" w:rsidRDefault="0083399C" w:rsidP="001D6BAF">
      <w:pPr>
        <w:jc w:val="both"/>
        <w:rPr>
          <w:rFonts w:asciiTheme="minorHAnsi" w:hAnsiTheme="minorHAnsi" w:cstheme="minorHAnsi"/>
          <w:szCs w:val="24"/>
        </w:rPr>
      </w:pPr>
      <w:r>
        <w:rPr>
          <w:rFonts w:asciiTheme="minorHAnsi" w:hAnsiTheme="minorHAnsi" w:cstheme="minorHAnsi"/>
          <w:szCs w:val="24"/>
        </w:rPr>
        <w:tab/>
        <w:t>-</w:t>
      </w:r>
      <w:r>
        <w:rPr>
          <w:rFonts w:asciiTheme="minorHAnsi" w:hAnsiTheme="minorHAnsi" w:cstheme="minorHAnsi"/>
          <w:szCs w:val="24"/>
        </w:rPr>
        <w:tab/>
      </w:r>
      <w:r w:rsidR="006709EC" w:rsidRPr="00C8350C">
        <w:rPr>
          <w:rFonts w:asciiTheme="minorHAnsi" w:hAnsiTheme="minorHAnsi" w:cstheme="minorHAnsi"/>
          <w:b/>
          <w:szCs w:val="24"/>
        </w:rPr>
        <w:t>1 x 234 seat conference room</w:t>
      </w:r>
      <w:r w:rsidR="006709EC" w:rsidRPr="00C8350C">
        <w:rPr>
          <w:rFonts w:asciiTheme="minorHAnsi" w:hAnsiTheme="minorHAnsi" w:cstheme="minorHAnsi"/>
          <w:szCs w:val="24"/>
        </w:rPr>
        <w:t xml:space="preserve">; </w:t>
      </w:r>
    </w:p>
    <w:p w14:paraId="7217C282" w14:textId="4266A40B" w:rsidR="006709EC" w:rsidRPr="00C8350C" w:rsidRDefault="0083399C" w:rsidP="001D6BAF">
      <w:pPr>
        <w:jc w:val="both"/>
        <w:rPr>
          <w:rFonts w:asciiTheme="minorHAnsi" w:hAnsiTheme="minorHAnsi" w:cstheme="minorHAnsi"/>
          <w:szCs w:val="24"/>
        </w:rPr>
      </w:pPr>
      <w:r>
        <w:rPr>
          <w:rFonts w:asciiTheme="minorHAnsi" w:hAnsiTheme="minorHAnsi" w:cstheme="minorHAnsi"/>
          <w:szCs w:val="24"/>
        </w:rPr>
        <w:tab/>
      </w:r>
      <w:r w:rsidR="006709EC" w:rsidRPr="00C8350C">
        <w:rPr>
          <w:rFonts w:asciiTheme="minorHAnsi" w:hAnsiTheme="minorHAnsi" w:cstheme="minorHAnsi"/>
          <w:szCs w:val="24"/>
        </w:rPr>
        <w:t>-</w:t>
      </w:r>
      <w:r>
        <w:rPr>
          <w:rFonts w:asciiTheme="minorHAnsi" w:hAnsiTheme="minorHAnsi" w:cstheme="minorHAnsi"/>
          <w:szCs w:val="24"/>
        </w:rPr>
        <w:tab/>
      </w:r>
      <w:r w:rsidR="006709EC" w:rsidRPr="00C8350C">
        <w:rPr>
          <w:rFonts w:asciiTheme="minorHAnsi" w:hAnsiTheme="minorHAnsi" w:cstheme="minorHAnsi"/>
          <w:b/>
          <w:szCs w:val="24"/>
        </w:rPr>
        <w:t>1 x 100 seat conference room</w:t>
      </w:r>
      <w:r w:rsidR="006709EC" w:rsidRPr="00C8350C">
        <w:rPr>
          <w:rFonts w:asciiTheme="minorHAnsi" w:hAnsiTheme="minorHAnsi" w:cstheme="minorHAnsi"/>
          <w:szCs w:val="24"/>
        </w:rPr>
        <w:t xml:space="preserve">; </w:t>
      </w:r>
    </w:p>
    <w:p w14:paraId="148DD6B6" w14:textId="77777777" w:rsidR="006709EC" w:rsidRPr="00C8350C" w:rsidRDefault="006709EC" w:rsidP="001D6BAF">
      <w:pPr>
        <w:jc w:val="both"/>
        <w:rPr>
          <w:rFonts w:asciiTheme="minorHAnsi" w:hAnsiTheme="minorHAnsi" w:cs="TimesNewRoman"/>
          <w:color w:val="000000" w:themeColor="text1"/>
          <w:szCs w:val="24"/>
        </w:rPr>
      </w:pPr>
      <w:r w:rsidRPr="00C8350C">
        <w:rPr>
          <w:rFonts w:asciiTheme="minorHAnsi" w:hAnsiTheme="minorHAnsi" w:cs="TimesNewRoman"/>
          <w:color w:val="000000" w:themeColor="text1"/>
          <w:szCs w:val="24"/>
        </w:rPr>
        <w:t xml:space="preserve">To provide the furniture and audio-visual systems in an ITU conference room, the cost per delegate-place can be envisaged in the range CHF 5’000-10’000, plus maintenance. The final cost depends on the room’s technical facilities and level of comfort.  </w:t>
      </w:r>
    </w:p>
    <w:p w14:paraId="2072C3BC" w14:textId="77777777" w:rsidR="006709EC" w:rsidRPr="00C8350C" w:rsidRDefault="006709EC" w:rsidP="001D6BAF">
      <w:pPr>
        <w:jc w:val="both"/>
        <w:rPr>
          <w:rFonts w:asciiTheme="minorHAnsi" w:hAnsiTheme="minorHAnsi" w:cstheme="minorHAnsi"/>
          <w:szCs w:val="24"/>
        </w:rPr>
      </w:pPr>
      <w:r w:rsidRPr="00C8350C">
        <w:rPr>
          <w:rFonts w:asciiTheme="minorHAnsi" w:hAnsiTheme="minorHAnsi" w:cs="TimesNewRoman"/>
          <w:color w:val="000000" w:themeColor="text1"/>
          <w:szCs w:val="24"/>
        </w:rPr>
        <w:t xml:space="preserve">The total budget for audio-visual facilities across the New Building in all rooms is expected to be in the region of CHF 10 million. </w:t>
      </w:r>
    </w:p>
    <w:p w14:paraId="6DCBBEF0" w14:textId="77777777" w:rsidR="006709EC" w:rsidRPr="00C8350C" w:rsidRDefault="006709EC" w:rsidP="001D6BAF">
      <w:pPr>
        <w:jc w:val="both"/>
        <w:rPr>
          <w:rFonts w:asciiTheme="minorHAnsi" w:hAnsiTheme="minorHAnsi" w:cstheme="minorHAnsi"/>
          <w:szCs w:val="24"/>
        </w:rPr>
      </w:pPr>
      <w:r w:rsidRPr="00C8350C">
        <w:rPr>
          <w:rFonts w:asciiTheme="minorHAnsi" w:hAnsiTheme="minorHAnsi" w:cstheme="minorHAnsi"/>
          <w:szCs w:val="24"/>
        </w:rPr>
        <w:t>4.3</w:t>
      </w:r>
      <w:r w:rsidRPr="00C8350C">
        <w:rPr>
          <w:rFonts w:asciiTheme="minorHAnsi" w:hAnsiTheme="minorHAnsi" w:cstheme="minorHAnsi"/>
          <w:b/>
          <w:szCs w:val="24"/>
        </w:rPr>
        <w:tab/>
        <w:t>Physical ICT-Discovery:</w:t>
      </w:r>
      <w:r w:rsidRPr="00C8350C">
        <w:rPr>
          <w:rFonts w:asciiTheme="minorHAnsi" w:hAnsiTheme="minorHAnsi" w:cstheme="minorHAnsi"/>
          <w:bCs/>
          <w:szCs w:val="24"/>
        </w:rPr>
        <w:t xml:space="preserve"> the presence of this element is dependent on </w:t>
      </w:r>
      <w:r w:rsidRPr="00C8350C">
        <w:rPr>
          <w:rFonts w:asciiTheme="minorHAnsi" w:hAnsiTheme="minorHAnsi" w:cstheme="minorHAnsi"/>
          <w:color w:val="000000" w:themeColor="text1"/>
          <w:szCs w:val="24"/>
        </w:rPr>
        <w:t>sponsorship</w:t>
      </w:r>
      <w:r w:rsidRPr="00C8350C">
        <w:rPr>
          <w:rFonts w:asciiTheme="minorHAnsi" w:hAnsiTheme="minorHAnsi" w:cstheme="minorHAnsi"/>
          <w:bCs/>
          <w:szCs w:val="24"/>
        </w:rPr>
        <w:t xml:space="preserve"> covering the full cost</w:t>
      </w:r>
      <w:r w:rsidRPr="00C8350C">
        <w:rPr>
          <w:rFonts w:asciiTheme="minorHAnsi" w:hAnsiTheme="minorHAnsi" w:cstheme="minorHAnsi"/>
          <w:szCs w:val="24"/>
        </w:rPr>
        <w:t xml:space="preserve">. It will be located outside the new building next to the security lodge. Any </w:t>
      </w:r>
      <w:r w:rsidRPr="00C8350C">
        <w:rPr>
          <w:rFonts w:asciiTheme="minorHAnsi" w:hAnsiTheme="minorHAnsi" w:cstheme="minorHAnsi"/>
          <w:color w:val="000000" w:themeColor="text1"/>
          <w:szCs w:val="24"/>
        </w:rPr>
        <w:t>sponsorship</w:t>
      </w:r>
      <w:r w:rsidRPr="00C8350C">
        <w:rPr>
          <w:rFonts w:asciiTheme="minorHAnsi" w:hAnsiTheme="minorHAnsi" w:cstheme="minorHAnsi"/>
          <w:bCs/>
          <w:szCs w:val="24"/>
        </w:rPr>
        <w:t xml:space="preserve"> </w:t>
      </w:r>
      <w:r w:rsidRPr="00C8350C">
        <w:rPr>
          <w:rFonts w:asciiTheme="minorHAnsi" w:hAnsiTheme="minorHAnsi" w:cstheme="minorHAnsi"/>
          <w:szCs w:val="24"/>
        </w:rPr>
        <w:t xml:space="preserve">would need to be offered in a comprehensive form to be included in the detailed design at the latest by October 2018. </w:t>
      </w:r>
    </w:p>
    <w:p w14:paraId="3C68ED81" w14:textId="77777777" w:rsidR="006709EC" w:rsidRPr="00C8350C" w:rsidRDefault="006709EC" w:rsidP="001D6BAF">
      <w:pPr>
        <w:jc w:val="both"/>
        <w:rPr>
          <w:rFonts w:asciiTheme="minorHAnsi" w:hAnsiTheme="minorHAnsi" w:cstheme="minorHAnsi"/>
          <w:szCs w:val="24"/>
        </w:rPr>
      </w:pPr>
      <w:r w:rsidRPr="00C8350C">
        <w:rPr>
          <w:rFonts w:asciiTheme="minorHAnsi" w:hAnsiTheme="minorHAnsi" w:cstheme="minorHAnsi"/>
          <w:szCs w:val="24"/>
        </w:rPr>
        <w:t>4.4</w:t>
      </w:r>
      <w:r w:rsidRPr="00C8350C">
        <w:rPr>
          <w:rFonts w:asciiTheme="minorHAnsi" w:hAnsiTheme="minorHAnsi" w:cstheme="minorHAnsi"/>
          <w:b/>
          <w:szCs w:val="24"/>
        </w:rPr>
        <w:tab/>
        <w:t>Other Internal Spaces</w:t>
      </w:r>
      <w:r w:rsidRPr="00C8350C">
        <w:rPr>
          <w:rFonts w:asciiTheme="minorHAnsi" w:hAnsiTheme="minorHAnsi" w:cstheme="minorHAnsi"/>
          <w:szCs w:val="24"/>
        </w:rPr>
        <w:t>:</w:t>
      </w:r>
    </w:p>
    <w:p w14:paraId="206C527F" w14:textId="77777777" w:rsidR="006709EC" w:rsidRPr="0083399C" w:rsidRDefault="006709EC" w:rsidP="001D6BAF">
      <w:pPr>
        <w:pStyle w:val="ListParagraph"/>
        <w:numPr>
          <w:ilvl w:val="0"/>
          <w:numId w:val="4"/>
        </w:numPr>
        <w:spacing w:before="120" w:after="0"/>
        <w:ind w:left="714" w:hanging="357"/>
        <w:contextualSpacing w:val="0"/>
        <w:jc w:val="both"/>
        <w:rPr>
          <w:rFonts w:cstheme="minorHAnsi"/>
          <w:sz w:val="24"/>
          <w:szCs w:val="24"/>
        </w:rPr>
      </w:pPr>
      <w:r w:rsidRPr="0083399C">
        <w:rPr>
          <w:rFonts w:cstheme="minorHAnsi"/>
          <w:b/>
          <w:sz w:val="24"/>
          <w:szCs w:val="24"/>
        </w:rPr>
        <w:t>Delegate Lounge</w:t>
      </w:r>
      <w:r w:rsidRPr="0083399C">
        <w:rPr>
          <w:rFonts w:cstheme="minorHAnsi"/>
          <w:sz w:val="24"/>
          <w:szCs w:val="24"/>
        </w:rPr>
        <w:t xml:space="preserve">: open space adjoining conference rooms. </w:t>
      </w:r>
    </w:p>
    <w:p w14:paraId="76A58370" w14:textId="77777777" w:rsidR="006709EC" w:rsidRPr="0083399C" w:rsidRDefault="006709EC" w:rsidP="001D6BAF">
      <w:pPr>
        <w:pStyle w:val="ListParagraph"/>
        <w:numPr>
          <w:ilvl w:val="0"/>
          <w:numId w:val="4"/>
        </w:numPr>
        <w:jc w:val="both"/>
        <w:rPr>
          <w:rFonts w:cstheme="minorHAnsi"/>
          <w:sz w:val="24"/>
          <w:szCs w:val="24"/>
        </w:rPr>
      </w:pPr>
      <w:r w:rsidRPr="0083399C">
        <w:rPr>
          <w:rFonts w:cstheme="minorHAnsi"/>
          <w:b/>
          <w:sz w:val="24"/>
          <w:szCs w:val="24"/>
        </w:rPr>
        <w:t>Delegate Cyber-café</w:t>
      </w:r>
      <w:r w:rsidRPr="0083399C">
        <w:rPr>
          <w:rFonts w:cstheme="minorHAnsi"/>
          <w:sz w:val="24"/>
          <w:szCs w:val="24"/>
        </w:rPr>
        <w:t xml:space="preserve">: open space. Either technical equipment or furnishing; </w:t>
      </w:r>
    </w:p>
    <w:p w14:paraId="46B04D75" w14:textId="77777777" w:rsidR="006709EC" w:rsidRPr="0083399C" w:rsidRDefault="006709EC" w:rsidP="001D6BAF">
      <w:pPr>
        <w:pStyle w:val="ListParagraph"/>
        <w:numPr>
          <w:ilvl w:val="0"/>
          <w:numId w:val="4"/>
        </w:numPr>
        <w:jc w:val="both"/>
        <w:rPr>
          <w:rFonts w:cstheme="minorHAnsi"/>
          <w:sz w:val="24"/>
          <w:szCs w:val="24"/>
        </w:rPr>
      </w:pPr>
      <w:r w:rsidRPr="0083399C">
        <w:rPr>
          <w:rFonts w:cstheme="minorHAnsi"/>
          <w:b/>
          <w:sz w:val="24"/>
          <w:szCs w:val="24"/>
        </w:rPr>
        <w:t>Infirmary</w:t>
      </w:r>
      <w:r w:rsidRPr="0083399C">
        <w:rPr>
          <w:rFonts w:cstheme="minorHAnsi"/>
          <w:sz w:val="24"/>
          <w:szCs w:val="24"/>
        </w:rPr>
        <w:t xml:space="preserve">: 150 </w:t>
      </w:r>
      <w:proofErr w:type="spellStart"/>
      <w:r w:rsidRPr="0083399C">
        <w:rPr>
          <w:rFonts w:cstheme="minorHAnsi"/>
          <w:sz w:val="24"/>
          <w:szCs w:val="24"/>
        </w:rPr>
        <w:t>sq.m</w:t>
      </w:r>
      <w:proofErr w:type="spellEnd"/>
      <w:r w:rsidRPr="0083399C">
        <w:rPr>
          <w:rFonts w:cstheme="minorHAnsi"/>
          <w:sz w:val="24"/>
          <w:szCs w:val="24"/>
        </w:rPr>
        <w:t>. total for various rooms, including breastfeeding room</w:t>
      </w:r>
    </w:p>
    <w:p w14:paraId="74985F63" w14:textId="77777777" w:rsidR="006709EC" w:rsidRPr="0083399C" w:rsidRDefault="006709EC" w:rsidP="001D6BAF">
      <w:pPr>
        <w:pStyle w:val="ListParagraph"/>
        <w:numPr>
          <w:ilvl w:val="0"/>
          <w:numId w:val="4"/>
        </w:numPr>
        <w:jc w:val="both"/>
        <w:rPr>
          <w:rFonts w:cstheme="minorHAnsi"/>
          <w:sz w:val="24"/>
          <w:szCs w:val="24"/>
        </w:rPr>
      </w:pPr>
      <w:r w:rsidRPr="0083399C">
        <w:rPr>
          <w:rFonts w:cstheme="minorHAnsi"/>
          <w:b/>
          <w:sz w:val="24"/>
          <w:szCs w:val="24"/>
        </w:rPr>
        <w:t>Gymnastics/Dance/Sports Room</w:t>
      </w:r>
      <w:r w:rsidRPr="0083399C">
        <w:rPr>
          <w:rFonts w:cstheme="minorHAnsi"/>
          <w:sz w:val="24"/>
          <w:szCs w:val="24"/>
        </w:rPr>
        <w:t xml:space="preserve">: 100 </w:t>
      </w:r>
      <w:proofErr w:type="spellStart"/>
      <w:r w:rsidRPr="0083399C">
        <w:rPr>
          <w:rFonts w:cstheme="minorHAnsi"/>
          <w:sz w:val="24"/>
          <w:szCs w:val="24"/>
        </w:rPr>
        <w:t>sq.m</w:t>
      </w:r>
      <w:proofErr w:type="spellEnd"/>
      <w:r w:rsidRPr="0083399C">
        <w:rPr>
          <w:rFonts w:cstheme="minorHAnsi"/>
          <w:sz w:val="24"/>
          <w:szCs w:val="24"/>
        </w:rPr>
        <w:t>.</w:t>
      </w:r>
    </w:p>
    <w:p w14:paraId="149049A9" w14:textId="77777777" w:rsidR="006709EC" w:rsidRPr="0083399C" w:rsidRDefault="006709EC" w:rsidP="001D6BAF">
      <w:pPr>
        <w:pStyle w:val="ListParagraph"/>
        <w:numPr>
          <w:ilvl w:val="0"/>
          <w:numId w:val="4"/>
        </w:numPr>
        <w:jc w:val="both"/>
        <w:rPr>
          <w:rFonts w:cstheme="minorHAnsi"/>
          <w:sz w:val="24"/>
          <w:szCs w:val="24"/>
        </w:rPr>
      </w:pPr>
      <w:r w:rsidRPr="0083399C">
        <w:rPr>
          <w:rFonts w:cstheme="minorHAnsi"/>
          <w:b/>
          <w:sz w:val="24"/>
          <w:szCs w:val="24"/>
        </w:rPr>
        <w:t>Music Rooms</w:t>
      </w:r>
      <w:r w:rsidRPr="0083399C">
        <w:rPr>
          <w:rFonts w:cstheme="minorHAnsi"/>
          <w:sz w:val="24"/>
          <w:szCs w:val="24"/>
        </w:rPr>
        <w:t xml:space="preserve">: 30 </w:t>
      </w:r>
      <w:proofErr w:type="spellStart"/>
      <w:r w:rsidRPr="0083399C">
        <w:rPr>
          <w:rFonts w:cstheme="minorHAnsi"/>
          <w:sz w:val="24"/>
          <w:szCs w:val="24"/>
        </w:rPr>
        <w:t>sq.m</w:t>
      </w:r>
      <w:proofErr w:type="spellEnd"/>
      <w:r w:rsidRPr="0083399C">
        <w:rPr>
          <w:rFonts w:cstheme="minorHAnsi"/>
          <w:sz w:val="24"/>
          <w:szCs w:val="24"/>
        </w:rPr>
        <w:t xml:space="preserve">; 30 </w:t>
      </w:r>
      <w:proofErr w:type="spellStart"/>
      <w:r w:rsidRPr="0083399C">
        <w:rPr>
          <w:rFonts w:cstheme="minorHAnsi"/>
          <w:sz w:val="24"/>
          <w:szCs w:val="24"/>
        </w:rPr>
        <w:t>sq.m</w:t>
      </w:r>
      <w:proofErr w:type="spellEnd"/>
      <w:r w:rsidRPr="0083399C">
        <w:rPr>
          <w:rFonts w:cstheme="minorHAnsi"/>
          <w:sz w:val="24"/>
          <w:szCs w:val="24"/>
        </w:rPr>
        <w:t>.</w:t>
      </w:r>
    </w:p>
    <w:p w14:paraId="7E66930F" w14:textId="77777777" w:rsidR="006709EC" w:rsidRPr="0083399C" w:rsidRDefault="006709EC" w:rsidP="001D6BAF">
      <w:pPr>
        <w:pStyle w:val="ListParagraph"/>
        <w:numPr>
          <w:ilvl w:val="0"/>
          <w:numId w:val="4"/>
        </w:numPr>
        <w:jc w:val="both"/>
        <w:rPr>
          <w:rFonts w:cstheme="minorHAnsi"/>
          <w:sz w:val="24"/>
          <w:szCs w:val="24"/>
        </w:rPr>
      </w:pPr>
      <w:r w:rsidRPr="0083399C">
        <w:rPr>
          <w:rFonts w:cstheme="minorHAnsi"/>
          <w:b/>
          <w:sz w:val="24"/>
          <w:szCs w:val="24"/>
        </w:rPr>
        <w:t>Relaxation Room</w:t>
      </w:r>
      <w:r w:rsidRPr="0083399C">
        <w:rPr>
          <w:rFonts w:cstheme="minorHAnsi"/>
          <w:sz w:val="24"/>
          <w:szCs w:val="24"/>
        </w:rPr>
        <w:t xml:space="preserve">: 13 </w:t>
      </w:r>
      <w:proofErr w:type="spellStart"/>
      <w:r w:rsidRPr="0083399C">
        <w:rPr>
          <w:rFonts w:cstheme="minorHAnsi"/>
          <w:sz w:val="24"/>
          <w:szCs w:val="24"/>
        </w:rPr>
        <w:t>sq.m</w:t>
      </w:r>
      <w:proofErr w:type="spellEnd"/>
      <w:r w:rsidRPr="0083399C">
        <w:rPr>
          <w:rFonts w:cstheme="minorHAnsi"/>
          <w:sz w:val="24"/>
          <w:szCs w:val="24"/>
        </w:rPr>
        <w:t>.</w:t>
      </w:r>
    </w:p>
    <w:p w14:paraId="4024AF45" w14:textId="77777777" w:rsidR="006709EC" w:rsidRPr="0083399C" w:rsidRDefault="006709EC" w:rsidP="001D6BAF">
      <w:pPr>
        <w:pStyle w:val="ListParagraph"/>
        <w:numPr>
          <w:ilvl w:val="0"/>
          <w:numId w:val="4"/>
        </w:numPr>
        <w:jc w:val="both"/>
        <w:rPr>
          <w:rFonts w:cstheme="minorHAnsi"/>
          <w:sz w:val="24"/>
          <w:szCs w:val="24"/>
        </w:rPr>
      </w:pPr>
      <w:r w:rsidRPr="0083399C">
        <w:rPr>
          <w:rFonts w:cstheme="minorHAnsi"/>
          <w:b/>
          <w:sz w:val="24"/>
          <w:szCs w:val="24"/>
        </w:rPr>
        <w:t>Cafeteria</w:t>
      </w:r>
      <w:r w:rsidRPr="0083399C">
        <w:rPr>
          <w:rFonts w:cstheme="minorHAnsi"/>
          <w:sz w:val="24"/>
          <w:szCs w:val="24"/>
        </w:rPr>
        <w:t xml:space="preserve">: 1000 </w:t>
      </w:r>
      <w:proofErr w:type="spellStart"/>
      <w:r w:rsidRPr="0083399C">
        <w:rPr>
          <w:rFonts w:cstheme="minorHAnsi"/>
          <w:sz w:val="24"/>
          <w:szCs w:val="24"/>
        </w:rPr>
        <w:t>sq.m</w:t>
      </w:r>
      <w:proofErr w:type="spellEnd"/>
    </w:p>
    <w:p w14:paraId="5A64B79E" w14:textId="77777777" w:rsidR="006709EC" w:rsidRPr="0083399C" w:rsidRDefault="006709EC" w:rsidP="001D6BAF">
      <w:pPr>
        <w:pStyle w:val="ListParagraph"/>
        <w:numPr>
          <w:ilvl w:val="0"/>
          <w:numId w:val="4"/>
        </w:numPr>
        <w:jc w:val="both"/>
        <w:rPr>
          <w:rFonts w:cstheme="minorHAnsi"/>
          <w:sz w:val="24"/>
          <w:szCs w:val="24"/>
        </w:rPr>
      </w:pPr>
      <w:r w:rsidRPr="0083399C">
        <w:rPr>
          <w:rFonts w:cstheme="minorHAnsi"/>
          <w:b/>
          <w:bCs/>
          <w:sz w:val="24"/>
          <w:szCs w:val="24"/>
        </w:rPr>
        <w:t>VIP restaurant:</w:t>
      </w:r>
      <w:r w:rsidRPr="0083399C">
        <w:rPr>
          <w:rFonts w:cstheme="minorHAnsi"/>
          <w:sz w:val="24"/>
          <w:szCs w:val="24"/>
        </w:rPr>
        <w:t xml:space="preserve"> 100 </w:t>
      </w:r>
      <w:proofErr w:type="spellStart"/>
      <w:r w:rsidRPr="0083399C">
        <w:rPr>
          <w:rFonts w:cstheme="minorHAnsi"/>
          <w:sz w:val="24"/>
          <w:szCs w:val="24"/>
        </w:rPr>
        <w:t>sq.m</w:t>
      </w:r>
      <w:proofErr w:type="spellEnd"/>
      <w:r w:rsidRPr="0083399C">
        <w:rPr>
          <w:rFonts w:cstheme="minorHAnsi"/>
          <w:sz w:val="24"/>
          <w:szCs w:val="24"/>
        </w:rPr>
        <w:t>.</w:t>
      </w:r>
    </w:p>
    <w:p w14:paraId="64E50229" w14:textId="77777777" w:rsidR="006709EC" w:rsidRPr="0083399C" w:rsidRDefault="006709EC" w:rsidP="001D6BAF">
      <w:pPr>
        <w:pStyle w:val="ListParagraph"/>
        <w:numPr>
          <w:ilvl w:val="0"/>
          <w:numId w:val="4"/>
        </w:numPr>
        <w:jc w:val="both"/>
        <w:rPr>
          <w:rFonts w:cstheme="minorHAnsi"/>
          <w:sz w:val="24"/>
          <w:szCs w:val="24"/>
        </w:rPr>
      </w:pPr>
      <w:r w:rsidRPr="0083399C">
        <w:rPr>
          <w:rFonts w:cstheme="minorHAnsi"/>
          <w:b/>
          <w:sz w:val="24"/>
          <w:szCs w:val="24"/>
        </w:rPr>
        <w:t xml:space="preserve">Amateur Radio Room </w:t>
      </w:r>
      <w:r w:rsidRPr="0083399C">
        <w:rPr>
          <w:rFonts w:cstheme="minorHAnsi"/>
          <w:sz w:val="24"/>
          <w:szCs w:val="24"/>
        </w:rPr>
        <w:t>(station 4U1ITU): decoration and technical equipment.</w:t>
      </w:r>
    </w:p>
    <w:p w14:paraId="4090CFF6" w14:textId="77777777" w:rsidR="006709EC" w:rsidRDefault="006709EC" w:rsidP="001D6BAF">
      <w:pPr>
        <w:jc w:val="both"/>
        <w:rPr>
          <w:rFonts w:asciiTheme="minorHAnsi" w:hAnsiTheme="minorHAnsi" w:cstheme="minorHAnsi"/>
          <w:szCs w:val="24"/>
        </w:rPr>
      </w:pPr>
      <w:r w:rsidRPr="00C8350C">
        <w:rPr>
          <w:rFonts w:asciiTheme="minorHAnsi" w:hAnsiTheme="minorHAnsi" w:cstheme="minorHAnsi"/>
          <w:szCs w:val="24"/>
        </w:rPr>
        <w:t>4.5</w:t>
      </w:r>
      <w:r w:rsidRPr="00C8350C">
        <w:rPr>
          <w:rFonts w:asciiTheme="minorHAnsi" w:hAnsiTheme="minorHAnsi" w:cstheme="minorHAnsi"/>
          <w:szCs w:val="24"/>
        </w:rPr>
        <w:tab/>
      </w:r>
      <w:r w:rsidRPr="00C8350C">
        <w:rPr>
          <w:rFonts w:asciiTheme="minorHAnsi" w:hAnsiTheme="minorHAnsi" w:cstheme="minorHAnsi"/>
          <w:b/>
          <w:szCs w:val="24"/>
        </w:rPr>
        <w:t>External Spaces including Courtyard Garden</w:t>
      </w:r>
      <w:r w:rsidRPr="00C8350C">
        <w:rPr>
          <w:rFonts w:asciiTheme="minorHAnsi" w:hAnsiTheme="minorHAnsi" w:cstheme="minorHAnsi"/>
          <w:szCs w:val="24"/>
        </w:rPr>
        <w:t xml:space="preserve">. </w:t>
      </w:r>
    </w:p>
    <w:p w14:paraId="1EBB5547" w14:textId="13C34EAD" w:rsidR="008B7027" w:rsidRDefault="008B702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br w:type="page"/>
      </w:r>
    </w:p>
    <w:p w14:paraId="4B0795E4" w14:textId="77777777" w:rsidR="008B7027" w:rsidRDefault="008B7027" w:rsidP="008B7027">
      <w:pPr>
        <w:pStyle w:val="AnnexNo"/>
        <w:rPr>
          <w:rFonts w:eastAsia="SimSun"/>
        </w:rPr>
      </w:pPr>
      <w:bookmarkStart w:id="11" w:name="Annex1"/>
      <w:r>
        <w:rPr>
          <w:rFonts w:eastAsia="SimSun"/>
        </w:rPr>
        <w:t>Extract from c17/67</w:t>
      </w:r>
    </w:p>
    <w:p w14:paraId="7D0E24FD" w14:textId="77777777" w:rsidR="008B7027" w:rsidRPr="00002F72" w:rsidRDefault="008B7027" w:rsidP="008B7027">
      <w:pPr>
        <w:pStyle w:val="AnnexNo"/>
        <w:rPr>
          <w:rFonts w:eastAsia="SimSun"/>
        </w:rPr>
      </w:pPr>
      <w:r w:rsidRPr="00002F72">
        <w:rPr>
          <w:rFonts w:eastAsia="SimSun"/>
        </w:rPr>
        <w:t>ANNEX 1</w:t>
      </w:r>
      <w:bookmarkEnd w:id="11"/>
    </w:p>
    <w:p w14:paraId="22AE03F6" w14:textId="77777777" w:rsidR="008B7027" w:rsidRPr="00002F72" w:rsidRDefault="008B7027" w:rsidP="008B7027">
      <w:pPr>
        <w:pStyle w:val="Annextitle"/>
      </w:pPr>
      <w:r w:rsidRPr="00002F72">
        <w:t>PROPOSAL: Principles for Resource Mobilization</w:t>
      </w:r>
    </w:p>
    <w:p w14:paraId="08DAA633" w14:textId="77777777" w:rsidR="008B7027" w:rsidRPr="0083399C" w:rsidRDefault="008B7027" w:rsidP="008B7027">
      <w:pPr>
        <w:pStyle w:val="ListParagraph"/>
        <w:numPr>
          <w:ilvl w:val="0"/>
          <w:numId w:val="3"/>
        </w:numPr>
        <w:snapToGrid w:val="0"/>
        <w:spacing w:before="120" w:after="120" w:line="240" w:lineRule="auto"/>
        <w:ind w:left="0" w:firstLine="0"/>
        <w:contextualSpacing w:val="0"/>
        <w:jc w:val="both"/>
        <w:rPr>
          <w:rFonts w:cstheme="majorBidi"/>
          <w:sz w:val="24"/>
          <w:szCs w:val="24"/>
        </w:rPr>
      </w:pPr>
      <w:r w:rsidRPr="0083399C">
        <w:rPr>
          <w:rFonts w:cstheme="majorBidi"/>
          <w:sz w:val="24"/>
          <w:szCs w:val="24"/>
          <w:u w:val="single"/>
        </w:rPr>
        <w:t>Defining the scope</w:t>
      </w:r>
      <w:r w:rsidRPr="0083399C">
        <w:rPr>
          <w:rFonts w:cstheme="majorBidi"/>
          <w:sz w:val="24"/>
          <w:szCs w:val="24"/>
        </w:rPr>
        <w:t>: “Resource Mobilization” in the context of ITU refers to all forms of raising revenues, including both regular budget revenues and extra-budgetary contributions.</w:t>
      </w:r>
    </w:p>
    <w:p w14:paraId="47269DFC" w14:textId="77777777" w:rsidR="008B7027" w:rsidRPr="0083399C" w:rsidRDefault="008B7027" w:rsidP="008B7027">
      <w:pPr>
        <w:pStyle w:val="ListParagraph"/>
        <w:numPr>
          <w:ilvl w:val="0"/>
          <w:numId w:val="3"/>
        </w:numPr>
        <w:snapToGrid w:val="0"/>
        <w:spacing w:before="120" w:after="120" w:line="240" w:lineRule="auto"/>
        <w:ind w:left="0" w:firstLine="0"/>
        <w:contextualSpacing w:val="0"/>
        <w:jc w:val="both"/>
        <w:rPr>
          <w:rFonts w:cstheme="majorBidi"/>
          <w:sz w:val="24"/>
          <w:szCs w:val="24"/>
        </w:rPr>
      </w:pPr>
      <w:r w:rsidRPr="0083399C">
        <w:rPr>
          <w:rFonts w:cstheme="majorBidi"/>
          <w:sz w:val="24"/>
          <w:szCs w:val="24"/>
          <w:u w:val="single"/>
        </w:rPr>
        <w:t>Setting priorities</w:t>
      </w:r>
      <w:r w:rsidRPr="0083399C">
        <w:rPr>
          <w:rFonts w:cstheme="majorBidi"/>
          <w:sz w:val="24"/>
          <w:szCs w:val="24"/>
        </w:rPr>
        <w:t>: As ITU’s primary source of revenues, the top priority for Resource Mobilization is assessed contributions from ITU’s Member States. These contributions are provided to support an agreed Strategic Plan and its implementation through Operational Plans, using the ITU Regular Budget. Therefore, Member States are encouraged to prioritize their assessed contributions as their main financial support to ITU, either by maintaining or when possible, increasing these contributions before considering providing resources for activities outside of the ITU Regular Budget. To this end, the secretariat will encourage, to the extent possible, the support of entities outside of ITU’s membership for extra-budgetary, voluntary contributions, to complement resources provided by members.</w:t>
      </w:r>
    </w:p>
    <w:p w14:paraId="2F87B3E0" w14:textId="77777777" w:rsidR="008B7027" w:rsidRPr="0083399C" w:rsidRDefault="008B7027" w:rsidP="008B7027">
      <w:pPr>
        <w:pStyle w:val="ListParagraph"/>
        <w:numPr>
          <w:ilvl w:val="0"/>
          <w:numId w:val="3"/>
        </w:numPr>
        <w:snapToGrid w:val="0"/>
        <w:spacing w:before="120" w:after="120" w:line="240" w:lineRule="auto"/>
        <w:ind w:left="0" w:firstLine="0"/>
        <w:contextualSpacing w:val="0"/>
        <w:jc w:val="both"/>
        <w:rPr>
          <w:rFonts w:cstheme="majorBidi"/>
          <w:sz w:val="24"/>
          <w:szCs w:val="24"/>
        </w:rPr>
      </w:pPr>
      <w:r w:rsidRPr="0083399C">
        <w:rPr>
          <w:rFonts w:cstheme="majorBidi"/>
          <w:sz w:val="24"/>
          <w:szCs w:val="24"/>
          <w:u w:val="single"/>
        </w:rPr>
        <w:t>Ensuring transparency</w:t>
      </w:r>
      <w:r w:rsidRPr="0083399C">
        <w:rPr>
          <w:rFonts w:cstheme="majorBidi"/>
          <w:sz w:val="24"/>
          <w:szCs w:val="24"/>
        </w:rPr>
        <w:t>: Opportunities for ITU membership and other entities to support additional activities through resource mobilization campaigns should be made known to the entire membership, and the benefits received by the partner/funder should be modest and in line with ITU rules and procedures, including protocol and common ITU practice.</w:t>
      </w:r>
    </w:p>
    <w:p w14:paraId="040C5E5D" w14:textId="77777777" w:rsidR="008B7027" w:rsidRPr="0083399C" w:rsidRDefault="008B7027" w:rsidP="008B7027">
      <w:pPr>
        <w:pStyle w:val="ListParagraph"/>
        <w:numPr>
          <w:ilvl w:val="0"/>
          <w:numId w:val="3"/>
        </w:numPr>
        <w:snapToGrid w:val="0"/>
        <w:spacing w:before="120" w:after="120" w:line="240" w:lineRule="auto"/>
        <w:ind w:left="0" w:firstLine="0"/>
        <w:contextualSpacing w:val="0"/>
        <w:jc w:val="both"/>
        <w:rPr>
          <w:rFonts w:cstheme="majorBidi"/>
          <w:sz w:val="24"/>
          <w:szCs w:val="24"/>
        </w:rPr>
      </w:pPr>
      <w:r w:rsidRPr="0083399C">
        <w:rPr>
          <w:rFonts w:cstheme="majorBidi"/>
          <w:sz w:val="24"/>
          <w:szCs w:val="24"/>
          <w:u w:val="single"/>
        </w:rPr>
        <w:t xml:space="preserve">Adhering to </w:t>
      </w:r>
      <w:r w:rsidRPr="0083399C">
        <w:rPr>
          <w:rFonts w:cstheme="majorBidi"/>
          <w:bCs/>
          <w:sz w:val="24"/>
          <w:szCs w:val="24"/>
          <w:u w:val="single"/>
        </w:rPr>
        <w:t>UN principles</w:t>
      </w:r>
      <w:r w:rsidRPr="0083399C">
        <w:rPr>
          <w:rFonts w:cstheme="majorBidi"/>
          <w:bCs/>
          <w:sz w:val="24"/>
          <w:szCs w:val="24"/>
        </w:rPr>
        <w:t xml:space="preserve">: To complement the support of its membership, ITU will accept funding from/partner with entities that exhibit </w:t>
      </w:r>
      <w:proofErr w:type="spellStart"/>
      <w:r w:rsidRPr="0083399C">
        <w:rPr>
          <w:rFonts w:cstheme="majorBidi"/>
          <w:bCs/>
          <w:sz w:val="24"/>
          <w:szCs w:val="24"/>
        </w:rPr>
        <w:t>behaviour</w:t>
      </w:r>
      <w:proofErr w:type="spellEnd"/>
      <w:r w:rsidRPr="0083399C">
        <w:rPr>
          <w:rFonts w:cstheme="majorBidi"/>
          <w:bCs/>
          <w:sz w:val="24"/>
          <w:szCs w:val="24"/>
        </w:rPr>
        <w:t xml:space="preserve"> which is in line with </w:t>
      </w:r>
      <w:hyperlink r:id="rId10" w:history="1">
        <w:r w:rsidRPr="0083399C">
          <w:rPr>
            <w:rStyle w:val="Hyperlink"/>
            <w:rFonts w:cstheme="majorBidi"/>
            <w:bCs/>
            <w:sz w:val="24"/>
            <w:szCs w:val="24"/>
          </w:rPr>
          <w:t>UN principles</w:t>
        </w:r>
      </w:hyperlink>
      <w:r w:rsidRPr="0083399C">
        <w:rPr>
          <w:rFonts w:cstheme="majorBidi"/>
          <w:bCs/>
          <w:sz w:val="24"/>
          <w:szCs w:val="24"/>
        </w:rPr>
        <w:t xml:space="preserve">, including human rights, </w:t>
      </w:r>
      <w:proofErr w:type="spellStart"/>
      <w:r w:rsidRPr="0083399C">
        <w:rPr>
          <w:rFonts w:cstheme="majorBidi"/>
          <w:bCs/>
          <w:sz w:val="24"/>
          <w:szCs w:val="24"/>
        </w:rPr>
        <w:t>labour</w:t>
      </w:r>
      <w:proofErr w:type="spellEnd"/>
      <w:r w:rsidRPr="0083399C">
        <w:rPr>
          <w:rFonts w:cstheme="majorBidi"/>
          <w:bCs/>
          <w:sz w:val="24"/>
          <w:szCs w:val="24"/>
        </w:rPr>
        <w:t xml:space="preserve">, environment, and anti-corruption. ITU shall apply due diligence screening process in line with </w:t>
      </w:r>
      <w:hyperlink r:id="rId11" w:history="1">
        <w:r w:rsidRPr="0083399C">
          <w:rPr>
            <w:rStyle w:val="Hyperlink"/>
            <w:rFonts w:cstheme="majorBidi"/>
            <w:sz w:val="24"/>
            <w:szCs w:val="24"/>
          </w:rPr>
          <w:t xml:space="preserve">UN </w:t>
        </w:r>
        <w:r w:rsidRPr="0083399C">
          <w:rPr>
            <w:rStyle w:val="Hyperlink"/>
            <w:rFonts w:cstheme="majorBidi"/>
            <w:bCs/>
            <w:sz w:val="24"/>
            <w:szCs w:val="24"/>
          </w:rPr>
          <w:t>guidelines</w:t>
        </w:r>
      </w:hyperlink>
      <w:r w:rsidRPr="0083399C">
        <w:rPr>
          <w:rFonts w:cstheme="majorBidi"/>
          <w:bCs/>
          <w:sz w:val="24"/>
          <w:szCs w:val="24"/>
        </w:rPr>
        <w:t xml:space="preserve"> and best practices when considering whether or not to accept funding from or partner with a non-ITU member entity.</w:t>
      </w:r>
    </w:p>
    <w:p w14:paraId="698CBBEC" w14:textId="77777777" w:rsidR="008B7027" w:rsidRPr="0083399C" w:rsidRDefault="008B7027" w:rsidP="008B7027">
      <w:pPr>
        <w:pStyle w:val="ListParagraph"/>
        <w:numPr>
          <w:ilvl w:val="0"/>
          <w:numId w:val="3"/>
        </w:numPr>
        <w:snapToGrid w:val="0"/>
        <w:spacing w:before="120" w:after="120" w:line="240" w:lineRule="auto"/>
        <w:ind w:left="0" w:firstLine="0"/>
        <w:contextualSpacing w:val="0"/>
        <w:jc w:val="both"/>
        <w:rPr>
          <w:rFonts w:cstheme="majorBidi"/>
          <w:sz w:val="24"/>
          <w:szCs w:val="24"/>
        </w:rPr>
      </w:pPr>
      <w:r w:rsidRPr="0083399C">
        <w:rPr>
          <w:rFonts w:cstheme="majorBidi"/>
          <w:bCs/>
          <w:sz w:val="24"/>
          <w:szCs w:val="24"/>
          <w:u w:val="single"/>
        </w:rPr>
        <w:t>Achieving ITU goals</w:t>
      </w:r>
      <w:r w:rsidRPr="0083399C">
        <w:rPr>
          <w:rFonts w:cstheme="majorBidi"/>
          <w:bCs/>
          <w:sz w:val="24"/>
          <w:szCs w:val="24"/>
        </w:rPr>
        <w:t>: The objective of funding (or in-kind contribution/partnership) arrangements must be consistent with the overall ITU goals as outlined in its Constitution and Convention and ITU Strategic Plan.</w:t>
      </w:r>
    </w:p>
    <w:p w14:paraId="57123808" w14:textId="77777777" w:rsidR="008B7027" w:rsidRPr="0083399C" w:rsidRDefault="008B7027" w:rsidP="008B7027">
      <w:pPr>
        <w:pStyle w:val="ListParagraph"/>
        <w:numPr>
          <w:ilvl w:val="0"/>
          <w:numId w:val="3"/>
        </w:numPr>
        <w:snapToGrid w:val="0"/>
        <w:spacing w:before="120" w:after="120" w:line="240" w:lineRule="auto"/>
        <w:ind w:left="0" w:firstLine="0"/>
        <w:contextualSpacing w:val="0"/>
        <w:jc w:val="both"/>
        <w:rPr>
          <w:rFonts w:cstheme="majorBidi"/>
          <w:sz w:val="24"/>
          <w:szCs w:val="24"/>
        </w:rPr>
      </w:pPr>
      <w:r w:rsidRPr="0083399C">
        <w:rPr>
          <w:rFonts w:cstheme="majorBidi"/>
          <w:bCs/>
          <w:sz w:val="24"/>
          <w:szCs w:val="24"/>
          <w:u w:val="single"/>
        </w:rPr>
        <w:t>Clarifying roles and responsibilities</w:t>
      </w:r>
      <w:r w:rsidRPr="0083399C">
        <w:rPr>
          <w:rFonts w:cstheme="majorBidi"/>
          <w:bCs/>
          <w:sz w:val="24"/>
          <w:szCs w:val="24"/>
        </w:rPr>
        <w:t>: Funding/partner arrangements must be based on a clearly stated understanding of respective roles and expectations, with accountability and a clear division of responsibilities between ITU and the funder/partner.</w:t>
      </w:r>
    </w:p>
    <w:p w14:paraId="29C5321A" w14:textId="6FF4B66D" w:rsidR="008B7027" w:rsidRPr="0083399C" w:rsidRDefault="008B7027" w:rsidP="008B7027">
      <w:pPr>
        <w:pStyle w:val="Default"/>
        <w:snapToGrid w:val="0"/>
        <w:spacing w:before="120" w:after="120"/>
        <w:rPr>
          <w:rFonts w:asciiTheme="minorHAnsi" w:hAnsiTheme="minorHAnsi" w:cstheme="majorBidi"/>
          <w:b/>
          <w:bCs/>
        </w:rPr>
      </w:pPr>
      <w:r w:rsidRPr="0083399C">
        <w:rPr>
          <w:rFonts w:asciiTheme="minorHAnsi" w:hAnsiTheme="minorHAnsi" w:cstheme="majorBidi"/>
          <w:bCs/>
        </w:rPr>
        <w:t>7.</w:t>
      </w:r>
      <w:r w:rsidRPr="0083399C">
        <w:rPr>
          <w:rFonts w:asciiTheme="minorHAnsi" w:hAnsiTheme="minorHAnsi" w:cstheme="majorBidi"/>
          <w:bCs/>
        </w:rPr>
        <w:tab/>
      </w:r>
      <w:r w:rsidRPr="0083399C">
        <w:rPr>
          <w:rFonts w:asciiTheme="minorHAnsi" w:hAnsiTheme="minorHAnsi" w:cstheme="majorBidi"/>
          <w:bCs/>
          <w:u w:val="single"/>
        </w:rPr>
        <w:t>Protection of ITU’s reputation</w:t>
      </w:r>
      <w:r w:rsidRPr="0083399C">
        <w:rPr>
          <w:rFonts w:asciiTheme="minorHAnsi" w:hAnsiTheme="minorHAnsi" w:cstheme="majorBidi"/>
          <w:bCs/>
        </w:rPr>
        <w:t>:</w:t>
      </w:r>
      <w:r w:rsidRPr="0083399C">
        <w:rPr>
          <w:rFonts w:asciiTheme="minorHAnsi" w:hAnsiTheme="minorHAnsi" w:cstheme="majorBidi"/>
          <w:bCs/>
          <w:color w:val="auto"/>
        </w:rPr>
        <w:t xml:space="preserve"> </w:t>
      </w:r>
      <w:r w:rsidRPr="0083399C">
        <w:rPr>
          <w:rFonts w:asciiTheme="minorHAnsi" w:hAnsiTheme="minorHAnsi" w:cstheme="majorBidi"/>
          <w:bCs/>
        </w:rPr>
        <w:t>Funding/partnership arrangements must not diminish ITU’s integrity, independence and impartiality and must not confer any unfair advantage. In particular, they must not convey or suggest a direct or indirect endorsement of a funder/partner, its policies, products, or services. A clear distinction must also be made between resource mobilization/partnership and procurement.</w:t>
      </w:r>
      <w:r w:rsidRPr="0083399C">
        <w:rPr>
          <w:rFonts w:asciiTheme="minorHAnsi" w:hAnsiTheme="minorHAnsi" w:cstheme="majorBidi"/>
          <w:b/>
          <w:bCs/>
        </w:rPr>
        <w:t xml:space="preserve"> </w:t>
      </w:r>
    </w:p>
    <w:p w14:paraId="0E86EDE2" w14:textId="77777777" w:rsidR="00264425" w:rsidRPr="009237C9" w:rsidRDefault="00F560F4" w:rsidP="00F560F4">
      <w:pPr>
        <w:spacing w:before="840"/>
        <w:jc w:val="center"/>
        <w:rPr>
          <w:u w:val="single"/>
          <w:lang w:val="en-US"/>
        </w:rPr>
      </w:pPr>
      <w:r>
        <w:t>________________</w:t>
      </w:r>
    </w:p>
    <w:sectPr w:rsidR="00264425" w:rsidRPr="009237C9"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55D11" w14:textId="77777777" w:rsidR="00302AB9" w:rsidRDefault="00302AB9">
      <w:r>
        <w:separator/>
      </w:r>
    </w:p>
  </w:endnote>
  <w:endnote w:type="continuationSeparator" w:id="0">
    <w:p w14:paraId="11619A1E" w14:textId="77777777" w:rsidR="00302AB9" w:rsidRDefault="0030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altName w:val="Calibri"/>
    <w:panose1 w:val="00000000000000000000"/>
    <w:charset w:val="00"/>
    <w:family w:val="roman"/>
    <w:notTrueType/>
    <w:pitch w:val="default"/>
    <w:sig w:usb0="00000003" w:usb1="00000000" w:usb2="00000000" w:usb3="00000000" w:csb0="00000001" w:csb1="00000000"/>
  </w:font>
  <w:font w:name="TimesNewRoman">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8518C" w14:textId="77777777" w:rsidR="00322D0D" w:rsidRDefault="00322D0D">
    <w:pPr>
      <w:spacing w:after="120"/>
      <w:jc w:val="center"/>
    </w:pPr>
    <w:r>
      <w:t xml:space="preserve">• </w:t>
    </w:r>
    <w:hyperlink r:id="rId1" w:history="1">
      <w:r>
        <w:rPr>
          <w:rStyle w:val="Hyperlink"/>
        </w:rPr>
        <w:t>http://www.itu.int/council</w:t>
      </w:r>
    </w:hyperlink>
    <w:r>
      <w:t xml:space="preserve"> •</w:t>
    </w:r>
  </w:p>
  <w:p w14:paraId="589D33C3" w14:textId="77777777" w:rsidR="00322D0D" w:rsidRDefault="00322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6E43F" w14:textId="77777777" w:rsidR="00302AB9" w:rsidRDefault="00302AB9">
      <w:r>
        <w:t>____________________</w:t>
      </w:r>
    </w:p>
  </w:footnote>
  <w:footnote w:type="continuationSeparator" w:id="0">
    <w:p w14:paraId="62AE5B10" w14:textId="77777777" w:rsidR="00302AB9" w:rsidRDefault="00302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C1C8E" w14:textId="09DC14CE" w:rsidR="00322D0D" w:rsidRDefault="006535F1" w:rsidP="00CE433C">
    <w:pPr>
      <w:pStyle w:val="Header"/>
    </w:pPr>
    <w:r>
      <w:fldChar w:fldCharType="begin"/>
    </w:r>
    <w:r>
      <w:instrText>PAGE</w:instrText>
    </w:r>
    <w:r>
      <w:fldChar w:fldCharType="separate"/>
    </w:r>
    <w:r w:rsidR="001D6BAF">
      <w:rPr>
        <w:noProof/>
      </w:rPr>
      <w:t>4</w:t>
    </w:r>
    <w:r>
      <w:rPr>
        <w:noProof/>
      </w:rPr>
      <w:fldChar w:fldCharType="end"/>
    </w:r>
  </w:p>
  <w:p w14:paraId="64E063FA" w14:textId="03A7DD20" w:rsidR="00322D0D" w:rsidRPr="00623AE3" w:rsidRDefault="00623AE3" w:rsidP="0083399C">
    <w:pPr>
      <w:pStyle w:val="Header"/>
      <w:rPr>
        <w:bCs/>
      </w:rPr>
    </w:pPr>
    <w:r w:rsidRPr="00623AE3">
      <w:rPr>
        <w:bCs/>
      </w:rPr>
      <w:t>C18/</w:t>
    </w:r>
    <w:r w:rsidR="0083399C">
      <w:rPr>
        <w:bCs/>
      </w:rPr>
      <w:t>47</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4D0CCE"/>
    <w:multiLevelType w:val="hybridMultilevel"/>
    <w:tmpl w:val="E87C9B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25CEE"/>
    <w:multiLevelType w:val="multilevel"/>
    <w:tmpl w:val="7AC424C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A823066"/>
    <w:multiLevelType w:val="hybridMultilevel"/>
    <w:tmpl w:val="0CBCE8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563C7"/>
    <w:rsid w:val="00061880"/>
    <w:rsid w:val="00063016"/>
    <w:rsid w:val="00066795"/>
    <w:rsid w:val="00076AF6"/>
    <w:rsid w:val="00085CF2"/>
    <w:rsid w:val="000B1705"/>
    <w:rsid w:val="000D75B2"/>
    <w:rsid w:val="001121F5"/>
    <w:rsid w:val="00133C5F"/>
    <w:rsid w:val="001400DC"/>
    <w:rsid w:val="00140CE1"/>
    <w:rsid w:val="0017539C"/>
    <w:rsid w:val="00175AC2"/>
    <w:rsid w:val="0017609F"/>
    <w:rsid w:val="001859E0"/>
    <w:rsid w:val="001C628E"/>
    <w:rsid w:val="001D6BAF"/>
    <w:rsid w:val="001E0F7B"/>
    <w:rsid w:val="0020185B"/>
    <w:rsid w:val="002119FD"/>
    <w:rsid w:val="002130E0"/>
    <w:rsid w:val="00227283"/>
    <w:rsid w:val="002516A0"/>
    <w:rsid w:val="00264425"/>
    <w:rsid w:val="00265875"/>
    <w:rsid w:val="0027303B"/>
    <w:rsid w:val="0028109B"/>
    <w:rsid w:val="002A2188"/>
    <w:rsid w:val="002B1F58"/>
    <w:rsid w:val="002C1C7A"/>
    <w:rsid w:val="0030160F"/>
    <w:rsid w:val="00302AB9"/>
    <w:rsid w:val="00322D0D"/>
    <w:rsid w:val="003942D4"/>
    <w:rsid w:val="003958A8"/>
    <w:rsid w:val="003A39D9"/>
    <w:rsid w:val="003C2533"/>
    <w:rsid w:val="0040435A"/>
    <w:rsid w:val="00416A24"/>
    <w:rsid w:val="00425A90"/>
    <w:rsid w:val="00431D9E"/>
    <w:rsid w:val="00433CE8"/>
    <w:rsid w:val="00434A5C"/>
    <w:rsid w:val="004544D9"/>
    <w:rsid w:val="004664E7"/>
    <w:rsid w:val="00490E72"/>
    <w:rsid w:val="00491157"/>
    <w:rsid w:val="004921C8"/>
    <w:rsid w:val="004D1851"/>
    <w:rsid w:val="004D599D"/>
    <w:rsid w:val="004E2EA5"/>
    <w:rsid w:val="004E3AEB"/>
    <w:rsid w:val="0050223C"/>
    <w:rsid w:val="00521386"/>
    <w:rsid w:val="005243FF"/>
    <w:rsid w:val="00557E18"/>
    <w:rsid w:val="00562365"/>
    <w:rsid w:val="00564FBC"/>
    <w:rsid w:val="00582442"/>
    <w:rsid w:val="005E6C07"/>
    <w:rsid w:val="005F3269"/>
    <w:rsid w:val="00623AE3"/>
    <w:rsid w:val="0064737F"/>
    <w:rsid w:val="006535F1"/>
    <w:rsid w:val="0065557D"/>
    <w:rsid w:val="00662984"/>
    <w:rsid w:val="00665694"/>
    <w:rsid w:val="006709EC"/>
    <w:rsid w:val="006716BB"/>
    <w:rsid w:val="006B6680"/>
    <w:rsid w:val="006B6DCC"/>
    <w:rsid w:val="006C1872"/>
    <w:rsid w:val="006E405F"/>
    <w:rsid w:val="00702DEF"/>
    <w:rsid w:val="00706861"/>
    <w:rsid w:val="0073496C"/>
    <w:rsid w:val="0075051B"/>
    <w:rsid w:val="00753456"/>
    <w:rsid w:val="00793188"/>
    <w:rsid w:val="00794D34"/>
    <w:rsid w:val="00813E5E"/>
    <w:rsid w:val="0083399C"/>
    <w:rsid w:val="0083581B"/>
    <w:rsid w:val="0086326D"/>
    <w:rsid w:val="00864AFF"/>
    <w:rsid w:val="00873B61"/>
    <w:rsid w:val="008A772A"/>
    <w:rsid w:val="008B4A6A"/>
    <w:rsid w:val="008B7027"/>
    <w:rsid w:val="008C7E27"/>
    <w:rsid w:val="009173EF"/>
    <w:rsid w:val="009237C9"/>
    <w:rsid w:val="00932906"/>
    <w:rsid w:val="00961B0B"/>
    <w:rsid w:val="009A5C2F"/>
    <w:rsid w:val="009B38C3"/>
    <w:rsid w:val="009E17BD"/>
    <w:rsid w:val="009E485A"/>
    <w:rsid w:val="00A04CEC"/>
    <w:rsid w:val="00A27F92"/>
    <w:rsid w:val="00A32257"/>
    <w:rsid w:val="00A3576B"/>
    <w:rsid w:val="00A36D20"/>
    <w:rsid w:val="00A511B1"/>
    <w:rsid w:val="00A55622"/>
    <w:rsid w:val="00A83502"/>
    <w:rsid w:val="00AC1387"/>
    <w:rsid w:val="00AD15B3"/>
    <w:rsid w:val="00AF6E49"/>
    <w:rsid w:val="00B04A67"/>
    <w:rsid w:val="00B0583C"/>
    <w:rsid w:val="00B40A81"/>
    <w:rsid w:val="00B44910"/>
    <w:rsid w:val="00B72267"/>
    <w:rsid w:val="00B76EB6"/>
    <w:rsid w:val="00B7737B"/>
    <w:rsid w:val="00B824C8"/>
    <w:rsid w:val="00BC0C89"/>
    <w:rsid w:val="00BC251A"/>
    <w:rsid w:val="00BD032B"/>
    <w:rsid w:val="00BE2640"/>
    <w:rsid w:val="00C01189"/>
    <w:rsid w:val="00C06B85"/>
    <w:rsid w:val="00C374DE"/>
    <w:rsid w:val="00C37DA2"/>
    <w:rsid w:val="00C47AD4"/>
    <w:rsid w:val="00C52D81"/>
    <w:rsid w:val="00C55198"/>
    <w:rsid w:val="00C666E3"/>
    <w:rsid w:val="00C752B6"/>
    <w:rsid w:val="00C8350C"/>
    <w:rsid w:val="00CA6393"/>
    <w:rsid w:val="00CB18FF"/>
    <w:rsid w:val="00CD0C08"/>
    <w:rsid w:val="00CE03FB"/>
    <w:rsid w:val="00CE433C"/>
    <w:rsid w:val="00CF33F3"/>
    <w:rsid w:val="00D04E39"/>
    <w:rsid w:val="00D06183"/>
    <w:rsid w:val="00D22C42"/>
    <w:rsid w:val="00D5588C"/>
    <w:rsid w:val="00D65041"/>
    <w:rsid w:val="00DA3261"/>
    <w:rsid w:val="00DB384B"/>
    <w:rsid w:val="00DF21F3"/>
    <w:rsid w:val="00E10E80"/>
    <w:rsid w:val="00E124F0"/>
    <w:rsid w:val="00E60F04"/>
    <w:rsid w:val="00E854E4"/>
    <w:rsid w:val="00E96491"/>
    <w:rsid w:val="00EA2F9F"/>
    <w:rsid w:val="00EB0D6F"/>
    <w:rsid w:val="00EB2232"/>
    <w:rsid w:val="00EC5337"/>
    <w:rsid w:val="00EF3FDB"/>
    <w:rsid w:val="00F2150A"/>
    <w:rsid w:val="00F231D8"/>
    <w:rsid w:val="00F467A6"/>
    <w:rsid w:val="00F46C5F"/>
    <w:rsid w:val="00F560F4"/>
    <w:rsid w:val="00F9131E"/>
    <w:rsid w:val="00F94A63"/>
    <w:rsid w:val="00FA1C28"/>
    <w:rsid w:val="00FB7596"/>
    <w:rsid w:val="00FE4077"/>
    <w:rsid w:val="00FE77D2"/>
    <w:rsid w:val="00FF6E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297C34"/>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Strong">
    <w:name w:val="Strong"/>
    <w:qFormat/>
    <w:rsid w:val="00EA2F9F"/>
    <w:rPr>
      <w:rFonts w:ascii="Trebuchet MS" w:hAnsi="Trebuchet MS"/>
      <w:b/>
      <w:bCs/>
      <w:noProof w:val="0"/>
      <w:lang w:val="en-US"/>
    </w:rPr>
  </w:style>
  <w:style w:type="paragraph" w:styleId="ListParagraph">
    <w:name w:val="List Paragraph"/>
    <w:basedOn w:val="Normal"/>
    <w:link w:val="ListParagraphChar"/>
    <w:uiPriority w:val="34"/>
    <w:qFormat/>
    <w:rsid w:val="00EA2F9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semiHidden/>
    <w:unhideWhenUsed/>
    <w:rsid w:val="00C666E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666E3"/>
    <w:rPr>
      <w:rFonts w:ascii="Segoe UI" w:hAnsi="Segoe UI" w:cs="Segoe UI"/>
      <w:sz w:val="18"/>
      <w:szCs w:val="18"/>
      <w:lang w:val="en-GB" w:eastAsia="en-US"/>
    </w:rPr>
  </w:style>
  <w:style w:type="paragraph" w:styleId="NormalWeb">
    <w:name w:val="Normal (Web)"/>
    <w:basedOn w:val="Normal"/>
    <w:uiPriority w:val="99"/>
    <w:unhideWhenUsed/>
    <w:rsid w:val="006709E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ja-JP"/>
    </w:rPr>
  </w:style>
  <w:style w:type="character" w:customStyle="1" w:styleId="ListParagraphChar">
    <w:name w:val="List Paragraph Char"/>
    <w:basedOn w:val="DefaultParagraphFont"/>
    <w:link w:val="ListParagraph"/>
    <w:uiPriority w:val="34"/>
    <w:locked/>
    <w:rsid w:val="006709EC"/>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6709EC"/>
  </w:style>
  <w:style w:type="paragraph" w:customStyle="1" w:styleId="Default">
    <w:name w:val="Default"/>
    <w:rsid w:val="008B7027"/>
    <w:pPr>
      <w:autoSpaceDE w:val="0"/>
      <w:autoSpaceDN w:val="0"/>
      <w:adjustRightInd w:val="0"/>
      <w:spacing w:before="180"/>
      <w:jc w:val="both"/>
    </w:pPr>
    <w:rPr>
      <w:rFonts w:ascii="Calibri" w:eastAsia="Batang" w:hAnsi="Calibri" w:cs="Calibri"/>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479">
      <w:bodyDiv w:val="1"/>
      <w:marLeft w:val="0"/>
      <w:marRight w:val="0"/>
      <w:marTop w:val="0"/>
      <w:marBottom w:val="0"/>
      <w:divBdr>
        <w:top w:val="none" w:sz="0" w:space="0" w:color="auto"/>
        <w:left w:val="none" w:sz="0" w:space="0" w:color="auto"/>
        <w:bottom w:val="none" w:sz="0" w:space="0" w:color="auto"/>
        <w:right w:val="none" w:sz="0" w:space="0" w:color="auto"/>
      </w:divBdr>
    </w:div>
    <w:div w:id="94465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un.org/en/documents/guideli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globalcompact.org/what-is-gc/mission/principles" TargetMode="External"/><Relationship Id="rId4" Type="http://schemas.openxmlformats.org/officeDocument/2006/relationships/settings" Target="settings.xml"/><Relationship Id="rId9" Type="http://schemas.openxmlformats.org/officeDocument/2006/relationships/hyperlink" Target="http://www.itu.int/md/S17-CL-C-0067/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A915-A98B-483D-AD3E-216CE6C7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25</TotalTime>
  <Pages>4</Pages>
  <Words>1360</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Guidelines for sponsorship</vt:lpstr>
    </vt:vector>
  </TitlesOfParts>
  <Manager>General Secretariat - Pool</Manager>
  <Company>International Telecommunication Union (ITU)</Company>
  <LinksUpToDate>false</LinksUpToDate>
  <CharactersWithSpaces>9349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sponsorship</dc:title>
  <dc:subject>Council 2018</dc:subject>
  <dc:creator>Brouard, Ricarda</dc:creator>
  <cp:keywords>C2018, C18</cp:keywords>
  <dc:description/>
  <cp:lastModifiedBy>Janin</cp:lastModifiedBy>
  <cp:revision>5</cp:revision>
  <cp:lastPrinted>2000-07-18T13:30:00Z</cp:lastPrinted>
  <dcterms:created xsi:type="dcterms:W3CDTF">2018-02-07T07:03:00Z</dcterms:created>
  <dcterms:modified xsi:type="dcterms:W3CDTF">2018-02-07T09:47:00Z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