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 w:rsidRPr="009D1E3B">
        <w:trPr>
          <w:cantSplit/>
        </w:trPr>
        <w:tc>
          <w:tcPr>
            <w:tcW w:w="6911" w:type="dxa"/>
          </w:tcPr>
          <w:p w:rsidR="00700D1F" w:rsidRPr="009D1E3B" w:rsidRDefault="00D94637" w:rsidP="00A5354B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bookmarkStart w:id="0" w:name="_GoBack"/>
            <w:bookmarkEnd w:id="0"/>
            <w:r w:rsidRPr="009D1E3B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9D1E3B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="00325C25" w:rsidRPr="009D1E3B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1</w:t>
            </w:r>
            <w:r w:rsidR="006D3FAF">
              <w:rPr>
                <w:rFonts w:cs="Arial" w:hint="eastAsia"/>
                <w:b/>
                <w:bCs/>
                <w:sz w:val="26"/>
                <w:szCs w:val="26"/>
                <w:lang w:val="en-US" w:eastAsia="zh-CN"/>
              </w:rPr>
              <w:t>8</w:t>
            </w:r>
            <w:r w:rsidRPr="009D1E3B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 w:rsidRPr="009D1E3B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9625D8" w:rsidRPr="009D1E3B">
              <w:rPr>
                <w:b/>
                <w:bCs/>
                <w:color w:val="000000"/>
                <w:lang w:eastAsia="zh-CN"/>
              </w:rPr>
              <w:t>201</w:t>
            </w:r>
            <w:r w:rsidR="006D3FAF">
              <w:rPr>
                <w:rFonts w:hint="eastAsia"/>
                <w:b/>
                <w:bCs/>
                <w:color w:val="000000"/>
                <w:lang w:eastAsia="zh-CN"/>
              </w:rPr>
              <w:t>8</w:t>
            </w:r>
            <w:r w:rsidR="009625D8" w:rsidRPr="009D1E3B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年</w:t>
            </w:r>
            <w:r w:rsidR="006D3FAF">
              <w:rPr>
                <w:rFonts w:hint="eastAsia"/>
                <w:b/>
                <w:bCs/>
                <w:color w:val="000000"/>
                <w:lang w:eastAsia="zh-CN"/>
              </w:rPr>
              <w:t>4</w:t>
            </w:r>
            <w:r w:rsidR="009625D8" w:rsidRPr="009D1E3B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月</w:t>
            </w:r>
            <w:r w:rsidR="00A5354B" w:rsidRPr="009D1E3B">
              <w:rPr>
                <w:b/>
                <w:bCs/>
                <w:color w:val="000000"/>
                <w:lang w:eastAsia="zh-CN"/>
              </w:rPr>
              <w:t>1</w:t>
            </w:r>
            <w:r w:rsidR="006D3FAF">
              <w:rPr>
                <w:rFonts w:hint="eastAsia"/>
                <w:b/>
                <w:bCs/>
                <w:color w:val="000000"/>
                <w:lang w:eastAsia="zh-CN"/>
              </w:rPr>
              <w:t>7</w:t>
            </w:r>
            <w:r w:rsidR="00A5354B" w:rsidRPr="009D1E3B">
              <w:rPr>
                <w:b/>
                <w:bCs/>
                <w:color w:val="000000"/>
                <w:lang w:eastAsia="zh-CN"/>
              </w:rPr>
              <w:t>-</w:t>
            </w:r>
            <w:r w:rsidR="009625D8" w:rsidRPr="009D1E3B">
              <w:rPr>
                <w:b/>
                <w:bCs/>
                <w:color w:val="000000"/>
                <w:lang w:eastAsia="zh-CN"/>
              </w:rPr>
              <w:t>2</w:t>
            </w:r>
            <w:r w:rsidR="006D3FAF">
              <w:rPr>
                <w:rFonts w:hint="eastAsia"/>
                <w:b/>
                <w:bCs/>
                <w:color w:val="000000"/>
                <w:lang w:eastAsia="zh-CN"/>
              </w:rPr>
              <w:t>7</w:t>
            </w:r>
            <w:r w:rsidR="009625D8" w:rsidRPr="009D1E3B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日</w:t>
            </w:r>
            <w:r w:rsidR="009625D8" w:rsidRPr="009D1E3B">
              <w:rPr>
                <w:rFonts w:ascii="SimSun" w:hAnsi="SimSun" w:cs="SimSun" w:hint="eastAsia"/>
                <w:b/>
                <w:bCs/>
                <w:smallCaps/>
                <w:szCs w:val="24"/>
                <w:lang w:val="en-US" w:eastAsia="zh-CN"/>
              </w:rPr>
              <w:t>，</w:t>
            </w:r>
            <w:r w:rsidR="009625D8" w:rsidRPr="009D1E3B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700D1F" w:rsidRPr="009D1E3B" w:rsidRDefault="00AB42C1" w:rsidP="00864589">
            <w:pPr>
              <w:spacing w:before="0"/>
              <w:jc w:val="right"/>
            </w:pPr>
            <w:bookmarkStart w:id="1" w:name="ditulogo"/>
            <w:bookmarkEnd w:id="1"/>
            <w:r w:rsidRPr="009D1E3B">
              <w:rPr>
                <w:noProof/>
                <w:lang w:val="en-US" w:eastAsia="zh-CN"/>
              </w:rPr>
              <w:drawing>
                <wp:inline distT="0" distB="0" distL="0" distR="0" wp14:anchorId="252E5C10" wp14:editId="3F25DC54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9D1E3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00D1F" w:rsidRPr="009D1E3B" w:rsidRDefault="00700D1F" w:rsidP="00001B77">
            <w:pPr>
              <w:spacing w:before="0" w:after="48"/>
              <w:rPr>
                <w:b/>
                <w:smallCaps/>
                <w:szCs w:val="24"/>
                <w:lang w:val="fr-CH" w:eastAsia="zh-CN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00D1F" w:rsidRPr="009D1E3B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9D1E3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00D1F" w:rsidRPr="009D1E3B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00D1F" w:rsidRPr="009D1E3B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9D1E3B">
        <w:trPr>
          <w:cantSplit/>
          <w:trHeight w:val="23"/>
        </w:trPr>
        <w:tc>
          <w:tcPr>
            <w:tcW w:w="6911" w:type="dxa"/>
            <w:vMerge w:val="restart"/>
          </w:tcPr>
          <w:p w:rsidR="00700D1F" w:rsidRPr="009D1E3B" w:rsidRDefault="00700D1F" w:rsidP="00E067C5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2" w:name="dmeeting" w:colFirst="0" w:colLast="0"/>
            <w:r w:rsidRPr="009D1E3B">
              <w:rPr>
                <w:rFonts w:hint="eastAsia"/>
                <w:b/>
                <w:szCs w:val="24"/>
                <w:lang w:eastAsia="zh-CN"/>
              </w:rPr>
              <w:t>议项</w:t>
            </w:r>
            <w:r w:rsidRPr="009D1E3B">
              <w:rPr>
                <w:b/>
                <w:szCs w:val="24"/>
                <w:lang w:eastAsia="zh-CN"/>
              </w:rPr>
              <w:t>：</w:t>
            </w:r>
            <w:r w:rsidR="00595A9F" w:rsidRPr="009D1E3B">
              <w:rPr>
                <w:b/>
              </w:rPr>
              <w:t>ADM 1</w:t>
            </w:r>
            <w:r w:rsidR="0028391C">
              <w:rPr>
                <w:b/>
              </w:rPr>
              <w:t>8</w:t>
            </w:r>
          </w:p>
        </w:tc>
        <w:tc>
          <w:tcPr>
            <w:tcW w:w="3120" w:type="dxa"/>
          </w:tcPr>
          <w:p w:rsidR="00700D1F" w:rsidRPr="009D1E3B" w:rsidRDefault="00700D1F" w:rsidP="0028391C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9D1E3B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9D1E3B">
              <w:rPr>
                <w:b/>
                <w:bCs/>
                <w:sz w:val="20"/>
                <w:lang w:eastAsia="zh-CN"/>
              </w:rPr>
              <w:t xml:space="preserve"> </w:t>
            </w:r>
            <w:r w:rsidRPr="009D1E3B">
              <w:rPr>
                <w:b/>
                <w:bCs/>
                <w:szCs w:val="24"/>
                <w:lang w:eastAsia="zh-CN"/>
              </w:rPr>
              <w:t>C</w:t>
            </w:r>
            <w:r w:rsidR="00325C25" w:rsidRPr="009D1E3B">
              <w:rPr>
                <w:b/>
                <w:bCs/>
                <w:szCs w:val="24"/>
                <w:lang w:eastAsia="zh-CN"/>
              </w:rPr>
              <w:t>1</w:t>
            </w:r>
            <w:r w:rsidR="006D3FAF">
              <w:rPr>
                <w:rFonts w:hint="eastAsia"/>
                <w:b/>
                <w:bCs/>
                <w:szCs w:val="24"/>
                <w:lang w:eastAsia="zh-CN"/>
              </w:rPr>
              <w:t>8</w:t>
            </w:r>
            <w:r w:rsidRPr="009D1E3B">
              <w:rPr>
                <w:b/>
                <w:bCs/>
                <w:szCs w:val="24"/>
                <w:lang w:eastAsia="zh-CN"/>
              </w:rPr>
              <w:t>/</w:t>
            </w:r>
            <w:r w:rsidR="00595A9F" w:rsidRPr="009D1E3B">
              <w:rPr>
                <w:b/>
                <w:bCs/>
                <w:szCs w:val="24"/>
                <w:lang w:eastAsia="zh-CN"/>
              </w:rPr>
              <w:t>4</w:t>
            </w:r>
            <w:r w:rsidR="0028391C">
              <w:rPr>
                <w:b/>
                <w:bCs/>
                <w:szCs w:val="24"/>
                <w:lang w:eastAsia="zh-CN"/>
              </w:rPr>
              <w:t>7</w:t>
            </w:r>
            <w:r w:rsidR="00595A9F" w:rsidRPr="009D1E3B">
              <w:rPr>
                <w:b/>
                <w:bCs/>
                <w:szCs w:val="24"/>
                <w:lang w:eastAsia="zh-CN"/>
              </w:rPr>
              <w:t>-</w:t>
            </w:r>
            <w:r w:rsidRPr="009D1E3B">
              <w:rPr>
                <w:b/>
                <w:bCs/>
                <w:szCs w:val="24"/>
                <w:lang w:eastAsia="zh-CN"/>
              </w:rPr>
              <w:t>C</w:t>
            </w:r>
          </w:p>
        </w:tc>
      </w:tr>
      <w:bookmarkEnd w:id="2"/>
      <w:tr w:rsidR="00700D1F" w:rsidRPr="009D1E3B">
        <w:trPr>
          <w:cantSplit/>
          <w:trHeight w:val="23"/>
        </w:trPr>
        <w:tc>
          <w:tcPr>
            <w:tcW w:w="6911" w:type="dxa"/>
            <w:vMerge/>
          </w:tcPr>
          <w:p w:rsidR="00700D1F" w:rsidRPr="009D1E3B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9D1E3B" w:rsidRDefault="00700D1F" w:rsidP="00595A9F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9D1E3B">
              <w:rPr>
                <w:b/>
                <w:bCs/>
                <w:szCs w:val="24"/>
                <w:lang w:eastAsia="zh-CN"/>
              </w:rPr>
              <w:t>20</w:t>
            </w:r>
            <w:r w:rsidR="00325C25" w:rsidRPr="009D1E3B">
              <w:rPr>
                <w:b/>
                <w:bCs/>
                <w:szCs w:val="24"/>
                <w:lang w:eastAsia="zh-CN"/>
              </w:rPr>
              <w:t>1</w:t>
            </w:r>
            <w:r w:rsidR="006D3FAF">
              <w:rPr>
                <w:rFonts w:hint="eastAsia"/>
                <w:b/>
                <w:bCs/>
                <w:szCs w:val="24"/>
                <w:lang w:eastAsia="zh-CN"/>
              </w:rPr>
              <w:t>8</w:t>
            </w:r>
            <w:r w:rsidRPr="009D1E3B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595A9F" w:rsidRPr="009D1E3B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2</w:t>
            </w:r>
            <w:r w:rsidRPr="009D1E3B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6D3FAF"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8</w:t>
            </w:r>
            <w:r w:rsidRPr="009D1E3B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 w:rsidRPr="009D1E3B">
        <w:trPr>
          <w:cantSplit/>
          <w:trHeight w:val="23"/>
        </w:trPr>
        <w:tc>
          <w:tcPr>
            <w:tcW w:w="6911" w:type="dxa"/>
            <w:vMerge/>
          </w:tcPr>
          <w:p w:rsidR="00700D1F" w:rsidRPr="009D1E3B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9D1E3B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9D1E3B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9D1E3B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9D1E3B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 w:rsidRPr="009D1E3B">
        <w:trPr>
          <w:cantSplit/>
        </w:trPr>
        <w:tc>
          <w:tcPr>
            <w:tcW w:w="10031" w:type="dxa"/>
          </w:tcPr>
          <w:p w:rsidR="0093362E" w:rsidRPr="009D1E3B" w:rsidRDefault="00E70D28" w:rsidP="00001B77">
            <w:pPr>
              <w:pStyle w:val="Source"/>
              <w:rPr>
                <w:lang w:eastAsia="zh-CN"/>
              </w:rPr>
            </w:pPr>
            <w:r>
              <w:rPr>
                <w:rFonts w:ascii="Times New Roman Bold" w:hAnsi="Times New Roman Bold" w:hint="eastAsia"/>
                <w:lang w:val="fr-CH" w:eastAsia="zh-CN"/>
              </w:rPr>
              <w:t>秘书长</w:t>
            </w:r>
            <w:r w:rsidR="0028391C">
              <w:rPr>
                <w:rFonts w:ascii="Times New Roman Bold" w:hAnsi="Times New Roman Bold" w:hint="eastAsia"/>
                <w:lang w:val="fr-CH" w:eastAsia="zh-CN"/>
              </w:rPr>
              <w:t>的</w:t>
            </w:r>
            <w:r w:rsidR="00E378D8" w:rsidRPr="009D1E3B">
              <w:rPr>
                <w:rFonts w:ascii="Times New Roman Bold" w:hAnsi="Times New Roman Bold" w:hint="eastAsia"/>
                <w:lang w:eastAsia="zh-CN"/>
              </w:rPr>
              <w:t>报告</w:t>
            </w:r>
          </w:p>
        </w:tc>
      </w:tr>
      <w:tr w:rsidR="0093362E" w:rsidRPr="009D1E3B">
        <w:trPr>
          <w:cantSplit/>
        </w:trPr>
        <w:tc>
          <w:tcPr>
            <w:tcW w:w="10031" w:type="dxa"/>
          </w:tcPr>
          <w:p w:rsidR="0093362E" w:rsidRPr="009D1E3B" w:rsidRDefault="004D7880" w:rsidP="004D7880">
            <w:pPr>
              <w:pStyle w:val="Title1"/>
              <w:rPr>
                <w:bCs/>
                <w:lang w:eastAsia="zh-CN"/>
              </w:rPr>
            </w:pPr>
            <w:bookmarkStart w:id="3" w:name="lt_pId011"/>
            <w:r>
              <w:rPr>
                <w:rFonts w:hint="eastAsia"/>
                <w:lang w:eastAsia="zh-CN"/>
              </w:rPr>
              <w:t>赞助</w:t>
            </w:r>
            <w:r w:rsidR="006842D1">
              <w:rPr>
                <w:rFonts w:hint="eastAsia"/>
                <w:lang w:eastAsia="zh-CN"/>
              </w:rPr>
              <w:t>总部办公场所项目的可行性</w:t>
            </w:r>
            <w:bookmarkEnd w:id="3"/>
          </w:p>
        </w:tc>
      </w:tr>
    </w:tbl>
    <w:p w:rsidR="0093362E" w:rsidRPr="009D1E3B" w:rsidRDefault="0093362E" w:rsidP="00001B77">
      <w:pPr>
        <w:rPr>
          <w:lang w:eastAsia="zh-CN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</w:tblGrid>
      <w:tr w:rsidR="00B40A53" w:rsidRPr="009D1E3B" w:rsidTr="00B40A53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0A53" w:rsidRPr="00E70D28" w:rsidRDefault="00B40A53" w:rsidP="003C2E37">
            <w:pPr>
              <w:pStyle w:val="Headingb"/>
              <w:rPr>
                <w:lang w:eastAsia="zh-CN"/>
              </w:rPr>
            </w:pPr>
            <w:r w:rsidRPr="009D1E3B">
              <w:rPr>
                <w:rFonts w:hint="eastAsia"/>
                <w:lang w:val="fr-FR" w:eastAsia="zh-CN"/>
              </w:rPr>
              <w:t>概</w:t>
            </w:r>
            <w:r w:rsidRPr="009D1E3B">
              <w:rPr>
                <w:rFonts w:hint="eastAsia"/>
                <w:lang w:eastAsia="zh-CN"/>
              </w:rPr>
              <w:t>要</w:t>
            </w:r>
          </w:p>
          <w:p w:rsidR="00595A9F" w:rsidRPr="009D1E3B" w:rsidRDefault="006842D1" w:rsidP="00BF75E5">
            <w:pPr>
              <w:keepNext/>
              <w:keepLines/>
              <w:snapToGrid w:val="0"/>
              <w:spacing w:after="120"/>
              <w:ind w:firstLineChars="200" w:firstLine="480"/>
              <w:jc w:val="both"/>
              <w:outlineLvl w:val="0"/>
              <w:rPr>
                <w:szCs w:val="24"/>
                <w:lang w:val="en-US" w:eastAsia="zh-CN"/>
              </w:rPr>
            </w:pPr>
            <w:bookmarkStart w:id="4" w:name="lt_pId013"/>
            <w:r>
              <w:rPr>
                <w:rFonts w:asciiTheme="minorHAnsi" w:hAnsiTheme="minorHAnsi" w:hint="eastAsia"/>
                <w:szCs w:val="24"/>
                <w:lang w:eastAsia="zh-CN"/>
              </w:rPr>
              <w:t>本文件介绍</w:t>
            </w:r>
            <w:r w:rsidR="00BF75E5">
              <w:rPr>
                <w:rFonts w:asciiTheme="minorHAnsi" w:hAnsiTheme="minorHAnsi" w:hint="eastAsia"/>
                <w:szCs w:val="24"/>
                <w:lang w:eastAsia="zh-CN"/>
              </w:rPr>
              <w:t>赞助</w:t>
            </w:r>
            <w:r>
              <w:rPr>
                <w:rFonts w:asciiTheme="minorHAnsi" w:hAnsiTheme="minorHAnsi" w:hint="eastAsia"/>
                <w:szCs w:val="24"/>
                <w:lang w:eastAsia="zh-CN"/>
              </w:rPr>
              <w:t>总部办公场所项目可行性。</w:t>
            </w:r>
            <w:bookmarkEnd w:id="4"/>
          </w:p>
          <w:p w:rsidR="00B40A53" w:rsidRPr="009D1E3B" w:rsidRDefault="00B40A53" w:rsidP="003C2E37">
            <w:pPr>
              <w:pStyle w:val="Headingb"/>
              <w:rPr>
                <w:lang w:eastAsia="zh-CN"/>
              </w:rPr>
            </w:pPr>
            <w:r w:rsidRPr="009D1E3B">
              <w:rPr>
                <w:rFonts w:hint="eastAsia"/>
                <w:lang w:eastAsia="zh-CN"/>
              </w:rPr>
              <w:t>需采取的行动</w:t>
            </w:r>
          </w:p>
          <w:p w:rsidR="00B40A53" w:rsidRPr="00942A20" w:rsidRDefault="006842D1" w:rsidP="00BF75E5">
            <w:pPr>
              <w:spacing w:after="120"/>
              <w:ind w:right="48" w:firstLineChars="200" w:firstLine="480"/>
              <w:jc w:val="both"/>
              <w:rPr>
                <w:szCs w:val="24"/>
                <w:lang w:eastAsia="zh-CN"/>
              </w:rPr>
            </w:pPr>
            <w:bookmarkStart w:id="5" w:name="lt_pId015"/>
            <w:r>
              <w:rPr>
                <w:rFonts w:asciiTheme="minorHAnsi" w:hAnsiTheme="minorHAnsi" w:hint="eastAsia"/>
                <w:szCs w:val="24"/>
                <w:lang w:eastAsia="zh-CN"/>
              </w:rPr>
              <w:t>请理事会将本文件</w:t>
            </w:r>
            <w:r w:rsidRPr="006842D1">
              <w:rPr>
                <w:rFonts w:asciiTheme="minorHAnsi" w:hAnsiTheme="minorHAnsi" w:hint="eastAsia"/>
                <w:b/>
                <w:bCs/>
                <w:szCs w:val="24"/>
                <w:lang w:eastAsia="zh-CN"/>
              </w:rPr>
              <w:t>记录在案</w:t>
            </w:r>
            <w:r>
              <w:rPr>
                <w:rFonts w:asciiTheme="minorHAnsi" w:hAnsiTheme="minorHAnsi" w:hint="eastAsia"/>
                <w:szCs w:val="24"/>
                <w:lang w:eastAsia="zh-CN"/>
              </w:rPr>
              <w:t>，并提供指导和酌情采取行动，包括可在</w:t>
            </w:r>
            <w:r>
              <w:rPr>
                <w:rFonts w:asciiTheme="minorHAnsi" w:hAnsiTheme="minorHAnsi" w:hint="eastAsia"/>
                <w:szCs w:val="24"/>
                <w:lang w:eastAsia="zh-CN"/>
              </w:rPr>
              <w:t>PP-</w:t>
            </w:r>
            <w:r w:rsidR="00BF75E5">
              <w:rPr>
                <w:rFonts w:asciiTheme="minorHAnsi" w:hAnsiTheme="minorHAnsi"/>
                <w:szCs w:val="24"/>
                <w:lang w:eastAsia="zh-CN"/>
              </w:rPr>
              <w:t>1</w:t>
            </w:r>
            <w:r>
              <w:rPr>
                <w:rFonts w:asciiTheme="minorHAnsi" w:hAnsiTheme="minorHAnsi" w:hint="eastAsia"/>
                <w:szCs w:val="24"/>
                <w:lang w:eastAsia="zh-CN"/>
              </w:rPr>
              <w:t>8</w:t>
            </w:r>
            <w:r>
              <w:rPr>
                <w:rFonts w:asciiTheme="minorHAnsi" w:hAnsiTheme="minorHAnsi" w:hint="eastAsia"/>
                <w:szCs w:val="24"/>
                <w:lang w:eastAsia="zh-CN"/>
              </w:rPr>
              <w:t>之前将本文件</w:t>
            </w:r>
            <w:r w:rsidR="00BF75E5">
              <w:rPr>
                <w:rFonts w:asciiTheme="minorHAnsi" w:hAnsiTheme="minorHAnsi" w:hint="eastAsia"/>
                <w:szCs w:val="24"/>
                <w:lang w:eastAsia="zh-CN"/>
              </w:rPr>
              <w:t>散发</w:t>
            </w:r>
            <w:r>
              <w:rPr>
                <w:rFonts w:asciiTheme="minorHAnsi" w:hAnsiTheme="minorHAnsi" w:hint="eastAsia"/>
                <w:szCs w:val="24"/>
                <w:lang w:eastAsia="zh-CN"/>
              </w:rPr>
              <w:t>给成员国。</w:t>
            </w:r>
            <w:bookmarkEnd w:id="5"/>
          </w:p>
          <w:p w:rsidR="00B40A53" w:rsidRPr="00D6577A" w:rsidRDefault="00B40A53" w:rsidP="00D6577A">
            <w:pPr>
              <w:jc w:val="center"/>
              <w:rPr>
                <w:sz w:val="28"/>
                <w:szCs w:val="22"/>
                <w:lang w:eastAsia="zh-CN"/>
              </w:rPr>
            </w:pPr>
            <w:r w:rsidRPr="009D1E3B">
              <w:rPr>
                <w:sz w:val="28"/>
                <w:szCs w:val="22"/>
                <w:lang w:eastAsia="zh-CN"/>
              </w:rPr>
              <w:t>______________</w:t>
            </w:r>
          </w:p>
        </w:tc>
      </w:tr>
    </w:tbl>
    <w:p w:rsidR="0028391C" w:rsidRPr="00981FAB" w:rsidRDefault="0028391C" w:rsidP="006842D1">
      <w:pPr>
        <w:pStyle w:val="Heading1"/>
      </w:pPr>
      <w:bookmarkStart w:id="6" w:name="lt_pId018"/>
      <w:r>
        <w:t>1</w:t>
      </w:r>
      <w:r>
        <w:tab/>
      </w:r>
      <w:r w:rsidR="006842D1">
        <w:rPr>
          <w:rFonts w:hint="eastAsia"/>
          <w:lang w:eastAsia="zh-CN"/>
        </w:rPr>
        <w:t>背景</w:t>
      </w:r>
      <w:bookmarkEnd w:id="6"/>
    </w:p>
    <w:p w:rsidR="0028391C" w:rsidRPr="00981FAB" w:rsidRDefault="0028391C" w:rsidP="00BF75E5">
      <w:pPr>
        <w:rPr>
          <w:lang w:eastAsia="zh-CN"/>
        </w:rPr>
      </w:pPr>
      <w:r w:rsidRPr="00981FAB">
        <w:rPr>
          <w:lang w:eastAsia="zh-CN"/>
        </w:rPr>
        <w:t>1.1</w:t>
      </w:r>
      <w:r w:rsidRPr="00981FAB">
        <w:rPr>
          <w:lang w:eastAsia="zh-CN"/>
        </w:rPr>
        <w:tab/>
      </w:r>
      <w:bookmarkStart w:id="7" w:name="lt_pId020"/>
      <w:r w:rsidR="00623D25">
        <w:rPr>
          <w:rFonts w:hint="eastAsia"/>
          <w:lang w:eastAsia="zh-CN"/>
        </w:rPr>
        <w:t>国际电联总部</w:t>
      </w:r>
      <w:r w:rsidR="00BF75E5">
        <w:rPr>
          <w:rFonts w:hint="eastAsia"/>
          <w:lang w:eastAsia="zh-CN"/>
        </w:rPr>
        <w:t>的</w:t>
      </w:r>
      <w:r w:rsidR="00623D25">
        <w:rPr>
          <w:rFonts w:hint="eastAsia"/>
          <w:lang w:eastAsia="zh-CN"/>
        </w:rPr>
        <w:t>标志性新楼</w:t>
      </w:r>
      <w:r w:rsidR="00691430">
        <w:rPr>
          <w:rFonts w:hint="eastAsia"/>
          <w:lang w:eastAsia="zh-CN"/>
        </w:rPr>
        <w:t>将</w:t>
      </w:r>
      <w:r w:rsidR="00623D25">
        <w:rPr>
          <w:rFonts w:hint="eastAsia"/>
          <w:lang w:eastAsia="zh-CN"/>
        </w:rPr>
        <w:t>坐落于</w:t>
      </w:r>
      <w:r w:rsidR="00BF75E5">
        <w:rPr>
          <w:rFonts w:hint="eastAsia"/>
          <w:lang w:eastAsia="zh-CN"/>
        </w:rPr>
        <w:t>国际</w:t>
      </w:r>
      <w:r w:rsidR="00623D25">
        <w:rPr>
          <w:rFonts w:hint="eastAsia"/>
          <w:lang w:eastAsia="zh-CN"/>
        </w:rPr>
        <w:t>城市日内瓦的中心，面对万国宫广场。</w:t>
      </w:r>
      <w:bookmarkEnd w:id="7"/>
    </w:p>
    <w:p w:rsidR="0028391C" w:rsidRPr="00981FAB" w:rsidRDefault="0028391C" w:rsidP="00BF75E5">
      <w:pPr>
        <w:rPr>
          <w:lang w:eastAsia="zh-CN"/>
        </w:rPr>
      </w:pPr>
      <w:r w:rsidRPr="00981FAB">
        <w:rPr>
          <w:lang w:eastAsia="zh-CN"/>
        </w:rPr>
        <w:t>1.2</w:t>
      </w:r>
      <w:r w:rsidRPr="00981FAB">
        <w:rPr>
          <w:lang w:eastAsia="zh-CN"/>
        </w:rPr>
        <w:tab/>
      </w:r>
      <w:bookmarkStart w:id="8" w:name="lt_pId022"/>
      <w:r w:rsidR="00623D25">
        <w:rPr>
          <w:rFonts w:hint="eastAsia"/>
          <w:lang w:eastAsia="zh-CN"/>
        </w:rPr>
        <w:t>国际电联</w:t>
      </w:r>
      <w:r w:rsidR="00BF75E5">
        <w:rPr>
          <w:rFonts w:hint="eastAsia"/>
          <w:lang w:eastAsia="zh-CN"/>
        </w:rPr>
        <w:t>的</w:t>
      </w:r>
      <w:r w:rsidR="00623D25">
        <w:rPr>
          <w:rFonts w:hint="eastAsia"/>
          <w:lang w:eastAsia="zh-CN"/>
        </w:rPr>
        <w:t>办公</w:t>
      </w:r>
      <w:r w:rsidR="00BF75E5">
        <w:rPr>
          <w:rFonts w:hint="eastAsia"/>
          <w:lang w:eastAsia="zh-CN"/>
        </w:rPr>
        <w:t>场所</w:t>
      </w:r>
      <w:r w:rsidR="00623D25">
        <w:rPr>
          <w:rFonts w:hint="eastAsia"/>
          <w:lang w:eastAsia="zh-CN"/>
        </w:rPr>
        <w:t>过去</w:t>
      </w:r>
      <w:r w:rsidR="00691430">
        <w:rPr>
          <w:rFonts w:hint="eastAsia"/>
          <w:lang w:eastAsia="zh-CN"/>
        </w:rPr>
        <w:t>曾</w:t>
      </w:r>
      <w:r w:rsidR="00D5203E">
        <w:rPr>
          <w:rFonts w:hint="eastAsia"/>
          <w:lang w:eastAsia="zh-CN"/>
        </w:rPr>
        <w:t>极大</w:t>
      </w:r>
      <w:r w:rsidR="00BF75E5">
        <w:rPr>
          <w:rFonts w:hint="eastAsia"/>
          <w:lang w:eastAsia="zh-CN"/>
        </w:rPr>
        <w:t>地</w:t>
      </w:r>
      <w:r w:rsidR="00BF75E5">
        <w:rPr>
          <w:lang w:eastAsia="zh-CN"/>
        </w:rPr>
        <w:t>受</w:t>
      </w:r>
      <w:r w:rsidR="00D5203E">
        <w:rPr>
          <w:rFonts w:hint="eastAsia"/>
          <w:lang w:eastAsia="zh-CN"/>
        </w:rPr>
        <w:t>益于成员国和部门成员的慷慨捐赠。新楼的建设将</w:t>
      </w:r>
      <w:r w:rsidR="00BF75E5">
        <w:rPr>
          <w:rFonts w:hint="eastAsia"/>
          <w:lang w:eastAsia="zh-CN"/>
        </w:rPr>
        <w:t>向</w:t>
      </w:r>
      <w:r w:rsidR="00D5203E">
        <w:rPr>
          <w:rFonts w:hint="eastAsia"/>
          <w:lang w:eastAsia="zh-CN"/>
        </w:rPr>
        <w:t>赞助</w:t>
      </w:r>
      <w:r w:rsidR="00BF75E5">
        <w:rPr>
          <w:rFonts w:hint="eastAsia"/>
          <w:lang w:eastAsia="zh-CN"/>
        </w:rPr>
        <w:t>方</w:t>
      </w:r>
      <w:r w:rsidR="00BF75E5">
        <w:rPr>
          <w:lang w:eastAsia="zh-CN"/>
        </w:rPr>
        <w:t>提供独特机会，</w:t>
      </w:r>
      <w:r w:rsidR="00D5203E">
        <w:rPr>
          <w:rFonts w:hint="eastAsia"/>
          <w:lang w:eastAsia="zh-CN"/>
        </w:rPr>
        <w:t>为国际电联未来家园</w:t>
      </w:r>
      <w:r w:rsidR="00691430">
        <w:rPr>
          <w:rFonts w:hint="eastAsia"/>
          <w:lang w:eastAsia="zh-CN"/>
        </w:rPr>
        <w:t>建设</w:t>
      </w:r>
      <w:r w:rsidR="00D5203E">
        <w:rPr>
          <w:rFonts w:hint="eastAsia"/>
          <w:lang w:eastAsia="zh-CN"/>
        </w:rPr>
        <w:t>做贡献</w:t>
      </w:r>
      <w:r w:rsidR="00BF75E5">
        <w:rPr>
          <w:rFonts w:hint="eastAsia"/>
          <w:lang w:eastAsia="zh-CN"/>
        </w:rPr>
        <w:t>，并</w:t>
      </w:r>
      <w:r w:rsidR="00D5203E">
        <w:rPr>
          <w:rFonts w:hint="eastAsia"/>
          <w:lang w:eastAsia="zh-CN"/>
        </w:rPr>
        <w:t>赢得赞誉。</w:t>
      </w:r>
      <w:bookmarkEnd w:id="8"/>
    </w:p>
    <w:p w:rsidR="0028391C" w:rsidRPr="00981FAB" w:rsidRDefault="0028391C" w:rsidP="003E50C8">
      <w:pPr>
        <w:rPr>
          <w:lang w:eastAsia="zh-CN"/>
        </w:rPr>
      </w:pPr>
      <w:r w:rsidRPr="00981FAB">
        <w:rPr>
          <w:lang w:eastAsia="zh-CN"/>
        </w:rPr>
        <w:t>1.3</w:t>
      </w:r>
      <w:r w:rsidRPr="00981FAB">
        <w:rPr>
          <w:lang w:eastAsia="zh-CN"/>
        </w:rPr>
        <w:tab/>
      </w:r>
      <w:bookmarkStart w:id="9" w:name="lt_pId025"/>
      <w:r w:rsidR="00D5203E">
        <w:rPr>
          <w:rFonts w:hint="eastAsia"/>
          <w:lang w:eastAsia="zh-CN"/>
        </w:rPr>
        <w:t>本文件是与</w:t>
      </w:r>
      <w:r w:rsidR="00BF75E5">
        <w:rPr>
          <w:rFonts w:hint="eastAsia"/>
          <w:lang w:eastAsia="zh-CN"/>
        </w:rPr>
        <w:t>成员国</w:t>
      </w:r>
      <w:r w:rsidR="00BF75E5">
        <w:rPr>
          <w:lang w:eastAsia="zh-CN"/>
        </w:rPr>
        <w:t>办公</w:t>
      </w:r>
      <w:r w:rsidR="00BF75E5">
        <w:rPr>
          <w:rFonts w:hint="eastAsia"/>
          <w:lang w:eastAsia="zh-CN"/>
        </w:rPr>
        <w:t>场所顾问组（</w:t>
      </w:r>
      <w:r w:rsidR="00D5203E">
        <w:rPr>
          <w:rFonts w:hint="eastAsia"/>
          <w:lang w:eastAsia="zh-CN"/>
        </w:rPr>
        <w:t>MSAG</w:t>
      </w:r>
      <w:r w:rsidR="00BF75E5">
        <w:rPr>
          <w:rFonts w:hint="eastAsia"/>
          <w:lang w:eastAsia="zh-CN"/>
        </w:rPr>
        <w:t>）</w:t>
      </w:r>
      <w:r w:rsidR="00D5203E">
        <w:rPr>
          <w:rFonts w:hint="eastAsia"/>
          <w:lang w:eastAsia="zh-CN"/>
        </w:rPr>
        <w:t>密切</w:t>
      </w:r>
      <w:r w:rsidR="003E50C8">
        <w:rPr>
          <w:rFonts w:hint="eastAsia"/>
          <w:lang w:eastAsia="zh-CN"/>
        </w:rPr>
        <w:t>协作</w:t>
      </w:r>
      <w:r w:rsidR="00D5203E">
        <w:rPr>
          <w:rFonts w:hint="eastAsia"/>
          <w:lang w:eastAsia="zh-CN"/>
        </w:rPr>
        <w:t>拟定的。在此对</w:t>
      </w:r>
      <w:r w:rsidR="00D5203E">
        <w:rPr>
          <w:rFonts w:hint="eastAsia"/>
          <w:lang w:eastAsia="zh-CN"/>
        </w:rPr>
        <w:t>MSAG</w:t>
      </w:r>
      <w:r w:rsidR="00D5203E">
        <w:rPr>
          <w:rFonts w:hint="eastAsia"/>
          <w:lang w:eastAsia="zh-CN"/>
        </w:rPr>
        <w:t>提供的</w:t>
      </w:r>
      <w:r w:rsidR="00691430">
        <w:rPr>
          <w:rFonts w:hint="eastAsia"/>
          <w:lang w:eastAsia="zh-CN"/>
        </w:rPr>
        <w:t>指导</w:t>
      </w:r>
      <w:r w:rsidR="00D5203E">
        <w:rPr>
          <w:rFonts w:hint="eastAsia"/>
          <w:lang w:eastAsia="zh-CN"/>
        </w:rPr>
        <w:t>意见表示感谢。</w:t>
      </w:r>
      <w:r w:rsidR="00D5203E">
        <w:rPr>
          <w:rFonts w:hint="eastAsia"/>
          <w:lang w:eastAsia="zh-CN"/>
        </w:rPr>
        <w:t>MSAG</w:t>
      </w:r>
      <w:r w:rsidR="00D5203E">
        <w:rPr>
          <w:rFonts w:hint="eastAsia"/>
          <w:lang w:eastAsia="zh-CN"/>
        </w:rPr>
        <w:t>第</w:t>
      </w:r>
      <w:r w:rsidR="003E50C8">
        <w:rPr>
          <w:rFonts w:hint="eastAsia"/>
          <w:lang w:eastAsia="zh-CN"/>
        </w:rPr>
        <w:t>四</w:t>
      </w:r>
      <w:r w:rsidR="00D5203E">
        <w:rPr>
          <w:rFonts w:hint="eastAsia"/>
          <w:lang w:eastAsia="zh-CN"/>
        </w:rPr>
        <w:t>次会议（</w:t>
      </w:r>
      <w:r w:rsidR="00D5203E">
        <w:rPr>
          <w:rFonts w:hint="eastAsia"/>
          <w:lang w:eastAsia="zh-CN"/>
        </w:rPr>
        <w:t>2018</w:t>
      </w:r>
      <w:r w:rsidR="00D5203E">
        <w:rPr>
          <w:rFonts w:hint="eastAsia"/>
          <w:lang w:eastAsia="zh-CN"/>
        </w:rPr>
        <w:t>年</w:t>
      </w:r>
      <w:r w:rsidR="00D5203E">
        <w:rPr>
          <w:rFonts w:hint="eastAsia"/>
          <w:lang w:eastAsia="zh-CN"/>
        </w:rPr>
        <w:t>1</w:t>
      </w:r>
      <w:r w:rsidR="00D5203E">
        <w:rPr>
          <w:rFonts w:hint="eastAsia"/>
          <w:lang w:eastAsia="zh-CN"/>
        </w:rPr>
        <w:t>月</w:t>
      </w:r>
      <w:r w:rsidR="00D5203E">
        <w:rPr>
          <w:rFonts w:hint="eastAsia"/>
          <w:lang w:eastAsia="zh-CN"/>
        </w:rPr>
        <w:t>24</w:t>
      </w:r>
      <w:r w:rsidR="003E50C8">
        <w:rPr>
          <w:rFonts w:hint="eastAsia"/>
          <w:lang w:eastAsia="zh-CN"/>
        </w:rPr>
        <w:t>日）讨论了本文件</w:t>
      </w:r>
      <w:r w:rsidR="00D5203E">
        <w:rPr>
          <w:rFonts w:hint="eastAsia"/>
          <w:lang w:eastAsia="zh-CN"/>
        </w:rPr>
        <w:t>草案并表示支持。</w:t>
      </w:r>
      <w:bookmarkEnd w:id="9"/>
    </w:p>
    <w:p w:rsidR="0028391C" w:rsidRPr="00981FAB" w:rsidRDefault="0028391C" w:rsidP="00EE237C">
      <w:pPr>
        <w:pStyle w:val="Heading1"/>
        <w:rPr>
          <w:lang w:eastAsia="zh-CN"/>
        </w:rPr>
      </w:pPr>
      <w:r>
        <w:rPr>
          <w:lang w:eastAsia="zh-CN"/>
        </w:rPr>
        <w:t>2</w:t>
      </w:r>
      <w:r w:rsidRPr="00981FAB">
        <w:rPr>
          <w:lang w:eastAsia="zh-CN"/>
        </w:rPr>
        <w:tab/>
      </w:r>
      <w:bookmarkStart w:id="10" w:name="lt_pId028"/>
      <w:r w:rsidR="00EE237C">
        <w:rPr>
          <w:rFonts w:hint="eastAsia"/>
          <w:lang w:eastAsia="zh-CN"/>
        </w:rPr>
        <w:t>赞助原则</w:t>
      </w:r>
      <w:bookmarkEnd w:id="10"/>
    </w:p>
    <w:p w:rsidR="0028391C" w:rsidRPr="00981FAB" w:rsidRDefault="0028391C" w:rsidP="003E50C8">
      <w:pPr>
        <w:rPr>
          <w:lang w:eastAsia="zh-CN"/>
        </w:rPr>
      </w:pPr>
      <w:r w:rsidRPr="00981FAB">
        <w:rPr>
          <w:lang w:eastAsia="zh-CN"/>
        </w:rPr>
        <w:t>2.1</w:t>
      </w:r>
      <w:r w:rsidRPr="00981FAB">
        <w:rPr>
          <w:lang w:eastAsia="zh-CN"/>
        </w:rPr>
        <w:tab/>
      </w:r>
      <w:bookmarkStart w:id="11" w:name="lt_pId030"/>
      <w:r w:rsidR="00EE237C">
        <w:rPr>
          <w:rFonts w:hint="eastAsia"/>
          <w:lang w:eastAsia="zh-CN"/>
        </w:rPr>
        <w:t>国际电联</w:t>
      </w:r>
      <w:r w:rsidR="003E50C8">
        <w:rPr>
          <w:rFonts w:hint="eastAsia"/>
          <w:lang w:eastAsia="zh-CN"/>
        </w:rPr>
        <w:t>理事会</w:t>
      </w:r>
      <w:r w:rsidR="00EE237C">
        <w:rPr>
          <w:rFonts w:hint="eastAsia"/>
          <w:lang w:eastAsia="zh-CN"/>
        </w:rPr>
        <w:t>2017</w:t>
      </w:r>
      <w:r w:rsidR="00EE237C">
        <w:rPr>
          <w:rFonts w:hint="eastAsia"/>
          <w:lang w:eastAsia="zh-CN"/>
        </w:rPr>
        <w:t>年例会</w:t>
      </w:r>
      <w:r w:rsidR="003E50C8">
        <w:rPr>
          <w:rFonts w:hint="eastAsia"/>
          <w:lang w:eastAsia="zh-CN"/>
        </w:rPr>
        <w:t>赞同</w:t>
      </w:r>
      <w:r w:rsidR="00EE237C">
        <w:rPr>
          <w:rFonts w:hint="eastAsia"/>
          <w:lang w:eastAsia="zh-CN"/>
        </w:rPr>
        <w:t>题为</w:t>
      </w:r>
      <w:r>
        <w:rPr>
          <w:rFonts w:hint="eastAsia"/>
          <w:lang w:eastAsia="zh-CN"/>
        </w:rPr>
        <w:t>“</w:t>
      </w:r>
      <w:bookmarkStart w:id="12" w:name="lt_pId012"/>
      <w:r w:rsidRPr="00DE6DF3">
        <w:rPr>
          <w:rFonts w:hint="eastAsia"/>
          <w:lang w:eastAsia="zh-CN"/>
        </w:rPr>
        <w:t>提高</w:t>
      </w:r>
      <w:r>
        <w:rPr>
          <w:rFonts w:hint="eastAsia"/>
          <w:lang w:eastAsia="zh-CN"/>
        </w:rPr>
        <w:t>国际电联</w:t>
      </w:r>
      <w:r w:rsidRPr="00DE6DF3">
        <w:rPr>
          <w:rFonts w:hint="eastAsia"/>
          <w:lang w:eastAsia="zh-CN"/>
        </w:rPr>
        <w:t>财务基础的稳定性和可预测性</w:t>
      </w:r>
      <w:bookmarkEnd w:id="12"/>
      <w:r>
        <w:rPr>
          <w:rFonts w:hint="eastAsia"/>
          <w:lang w:eastAsia="zh-CN"/>
        </w:rPr>
        <w:t>”</w:t>
      </w:r>
      <w:r w:rsidR="00EE237C">
        <w:rPr>
          <w:rFonts w:hint="eastAsia"/>
          <w:lang w:eastAsia="zh-CN"/>
        </w:rPr>
        <w:t>的</w:t>
      </w:r>
      <w:r w:rsidR="004E76A0">
        <w:fldChar w:fldCharType="begin"/>
      </w:r>
      <w:r w:rsidR="004E76A0">
        <w:rPr>
          <w:lang w:eastAsia="zh-CN"/>
        </w:rPr>
        <w:instrText xml:space="preserve"> HYPERLINK "http://www.itu.int/md/S17-CL-C-0067/en" </w:instrText>
      </w:r>
      <w:r w:rsidR="004E76A0">
        <w:fldChar w:fldCharType="separate"/>
      </w:r>
      <w:r w:rsidR="00EE237C" w:rsidRPr="00EE237C">
        <w:rPr>
          <w:rFonts w:eastAsia="Times New Roman"/>
          <w:bCs/>
          <w:color w:val="0000FF"/>
          <w:szCs w:val="24"/>
          <w:u w:val="single"/>
          <w:lang w:val="en-US" w:eastAsia="zh-CN"/>
        </w:rPr>
        <w:t>C17/67</w:t>
      </w:r>
      <w:r w:rsidR="004E76A0">
        <w:rPr>
          <w:rFonts w:eastAsia="Times New Roman"/>
          <w:bCs/>
          <w:color w:val="0000FF"/>
          <w:szCs w:val="24"/>
          <w:u w:val="single"/>
          <w:lang w:val="en-US" w:eastAsia="zh-CN"/>
        </w:rPr>
        <w:fldChar w:fldCharType="end"/>
      </w:r>
      <w:r w:rsidR="00EE237C">
        <w:rPr>
          <w:rFonts w:hint="eastAsia"/>
          <w:lang w:eastAsia="zh-CN"/>
        </w:rPr>
        <w:t>号文件及其附件</w:t>
      </w:r>
      <w:r w:rsidR="00EE237C">
        <w:rPr>
          <w:rFonts w:hint="eastAsia"/>
          <w:lang w:eastAsia="zh-CN"/>
        </w:rPr>
        <w:t>1</w:t>
      </w:r>
      <w:r w:rsidR="00EE237C">
        <w:rPr>
          <w:rFonts w:hint="eastAsia"/>
          <w:lang w:eastAsia="zh-CN"/>
        </w:rPr>
        <w:t>“</w:t>
      </w:r>
      <w:r w:rsidR="00102B8B">
        <w:rPr>
          <w:rFonts w:hint="eastAsia"/>
          <w:lang w:eastAsia="zh-CN"/>
        </w:rPr>
        <w:t>资源筹措</w:t>
      </w:r>
      <w:r w:rsidR="00EE237C">
        <w:rPr>
          <w:rFonts w:hint="eastAsia"/>
          <w:lang w:eastAsia="zh-CN"/>
        </w:rPr>
        <w:t>原则”（另见本文件附件）。以下是</w:t>
      </w:r>
      <w:r w:rsidR="00F33ABC">
        <w:rPr>
          <w:rFonts w:hint="eastAsia"/>
          <w:lang w:eastAsia="zh-CN"/>
        </w:rPr>
        <w:t>指导国际电联所有赞助活动的一般性原则：</w:t>
      </w:r>
      <w:bookmarkEnd w:id="11"/>
    </w:p>
    <w:p w:rsidR="0028391C" w:rsidRPr="00981FAB" w:rsidRDefault="0028391C" w:rsidP="003E50C8">
      <w:pPr>
        <w:keepLines/>
        <w:rPr>
          <w:lang w:eastAsia="zh-CN"/>
        </w:rPr>
      </w:pPr>
      <w:r w:rsidRPr="00981FAB">
        <w:rPr>
          <w:lang w:eastAsia="zh-CN"/>
        </w:rPr>
        <w:t>2.2</w:t>
      </w:r>
      <w:r w:rsidRPr="00981FAB">
        <w:rPr>
          <w:lang w:eastAsia="zh-CN"/>
        </w:rPr>
        <w:tab/>
      </w:r>
      <w:r w:rsidRPr="0028391C">
        <w:rPr>
          <w:rFonts w:asciiTheme="minorHAnsi" w:hAnsiTheme="minorHAnsi" w:cstheme="majorBidi" w:hint="eastAsia"/>
          <w:b/>
          <w:bCs/>
          <w:lang w:eastAsia="zh-CN"/>
        </w:rPr>
        <w:t>恪守</w:t>
      </w:r>
      <w:r w:rsidRPr="0028391C">
        <w:rPr>
          <w:rFonts w:asciiTheme="minorHAnsi" w:hAnsiTheme="minorHAnsi" w:cstheme="majorBidi"/>
          <w:b/>
          <w:bCs/>
          <w:lang w:eastAsia="zh-CN"/>
        </w:rPr>
        <w:t>联合国原则</w:t>
      </w:r>
      <w:r w:rsidRPr="0028391C">
        <w:rPr>
          <w:rFonts w:hint="eastAsia"/>
          <w:lang w:eastAsia="zh-CN"/>
        </w:rPr>
        <w:t>：</w:t>
      </w:r>
      <w:r w:rsidRPr="00DF246A">
        <w:rPr>
          <w:rFonts w:hint="eastAsia"/>
          <w:bCs/>
          <w:lang w:eastAsia="zh-CN"/>
        </w:rPr>
        <w:t>国际电联将</w:t>
      </w:r>
      <w:r w:rsidR="003E50C8">
        <w:rPr>
          <w:rFonts w:hint="eastAsia"/>
          <w:bCs/>
          <w:lang w:eastAsia="zh-CN"/>
        </w:rPr>
        <w:t>仅</w:t>
      </w:r>
      <w:r w:rsidR="003E50C8">
        <w:rPr>
          <w:bCs/>
          <w:lang w:eastAsia="zh-CN"/>
        </w:rPr>
        <w:t>向那些</w:t>
      </w:r>
      <w:r w:rsidRPr="00DF246A">
        <w:rPr>
          <w:rFonts w:hint="eastAsia"/>
          <w:bCs/>
          <w:lang w:eastAsia="zh-CN"/>
        </w:rPr>
        <w:t>行为符合人权、劳工、环境和反腐</w:t>
      </w:r>
      <w:r>
        <w:rPr>
          <w:rFonts w:hint="eastAsia"/>
          <w:bCs/>
          <w:lang w:eastAsia="zh-CN"/>
        </w:rPr>
        <w:t>等</w:t>
      </w:r>
      <w:r w:rsidRPr="0028391C">
        <w:rPr>
          <w:rFonts w:hint="eastAsia"/>
          <w:bCs/>
          <w:lang w:eastAsia="zh-CN"/>
        </w:rPr>
        <w:t>联合国原则</w:t>
      </w:r>
      <w:r w:rsidRPr="00DF246A">
        <w:rPr>
          <w:rFonts w:hint="eastAsia"/>
          <w:bCs/>
          <w:lang w:eastAsia="zh-CN"/>
        </w:rPr>
        <w:t>的实体</w:t>
      </w:r>
      <w:r w:rsidR="00EE237C">
        <w:rPr>
          <w:rFonts w:hint="eastAsia"/>
          <w:bCs/>
          <w:lang w:eastAsia="zh-CN"/>
        </w:rPr>
        <w:t>提供</w:t>
      </w:r>
      <w:r w:rsidR="003E50C8">
        <w:rPr>
          <w:rFonts w:hint="eastAsia"/>
          <w:bCs/>
          <w:lang w:eastAsia="zh-CN"/>
        </w:rPr>
        <w:t>赞</w:t>
      </w:r>
      <w:r>
        <w:rPr>
          <w:rFonts w:hint="eastAsia"/>
          <w:bCs/>
          <w:lang w:eastAsia="zh-CN"/>
        </w:rPr>
        <w:t>助</w:t>
      </w:r>
      <w:r w:rsidR="00EE237C">
        <w:rPr>
          <w:rFonts w:hint="eastAsia"/>
          <w:bCs/>
          <w:lang w:eastAsia="zh-CN"/>
        </w:rPr>
        <w:t>机会。</w:t>
      </w:r>
    </w:p>
    <w:p w:rsidR="0028391C" w:rsidRPr="00981FAB" w:rsidRDefault="0028391C" w:rsidP="00D97B81">
      <w:pPr>
        <w:rPr>
          <w:lang w:eastAsia="zh-CN"/>
        </w:rPr>
      </w:pPr>
      <w:r w:rsidRPr="00981FAB">
        <w:rPr>
          <w:lang w:eastAsia="zh-CN"/>
        </w:rPr>
        <w:t>2.3</w:t>
      </w:r>
      <w:r w:rsidRPr="00981FAB">
        <w:rPr>
          <w:lang w:eastAsia="zh-CN"/>
        </w:rPr>
        <w:tab/>
      </w:r>
      <w:bookmarkStart w:id="13" w:name="lt_pId035"/>
      <w:r w:rsidR="00EE237C" w:rsidRPr="005B2BCB">
        <w:rPr>
          <w:rFonts w:hint="eastAsia"/>
          <w:b/>
          <w:bCs/>
          <w:lang w:eastAsia="zh-CN"/>
        </w:rPr>
        <w:t>推进国际电联目标的实现：</w:t>
      </w:r>
      <w:bookmarkStart w:id="14" w:name="lt_pId036"/>
      <w:bookmarkEnd w:id="13"/>
      <w:r w:rsidR="003E50C8">
        <w:rPr>
          <w:rFonts w:hint="eastAsia"/>
          <w:bCs/>
          <w:lang w:eastAsia="zh-CN"/>
        </w:rPr>
        <w:t>赞</w:t>
      </w:r>
      <w:r>
        <w:rPr>
          <w:rFonts w:hint="eastAsia"/>
          <w:bCs/>
          <w:lang w:eastAsia="zh-CN"/>
        </w:rPr>
        <w:t>助安排</w:t>
      </w:r>
      <w:r w:rsidRPr="00DF56FC">
        <w:rPr>
          <w:rFonts w:hint="eastAsia"/>
          <w:bCs/>
          <w:lang w:eastAsia="zh-CN"/>
        </w:rPr>
        <w:t>的目标</w:t>
      </w:r>
      <w:r w:rsidR="00F33ABC">
        <w:rPr>
          <w:rFonts w:hint="eastAsia"/>
          <w:bCs/>
          <w:lang w:eastAsia="zh-CN"/>
        </w:rPr>
        <w:t>需要明确</w:t>
      </w:r>
      <w:r w:rsidR="003E50C8">
        <w:rPr>
          <w:rFonts w:hint="eastAsia"/>
          <w:bCs/>
          <w:lang w:eastAsia="zh-CN"/>
        </w:rPr>
        <w:t>说明且</w:t>
      </w:r>
      <w:r w:rsidRPr="00DF56FC">
        <w:rPr>
          <w:rFonts w:hint="eastAsia"/>
          <w:bCs/>
          <w:lang w:eastAsia="zh-CN"/>
        </w:rPr>
        <w:t>必须</w:t>
      </w:r>
      <w:r>
        <w:rPr>
          <w:rFonts w:hint="eastAsia"/>
          <w:bCs/>
          <w:lang w:eastAsia="zh-CN"/>
        </w:rPr>
        <w:t>符合国际电联《组织法》、《公约》和《</w:t>
      </w:r>
      <w:r w:rsidRPr="00DF56FC">
        <w:rPr>
          <w:rFonts w:hint="eastAsia"/>
          <w:bCs/>
          <w:lang w:eastAsia="zh-CN"/>
        </w:rPr>
        <w:t>战略</w:t>
      </w:r>
      <w:r>
        <w:rPr>
          <w:rFonts w:hint="eastAsia"/>
          <w:bCs/>
          <w:lang w:eastAsia="zh-CN"/>
        </w:rPr>
        <w:t>规</w:t>
      </w:r>
      <w:r w:rsidRPr="00DF56FC">
        <w:rPr>
          <w:rFonts w:hint="eastAsia"/>
          <w:bCs/>
          <w:lang w:eastAsia="zh-CN"/>
        </w:rPr>
        <w:t>划</w:t>
      </w:r>
      <w:r>
        <w:rPr>
          <w:rFonts w:hint="eastAsia"/>
          <w:bCs/>
          <w:lang w:eastAsia="zh-CN"/>
        </w:rPr>
        <w:t>》</w:t>
      </w:r>
      <w:r w:rsidR="00F33ABC">
        <w:rPr>
          <w:rFonts w:hint="eastAsia"/>
          <w:bCs/>
          <w:lang w:eastAsia="zh-CN"/>
        </w:rPr>
        <w:t>所述的</w:t>
      </w:r>
      <w:r>
        <w:rPr>
          <w:rFonts w:hint="eastAsia"/>
          <w:bCs/>
          <w:lang w:eastAsia="zh-CN"/>
        </w:rPr>
        <w:t>总</w:t>
      </w:r>
      <w:r w:rsidRPr="00DF56FC">
        <w:rPr>
          <w:rFonts w:hint="eastAsia"/>
          <w:bCs/>
          <w:lang w:eastAsia="zh-CN"/>
        </w:rPr>
        <w:t>体目标。</w:t>
      </w:r>
      <w:r w:rsidR="00EE237C">
        <w:rPr>
          <w:rFonts w:hint="eastAsia"/>
          <w:bCs/>
          <w:lang w:eastAsia="zh-CN"/>
        </w:rPr>
        <w:t>此外，赞助方虽然无需是电信</w:t>
      </w:r>
      <w:r w:rsidR="00EE237C">
        <w:rPr>
          <w:rFonts w:hint="eastAsia"/>
          <w:bCs/>
          <w:lang w:eastAsia="zh-CN"/>
        </w:rPr>
        <w:t>/ICT</w:t>
      </w:r>
      <w:r w:rsidR="00EE237C">
        <w:rPr>
          <w:rFonts w:hint="eastAsia"/>
          <w:bCs/>
          <w:lang w:eastAsia="zh-CN"/>
        </w:rPr>
        <w:t>企业或实体，但其活动应与国际电联的工作</w:t>
      </w:r>
      <w:r w:rsidR="00F33ABC">
        <w:rPr>
          <w:rFonts w:hint="eastAsia"/>
          <w:bCs/>
          <w:lang w:eastAsia="zh-CN"/>
        </w:rPr>
        <w:t>相关</w:t>
      </w:r>
      <w:r w:rsidR="00EE237C">
        <w:rPr>
          <w:rFonts w:hint="eastAsia"/>
          <w:bCs/>
          <w:lang w:eastAsia="zh-CN"/>
        </w:rPr>
        <w:t>，</w:t>
      </w:r>
      <w:r w:rsidR="003E50C8">
        <w:rPr>
          <w:rFonts w:hint="eastAsia"/>
          <w:bCs/>
          <w:lang w:eastAsia="zh-CN"/>
        </w:rPr>
        <w:t>这一点</w:t>
      </w:r>
      <w:r w:rsidR="003E50C8">
        <w:rPr>
          <w:bCs/>
          <w:lang w:eastAsia="zh-CN"/>
        </w:rPr>
        <w:t>在提高知名度的赞助活动中可以突出强调。</w:t>
      </w:r>
      <w:bookmarkEnd w:id="14"/>
    </w:p>
    <w:p w:rsidR="0028391C" w:rsidRPr="00981FAB" w:rsidRDefault="0028391C" w:rsidP="00D97B81">
      <w:pPr>
        <w:rPr>
          <w:lang w:eastAsia="zh-CN"/>
        </w:rPr>
      </w:pPr>
      <w:r w:rsidRPr="00981FAB">
        <w:rPr>
          <w:lang w:eastAsia="zh-CN"/>
        </w:rPr>
        <w:lastRenderedPageBreak/>
        <w:t>2.4</w:t>
      </w:r>
      <w:r w:rsidRPr="00981FAB">
        <w:rPr>
          <w:lang w:eastAsia="zh-CN"/>
        </w:rPr>
        <w:tab/>
      </w:r>
      <w:r w:rsidRPr="0028391C">
        <w:rPr>
          <w:rFonts w:asciiTheme="minorHAnsi" w:hAnsiTheme="minorHAnsi" w:cstheme="majorBidi"/>
          <w:b/>
          <w:lang w:eastAsia="zh-CN"/>
        </w:rPr>
        <w:t>明确作用与职责</w:t>
      </w:r>
      <w:r w:rsidRPr="0028391C">
        <w:rPr>
          <w:rFonts w:asciiTheme="minorEastAsia" w:eastAsiaTheme="minorEastAsia" w:hAnsiTheme="minorEastAsia" w:cstheme="majorBidi" w:hint="eastAsia"/>
          <w:bCs/>
          <w:lang w:eastAsia="zh-CN"/>
        </w:rPr>
        <w:t>：</w:t>
      </w:r>
      <w:r w:rsidR="00F33ABC">
        <w:rPr>
          <w:rFonts w:asciiTheme="minorEastAsia" w:eastAsiaTheme="minorEastAsia" w:hAnsiTheme="minorEastAsia" w:cstheme="majorBidi" w:hint="eastAsia"/>
          <w:bCs/>
          <w:lang w:eastAsia="zh-CN"/>
        </w:rPr>
        <w:t>赞助</w:t>
      </w:r>
      <w:r w:rsidRPr="00DF56FC">
        <w:rPr>
          <w:rFonts w:hint="eastAsia"/>
          <w:bCs/>
          <w:lang w:eastAsia="zh-CN"/>
        </w:rPr>
        <w:t>安排必须基于</w:t>
      </w:r>
      <w:r w:rsidR="00D97B81">
        <w:rPr>
          <w:rFonts w:hint="eastAsia"/>
          <w:bCs/>
          <w:lang w:eastAsia="zh-CN"/>
        </w:rPr>
        <w:t>对国际电联与</w:t>
      </w:r>
      <w:r w:rsidR="00D97B81">
        <w:rPr>
          <w:bCs/>
          <w:lang w:eastAsia="zh-CN"/>
        </w:rPr>
        <w:t>赞助</w:t>
      </w:r>
      <w:r>
        <w:rPr>
          <w:rFonts w:hint="eastAsia"/>
          <w:bCs/>
          <w:lang w:eastAsia="zh-CN"/>
        </w:rPr>
        <w:t>方</w:t>
      </w:r>
      <w:r w:rsidRPr="00DF56FC">
        <w:rPr>
          <w:rFonts w:hint="eastAsia"/>
          <w:bCs/>
          <w:lang w:eastAsia="zh-CN"/>
        </w:rPr>
        <w:t>各自</w:t>
      </w:r>
      <w:r w:rsidR="00D97B81">
        <w:rPr>
          <w:rFonts w:hint="eastAsia"/>
          <w:bCs/>
          <w:lang w:eastAsia="zh-CN"/>
        </w:rPr>
        <w:t>作用</w:t>
      </w:r>
      <w:r w:rsidRPr="00DF56FC">
        <w:rPr>
          <w:rFonts w:hint="eastAsia"/>
          <w:bCs/>
          <w:lang w:eastAsia="zh-CN"/>
        </w:rPr>
        <w:t>和</w:t>
      </w:r>
      <w:r w:rsidR="00D97B81">
        <w:rPr>
          <w:rFonts w:hint="eastAsia"/>
          <w:bCs/>
          <w:lang w:eastAsia="zh-CN"/>
        </w:rPr>
        <w:t>期待值</w:t>
      </w:r>
      <w:r w:rsidRPr="00DF56FC">
        <w:rPr>
          <w:rFonts w:hint="eastAsia"/>
          <w:bCs/>
          <w:lang w:eastAsia="zh-CN"/>
        </w:rPr>
        <w:t>的明确了解，</w:t>
      </w:r>
      <w:r w:rsidR="00D97B81">
        <w:rPr>
          <w:rFonts w:hint="eastAsia"/>
          <w:bCs/>
          <w:lang w:eastAsia="zh-CN"/>
        </w:rPr>
        <w:t>实行</w:t>
      </w:r>
      <w:r w:rsidRPr="00DF56FC">
        <w:rPr>
          <w:rFonts w:hint="eastAsia"/>
          <w:bCs/>
          <w:lang w:eastAsia="zh-CN"/>
        </w:rPr>
        <w:t>问责制</w:t>
      </w:r>
      <w:r w:rsidR="00D97B81">
        <w:rPr>
          <w:rFonts w:hint="eastAsia"/>
          <w:bCs/>
          <w:lang w:eastAsia="zh-CN"/>
        </w:rPr>
        <w:t>且</w:t>
      </w:r>
      <w:r w:rsidRPr="00DF56FC">
        <w:rPr>
          <w:rFonts w:hint="eastAsia"/>
          <w:bCs/>
          <w:lang w:eastAsia="zh-CN"/>
        </w:rPr>
        <w:t>责任明确。</w:t>
      </w:r>
    </w:p>
    <w:p w:rsidR="0028391C" w:rsidRPr="00981FAB" w:rsidRDefault="0028391C" w:rsidP="00D97B81">
      <w:pPr>
        <w:rPr>
          <w:lang w:eastAsia="zh-CN"/>
        </w:rPr>
      </w:pPr>
      <w:r w:rsidRPr="00981FAB">
        <w:rPr>
          <w:lang w:eastAsia="zh-CN"/>
        </w:rPr>
        <w:t>2.5</w:t>
      </w:r>
      <w:r w:rsidRPr="00981FAB">
        <w:rPr>
          <w:lang w:eastAsia="zh-CN"/>
        </w:rPr>
        <w:tab/>
      </w:r>
      <w:bookmarkStart w:id="15" w:name="lt_pId040"/>
      <w:r w:rsidR="00743279" w:rsidRPr="007E1DFA">
        <w:rPr>
          <w:rFonts w:hint="eastAsia"/>
          <w:b/>
          <w:bCs/>
          <w:lang w:eastAsia="zh-CN"/>
        </w:rPr>
        <w:t>维护</w:t>
      </w:r>
      <w:r w:rsidR="00D97B81">
        <w:rPr>
          <w:rFonts w:hint="eastAsia"/>
          <w:b/>
          <w:bCs/>
          <w:lang w:eastAsia="zh-CN"/>
        </w:rPr>
        <w:t>诚信</w:t>
      </w:r>
      <w:r w:rsidR="00743279" w:rsidRPr="007E1DFA">
        <w:rPr>
          <w:rFonts w:hint="eastAsia"/>
          <w:b/>
          <w:bCs/>
          <w:lang w:eastAsia="zh-CN"/>
        </w:rPr>
        <w:t>、独立性、公正</w:t>
      </w:r>
      <w:r w:rsidR="00691430">
        <w:rPr>
          <w:rFonts w:hint="eastAsia"/>
          <w:b/>
          <w:bCs/>
          <w:lang w:eastAsia="zh-CN"/>
        </w:rPr>
        <w:t>性</w:t>
      </w:r>
      <w:r w:rsidR="00743279" w:rsidRPr="007E1DFA">
        <w:rPr>
          <w:rFonts w:hint="eastAsia"/>
          <w:b/>
          <w:bCs/>
          <w:lang w:eastAsia="zh-CN"/>
        </w:rPr>
        <w:t>和</w:t>
      </w:r>
      <w:r w:rsidR="00D97B81">
        <w:rPr>
          <w:rFonts w:hint="eastAsia"/>
          <w:b/>
          <w:bCs/>
          <w:lang w:eastAsia="zh-CN"/>
        </w:rPr>
        <w:t>良好</w:t>
      </w:r>
      <w:r w:rsidR="00743279" w:rsidRPr="007E1DFA">
        <w:rPr>
          <w:rFonts w:hint="eastAsia"/>
          <w:b/>
          <w:bCs/>
          <w:lang w:eastAsia="zh-CN"/>
        </w:rPr>
        <w:t>声誉</w:t>
      </w:r>
      <w:bookmarkStart w:id="16" w:name="lt_pId042"/>
      <w:bookmarkEnd w:id="15"/>
      <w:r w:rsidR="00743279" w:rsidRPr="007E1DFA">
        <w:rPr>
          <w:rFonts w:hint="eastAsia"/>
          <w:b/>
          <w:bCs/>
          <w:lang w:eastAsia="zh-CN"/>
        </w:rPr>
        <w:t>：</w:t>
      </w:r>
      <w:r w:rsidR="00743279">
        <w:rPr>
          <w:rFonts w:hint="eastAsia"/>
          <w:bCs/>
          <w:lang w:eastAsia="zh-CN"/>
        </w:rPr>
        <w:t>赞助</w:t>
      </w:r>
      <w:r w:rsidR="00743279" w:rsidRPr="00DF56FC">
        <w:rPr>
          <w:rFonts w:hint="eastAsia"/>
          <w:bCs/>
          <w:lang w:eastAsia="zh-CN"/>
        </w:rPr>
        <w:t>安排</w:t>
      </w:r>
      <w:r w:rsidR="00743279" w:rsidRPr="00D96072">
        <w:rPr>
          <w:rFonts w:hint="eastAsia"/>
          <w:bCs/>
          <w:lang w:eastAsia="zh-CN"/>
        </w:rPr>
        <w:t>不得削弱</w:t>
      </w:r>
      <w:r w:rsidR="00743279">
        <w:rPr>
          <w:rFonts w:hint="eastAsia"/>
          <w:bCs/>
          <w:lang w:eastAsia="zh-CN"/>
        </w:rPr>
        <w:t>或影响国际电联</w:t>
      </w:r>
      <w:r w:rsidR="00743279" w:rsidRPr="00D96072">
        <w:rPr>
          <w:rFonts w:hint="eastAsia"/>
          <w:bCs/>
          <w:lang w:eastAsia="zh-CN"/>
        </w:rPr>
        <w:t>的</w:t>
      </w:r>
      <w:r w:rsidR="00D97B81">
        <w:rPr>
          <w:rFonts w:hint="eastAsia"/>
          <w:bCs/>
          <w:lang w:eastAsia="zh-CN"/>
        </w:rPr>
        <w:t>声</w:t>
      </w:r>
      <w:r w:rsidR="00DC5DF7">
        <w:rPr>
          <w:rFonts w:hint="eastAsia"/>
          <w:bCs/>
          <w:lang w:eastAsia="zh-CN"/>
        </w:rPr>
        <w:t>誉</w:t>
      </w:r>
      <w:r w:rsidR="00743279" w:rsidRPr="00D96072">
        <w:rPr>
          <w:rFonts w:hint="eastAsia"/>
          <w:bCs/>
          <w:lang w:eastAsia="zh-CN"/>
        </w:rPr>
        <w:t>、独立性和公正性，</w:t>
      </w:r>
      <w:r w:rsidR="00D97B81">
        <w:rPr>
          <w:rFonts w:hint="eastAsia"/>
          <w:bCs/>
          <w:lang w:eastAsia="zh-CN"/>
        </w:rPr>
        <w:t>亦不给予任何不当之利</w:t>
      </w:r>
      <w:r w:rsidR="00743279" w:rsidRPr="00D96072">
        <w:rPr>
          <w:rFonts w:hint="eastAsia"/>
          <w:bCs/>
          <w:lang w:eastAsia="zh-CN"/>
        </w:rPr>
        <w:t>。</w:t>
      </w:r>
      <w:r w:rsidR="00743279">
        <w:rPr>
          <w:rFonts w:hint="eastAsia"/>
          <w:bCs/>
          <w:lang w:eastAsia="zh-CN"/>
        </w:rPr>
        <w:t>尤其重要的是</w:t>
      </w:r>
      <w:r w:rsidR="00743279" w:rsidRPr="00D96072">
        <w:rPr>
          <w:rFonts w:hint="eastAsia"/>
          <w:bCs/>
          <w:lang w:eastAsia="zh-CN"/>
        </w:rPr>
        <w:t>，</w:t>
      </w:r>
      <w:r w:rsidR="00743279" w:rsidRPr="00D97B81">
        <w:rPr>
          <w:rFonts w:hint="eastAsia"/>
          <w:bCs/>
          <w:lang w:eastAsia="zh-CN"/>
        </w:rPr>
        <w:t>这些安排不得表达或暗示</w:t>
      </w:r>
      <w:r w:rsidR="00D97B81">
        <w:rPr>
          <w:rFonts w:hint="eastAsia"/>
          <w:bCs/>
          <w:lang w:eastAsia="zh-CN"/>
        </w:rPr>
        <w:t>对</w:t>
      </w:r>
      <w:r w:rsidR="00743279" w:rsidRPr="00D97B81">
        <w:rPr>
          <w:rFonts w:hint="eastAsia"/>
          <w:bCs/>
          <w:lang w:eastAsia="zh-CN"/>
        </w:rPr>
        <w:t>一个企业</w:t>
      </w:r>
      <w:r w:rsidR="00743279" w:rsidRPr="00D97B81">
        <w:rPr>
          <w:rFonts w:hint="eastAsia"/>
          <w:bCs/>
          <w:lang w:eastAsia="zh-CN"/>
        </w:rPr>
        <w:t>/</w:t>
      </w:r>
      <w:r w:rsidR="00D97B81">
        <w:rPr>
          <w:rFonts w:hint="eastAsia"/>
          <w:bCs/>
          <w:lang w:eastAsia="zh-CN"/>
        </w:rPr>
        <w:t>组织、</w:t>
      </w:r>
      <w:r w:rsidR="00743279" w:rsidRPr="00D97B81">
        <w:rPr>
          <w:rFonts w:hint="eastAsia"/>
          <w:bCs/>
          <w:lang w:eastAsia="zh-CN"/>
        </w:rPr>
        <w:t>其政策、产品或服务</w:t>
      </w:r>
      <w:r w:rsidR="00D97B81">
        <w:rPr>
          <w:rFonts w:hint="eastAsia"/>
          <w:bCs/>
          <w:lang w:eastAsia="zh-CN"/>
        </w:rPr>
        <w:t>的</w:t>
      </w:r>
      <w:r w:rsidR="00D97B81" w:rsidRPr="00D97B81">
        <w:rPr>
          <w:rFonts w:hint="eastAsia"/>
          <w:bCs/>
          <w:lang w:eastAsia="zh-CN"/>
        </w:rPr>
        <w:t>直接或间接</w:t>
      </w:r>
      <w:r w:rsidR="00743279" w:rsidRPr="00D97B81">
        <w:rPr>
          <w:rFonts w:hint="eastAsia"/>
          <w:bCs/>
          <w:lang w:eastAsia="zh-CN"/>
        </w:rPr>
        <w:t>宣传。赞助方也不应被</w:t>
      </w:r>
      <w:r w:rsidR="00D97B81">
        <w:rPr>
          <w:rFonts w:hint="eastAsia"/>
          <w:bCs/>
          <w:lang w:eastAsia="zh-CN"/>
        </w:rPr>
        <w:t>视</w:t>
      </w:r>
      <w:r w:rsidR="00743279" w:rsidRPr="00D97B81">
        <w:rPr>
          <w:rFonts w:hint="eastAsia"/>
          <w:bCs/>
          <w:lang w:eastAsia="zh-CN"/>
        </w:rPr>
        <w:t>为会对国际</w:t>
      </w:r>
      <w:r w:rsidR="00743279">
        <w:rPr>
          <w:rFonts w:hint="eastAsia"/>
          <w:bCs/>
          <w:lang w:eastAsia="zh-CN"/>
        </w:rPr>
        <w:t>电联的政策</w:t>
      </w:r>
      <w:r w:rsidR="00D97B81">
        <w:rPr>
          <w:rFonts w:hint="eastAsia"/>
          <w:bCs/>
          <w:lang w:eastAsia="zh-CN"/>
        </w:rPr>
        <w:t>施加</w:t>
      </w:r>
      <w:r w:rsidR="00743279">
        <w:rPr>
          <w:rFonts w:hint="eastAsia"/>
          <w:bCs/>
          <w:lang w:eastAsia="zh-CN"/>
        </w:rPr>
        <w:t>潜在影响或</w:t>
      </w:r>
      <w:r w:rsidR="00D97B81">
        <w:rPr>
          <w:rFonts w:hint="eastAsia"/>
          <w:bCs/>
          <w:lang w:eastAsia="zh-CN"/>
        </w:rPr>
        <w:t>在</w:t>
      </w:r>
      <w:r w:rsidR="00743279">
        <w:rPr>
          <w:rFonts w:hint="eastAsia"/>
          <w:bCs/>
          <w:lang w:eastAsia="zh-CN"/>
        </w:rPr>
        <w:t>国际电联</w:t>
      </w:r>
      <w:r w:rsidR="00691430">
        <w:rPr>
          <w:rFonts w:hint="eastAsia"/>
          <w:bCs/>
          <w:lang w:eastAsia="zh-CN"/>
        </w:rPr>
        <w:t>决策</w:t>
      </w:r>
      <w:r w:rsidR="00D97B81">
        <w:rPr>
          <w:rFonts w:hint="eastAsia"/>
          <w:bCs/>
          <w:lang w:eastAsia="zh-CN"/>
        </w:rPr>
        <w:t>进程中</w:t>
      </w:r>
      <w:r w:rsidR="00D97B81">
        <w:rPr>
          <w:bCs/>
          <w:lang w:eastAsia="zh-CN"/>
        </w:rPr>
        <w:t>占据有利地位</w:t>
      </w:r>
      <w:r w:rsidR="007E1DFA">
        <w:rPr>
          <w:rFonts w:hint="eastAsia"/>
          <w:bCs/>
          <w:lang w:eastAsia="zh-CN"/>
        </w:rPr>
        <w:t>。</w:t>
      </w:r>
      <w:bookmarkEnd w:id="16"/>
    </w:p>
    <w:p w:rsidR="0028391C" w:rsidRPr="00981FAB" w:rsidRDefault="0028391C" w:rsidP="00D41CF2">
      <w:pPr>
        <w:rPr>
          <w:lang w:eastAsia="zh-CN"/>
        </w:rPr>
      </w:pPr>
      <w:r w:rsidRPr="00981FAB">
        <w:rPr>
          <w:lang w:eastAsia="zh-CN"/>
        </w:rPr>
        <w:t>2.6</w:t>
      </w:r>
      <w:r w:rsidRPr="00981FAB">
        <w:rPr>
          <w:lang w:eastAsia="zh-CN"/>
        </w:rPr>
        <w:tab/>
      </w:r>
      <w:bookmarkStart w:id="17" w:name="lt_pId044"/>
      <w:r w:rsidR="00D97B81">
        <w:rPr>
          <w:rFonts w:hint="eastAsia"/>
          <w:b/>
          <w:bCs/>
          <w:lang w:eastAsia="zh-CN"/>
        </w:rPr>
        <w:t>确保透明</w:t>
      </w:r>
      <w:r w:rsidR="007E1DFA" w:rsidRPr="007E1DFA">
        <w:rPr>
          <w:rFonts w:hint="eastAsia"/>
          <w:b/>
          <w:bCs/>
          <w:lang w:eastAsia="zh-CN"/>
        </w:rPr>
        <w:t>：</w:t>
      </w:r>
      <w:r w:rsidR="00D41CF2" w:rsidRPr="00D41CF2">
        <w:rPr>
          <w:rFonts w:hint="eastAsia"/>
          <w:lang w:eastAsia="zh-CN"/>
        </w:rPr>
        <w:t>有关</w:t>
      </w:r>
      <w:r w:rsidR="00D41CF2">
        <w:rPr>
          <w:rFonts w:hint="eastAsia"/>
          <w:lang w:eastAsia="zh-CN"/>
        </w:rPr>
        <w:t>赞助活动性质和范围的一般性信息应在</w:t>
      </w:r>
      <w:r w:rsidR="007E1DFA">
        <w:rPr>
          <w:rFonts w:hint="eastAsia"/>
          <w:lang w:eastAsia="zh-CN"/>
        </w:rPr>
        <w:t>国际电联网站</w:t>
      </w:r>
      <w:r w:rsidR="00D41CF2">
        <w:rPr>
          <w:rFonts w:hint="eastAsia"/>
          <w:lang w:eastAsia="zh-CN"/>
        </w:rPr>
        <w:t>上</w:t>
      </w:r>
      <w:r w:rsidR="007E1DFA">
        <w:rPr>
          <w:rFonts w:hint="eastAsia"/>
          <w:lang w:eastAsia="zh-CN"/>
        </w:rPr>
        <w:t>提供</w:t>
      </w:r>
      <w:r w:rsidR="00D41CF2">
        <w:rPr>
          <w:rFonts w:hint="eastAsia"/>
          <w:lang w:eastAsia="zh-CN"/>
        </w:rPr>
        <w:t>，</w:t>
      </w:r>
      <w:r w:rsidR="00D41CF2">
        <w:rPr>
          <w:lang w:eastAsia="zh-CN"/>
        </w:rPr>
        <w:t>并且</w:t>
      </w:r>
      <w:r w:rsidR="007E1DFA">
        <w:rPr>
          <w:rFonts w:hint="eastAsia"/>
          <w:lang w:eastAsia="zh-CN"/>
        </w:rPr>
        <w:t>向国际电联所有成员通报。</w:t>
      </w:r>
      <w:bookmarkEnd w:id="17"/>
    </w:p>
    <w:p w:rsidR="0028391C" w:rsidRPr="00981FAB" w:rsidRDefault="0028391C" w:rsidP="007E1DFA">
      <w:pPr>
        <w:pStyle w:val="Heading1"/>
        <w:rPr>
          <w:lang w:eastAsia="zh-CN"/>
        </w:rPr>
      </w:pPr>
      <w:r>
        <w:rPr>
          <w:lang w:eastAsia="zh-CN"/>
        </w:rPr>
        <w:t>3</w:t>
      </w:r>
      <w:r w:rsidRPr="00981FAB">
        <w:rPr>
          <w:lang w:eastAsia="zh-CN"/>
        </w:rPr>
        <w:tab/>
      </w:r>
      <w:bookmarkStart w:id="18" w:name="lt_pId046"/>
      <w:r w:rsidR="007E1DFA">
        <w:rPr>
          <w:rFonts w:hint="eastAsia"/>
          <w:lang w:eastAsia="zh-CN"/>
        </w:rPr>
        <w:t>适用于新楼的赞助原则</w:t>
      </w:r>
      <w:bookmarkEnd w:id="18"/>
    </w:p>
    <w:p w:rsidR="0028391C" w:rsidRPr="00981FAB" w:rsidRDefault="0028391C" w:rsidP="00CD1ADD">
      <w:pPr>
        <w:rPr>
          <w:lang w:eastAsia="zh-CN"/>
        </w:rPr>
      </w:pPr>
      <w:r w:rsidRPr="00981FAB">
        <w:rPr>
          <w:lang w:eastAsia="zh-CN"/>
        </w:rPr>
        <w:t>3.1</w:t>
      </w:r>
      <w:r w:rsidRPr="00981FAB">
        <w:rPr>
          <w:lang w:eastAsia="zh-CN"/>
        </w:rPr>
        <w:tab/>
      </w:r>
      <w:bookmarkStart w:id="19" w:name="lt_pId048"/>
      <w:r w:rsidR="00683410">
        <w:rPr>
          <w:rFonts w:hint="eastAsia"/>
          <w:lang w:eastAsia="zh-CN"/>
        </w:rPr>
        <w:t>以下是国际电联</w:t>
      </w:r>
      <w:r w:rsidR="00D5203E">
        <w:rPr>
          <w:rFonts w:hint="eastAsia"/>
          <w:lang w:eastAsia="zh-CN"/>
        </w:rPr>
        <w:t>组织赞助活动</w:t>
      </w:r>
      <w:r w:rsidR="00691430">
        <w:rPr>
          <w:rFonts w:hint="eastAsia"/>
          <w:lang w:eastAsia="zh-CN"/>
        </w:rPr>
        <w:t>应</w:t>
      </w:r>
      <w:r w:rsidR="00D5203E">
        <w:rPr>
          <w:rFonts w:hint="eastAsia"/>
          <w:lang w:eastAsia="zh-CN"/>
        </w:rPr>
        <w:t>遵循</w:t>
      </w:r>
      <w:r w:rsidR="00691430">
        <w:rPr>
          <w:rFonts w:hint="eastAsia"/>
          <w:lang w:eastAsia="zh-CN"/>
        </w:rPr>
        <w:t>的</w:t>
      </w:r>
      <w:r w:rsidR="0006005B">
        <w:rPr>
          <w:rFonts w:hint="eastAsia"/>
          <w:lang w:eastAsia="zh-CN"/>
        </w:rPr>
        <w:t>有关透明度、公正性和财务可预测性</w:t>
      </w:r>
      <w:r w:rsidR="00D5203E">
        <w:rPr>
          <w:rFonts w:hint="eastAsia"/>
          <w:lang w:eastAsia="zh-CN"/>
        </w:rPr>
        <w:t>的指导</w:t>
      </w:r>
      <w:r w:rsidR="00691430">
        <w:rPr>
          <w:rFonts w:hint="eastAsia"/>
          <w:lang w:eastAsia="zh-CN"/>
        </w:rPr>
        <w:t>原则</w:t>
      </w:r>
      <w:r w:rsidR="00D5203E">
        <w:rPr>
          <w:rFonts w:hint="eastAsia"/>
          <w:lang w:eastAsia="zh-CN"/>
        </w:rPr>
        <w:t>草案。</w:t>
      </w:r>
      <w:r w:rsidR="0006005B">
        <w:rPr>
          <w:rFonts w:hint="eastAsia"/>
          <w:lang w:eastAsia="zh-CN"/>
        </w:rPr>
        <w:t>国际电联获得的赞助将用于支持新楼建设</w:t>
      </w:r>
      <w:r w:rsidR="00691430">
        <w:rPr>
          <w:rFonts w:hint="eastAsia"/>
          <w:lang w:eastAsia="zh-CN"/>
        </w:rPr>
        <w:t>的</w:t>
      </w:r>
      <w:r w:rsidR="00D41CF2">
        <w:rPr>
          <w:rFonts w:hint="eastAsia"/>
          <w:lang w:eastAsia="zh-CN"/>
        </w:rPr>
        <w:t>方方面面</w:t>
      </w:r>
      <w:r w:rsidR="0006005B">
        <w:rPr>
          <w:rFonts w:hint="eastAsia"/>
          <w:lang w:eastAsia="zh-CN"/>
        </w:rPr>
        <w:t>，如，会议</w:t>
      </w:r>
      <w:r w:rsidR="00D41CF2">
        <w:rPr>
          <w:rFonts w:hint="eastAsia"/>
          <w:lang w:eastAsia="zh-CN"/>
        </w:rPr>
        <w:t>厅</w:t>
      </w:r>
      <w:r w:rsidR="0006005B">
        <w:rPr>
          <w:rFonts w:hint="eastAsia"/>
          <w:lang w:eastAsia="zh-CN"/>
        </w:rPr>
        <w:t>及相关技术、设备和设施的提供</w:t>
      </w:r>
      <w:r w:rsidR="00D41CF2">
        <w:rPr>
          <w:rFonts w:hint="eastAsia"/>
          <w:lang w:eastAsia="zh-CN"/>
        </w:rPr>
        <w:t>，</w:t>
      </w:r>
      <w:r w:rsidR="00D41CF2">
        <w:rPr>
          <w:lang w:eastAsia="zh-CN"/>
        </w:rPr>
        <w:t>等</w:t>
      </w:r>
      <w:r w:rsidR="0006005B">
        <w:rPr>
          <w:rFonts w:hint="eastAsia"/>
          <w:lang w:eastAsia="zh-CN"/>
        </w:rPr>
        <w:t>等。</w:t>
      </w:r>
      <w:r w:rsidR="00D41CF2">
        <w:rPr>
          <w:rFonts w:hint="eastAsia"/>
          <w:lang w:eastAsia="zh-CN"/>
        </w:rPr>
        <w:t>这些</w:t>
      </w:r>
      <w:r w:rsidR="0006005B">
        <w:rPr>
          <w:rFonts w:hint="eastAsia"/>
          <w:lang w:eastAsia="zh-CN"/>
        </w:rPr>
        <w:t>指导</w:t>
      </w:r>
      <w:r w:rsidR="00691430">
        <w:rPr>
          <w:rFonts w:hint="eastAsia"/>
          <w:lang w:eastAsia="zh-CN"/>
        </w:rPr>
        <w:t>原则</w:t>
      </w:r>
      <w:r w:rsidR="00D41CF2">
        <w:rPr>
          <w:rFonts w:hint="eastAsia"/>
          <w:lang w:eastAsia="zh-CN"/>
        </w:rPr>
        <w:t>同</w:t>
      </w:r>
      <w:r w:rsidR="0006005B">
        <w:rPr>
          <w:rFonts w:hint="eastAsia"/>
          <w:lang w:eastAsia="zh-CN"/>
        </w:rPr>
        <w:t>2017</w:t>
      </w:r>
      <w:r w:rsidR="0006005B">
        <w:rPr>
          <w:rFonts w:hint="eastAsia"/>
          <w:lang w:eastAsia="zh-CN"/>
        </w:rPr>
        <w:t>年理事会通过的资源</w:t>
      </w:r>
      <w:r w:rsidR="00102B8B">
        <w:rPr>
          <w:rFonts w:hint="eastAsia"/>
          <w:lang w:eastAsia="zh-CN"/>
        </w:rPr>
        <w:t>筹措</w:t>
      </w:r>
      <w:r w:rsidR="0006005B">
        <w:rPr>
          <w:rFonts w:hint="eastAsia"/>
          <w:lang w:eastAsia="zh-CN"/>
        </w:rPr>
        <w:t>原则</w:t>
      </w:r>
      <w:r w:rsidR="00D41CF2">
        <w:rPr>
          <w:rFonts w:hint="eastAsia"/>
          <w:lang w:eastAsia="zh-CN"/>
        </w:rPr>
        <w:t>保持一致</w:t>
      </w:r>
      <w:r w:rsidR="0006005B">
        <w:rPr>
          <w:rFonts w:hint="eastAsia"/>
          <w:lang w:eastAsia="zh-CN"/>
        </w:rPr>
        <w:t>。</w:t>
      </w:r>
      <w:bookmarkEnd w:id="19"/>
    </w:p>
    <w:p w:rsidR="0028391C" w:rsidRPr="00981FAB" w:rsidRDefault="0028391C" w:rsidP="00D41CF2">
      <w:pPr>
        <w:pStyle w:val="enumlev1"/>
        <w:rPr>
          <w:lang w:eastAsia="zh-CN"/>
        </w:rPr>
      </w:pPr>
      <w:r>
        <w:rPr>
          <w:lang w:eastAsia="zh-CN"/>
        </w:rPr>
        <w:t>–</w:t>
      </w:r>
      <w:r w:rsidRPr="00981FAB">
        <w:rPr>
          <w:lang w:eastAsia="zh-CN"/>
        </w:rPr>
        <w:tab/>
      </w:r>
      <w:bookmarkStart w:id="20" w:name="lt_pId051"/>
      <w:r w:rsidR="0006005B">
        <w:rPr>
          <w:rFonts w:hint="eastAsia"/>
          <w:lang w:eastAsia="zh-CN"/>
        </w:rPr>
        <w:t>赞助机会</w:t>
      </w:r>
      <w:r w:rsidR="00D41CF2">
        <w:rPr>
          <w:rFonts w:hint="eastAsia"/>
          <w:lang w:eastAsia="zh-CN"/>
        </w:rPr>
        <w:t>应该</w:t>
      </w:r>
      <w:r w:rsidR="0006005B">
        <w:rPr>
          <w:rFonts w:hint="eastAsia"/>
          <w:lang w:eastAsia="zh-CN"/>
        </w:rPr>
        <w:t>公开并</w:t>
      </w:r>
      <w:r w:rsidR="00D41CF2">
        <w:rPr>
          <w:rFonts w:hint="eastAsia"/>
          <w:lang w:eastAsia="zh-CN"/>
        </w:rPr>
        <w:t>且</w:t>
      </w:r>
      <w:r w:rsidR="00D41CF2">
        <w:rPr>
          <w:lang w:eastAsia="zh-CN"/>
        </w:rPr>
        <w:t>面向</w:t>
      </w:r>
      <w:r w:rsidR="0006005B">
        <w:rPr>
          <w:rFonts w:hint="eastAsia"/>
          <w:lang w:eastAsia="zh-CN"/>
        </w:rPr>
        <w:t>国际电联全体成员，广告、定价和遴选程序透明；</w:t>
      </w:r>
      <w:bookmarkEnd w:id="20"/>
    </w:p>
    <w:p w:rsidR="0028391C" w:rsidRPr="00981FAB" w:rsidRDefault="0028391C" w:rsidP="00D41CF2">
      <w:pPr>
        <w:pStyle w:val="enumlev1"/>
        <w:rPr>
          <w:lang w:eastAsia="zh-CN"/>
        </w:rPr>
      </w:pPr>
      <w:r>
        <w:rPr>
          <w:lang w:eastAsia="zh-CN"/>
        </w:rPr>
        <w:t>–</w:t>
      </w:r>
      <w:r w:rsidRPr="00981FAB">
        <w:rPr>
          <w:lang w:eastAsia="zh-CN"/>
        </w:rPr>
        <w:tab/>
      </w:r>
      <w:bookmarkStart w:id="21" w:name="lt_pId053"/>
      <w:r w:rsidR="0006005B">
        <w:rPr>
          <w:rFonts w:hint="eastAsia"/>
          <w:lang w:eastAsia="zh-CN"/>
        </w:rPr>
        <w:t>赞助安排应符合上述第</w:t>
      </w:r>
      <w:r w:rsidR="0006005B">
        <w:rPr>
          <w:rFonts w:hint="eastAsia"/>
          <w:lang w:eastAsia="zh-CN"/>
        </w:rPr>
        <w:t>2</w:t>
      </w:r>
      <w:r w:rsidR="0006005B">
        <w:rPr>
          <w:rFonts w:hint="eastAsia"/>
          <w:lang w:eastAsia="zh-CN"/>
        </w:rPr>
        <w:t>节所述</w:t>
      </w:r>
      <w:r w:rsidR="00691430">
        <w:rPr>
          <w:rFonts w:hint="eastAsia"/>
          <w:lang w:eastAsia="zh-CN"/>
        </w:rPr>
        <w:t>的</w:t>
      </w:r>
      <w:r w:rsidR="00D41CF2">
        <w:rPr>
          <w:rFonts w:hint="eastAsia"/>
          <w:lang w:eastAsia="zh-CN"/>
        </w:rPr>
        <w:t>一般性</w:t>
      </w:r>
      <w:r w:rsidR="0006005B">
        <w:rPr>
          <w:rFonts w:hint="eastAsia"/>
          <w:lang w:eastAsia="zh-CN"/>
        </w:rPr>
        <w:t>原则；附件</w:t>
      </w:r>
      <w:r w:rsidR="0006005B">
        <w:rPr>
          <w:rFonts w:hint="eastAsia"/>
          <w:lang w:eastAsia="zh-CN"/>
        </w:rPr>
        <w:t>1</w:t>
      </w:r>
      <w:r w:rsidR="0006005B">
        <w:rPr>
          <w:rFonts w:hint="eastAsia"/>
          <w:lang w:eastAsia="zh-CN"/>
        </w:rPr>
        <w:t>“</w:t>
      </w:r>
      <w:r w:rsidR="00102B8B">
        <w:rPr>
          <w:rFonts w:hint="eastAsia"/>
          <w:lang w:eastAsia="zh-CN"/>
        </w:rPr>
        <w:t>资源筹措</w:t>
      </w:r>
      <w:r w:rsidR="0006005B">
        <w:rPr>
          <w:rFonts w:hint="eastAsia"/>
          <w:lang w:eastAsia="zh-CN"/>
        </w:rPr>
        <w:t>原则”（</w:t>
      </w:r>
      <w:r w:rsidR="0006005B">
        <w:rPr>
          <w:rFonts w:hint="eastAsia"/>
          <w:lang w:eastAsia="zh-CN"/>
        </w:rPr>
        <w:t>C17/67</w:t>
      </w:r>
      <w:r w:rsidR="0006005B">
        <w:rPr>
          <w:rFonts w:hint="eastAsia"/>
          <w:lang w:eastAsia="zh-CN"/>
        </w:rPr>
        <w:t>号文件）；</w:t>
      </w:r>
      <w:r w:rsidR="00D41CF2">
        <w:rPr>
          <w:rFonts w:hint="eastAsia"/>
          <w:lang w:eastAsia="zh-CN"/>
        </w:rPr>
        <w:t>《</w:t>
      </w:r>
      <w:r w:rsidR="0006005B">
        <w:rPr>
          <w:rFonts w:hint="eastAsia"/>
          <w:lang w:eastAsia="zh-CN"/>
        </w:rPr>
        <w:t>国际电联财务规则和细则</w:t>
      </w:r>
      <w:r w:rsidR="00D41CF2">
        <w:rPr>
          <w:rFonts w:hint="eastAsia"/>
          <w:lang w:eastAsia="zh-CN"/>
        </w:rPr>
        <w:t>》</w:t>
      </w:r>
      <w:r w:rsidR="0006005B">
        <w:rPr>
          <w:rFonts w:hint="eastAsia"/>
          <w:lang w:eastAsia="zh-CN"/>
        </w:rPr>
        <w:t>；以及国际电联采购原则和规定；</w:t>
      </w:r>
      <w:bookmarkEnd w:id="21"/>
    </w:p>
    <w:p w:rsidR="0028391C" w:rsidRPr="00981FAB" w:rsidRDefault="0028391C" w:rsidP="00CD1ADD">
      <w:pPr>
        <w:pStyle w:val="enumlev1"/>
        <w:rPr>
          <w:lang w:eastAsia="zh-CN"/>
        </w:rPr>
      </w:pPr>
      <w:r>
        <w:rPr>
          <w:lang w:eastAsia="zh-CN"/>
        </w:rPr>
        <w:t>–</w:t>
      </w:r>
      <w:r w:rsidRPr="00981FAB">
        <w:rPr>
          <w:lang w:eastAsia="zh-CN"/>
        </w:rPr>
        <w:tab/>
      </w:r>
      <w:bookmarkStart w:id="22" w:name="lt_pId055"/>
      <w:r w:rsidR="00B13438">
        <w:rPr>
          <w:rFonts w:hint="eastAsia"/>
          <w:lang w:eastAsia="zh-CN"/>
        </w:rPr>
        <w:t>为避免</w:t>
      </w:r>
      <w:r w:rsidR="00CD1ADD">
        <w:rPr>
          <w:rFonts w:hint="eastAsia"/>
          <w:lang w:eastAsia="zh-CN"/>
        </w:rPr>
        <w:t>给</w:t>
      </w:r>
      <w:r w:rsidR="00B13438">
        <w:rPr>
          <w:rFonts w:hint="eastAsia"/>
          <w:lang w:eastAsia="zh-CN"/>
        </w:rPr>
        <w:t>国际电联</w:t>
      </w:r>
      <w:r w:rsidR="00CD1ADD">
        <w:rPr>
          <w:rFonts w:hint="eastAsia"/>
          <w:lang w:eastAsia="zh-CN"/>
        </w:rPr>
        <w:t>造成</w:t>
      </w:r>
      <w:r w:rsidR="00CD1ADD">
        <w:rPr>
          <w:lang w:eastAsia="zh-CN"/>
        </w:rPr>
        <w:t>无止境的未来费用</w:t>
      </w:r>
      <w:r w:rsidR="00B13438">
        <w:rPr>
          <w:rFonts w:hint="eastAsia"/>
          <w:lang w:eastAsia="zh-CN"/>
        </w:rPr>
        <w:t>，</w:t>
      </w:r>
      <w:r w:rsidR="00CD1ADD">
        <w:rPr>
          <w:rFonts w:hint="eastAsia"/>
          <w:lang w:eastAsia="zh-CN"/>
        </w:rPr>
        <w:t>向</w:t>
      </w:r>
      <w:r w:rsidR="00B13438">
        <w:rPr>
          <w:rFonts w:hint="eastAsia"/>
          <w:lang w:eastAsia="zh-CN"/>
        </w:rPr>
        <w:t>赞助方提供的</w:t>
      </w:r>
      <w:r w:rsidR="00CD1ADD">
        <w:rPr>
          <w:rFonts w:hint="eastAsia"/>
          <w:lang w:eastAsia="zh-CN"/>
        </w:rPr>
        <w:t>知名度</w:t>
      </w:r>
      <w:r w:rsidR="00B13438">
        <w:rPr>
          <w:rFonts w:hint="eastAsia"/>
          <w:lang w:eastAsia="zh-CN"/>
        </w:rPr>
        <w:t>宣传</w:t>
      </w:r>
      <w:r w:rsidR="00CD1ADD">
        <w:rPr>
          <w:rFonts w:hint="eastAsia"/>
          <w:lang w:eastAsia="zh-CN"/>
        </w:rPr>
        <w:t>及</w:t>
      </w:r>
      <w:r w:rsidR="00CD1ADD">
        <w:rPr>
          <w:lang w:eastAsia="zh-CN"/>
        </w:rPr>
        <w:t>其它</w:t>
      </w:r>
      <w:r w:rsidR="00691430">
        <w:rPr>
          <w:rFonts w:hint="eastAsia"/>
          <w:lang w:eastAsia="zh-CN"/>
        </w:rPr>
        <w:t>权益不是</w:t>
      </w:r>
      <w:r w:rsidR="00B13438">
        <w:rPr>
          <w:rFonts w:hint="eastAsia"/>
          <w:lang w:eastAsia="zh-CN"/>
        </w:rPr>
        <w:t>永久性</w:t>
      </w:r>
      <w:r w:rsidR="00691430">
        <w:rPr>
          <w:rFonts w:hint="eastAsia"/>
          <w:lang w:eastAsia="zh-CN"/>
        </w:rPr>
        <w:t>的</w:t>
      </w:r>
      <w:r w:rsidR="00B13438">
        <w:rPr>
          <w:rFonts w:hint="eastAsia"/>
          <w:lang w:eastAsia="zh-CN"/>
        </w:rPr>
        <w:t>；</w:t>
      </w:r>
      <w:bookmarkEnd w:id="22"/>
    </w:p>
    <w:p w:rsidR="0028391C" w:rsidRPr="00981FAB" w:rsidRDefault="0028391C" w:rsidP="00CD1ADD">
      <w:pPr>
        <w:pStyle w:val="enumlev1"/>
        <w:rPr>
          <w:lang w:eastAsia="zh-CN"/>
        </w:rPr>
      </w:pPr>
      <w:r>
        <w:rPr>
          <w:lang w:eastAsia="zh-CN"/>
        </w:rPr>
        <w:t>–</w:t>
      </w:r>
      <w:r w:rsidRPr="00981FAB">
        <w:rPr>
          <w:lang w:eastAsia="zh-CN"/>
        </w:rPr>
        <w:tab/>
      </w:r>
      <w:bookmarkStart w:id="23" w:name="lt_pId057"/>
      <w:r w:rsidR="00B13438">
        <w:rPr>
          <w:rFonts w:hint="eastAsia"/>
          <w:lang w:eastAsia="zh-CN"/>
        </w:rPr>
        <w:t>在商定的赞助期内，国际电联获得的赞助必须</w:t>
      </w:r>
      <w:r w:rsidR="00CD1ADD">
        <w:rPr>
          <w:rFonts w:hint="eastAsia"/>
          <w:lang w:eastAsia="zh-CN"/>
        </w:rPr>
        <w:t>足以</w:t>
      </w:r>
      <w:r w:rsidR="00B13438">
        <w:rPr>
          <w:rFonts w:hint="eastAsia"/>
          <w:lang w:eastAsia="zh-CN"/>
        </w:rPr>
        <w:t>支付赞助内容的全部直接和间接成本。例如，会议</w:t>
      </w:r>
      <w:r w:rsidR="00CD1ADD">
        <w:rPr>
          <w:rFonts w:hint="eastAsia"/>
          <w:lang w:eastAsia="zh-CN"/>
        </w:rPr>
        <w:t>厅</w:t>
      </w:r>
      <w:r w:rsidR="00B13438">
        <w:rPr>
          <w:rFonts w:hint="eastAsia"/>
          <w:lang w:eastAsia="zh-CN"/>
        </w:rPr>
        <w:t>的赞助</w:t>
      </w:r>
      <w:r w:rsidR="00843CCD">
        <w:rPr>
          <w:rFonts w:hint="eastAsia"/>
          <w:lang w:eastAsia="zh-CN"/>
        </w:rPr>
        <w:t>期</w:t>
      </w:r>
      <w:r w:rsidR="00CD1ADD">
        <w:rPr>
          <w:rFonts w:hint="eastAsia"/>
          <w:lang w:eastAsia="zh-CN"/>
        </w:rPr>
        <w:t>可限于</w:t>
      </w:r>
      <w:r w:rsidR="00B13438">
        <w:rPr>
          <w:rFonts w:hint="eastAsia"/>
          <w:lang w:eastAsia="zh-CN"/>
        </w:rPr>
        <w:t>设备和家具</w:t>
      </w:r>
      <w:r w:rsidR="00CD1ADD">
        <w:rPr>
          <w:rFonts w:hint="eastAsia"/>
          <w:lang w:eastAsia="zh-CN"/>
        </w:rPr>
        <w:t>的预期</w:t>
      </w:r>
      <w:r w:rsidR="00CD1ADD">
        <w:rPr>
          <w:lang w:eastAsia="zh-CN"/>
        </w:rPr>
        <w:t>使用</w:t>
      </w:r>
      <w:r w:rsidR="00B13438">
        <w:rPr>
          <w:rFonts w:hint="eastAsia"/>
          <w:lang w:eastAsia="zh-CN"/>
        </w:rPr>
        <w:t>寿命</w:t>
      </w:r>
      <w:r w:rsidR="00CD1ADD">
        <w:rPr>
          <w:rFonts w:hint="eastAsia"/>
          <w:lang w:eastAsia="zh-CN"/>
        </w:rPr>
        <w:t>年限</w:t>
      </w:r>
      <w:r w:rsidR="00B13438">
        <w:rPr>
          <w:rFonts w:hint="eastAsia"/>
          <w:lang w:eastAsia="zh-CN"/>
        </w:rPr>
        <w:t>；但若赞助款项包括</w:t>
      </w:r>
      <w:r w:rsidR="00843CCD">
        <w:rPr>
          <w:rFonts w:hint="eastAsia"/>
          <w:lang w:eastAsia="zh-CN"/>
        </w:rPr>
        <w:t>更换</w:t>
      </w:r>
      <w:r w:rsidR="00B13438">
        <w:rPr>
          <w:rFonts w:hint="eastAsia"/>
          <w:lang w:eastAsia="zh-CN"/>
        </w:rPr>
        <w:t>费用，则赞助期限可以延期。间接</w:t>
      </w:r>
      <w:r w:rsidR="00CD1ADD">
        <w:rPr>
          <w:rFonts w:hint="eastAsia"/>
          <w:lang w:eastAsia="zh-CN"/>
        </w:rPr>
        <w:t>费用</w:t>
      </w:r>
      <w:r w:rsidR="00B13438">
        <w:rPr>
          <w:rFonts w:hint="eastAsia"/>
          <w:lang w:eastAsia="zh-CN"/>
        </w:rPr>
        <w:t>不含</w:t>
      </w:r>
      <w:r w:rsidR="00CD1ADD">
        <w:rPr>
          <w:rFonts w:hint="eastAsia"/>
          <w:lang w:eastAsia="zh-CN"/>
        </w:rPr>
        <w:t>在无赞助情况下国际电联依然</w:t>
      </w:r>
      <w:r w:rsidR="0008332E">
        <w:rPr>
          <w:rFonts w:hint="eastAsia"/>
          <w:lang w:eastAsia="zh-CN"/>
        </w:rPr>
        <w:t>要发生的费用（如，维护和更换破损物品）。</w:t>
      </w:r>
      <w:bookmarkEnd w:id="23"/>
    </w:p>
    <w:p w:rsidR="0028391C" w:rsidRPr="00981FAB" w:rsidRDefault="0028391C" w:rsidP="00843CCD">
      <w:pPr>
        <w:rPr>
          <w:lang w:eastAsia="zh-CN"/>
        </w:rPr>
      </w:pPr>
      <w:r w:rsidRPr="00981FAB">
        <w:rPr>
          <w:lang w:eastAsia="zh-CN"/>
        </w:rPr>
        <w:t>3.2</w:t>
      </w:r>
      <w:r w:rsidRPr="00981FAB">
        <w:rPr>
          <w:lang w:eastAsia="zh-CN"/>
        </w:rPr>
        <w:tab/>
      </w:r>
      <w:bookmarkStart w:id="24" w:name="lt_pId061"/>
      <w:r w:rsidR="0008332E">
        <w:rPr>
          <w:rFonts w:hint="eastAsia"/>
          <w:lang w:eastAsia="zh-CN"/>
        </w:rPr>
        <w:t>赞助权益可包括在</w:t>
      </w:r>
      <w:r w:rsidR="00843CCD">
        <w:rPr>
          <w:rFonts w:hint="eastAsia"/>
          <w:lang w:eastAsia="zh-CN"/>
        </w:rPr>
        <w:t>赞助期</w:t>
      </w:r>
      <w:r w:rsidR="0008332E">
        <w:rPr>
          <w:rFonts w:hint="eastAsia"/>
          <w:lang w:eastAsia="zh-CN"/>
        </w:rPr>
        <w:t>内对赞助内容的“命名”。</w:t>
      </w:r>
      <w:bookmarkEnd w:id="24"/>
    </w:p>
    <w:p w:rsidR="0028391C" w:rsidRPr="00981FAB" w:rsidRDefault="0028391C" w:rsidP="00CD1ADD">
      <w:pPr>
        <w:rPr>
          <w:lang w:eastAsia="zh-CN"/>
        </w:rPr>
      </w:pPr>
      <w:r w:rsidRPr="00981FAB">
        <w:rPr>
          <w:lang w:eastAsia="zh-CN"/>
        </w:rPr>
        <w:t>3.3</w:t>
      </w:r>
      <w:r w:rsidRPr="00981FAB">
        <w:rPr>
          <w:lang w:eastAsia="zh-CN"/>
        </w:rPr>
        <w:tab/>
      </w:r>
      <w:bookmarkStart w:id="25" w:name="lt_pId063"/>
      <w:r w:rsidR="00CD1ADD">
        <w:rPr>
          <w:rFonts w:hint="eastAsia"/>
          <w:lang w:eastAsia="zh-CN"/>
        </w:rPr>
        <w:t>物品</w:t>
      </w:r>
      <w:r w:rsidR="00CD1ADD">
        <w:rPr>
          <w:lang w:eastAsia="zh-CN"/>
        </w:rPr>
        <w:t>或服务的采购</w:t>
      </w:r>
      <w:r w:rsidR="0008332E">
        <w:rPr>
          <w:rFonts w:hint="eastAsia"/>
          <w:lang w:eastAsia="zh-CN"/>
        </w:rPr>
        <w:t>需符合国际电联采购程序。</w:t>
      </w:r>
      <w:bookmarkEnd w:id="25"/>
    </w:p>
    <w:p w:rsidR="0028391C" w:rsidRPr="00981FAB" w:rsidRDefault="0028391C" w:rsidP="00843CCD">
      <w:pPr>
        <w:rPr>
          <w:lang w:eastAsia="zh-CN"/>
        </w:rPr>
      </w:pPr>
      <w:r w:rsidRPr="00981FAB">
        <w:rPr>
          <w:lang w:eastAsia="zh-CN"/>
        </w:rPr>
        <w:t>3.4</w:t>
      </w:r>
      <w:r w:rsidRPr="00981FAB">
        <w:rPr>
          <w:lang w:eastAsia="zh-CN"/>
        </w:rPr>
        <w:tab/>
      </w:r>
      <w:bookmarkStart w:id="26" w:name="lt_pId065"/>
      <w:r w:rsidR="00CD1ADD">
        <w:rPr>
          <w:rFonts w:hint="eastAsia"/>
          <w:lang w:eastAsia="zh-CN"/>
        </w:rPr>
        <w:t>秘书处保留拒绝其认为不</w:t>
      </w:r>
      <w:r w:rsidR="0008332E">
        <w:rPr>
          <w:rFonts w:hint="eastAsia"/>
          <w:lang w:eastAsia="zh-CN"/>
        </w:rPr>
        <w:t>当的赞助</w:t>
      </w:r>
      <w:r w:rsidR="00843CCD">
        <w:rPr>
          <w:rFonts w:hint="eastAsia"/>
          <w:lang w:eastAsia="zh-CN"/>
        </w:rPr>
        <w:t>申请</w:t>
      </w:r>
      <w:r w:rsidR="0008332E">
        <w:rPr>
          <w:rFonts w:hint="eastAsia"/>
          <w:lang w:eastAsia="zh-CN"/>
        </w:rPr>
        <w:t>的权利</w:t>
      </w:r>
      <w:bookmarkEnd w:id="26"/>
      <w:r w:rsidR="0008332E">
        <w:rPr>
          <w:rFonts w:hint="eastAsia"/>
          <w:lang w:eastAsia="zh-CN"/>
        </w:rPr>
        <w:t>。</w:t>
      </w:r>
    </w:p>
    <w:p w:rsidR="0028391C" w:rsidRPr="00981FAB" w:rsidRDefault="0028391C" w:rsidP="00380B86">
      <w:pPr>
        <w:pStyle w:val="Heading1"/>
        <w:rPr>
          <w:lang w:eastAsia="zh-CN"/>
        </w:rPr>
      </w:pPr>
      <w:r>
        <w:rPr>
          <w:lang w:eastAsia="zh-CN"/>
        </w:rPr>
        <w:t>4</w:t>
      </w:r>
      <w:r w:rsidRPr="00981FAB">
        <w:rPr>
          <w:lang w:eastAsia="zh-CN"/>
        </w:rPr>
        <w:tab/>
      </w:r>
      <w:bookmarkStart w:id="27" w:name="lt_pId067"/>
      <w:r w:rsidR="00380B86">
        <w:rPr>
          <w:rFonts w:hint="eastAsia"/>
          <w:lang w:eastAsia="zh-CN"/>
        </w:rPr>
        <w:t>可供</w:t>
      </w:r>
      <w:r w:rsidR="008D276C">
        <w:rPr>
          <w:rFonts w:hint="eastAsia"/>
          <w:lang w:eastAsia="zh-CN"/>
        </w:rPr>
        <w:t>赞助</w:t>
      </w:r>
      <w:r w:rsidR="00380B86">
        <w:rPr>
          <w:rFonts w:hint="eastAsia"/>
          <w:lang w:eastAsia="zh-CN"/>
        </w:rPr>
        <w:t>的</w:t>
      </w:r>
      <w:r w:rsidR="008D276C">
        <w:rPr>
          <w:rFonts w:hint="eastAsia"/>
          <w:lang w:eastAsia="zh-CN"/>
        </w:rPr>
        <w:t>内容</w:t>
      </w:r>
      <w:bookmarkEnd w:id="27"/>
    </w:p>
    <w:p w:rsidR="0028391C" w:rsidRPr="00981FAB" w:rsidRDefault="0028391C" w:rsidP="00847240">
      <w:pPr>
        <w:rPr>
          <w:lang w:eastAsia="zh-CN"/>
        </w:rPr>
      </w:pPr>
      <w:r w:rsidRPr="00981FAB">
        <w:rPr>
          <w:lang w:eastAsia="zh-CN"/>
        </w:rPr>
        <w:t>4.1</w:t>
      </w:r>
      <w:r w:rsidRPr="00981FAB">
        <w:rPr>
          <w:lang w:eastAsia="zh-CN"/>
        </w:rPr>
        <w:tab/>
      </w:r>
      <w:bookmarkStart w:id="28" w:name="lt_pId069"/>
      <w:r w:rsidR="00AE4661">
        <w:rPr>
          <w:rFonts w:hint="eastAsia"/>
          <w:lang w:eastAsia="zh-CN"/>
        </w:rPr>
        <w:t>此</w:t>
      </w:r>
      <w:r w:rsidR="00847240">
        <w:rPr>
          <w:rFonts w:hint="eastAsia"/>
          <w:lang w:eastAsia="zh-CN"/>
        </w:rPr>
        <w:t>项目中的下列内容可能会引起赞助方的兴趣。</w:t>
      </w:r>
      <w:bookmarkEnd w:id="28"/>
    </w:p>
    <w:p w:rsidR="0028391C" w:rsidRPr="00981FAB" w:rsidRDefault="0028391C" w:rsidP="00AE4661">
      <w:pPr>
        <w:rPr>
          <w:lang w:eastAsia="zh-CN"/>
        </w:rPr>
      </w:pPr>
      <w:r w:rsidRPr="00981FAB">
        <w:rPr>
          <w:lang w:eastAsia="zh-CN"/>
        </w:rPr>
        <w:t>4.2</w:t>
      </w:r>
      <w:r w:rsidRPr="00981FAB">
        <w:rPr>
          <w:lang w:eastAsia="zh-CN"/>
        </w:rPr>
        <w:tab/>
      </w:r>
      <w:r w:rsidR="00AE4661">
        <w:rPr>
          <w:rFonts w:hint="eastAsia"/>
          <w:lang w:eastAsia="zh-CN"/>
        </w:rPr>
        <w:t>会议厅和会议室</w:t>
      </w:r>
    </w:p>
    <w:p w:rsidR="0028391C" w:rsidRPr="00981FAB" w:rsidRDefault="005B2BCB" w:rsidP="005B2BCB">
      <w:pPr>
        <w:pStyle w:val="enumlev2"/>
        <w:rPr>
          <w:lang w:eastAsia="zh-CN"/>
        </w:rPr>
      </w:pPr>
      <w:r>
        <w:rPr>
          <w:lang w:eastAsia="zh-CN"/>
        </w:rPr>
        <w:t>–</w:t>
      </w:r>
      <w:r w:rsidR="0028391C" w:rsidRPr="00981FAB">
        <w:rPr>
          <w:lang w:eastAsia="zh-CN"/>
        </w:rPr>
        <w:tab/>
      </w:r>
      <w:bookmarkStart w:id="29" w:name="lt_pId073"/>
      <w:r w:rsidR="0028391C" w:rsidRPr="00D6577A">
        <w:rPr>
          <w:b/>
          <w:bCs/>
          <w:lang w:eastAsia="zh-CN"/>
        </w:rPr>
        <w:t>1</w:t>
      </w:r>
      <w:r w:rsidR="00AE4661" w:rsidRPr="00D6577A">
        <w:rPr>
          <w:rFonts w:hint="eastAsia"/>
          <w:b/>
          <w:bCs/>
          <w:lang w:eastAsia="zh-CN"/>
        </w:rPr>
        <w:t>间</w:t>
      </w:r>
      <w:r w:rsidR="0028391C" w:rsidRPr="00D6577A">
        <w:rPr>
          <w:b/>
          <w:bCs/>
          <w:lang w:eastAsia="zh-CN"/>
        </w:rPr>
        <w:t>500</w:t>
      </w:r>
      <w:r w:rsidR="0008332E" w:rsidRPr="00D6577A">
        <w:rPr>
          <w:rFonts w:hint="eastAsia"/>
          <w:b/>
          <w:bCs/>
          <w:lang w:eastAsia="zh-CN"/>
        </w:rPr>
        <w:t>人</w:t>
      </w:r>
      <w:r w:rsidR="00847240" w:rsidRPr="00D6577A">
        <w:rPr>
          <w:rFonts w:hint="eastAsia"/>
          <w:b/>
          <w:bCs/>
          <w:lang w:eastAsia="zh-CN"/>
        </w:rPr>
        <w:t>席位的会议</w:t>
      </w:r>
      <w:r w:rsidR="00AE4661" w:rsidRPr="00D6577A">
        <w:rPr>
          <w:rFonts w:hint="eastAsia"/>
          <w:b/>
          <w:bCs/>
          <w:lang w:eastAsia="zh-CN"/>
        </w:rPr>
        <w:t>厅</w:t>
      </w:r>
      <w:r w:rsidR="00847240">
        <w:rPr>
          <w:rFonts w:hint="eastAsia"/>
          <w:lang w:eastAsia="zh-CN"/>
        </w:rPr>
        <w:t>；</w:t>
      </w:r>
      <w:bookmarkEnd w:id="29"/>
    </w:p>
    <w:p w:rsidR="0028391C" w:rsidRPr="00981FAB" w:rsidRDefault="005B2BCB" w:rsidP="005B2BCB">
      <w:pPr>
        <w:pStyle w:val="enumlev2"/>
        <w:rPr>
          <w:lang w:eastAsia="zh-CN"/>
        </w:rPr>
      </w:pPr>
      <w:r>
        <w:rPr>
          <w:lang w:eastAsia="zh-CN"/>
        </w:rPr>
        <w:t>–</w:t>
      </w:r>
      <w:r w:rsidR="0028391C" w:rsidRPr="00981FAB">
        <w:rPr>
          <w:lang w:eastAsia="zh-CN"/>
        </w:rPr>
        <w:tab/>
      </w:r>
      <w:bookmarkStart w:id="30" w:name="lt_pId075"/>
      <w:r w:rsidR="0028391C" w:rsidRPr="00D6577A">
        <w:rPr>
          <w:b/>
          <w:bCs/>
          <w:lang w:eastAsia="zh-CN"/>
        </w:rPr>
        <w:t>1</w:t>
      </w:r>
      <w:r w:rsidR="00AE4661" w:rsidRPr="00D6577A">
        <w:rPr>
          <w:rFonts w:hint="eastAsia"/>
          <w:b/>
          <w:bCs/>
          <w:lang w:eastAsia="zh-CN"/>
        </w:rPr>
        <w:t>间</w:t>
      </w:r>
      <w:r w:rsidR="0028391C" w:rsidRPr="00D6577A">
        <w:rPr>
          <w:b/>
          <w:bCs/>
          <w:lang w:eastAsia="zh-CN"/>
        </w:rPr>
        <w:t>234</w:t>
      </w:r>
      <w:r w:rsidR="0008332E" w:rsidRPr="00D6577A">
        <w:rPr>
          <w:rFonts w:hint="eastAsia"/>
          <w:b/>
          <w:bCs/>
          <w:lang w:eastAsia="zh-CN"/>
        </w:rPr>
        <w:t>人</w:t>
      </w:r>
      <w:r w:rsidR="00847240" w:rsidRPr="00D6577A">
        <w:rPr>
          <w:rFonts w:hint="eastAsia"/>
          <w:b/>
          <w:bCs/>
          <w:lang w:eastAsia="zh-CN"/>
        </w:rPr>
        <w:t>席位的会议</w:t>
      </w:r>
      <w:r w:rsidR="00AE4661" w:rsidRPr="00D6577A">
        <w:rPr>
          <w:rFonts w:hint="eastAsia"/>
          <w:b/>
          <w:bCs/>
          <w:lang w:eastAsia="zh-CN"/>
        </w:rPr>
        <w:t>厅</w:t>
      </w:r>
      <w:r w:rsidR="00847240">
        <w:rPr>
          <w:rFonts w:hint="eastAsia"/>
          <w:lang w:eastAsia="zh-CN"/>
        </w:rPr>
        <w:t>；</w:t>
      </w:r>
      <w:bookmarkEnd w:id="30"/>
    </w:p>
    <w:p w:rsidR="0028391C" w:rsidRPr="00981FAB" w:rsidRDefault="005B2BCB" w:rsidP="005B2BCB">
      <w:pPr>
        <w:pStyle w:val="enumlev2"/>
        <w:rPr>
          <w:lang w:eastAsia="zh-CN"/>
        </w:rPr>
      </w:pPr>
      <w:r>
        <w:rPr>
          <w:lang w:eastAsia="zh-CN"/>
        </w:rPr>
        <w:t>–</w:t>
      </w:r>
      <w:r w:rsidR="0028391C" w:rsidRPr="00981FAB">
        <w:rPr>
          <w:lang w:eastAsia="zh-CN"/>
        </w:rPr>
        <w:tab/>
      </w:r>
      <w:bookmarkStart w:id="31" w:name="lt_pId077"/>
      <w:r w:rsidR="0028391C" w:rsidRPr="00D6577A">
        <w:rPr>
          <w:b/>
          <w:bCs/>
          <w:lang w:eastAsia="zh-CN"/>
        </w:rPr>
        <w:t>1</w:t>
      </w:r>
      <w:r w:rsidR="00AE4661" w:rsidRPr="00D6577A">
        <w:rPr>
          <w:rFonts w:hint="eastAsia"/>
          <w:b/>
          <w:bCs/>
          <w:lang w:eastAsia="zh-CN"/>
        </w:rPr>
        <w:t>间</w:t>
      </w:r>
      <w:r w:rsidR="0028391C" w:rsidRPr="00D6577A">
        <w:rPr>
          <w:b/>
          <w:bCs/>
          <w:lang w:eastAsia="zh-CN"/>
        </w:rPr>
        <w:t>100</w:t>
      </w:r>
      <w:r w:rsidR="0008332E" w:rsidRPr="00D6577A">
        <w:rPr>
          <w:rFonts w:hint="eastAsia"/>
          <w:b/>
          <w:bCs/>
          <w:lang w:eastAsia="zh-CN"/>
        </w:rPr>
        <w:t>人</w:t>
      </w:r>
      <w:r w:rsidR="00847240" w:rsidRPr="00D6577A">
        <w:rPr>
          <w:rFonts w:hint="eastAsia"/>
          <w:b/>
          <w:bCs/>
          <w:lang w:eastAsia="zh-CN"/>
        </w:rPr>
        <w:t>席位的会议</w:t>
      </w:r>
      <w:r w:rsidR="00AE4661" w:rsidRPr="00D6577A">
        <w:rPr>
          <w:rFonts w:hint="eastAsia"/>
          <w:b/>
          <w:bCs/>
          <w:lang w:eastAsia="zh-CN"/>
        </w:rPr>
        <w:t>厅</w:t>
      </w:r>
      <w:bookmarkEnd w:id="31"/>
      <w:r>
        <w:rPr>
          <w:rFonts w:hint="eastAsia"/>
          <w:lang w:eastAsia="zh-CN"/>
        </w:rPr>
        <w:t>。</w:t>
      </w:r>
    </w:p>
    <w:p w:rsidR="0028391C" w:rsidRPr="00981FAB" w:rsidRDefault="00AE4661" w:rsidP="00CA7209">
      <w:pPr>
        <w:ind w:firstLineChars="200" w:firstLine="480"/>
        <w:rPr>
          <w:lang w:eastAsia="zh-CN"/>
        </w:rPr>
      </w:pPr>
      <w:bookmarkStart w:id="32" w:name="lt_pId078"/>
      <w:r>
        <w:rPr>
          <w:rFonts w:hint="eastAsia"/>
          <w:lang w:eastAsia="zh-CN"/>
        </w:rPr>
        <w:t>在</w:t>
      </w:r>
      <w:r w:rsidR="0008332E">
        <w:rPr>
          <w:rFonts w:hint="eastAsia"/>
          <w:lang w:eastAsia="zh-CN"/>
        </w:rPr>
        <w:t>为国际电联会议室</w:t>
      </w:r>
      <w:r>
        <w:rPr>
          <w:rFonts w:hint="eastAsia"/>
          <w:lang w:eastAsia="zh-CN"/>
        </w:rPr>
        <w:t>配备</w:t>
      </w:r>
      <w:r w:rsidR="0008332E">
        <w:rPr>
          <w:rFonts w:hint="eastAsia"/>
          <w:lang w:eastAsia="zh-CN"/>
        </w:rPr>
        <w:t>家具和视听设备</w:t>
      </w:r>
      <w:r>
        <w:rPr>
          <w:rFonts w:hint="eastAsia"/>
          <w:lang w:eastAsia="zh-CN"/>
        </w:rPr>
        <w:t>方面</w:t>
      </w:r>
      <w:r w:rsidR="0008332E">
        <w:rPr>
          <w:rFonts w:hint="eastAsia"/>
          <w:lang w:eastAsia="zh-CN"/>
        </w:rPr>
        <w:t>，预计每个代表席</w:t>
      </w:r>
      <w:r w:rsidR="00843CCD">
        <w:rPr>
          <w:rFonts w:hint="eastAsia"/>
          <w:lang w:eastAsia="zh-CN"/>
        </w:rPr>
        <w:t>位</w:t>
      </w:r>
      <w:r w:rsidR="0008332E">
        <w:rPr>
          <w:rFonts w:hint="eastAsia"/>
          <w:lang w:eastAsia="zh-CN"/>
        </w:rPr>
        <w:t>的费用约为</w:t>
      </w:r>
      <w:r w:rsidR="00CA7209">
        <w:rPr>
          <w:lang w:eastAsia="zh-CN"/>
        </w:rPr>
        <w:br/>
      </w:r>
      <w:r w:rsidR="0008332E">
        <w:rPr>
          <w:rFonts w:hint="eastAsia"/>
          <w:lang w:eastAsia="zh-CN"/>
        </w:rPr>
        <w:t>5</w:t>
      </w:r>
      <w:r w:rsidR="0008332E">
        <w:rPr>
          <w:lang w:eastAsia="zh-CN"/>
        </w:rPr>
        <w:t xml:space="preserve"> </w:t>
      </w:r>
      <w:r w:rsidR="0008332E">
        <w:rPr>
          <w:rFonts w:hint="eastAsia"/>
          <w:lang w:eastAsia="zh-CN"/>
        </w:rPr>
        <w:t>000</w:t>
      </w:r>
      <w:r w:rsidR="00843CCD">
        <w:rPr>
          <w:lang w:eastAsia="zh-CN"/>
        </w:rPr>
        <w:t xml:space="preserve"> </w:t>
      </w:r>
      <w:r w:rsidR="00CA7209">
        <w:rPr>
          <w:lang w:eastAsia="zh-CN"/>
        </w:rPr>
        <w:t>-</w:t>
      </w:r>
      <w:r w:rsidR="005B2BCB">
        <w:rPr>
          <w:rFonts w:hint="eastAsia"/>
          <w:lang w:eastAsia="zh-CN"/>
        </w:rPr>
        <w:t xml:space="preserve"> </w:t>
      </w:r>
      <w:r w:rsidR="0008332E">
        <w:rPr>
          <w:rFonts w:hint="eastAsia"/>
          <w:lang w:eastAsia="zh-CN"/>
        </w:rPr>
        <w:t>10</w:t>
      </w:r>
      <w:r w:rsidR="0008332E">
        <w:rPr>
          <w:lang w:eastAsia="zh-CN"/>
        </w:rPr>
        <w:t xml:space="preserve"> </w:t>
      </w:r>
      <w:r w:rsidR="0008332E">
        <w:rPr>
          <w:rFonts w:hint="eastAsia"/>
          <w:lang w:eastAsia="zh-CN"/>
        </w:rPr>
        <w:t>000</w:t>
      </w:r>
      <w:r w:rsidR="0008332E">
        <w:rPr>
          <w:rFonts w:hint="eastAsia"/>
          <w:lang w:eastAsia="zh-CN"/>
        </w:rPr>
        <w:t>瑞郎</w:t>
      </w:r>
      <w:r w:rsidR="00AF3CB3">
        <w:rPr>
          <w:rFonts w:hint="eastAsia"/>
          <w:lang w:eastAsia="zh-CN"/>
        </w:rPr>
        <w:t>之间</w:t>
      </w:r>
      <w:r>
        <w:rPr>
          <w:rFonts w:hint="eastAsia"/>
          <w:lang w:eastAsia="zh-CN"/>
        </w:rPr>
        <w:t>（含维护费）</w:t>
      </w:r>
      <w:r w:rsidR="00AF3CB3">
        <w:rPr>
          <w:rFonts w:hint="eastAsia"/>
          <w:lang w:eastAsia="zh-CN"/>
        </w:rPr>
        <w:t>。最终费用将视会议</w:t>
      </w:r>
      <w:r>
        <w:rPr>
          <w:rFonts w:hint="eastAsia"/>
          <w:lang w:eastAsia="zh-CN"/>
        </w:rPr>
        <w:t>厅</w:t>
      </w:r>
      <w:r w:rsidR="00AF3CB3">
        <w:rPr>
          <w:rFonts w:hint="eastAsia"/>
          <w:lang w:eastAsia="zh-CN"/>
        </w:rPr>
        <w:t>的技术设施和舒适程度而定。</w:t>
      </w:r>
      <w:bookmarkEnd w:id="32"/>
    </w:p>
    <w:p w:rsidR="0028391C" w:rsidRPr="00981FAB" w:rsidRDefault="00AF3CB3" w:rsidP="005B2BCB">
      <w:pPr>
        <w:ind w:firstLineChars="200" w:firstLine="480"/>
        <w:rPr>
          <w:lang w:eastAsia="zh-CN"/>
        </w:rPr>
      </w:pPr>
      <w:bookmarkStart w:id="33" w:name="lt_pId080"/>
      <w:r>
        <w:rPr>
          <w:rFonts w:hint="eastAsia"/>
          <w:lang w:eastAsia="zh-CN"/>
        </w:rPr>
        <w:t>新楼所有房间的视听设备总预算预计在</w:t>
      </w:r>
      <w:r>
        <w:rPr>
          <w:rFonts w:hint="eastAsia"/>
          <w:lang w:eastAsia="zh-CN"/>
        </w:rPr>
        <w:t>1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000</w:t>
      </w:r>
      <w:r>
        <w:rPr>
          <w:rFonts w:hint="eastAsia"/>
          <w:lang w:eastAsia="zh-CN"/>
        </w:rPr>
        <w:t>万瑞郎左右。</w:t>
      </w:r>
      <w:bookmarkEnd w:id="33"/>
    </w:p>
    <w:p w:rsidR="0028391C" w:rsidRPr="00981FAB" w:rsidRDefault="0028391C" w:rsidP="00F77BEC">
      <w:pPr>
        <w:rPr>
          <w:lang w:eastAsia="zh-CN"/>
        </w:rPr>
      </w:pPr>
      <w:r w:rsidRPr="00981FAB">
        <w:rPr>
          <w:lang w:eastAsia="zh-CN"/>
        </w:rPr>
        <w:t>4.3</w:t>
      </w:r>
      <w:r w:rsidRPr="00981FAB">
        <w:rPr>
          <w:lang w:eastAsia="zh-CN"/>
        </w:rPr>
        <w:tab/>
      </w:r>
      <w:bookmarkStart w:id="34" w:name="lt_pId082"/>
      <w:r w:rsidR="00AF3CB3" w:rsidRPr="00AF3CB3">
        <w:rPr>
          <w:rFonts w:hint="eastAsia"/>
          <w:b/>
          <w:bCs/>
          <w:lang w:eastAsia="zh-CN"/>
        </w:rPr>
        <w:t>信息通信</w:t>
      </w:r>
      <w:r w:rsidR="00AE4661">
        <w:rPr>
          <w:rFonts w:hint="eastAsia"/>
          <w:b/>
          <w:bCs/>
          <w:lang w:eastAsia="zh-CN"/>
        </w:rPr>
        <w:t>技术展示馆</w:t>
      </w:r>
      <w:r w:rsidR="00AF3CB3">
        <w:rPr>
          <w:rFonts w:hint="eastAsia"/>
          <w:lang w:eastAsia="zh-CN"/>
        </w:rPr>
        <w:t>：展</w:t>
      </w:r>
      <w:r w:rsidR="00AE4661">
        <w:rPr>
          <w:rFonts w:hint="eastAsia"/>
          <w:lang w:eastAsia="zh-CN"/>
        </w:rPr>
        <w:t>馆</w:t>
      </w:r>
      <w:r w:rsidR="00AF3CB3">
        <w:rPr>
          <w:rFonts w:hint="eastAsia"/>
          <w:lang w:eastAsia="zh-CN"/>
        </w:rPr>
        <w:t>的设置取决于赞助款项是否能</w:t>
      </w:r>
      <w:r w:rsidR="00AE4661">
        <w:rPr>
          <w:rFonts w:hint="eastAsia"/>
          <w:lang w:eastAsia="zh-CN"/>
        </w:rPr>
        <w:t>覆盖</w:t>
      </w:r>
      <w:r w:rsidR="00AF3CB3">
        <w:rPr>
          <w:rFonts w:hint="eastAsia"/>
          <w:lang w:eastAsia="zh-CN"/>
        </w:rPr>
        <w:t>全部费用。展</w:t>
      </w:r>
      <w:r w:rsidR="00AE4661">
        <w:rPr>
          <w:rFonts w:hint="eastAsia"/>
          <w:lang w:eastAsia="zh-CN"/>
        </w:rPr>
        <w:t>馆</w:t>
      </w:r>
      <w:r w:rsidR="00AF3CB3">
        <w:rPr>
          <w:rFonts w:hint="eastAsia"/>
          <w:lang w:eastAsia="zh-CN"/>
        </w:rPr>
        <w:t>将位于新楼外，</w:t>
      </w:r>
      <w:r w:rsidR="00AE4661">
        <w:rPr>
          <w:rFonts w:hint="eastAsia"/>
          <w:lang w:eastAsia="zh-CN"/>
        </w:rPr>
        <w:t>与</w:t>
      </w:r>
      <w:r w:rsidR="00AE4661">
        <w:rPr>
          <w:lang w:eastAsia="zh-CN"/>
        </w:rPr>
        <w:t>安保门卫室毗邻</w:t>
      </w:r>
      <w:r w:rsidR="00AE4661">
        <w:rPr>
          <w:rFonts w:hint="eastAsia"/>
          <w:lang w:eastAsia="zh-CN"/>
        </w:rPr>
        <w:t>。</w:t>
      </w:r>
      <w:r w:rsidR="00AF3CB3">
        <w:rPr>
          <w:rFonts w:hint="eastAsia"/>
          <w:lang w:eastAsia="zh-CN"/>
        </w:rPr>
        <w:t>赞助申请</w:t>
      </w:r>
      <w:r w:rsidR="00AE4661">
        <w:rPr>
          <w:rFonts w:hint="eastAsia"/>
          <w:lang w:eastAsia="zh-CN"/>
        </w:rPr>
        <w:t>最迟</w:t>
      </w:r>
      <w:r w:rsidR="00AF3CB3">
        <w:rPr>
          <w:rFonts w:hint="eastAsia"/>
          <w:lang w:eastAsia="zh-CN"/>
        </w:rPr>
        <w:t>需</w:t>
      </w:r>
      <w:r w:rsidR="00843CCD">
        <w:rPr>
          <w:rFonts w:hint="eastAsia"/>
          <w:lang w:eastAsia="zh-CN"/>
        </w:rPr>
        <w:t>在</w:t>
      </w:r>
      <w:r w:rsidR="00843CCD">
        <w:rPr>
          <w:rFonts w:hint="eastAsia"/>
          <w:lang w:eastAsia="zh-CN"/>
        </w:rPr>
        <w:t>2018</w:t>
      </w:r>
      <w:r w:rsidR="00843CCD">
        <w:rPr>
          <w:rFonts w:hint="eastAsia"/>
          <w:lang w:eastAsia="zh-CN"/>
        </w:rPr>
        <w:t>年</w:t>
      </w:r>
      <w:r w:rsidR="00843CCD">
        <w:rPr>
          <w:rFonts w:hint="eastAsia"/>
          <w:lang w:eastAsia="zh-CN"/>
        </w:rPr>
        <w:t>10</w:t>
      </w:r>
      <w:r w:rsidR="00AE4661">
        <w:rPr>
          <w:rFonts w:hint="eastAsia"/>
          <w:lang w:eastAsia="zh-CN"/>
        </w:rPr>
        <w:t>月</w:t>
      </w:r>
      <w:r w:rsidR="00843CCD">
        <w:rPr>
          <w:rFonts w:hint="eastAsia"/>
          <w:lang w:eastAsia="zh-CN"/>
        </w:rPr>
        <w:t>底前以综合形式提交</w:t>
      </w:r>
      <w:r w:rsidR="00AE4661">
        <w:rPr>
          <w:rFonts w:hint="eastAsia"/>
          <w:lang w:eastAsia="zh-CN"/>
        </w:rPr>
        <w:t>，以便</w:t>
      </w:r>
      <w:r w:rsidR="00843CCD">
        <w:rPr>
          <w:rFonts w:hint="eastAsia"/>
          <w:lang w:eastAsia="zh-CN"/>
        </w:rPr>
        <w:t>纳入详细设计。</w:t>
      </w:r>
      <w:bookmarkEnd w:id="34"/>
      <w:r w:rsidRPr="00981FAB">
        <w:rPr>
          <w:lang w:eastAsia="zh-CN"/>
        </w:rPr>
        <w:t xml:space="preserve"> </w:t>
      </w:r>
    </w:p>
    <w:p w:rsidR="005B2BCB" w:rsidRDefault="005B2BC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28391C" w:rsidRPr="00981FAB" w:rsidRDefault="0028391C" w:rsidP="008D276C">
      <w:pPr>
        <w:rPr>
          <w:lang w:eastAsia="zh-CN"/>
        </w:rPr>
      </w:pPr>
      <w:r w:rsidRPr="00981FAB">
        <w:rPr>
          <w:lang w:eastAsia="zh-CN"/>
        </w:rPr>
        <w:t>4.4</w:t>
      </w:r>
      <w:r w:rsidRPr="00981FAB">
        <w:rPr>
          <w:lang w:eastAsia="zh-CN"/>
        </w:rPr>
        <w:tab/>
      </w:r>
      <w:bookmarkStart w:id="35" w:name="lt_pId086"/>
      <w:r w:rsidR="008D276C" w:rsidRPr="005B2BCB">
        <w:rPr>
          <w:rFonts w:hint="eastAsia"/>
          <w:b/>
          <w:bCs/>
          <w:lang w:eastAsia="zh-CN"/>
        </w:rPr>
        <w:t>其他内部空间：</w:t>
      </w:r>
      <w:bookmarkEnd w:id="35"/>
    </w:p>
    <w:p w:rsidR="0028391C" w:rsidRPr="00981FAB" w:rsidRDefault="0028391C" w:rsidP="008D276C">
      <w:pPr>
        <w:rPr>
          <w:lang w:eastAsia="zh-CN"/>
        </w:rPr>
      </w:pPr>
      <w:bookmarkStart w:id="36" w:name="lt_pId087"/>
      <w:proofErr w:type="spellStart"/>
      <w:r>
        <w:rPr>
          <w:lang w:val="en-US" w:eastAsia="zh-CN"/>
        </w:rPr>
        <w:t>i</w:t>
      </w:r>
      <w:proofErr w:type="spellEnd"/>
      <w:r>
        <w:rPr>
          <w:lang w:val="en-US" w:eastAsia="zh-CN"/>
        </w:rPr>
        <w:t>)</w:t>
      </w:r>
      <w:r>
        <w:rPr>
          <w:lang w:val="en-US" w:eastAsia="zh-CN"/>
        </w:rPr>
        <w:tab/>
      </w:r>
      <w:r w:rsidR="008D276C" w:rsidRPr="00D6577A">
        <w:rPr>
          <w:rFonts w:hint="eastAsia"/>
          <w:b/>
          <w:bCs/>
          <w:lang w:val="en-US" w:eastAsia="zh-CN"/>
        </w:rPr>
        <w:t>代表休息区</w:t>
      </w:r>
      <w:r w:rsidR="008D276C">
        <w:rPr>
          <w:rFonts w:hint="eastAsia"/>
          <w:lang w:val="en-US" w:eastAsia="zh-CN"/>
        </w:rPr>
        <w:t>：与会议室相连的开放区</w:t>
      </w:r>
      <w:bookmarkEnd w:id="36"/>
    </w:p>
    <w:p w:rsidR="0028391C" w:rsidRPr="00981FAB" w:rsidRDefault="0028391C" w:rsidP="00D6577A">
      <w:pPr>
        <w:rPr>
          <w:lang w:eastAsia="zh-CN"/>
        </w:rPr>
      </w:pPr>
      <w:bookmarkStart w:id="37" w:name="lt_pId088"/>
      <w:r>
        <w:rPr>
          <w:lang w:eastAsia="zh-CN"/>
        </w:rPr>
        <w:t>ii)</w:t>
      </w:r>
      <w:r>
        <w:rPr>
          <w:lang w:eastAsia="zh-CN"/>
        </w:rPr>
        <w:tab/>
      </w:r>
      <w:r w:rsidR="007E1DFA" w:rsidRPr="00D6577A">
        <w:rPr>
          <w:rFonts w:hint="eastAsia"/>
          <w:b/>
          <w:bCs/>
          <w:lang w:eastAsia="zh-CN"/>
        </w:rPr>
        <w:t>代表</w:t>
      </w:r>
      <w:r w:rsidR="008D276C" w:rsidRPr="00D6577A">
        <w:rPr>
          <w:rFonts w:hint="eastAsia"/>
          <w:b/>
          <w:bCs/>
          <w:lang w:eastAsia="zh-CN"/>
        </w:rPr>
        <w:t>上</w:t>
      </w:r>
      <w:r w:rsidR="007E1DFA" w:rsidRPr="00D6577A">
        <w:rPr>
          <w:rFonts w:hint="eastAsia"/>
          <w:b/>
          <w:bCs/>
          <w:lang w:eastAsia="zh-CN"/>
        </w:rPr>
        <w:t>网</w:t>
      </w:r>
      <w:r w:rsidR="008D276C" w:rsidRPr="00D6577A">
        <w:rPr>
          <w:rFonts w:hint="eastAsia"/>
          <w:b/>
          <w:bCs/>
          <w:lang w:eastAsia="zh-CN"/>
        </w:rPr>
        <w:t>区</w:t>
      </w:r>
      <w:r w:rsidR="007E1DFA">
        <w:rPr>
          <w:rFonts w:hint="eastAsia"/>
          <w:lang w:eastAsia="zh-CN"/>
        </w:rPr>
        <w:t>：开放</w:t>
      </w:r>
      <w:r w:rsidR="008D276C">
        <w:rPr>
          <w:rFonts w:hint="eastAsia"/>
          <w:lang w:eastAsia="zh-CN"/>
        </w:rPr>
        <w:t>区域。或提供技术设备或装饰</w:t>
      </w:r>
      <w:bookmarkEnd w:id="37"/>
    </w:p>
    <w:p w:rsidR="0028391C" w:rsidRPr="00981FAB" w:rsidRDefault="0028391C" w:rsidP="00AE4661">
      <w:pPr>
        <w:rPr>
          <w:lang w:eastAsia="zh-CN"/>
        </w:rPr>
      </w:pPr>
      <w:bookmarkStart w:id="38" w:name="lt_pId090"/>
      <w:r>
        <w:rPr>
          <w:lang w:eastAsia="zh-CN"/>
        </w:rPr>
        <w:t>iii)</w:t>
      </w:r>
      <w:r>
        <w:rPr>
          <w:lang w:eastAsia="zh-CN"/>
        </w:rPr>
        <w:tab/>
      </w:r>
      <w:r w:rsidR="008D276C" w:rsidRPr="00CA7209">
        <w:rPr>
          <w:rFonts w:hint="eastAsia"/>
          <w:b/>
          <w:bCs/>
          <w:lang w:eastAsia="zh-CN"/>
        </w:rPr>
        <w:t>医务室</w:t>
      </w:r>
      <w:r w:rsidR="007E1DFA">
        <w:rPr>
          <w:rFonts w:hint="eastAsia"/>
          <w:lang w:eastAsia="zh-CN"/>
        </w:rPr>
        <w:t>：</w:t>
      </w:r>
      <w:r w:rsidR="00AE4661">
        <w:rPr>
          <w:rFonts w:hint="eastAsia"/>
          <w:lang w:eastAsia="zh-CN"/>
        </w:rPr>
        <w:t>150</w:t>
      </w:r>
      <w:r w:rsidR="00AE4661">
        <w:rPr>
          <w:rFonts w:hint="eastAsia"/>
          <w:lang w:eastAsia="zh-CN"/>
        </w:rPr>
        <w:t>平方米</w:t>
      </w:r>
      <w:r w:rsidR="00AE4661">
        <w:rPr>
          <w:lang w:eastAsia="zh-CN"/>
        </w:rPr>
        <w:t>，包括</w:t>
      </w:r>
      <w:r w:rsidR="00AE4661">
        <w:rPr>
          <w:rFonts w:hint="eastAsia"/>
          <w:lang w:eastAsia="zh-CN"/>
        </w:rPr>
        <w:t>各种</w:t>
      </w:r>
      <w:r w:rsidR="00AE4661">
        <w:rPr>
          <w:lang w:eastAsia="zh-CN"/>
        </w:rPr>
        <w:t>用途的</w:t>
      </w:r>
      <w:r w:rsidR="007E1DFA">
        <w:rPr>
          <w:rFonts w:hint="eastAsia"/>
          <w:lang w:eastAsia="zh-CN"/>
        </w:rPr>
        <w:t>房间</w:t>
      </w:r>
      <w:bookmarkEnd w:id="38"/>
      <w:r w:rsidR="00AE4661">
        <w:rPr>
          <w:rFonts w:hint="eastAsia"/>
          <w:lang w:eastAsia="zh-CN"/>
        </w:rPr>
        <w:t>（含</w:t>
      </w:r>
      <w:r w:rsidR="00AE4661">
        <w:rPr>
          <w:lang w:eastAsia="zh-CN"/>
        </w:rPr>
        <w:t>哺乳间</w:t>
      </w:r>
      <w:r w:rsidR="00AE4661">
        <w:rPr>
          <w:rFonts w:hint="eastAsia"/>
          <w:lang w:eastAsia="zh-CN"/>
        </w:rPr>
        <w:t>）</w:t>
      </w:r>
    </w:p>
    <w:p w:rsidR="0028391C" w:rsidRPr="00981FAB" w:rsidRDefault="0028391C" w:rsidP="00AE4661">
      <w:pPr>
        <w:rPr>
          <w:lang w:eastAsia="zh-CN"/>
        </w:rPr>
      </w:pPr>
      <w:bookmarkStart w:id="39" w:name="lt_pId091"/>
      <w:proofErr w:type="gramStart"/>
      <w:r>
        <w:rPr>
          <w:lang w:eastAsia="zh-CN"/>
        </w:rPr>
        <w:t>iv)</w:t>
      </w:r>
      <w:r>
        <w:rPr>
          <w:lang w:eastAsia="zh-CN"/>
        </w:rPr>
        <w:tab/>
      </w:r>
      <w:r w:rsidR="007E1DFA" w:rsidRPr="00CA7209">
        <w:rPr>
          <w:rFonts w:hint="eastAsia"/>
          <w:b/>
          <w:bCs/>
          <w:lang w:eastAsia="zh-CN"/>
        </w:rPr>
        <w:t>体操</w:t>
      </w:r>
      <w:r w:rsidR="007E1DFA" w:rsidRPr="00CA7209">
        <w:rPr>
          <w:rFonts w:hint="eastAsia"/>
          <w:b/>
          <w:bCs/>
          <w:lang w:eastAsia="zh-CN"/>
        </w:rPr>
        <w:t>/</w:t>
      </w:r>
      <w:r w:rsidR="007E1DFA" w:rsidRPr="00CA7209">
        <w:rPr>
          <w:rFonts w:hint="eastAsia"/>
          <w:b/>
          <w:bCs/>
          <w:lang w:eastAsia="zh-CN"/>
        </w:rPr>
        <w:t>舞蹈</w:t>
      </w:r>
      <w:r w:rsidR="007E1DFA" w:rsidRPr="00CA7209">
        <w:rPr>
          <w:rFonts w:hint="eastAsia"/>
          <w:b/>
          <w:bCs/>
          <w:lang w:eastAsia="zh-CN"/>
        </w:rPr>
        <w:t>/</w:t>
      </w:r>
      <w:r w:rsidR="00AE4661" w:rsidRPr="00CA7209">
        <w:rPr>
          <w:rFonts w:hint="eastAsia"/>
          <w:b/>
          <w:bCs/>
          <w:lang w:eastAsia="zh-CN"/>
        </w:rPr>
        <w:t>运动厅</w:t>
      </w:r>
      <w:r w:rsidR="007E1DFA">
        <w:rPr>
          <w:rFonts w:hint="eastAsia"/>
          <w:lang w:eastAsia="zh-CN"/>
        </w:rPr>
        <w:t>：</w:t>
      </w:r>
      <w:r w:rsidRPr="00981FAB">
        <w:rPr>
          <w:lang w:eastAsia="zh-CN"/>
        </w:rPr>
        <w:t>100</w:t>
      </w:r>
      <w:bookmarkEnd w:id="39"/>
      <w:r w:rsidR="00843CCD">
        <w:rPr>
          <w:rFonts w:hint="eastAsia"/>
          <w:lang w:eastAsia="zh-CN"/>
        </w:rPr>
        <w:t>平</w:t>
      </w:r>
      <w:r w:rsidR="00AE4661">
        <w:rPr>
          <w:rFonts w:hint="eastAsia"/>
          <w:lang w:eastAsia="zh-CN"/>
        </w:rPr>
        <w:t>方</w:t>
      </w:r>
      <w:r w:rsidR="00843CCD">
        <w:rPr>
          <w:rFonts w:hint="eastAsia"/>
          <w:lang w:eastAsia="zh-CN"/>
        </w:rPr>
        <w:t>米</w:t>
      </w:r>
      <w:proofErr w:type="gramEnd"/>
    </w:p>
    <w:p w:rsidR="0028391C" w:rsidRPr="00981FAB" w:rsidRDefault="0028391C" w:rsidP="00843CCD">
      <w:pPr>
        <w:rPr>
          <w:lang w:eastAsia="zh-CN"/>
        </w:rPr>
      </w:pPr>
      <w:bookmarkStart w:id="40" w:name="lt_pId092"/>
      <w:r>
        <w:rPr>
          <w:lang w:eastAsia="zh-CN"/>
        </w:rPr>
        <w:t>v)</w:t>
      </w:r>
      <w:r>
        <w:rPr>
          <w:lang w:eastAsia="zh-CN"/>
        </w:rPr>
        <w:tab/>
      </w:r>
      <w:r w:rsidR="007E1DFA" w:rsidRPr="00CA7209">
        <w:rPr>
          <w:rFonts w:hint="eastAsia"/>
          <w:b/>
          <w:bCs/>
          <w:lang w:eastAsia="zh-CN"/>
        </w:rPr>
        <w:t>音乐室</w:t>
      </w:r>
      <w:r w:rsidR="007E1DFA">
        <w:rPr>
          <w:rFonts w:hint="eastAsia"/>
          <w:lang w:eastAsia="zh-CN"/>
        </w:rPr>
        <w:t>：</w:t>
      </w:r>
      <w:r w:rsidR="00CA7209">
        <w:rPr>
          <w:lang w:eastAsia="zh-CN"/>
        </w:rPr>
        <w:t>30</w:t>
      </w:r>
      <w:r w:rsidR="00843CCD">
        <w:rPr>
          <w:rFonts w:hint="eastAsia"/>
          <w:lang w:eastAsia="zh-CN"/>
        </w:rPr>
        <w:t>平</w:t>
      </w:r>
      <w:r w:rsidR="00AE4661">
        <w:rPr>
          <w:rFonts w:hint="eastAsia"/>
          <w:lang w:eastAsia="zh-CN"/>
        </w:rPr>
        <w:t>方</w:t>
      </w:r>
      <w:r w:rsidR="00843CCD">
        <w:rPr>
          <w:rFonts w:hint="eastAsia"/>
          <w:lang w:eastAsia="zh-CN"/>
        </w:rPr>
        <w:t>米；</w:t>
      </w:r>
      <w:r w:rsidRPr="00981FAB">
        <w:rPr>
          <w:lang w:eastAsia="zh-CN"/>
        </w:rPr>
        <w:t>30</w:t>
      </w:r>
      <w:r w:rsidR="00843CCD">
        <w:rPr>
          <w:rFonts w:hint="eastAsia"/>
          <w:lang w:eastAsia="zh-CN"/>
        </w:rPr>
        <w:t>平</w:t>
      </w:r>
      <w:r w:rsidR="00AE4661">
        <w:rPr>
          <w:rFonts w:hint="eastAsia"/>
          <w:lang w:eastAsia="zh-CN"/>
        </w:rPr>
        <w:t>方</w:t>
      </w:r>
      <w:r w:rsidR="00843CCD">
        <w:rPr>
          <w:rFonts w:hint="eastAsia"/>
          <w:lang w:eastAsia="zh-CN"/>
        </w:rPr>
        <w:t>米</w:t>
      </w:r>
      <w:bookmarkEnd w:id="40"/>
    </w:p>
    <w:p w:rsidR="0028391C" w:rsidRPr="00981FAB" w:rsidRDefault="0028391C" w:rsidP="00AE4661">
      <w:pPr>
        <w:rPr>
          <w:lang w:eastAsia="zh-CN"/>
        </w:rPr>
      </w:pPr>
      <w:bookmarkStart w:id="41" w:name="lt_pId093"/>
      <w:r>
        <w:rPr>
          <w:lang w:eastAsia="zh-CN"/>
        </w:rPr>
        <w:t>vi)</w:t>
      </w:r>
      <w:r>
        <w:rPr>
          <w:lang w:eastAsia="zh-CN"/>
        </w:rPr>
        <w:tab/>
      </w:r>
      <w:r w:rsidR="007E1DFA" w:rsidRPr="00CA7209">
        <w:rPr>
          <w:rFonts w:hint="eastAsia"/>
          <w:b/>
          <w:bCs/>
          <w:lang w:eastAsia="zh-CN"/>
        </w:rPr>
        <w:t>休息</w:t>
      </w:r>
      <w:r w:rsidR="00AE4661" w:rsidRPr="00CA7209">
        <w:rPr>
          <w:rFonts w:hint="eastAsia"/>
          <w:b/>
          <w:bCs/>
          <w:lang w:eastAsia="zh-CN"/>
        </w:rPr>
        <w:t>间</w:t>
      </w:r>
      <w:r w:rsidR="007E1DFA">
        <w:rPr>
          <w:rFonts w:hint="eastAsia"/>
          <w:lang w:eastAsia="zh-CN"/>
        </w:rPr>
        <w:t>：</w:t>
      </w:r>
      <w:r w:rsidRPr="00981FAB">
        <w:rPr>
          <w:lang w:eastAsia="zh-CN"/>
        </w:rPr>
        <w:t>13</w:t>
      </w:r>
      <w:r w:rsidR="00843CCD">
        <w:rPr>
          <w:rFonts w:hint="eastAsia"/>
          <w:lang w:eastAsia="zh-CN"/>
        </w:rPr>
        <w:t>平</w:t>
      </w:r>
      <w:r w:rsidR="00AE4661">
        <w:rPr>
          <w:rFonts w:hint="eastAsia"/>
          <w:lang w:eastAsia="zh-CN"/>
        </w:rPr>
        <w:t>方</w:t>
      </w:r>
      <w:r w:rsidR="00843CCD">
        <w:rPr>
          <w:rFonts w:hint="eastAsia"/>
          <w:lang w:eastAsia="zh-CN"/>
        </w:rPr>
        <w:t>米</w:t>
      </w:r>
      <w:bookmarkEnd w:id="41"/>
    </w:p>
    <w:p w:rsidR="0028391C" w:rsidRPr="00981FAB" w:rsidRDefault="0028391C" w:rsidP="00843CCD">
      <w:pPr>
        <w:rPr>
          <w:lang w:eastAsia="zh-CN"/>
        </w:rPr>
      </w:pPr>
      <w:bookmarkStart w:id="42" w:name="lt_pId094"/>
      <w:r>
        <w:rPr>
          <w:lang w:eastAsia="zh-CN"/>
        </w:rPr>
        <w:t>vii)</w:t>
      </w:r>
      <w:r>
        <w:rPr>
          <w:lang w:eastAsia="zh-CN"/>
        </w:rPr>
        <w:tab/>
      </w:r>
      <w:r w:rsidR="007E1DFA" w:rsidRPr="00CA7209">
        <w:rPr>
          <w:rFonts w:hint="eastAsia"/>
          <w:b/>
          <w:bCs/>
          <w:lang w:eastAsia="zh-CN"/>
        </w:rPr>
        <w:t>咖啡厅</w:t>
      </w:r>
      <w:r w:rsidR="008D276C">
        <w:rPr>
          <w:rFonts w:hint="eastAsia"/>
          <w:lang w:eastAsia="zh-CN"/>
        </w:rPr>
        <w:t>：</w:t>
      </w:r>
      <w:r w:rsidR="005B2BCB">
        <w:rPr>
          <w:lang w:eastAsia="zh-CN"/>
        </w:rPr>
        <w:t>1000</w:t>
      </w:r>
      <w:r w:rsidR="00843CCD">
        <w:rPr>
          <w:rFonts w:hint="eastAsia"/>
          <w:lang w:eastAsia="zh-CN"/>
        </w:rPr>
        <w:t>平</w:t>
      </w:r>
      <w:r w:rsidR="00AE4661">
        <w:rPr>
          <w:rFonts w:hint="eastAsia"/>
          <w:lang w:eastAsia="zh-CN"/>
        </w:rPr>
        <w:t>方</w:t>
      </w:r>
      <w:r w:rsidR="00843CCD">
        <w:rPr>
          <w:rFonts w:hint="eastAsia"/>
          <w:lang w:eastAsia="zh-CN"/>
        </w:rPr>
        <w:t>米</w:t>
      </w:r>
      <w:bookmarkEnd w:id="42"/>
    </w:p>
    <w:p w:rsidR="0028391C" w:rsidRPr="00981FAB" w:rsidRDefault="0028391C" w:rsidP="00843CCD">
      <w:pPr>
        <w:rPr>
          <w:lang w:eastAsia="zh-CN"/>
        </w:rPr>
      </w:pPr>
      <w:bookmarkStart w:id="43" w:name="lt_pId095"/>
      <w:r>
        <w:rPr>
          <w:lang w:eastAsia="zh-CN"/>
        </w:rPr>
        <w:t>viii)</w:t>
      </w:r>
      <w:r>
        <w:rPr>
          <w:lang w:eastAsia="zh-CN"/>
        </w:rPr>
        <w:tab/>
      </w:r>
      <w:r w:rsidR="007E1DFA" w:rsidRPr="00CA7209">
        <w:rPr>
          <w:rFonts w:hint="eastAsia"/>
          <w:b/>
          <w:bCs/>
          <w:lang w:eastAsia="zh-CN"/>
        </w:rPr>
        <w:t>贵宾餐厅</w:t>
      </w:r>
      <w:r w:rsidR="007E1DFA">
        <w:rPr>
          <w:rFonts w:hint="eastAsia"/>
          <w:lang w:eastAsia="zh-CN"/>
        </w:rPr>
        <w:t>：</w:t>
      </w:r>
      <w:r w:rsidR="005B2BCB">
        <w:rPr>
          <w:lang w:eastAsia="zh-CN"/>
        </w:rPr>
        <w:t>100</w:t>
      </w:r>
      <w:r w:rsidR="00843CCD">
        <w:rPr>
          <w:rFonts w:hint="eastAsia"/>
          <w:lang w:eastAsia="zh-CN"/>
        </w:rPr>
        <w:t>平</w:t>
      </w:r>
      <w:r w:rsidR="00AE4661">
        <w:rPr>
          <w:rFonts w:hint="eastAsia"/>
          <w:lang w:eastAsia="zh-CN"/>
        </w:rPr>
        <w:t>方</w:t>
      </w:r>
      <w:r w:rsidR="00843CCD">
        <w:rPr>
          <w:rFonts w:hint="eastAsia"/>
          <w:lang w:eastAsia="zh-CN"/>
        </w:rPr>
        <w:t>米</w:t>
      </w:r>
      <w:bookmarkEnd w:id="43"/>
    </w:p>
    <w:p w:rsidR="0028391C" w:rsidRPr="00981FAB" w:rsidRDefault="0028391C" w:rsidP="007E1DFA">
      <w:pPr>
        <w:rPr>
          <w:lang w:eastAsia="zh-CN"/>
        </w:rPr>
      </w:pPr>
      <w:bookmarkStart w:id="44" w:name="lt_pId096"/>
      <w:r>
        <w:rPr>
          <w:lang w:eastAsia="zh-CN"/>
        </w:rPr>
        <w:t>ix)</w:t>
      </w:r>
      <w:r>
        <w:rPr>
          <w:lang w:eastAsia="zh-CN"/>
        </w:rPr>
        <w:tab/>
      </w:r>
      <w:r w:rsidR="007E1DFA" w:rsidRPr="00CA7209">
        <w:rPr>
          <w:rFonts w:hint="eastAsia"/>
          <w:b/>
          <w:bCs/>
          <w:lang w:eastAsia="zh-CN"/>
        </w:rPr>
        <w:t>业余无线电室</w:t>
      </w:r>
      <w:r w:rsidR="007E1DFA">
        <w:rPr>
          <w:rFonts w:hint="eastAsia"/>
          <w:lang w:eastAsia="zh-CN"/>
        </w:rPr>
        <w:t>（</w:t>
      </w:r>
      <w:r w:rsidR="007E1DFA">
        <w:rPr>
          <w:rFonts w:hint="eastAsia"/>
          <w:lang w:eastAsia="zh-CN"/>
        </w:rPr>
        <w:t>4U</w:t>
      </w:r>
      <w:r w:rsidR="007E1DFA">
        <w:rPr>
          <w:lang w:eastAsia="zh-CN"/>
        </w:rPr>
        <w:t>1ITU</w:t>
      </w:r>
      <w:r w:rsidR="007E1DFA">
        <w:rPr>
          <w:rFonts w:hint="eastAsia"/>
          <w:lang w:eastAsia="zh-CN"/>
        </w:rPr>
        <w:t>电台）：装饰和技术设备。</w:t>
      </w:r>
      <w:bookmarkEnd w:id="44"/>
    </w:p>
    <w:p w:rsidR="0028391C" w:rsidRPr="00981FAB" w:rsidRDefault="0028391C" w:rsidP="007E1DFA">
      <w:pPr>
        <w:rPr>
          <w:lang w:eastAsia="zh-CN"/>
        </w:rPr>
      </w:pPr>
      <w:r w:rsidRPr="00981FAB">
        <w:rPr>
          <w:lang w:eastAsia="zh-CN"/>
        </w:rPr>
        <w:t>4.5</w:t>
      </w:r>
      <w:r w:rsidRPr="00981FAB">
        <w:rPr>
          <w:lang w:eastAsia="zh-CN"/>
        </w:rPr>
        <w:tab/>
      </w:r>
      <w:bookmarkStart w:id="45" w:name="lt_pId098"/>
      <w:r w:rsidR="007E1DFA" w:rsidRPr="005B2BCB">
        <w:rPr>
          <w:rFonts w:hint="eastAsia"/>
          <w:b/>
          <w:bCs/>
          <w:lang w:eastAsia="zh-CN"/>
        </w:rPr>
        <w:t>外部空间，包括庭院花园</w:t>
      </w:r>
      <w:bookmarkEnd w:id="45"/>
      <w:r w:rsidR="007E1DFA" w:rsidRPr="005B2BCB">
        <w:rPr>
          <w:rFonts w:hint="eastAsia"/>
          <w:b/>
          <w:bCs/>
          <w:lang w:eastAsia="zh-CN"/>
        </w:rPr>
        <w:t>。</w:t>
      </w:r>
    </w:p>
    <w:p w:rsidR="0028391C" w:rsidRDefault="0028391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F77BEC" w:rsidRDefault="00F77BEC" w:rsidP="0028391C">
      <w:pPr>
        <w:pStyle w:val="AnnexNo"/>
        <w:rPr>
          <w:lang w:eastAsia="zh-CN"/>
        </w:rPr>
      </w:pPr>
      <w:bookmarkStart w:id="46" w:name="Annex1"/>
      <w:r>
        <w:rPr>
          <w:rFonts w:hint="eastAsia"/>
          <w:lang w:eastAsia="zh-CN"/>
        </w:rPr>
        <w:t>摘自</w:t>
      </w:r>
      <w:r>
        <w:rPr>
          <w:rFonts w:hint="eastAsia"/>
          <w:lang w:eastAsia="zh-CN"/>
        </w:rPr>
        <w:t>C17/67</w:t>
      </w:r>
      <w:r>
        <w:rPr>
          <w:rFonts w:hint="eastAsia"/>
          <w:lang w:eastAsia="zh-CN"/>
        </w:rPr>
        <w:t>号</w:t>
      </w:r>
      <w:r>
        <w:rPr>
          <w:lang w:eastAsia="zh-CN"/>
        </w:rPr>
        <w:t>文件</w:t>
      </w:r>
    </w:p>
    <w:p w:rsidR="0028391C" w:rsidRPr="00002F72" w:rsidRDefault="0028391C" w:rsidP="0028391C">
      <w:pPr>
        <w:pStyle w:val="AnnexNo"/>
        <w:rPr>
          <w:lang w:eastAsia="zh-CN"/>
        </w:rPr>
      </w:pPr>
      <w:r>
        <w:rPr>
          <w:rFonts w:hint="eastAsia"/>
          <w:lang w:eastAsia="zh-CN"/>
        </w:rPr>
        <w:t>附件</w:t>
      </w:r>
      <w:r w:rsidRPr="00002F72">
        <w:rPr>
          <w:lang w:eastAsia="zh-CN"/>
        </w:rPr>
        <w:t>1</w:t>
      </w:r>
      <w:bookmarkEnd w:id="46"/>
    </w:p>
    <w:p w:rsidR="0028391C" w:rsidRPr="00002F72" w:rsidRDefault="0028391C" w:rsidP="0028391C">
      <w:pPr>
        <w:pStyle w:val="Annextitle"/>
        <w:rPr>
          <w:lang w:eastAsia="zh-CN"/>
        </w:rPr>
      </w:pPr>
      <w:r>
        <w:rPr>
          <w:lang w:eastAsia="zh-CN"/>
        </w:rPr>
        <w:t>提案</w:t>
      </w:r>
      <w:r>
        <w:rPr>
          <w:rFonts w:hint="eastAsia"/>
          <w:lang w:eastAsia="zh-CN"/>
        </w:rPr>
        <w:t>：</w:t>
      </w:r>
      <w:r w:rsidR="00102B8B">
        <w:rPr>
          <w:rFonts w:hint="eastAsia"/>
          <w:lang w:eastAsia="zh-CN"/>
        </w:rPr>
        <w:t>资源筹措</w:t>
      </w:r>
      <w:r>
        <w:rPr>
          <w:lang w:eastAsia="zh-CN"/>
        </w:rPr>
        <w:t>原则</w:t>
      </w:r>
    </w:p>
    <w:p w:rsidR="0028391C" w:rsidRPr="002E2B4B" w:rsidRDefault="0028391C" w:rsidP="00F77BEC">
      <w:pPr>
        <w:rPr>
          <w:rFonts w:asciiTheme="minorHAnsi" w:hAnsiTheme="minorHAnsi" w:cstheme="majorBidi"/>
          <w:lang w:eastAsia="zh-CN"/>
        </w:rPr>
      </w:pPr>
      <w:r w:rsidRPr="004A7212">
        <w:rPr>
          <w:rFonts w:hint="eastAsia"/>
          <w:lang w:eastAsia="zh-CN"/>
        </w:rPr>
        <w:t>1</w:t>
      </w:r>
      <w:r w:rsidRPr="004A7212">
        <w:rPr>
          <w:rFonts w:hint="eastAsia"/>
          <w:lang w:eastAsia="zh-CN"/>
        </w:rPr>
        <w:tab/>
      </w:r>
      <w:r>
        <w:rPr>
          <w:rFonts w:hint="eastAsia"/>
          <w:u w:val="single"/>
          <w:lang w:eastAsia="zh-CN"/>
        </w:rPr>
        <w:t>确</w:t>
      </w:r>
      <w:r w:rsidRPr="00926A7D">
        <w:rPr>
          <w:rFonts w:hint="eastAsia"/>
          <w:u w:val="single"/>
          <w:lang w:eastAsia="zh-CN"/>
        </w:rPr>
        <w:t>定范围</w:t>
      </w:r>
      <w:r w:rsidRPr="004A7212">
        <w:rPr>
          <w:rFonts w:hint="eastAsia"/>
          <w:lang w:eastAsia="zh-CN"/>
        </w:rPr>
        <w:t>：</w:t>
      </w:r>
      <w:r>
        <w:rPr>
          <w:rFonts w:asciiTheme="minorEastAsia" w:eastAsiaTheme="minorEastAsia" w:hAnsiTheme="minorEastAsia" w:cstheme="majorBidi" w:hint="eastAsia"/>
          <w:lang w:eastAsia="zh-CN"/>
        </w:rPr>
        <w:t>与</w:t>
      </w:r>
      <w:r>
        <w:rPr>
          <w:rFonts w:asciiTheme="minorHAnsi" w:hAnsiTheme="minorHAnsi" w:cstheme="majorBidi" w:hint="eastAsia"/>
          <w:lang w:eastAsia="zh-CN"/>
        </w:rPr>
        <w:t>国际电联相关</w:t>
      </w:r>
      <w:r w:rsidRPr="00926A7D">
        <w:rPr>
          <w:rFonts w:hint="eastAsia"/>
          <w:lang w:eastAsia="zh-CN"/>
        </w:rPr>
        <w:t>的</w:t>
      </w:r>
      <w:r>
        <w:rPr>
          <w:rFonts w:asciiTheme="minorEastAsia" w:eastAsiaTheme="minorEastAsia" w:hAnsiTheme="minorEastAsia" w:cs="Calibri" w:hint="eastAsia"/>
          <w:lang w:eastAsia="zh-CN"/>
        </w:rPr>
        <w:t>“</w:t>
      </w:r>
      <w:r w:rsidR="00102B8B">
        <w:rPr>
          <w:rFonts w:hint="eastAsia"/>
          <w:lang w:eastAsia="zh-CN"/>
        </w:rPr>
        <w:t>资源筹措</w:t>
      </w:r>
      <w:r>
        <w:rPr>
          <w:rFonts w:asciiTheme="minorEastAsia" w:eastAsiaTheme="minorEastAsia" w:hAnsiTheme="minorEastAsia" w:cs="Calibri" w:hint="eastAsia"/>
          <w:lang w:eastAsia="zh-CN"/>
        </w:rPr>
        <w:t>”</w:t>
      </w:r>
      <w:r w:rsidR="00F77BEC">
        <w:rPr>
          <w:rFonts w:asciiTheme="minorEastAsia" w:eastAsiaTheme="minorEastAsia" w:hAnsiTheme="minorEastAsia" w:cs="Calibri" w:hint="eastAsia"/>
          <w:lang w:eastAsia="zh-CN"/>
        </w:rPr>
        <w:t>系指</w:t>
      </w:r>
      <w:r w:rsidRPr="00926A7D">
        <w:rPr>
          <w:rFonts w:hint="eastAsia"/>
          <w:lang w:eastAsia="zh-CN"/>
        </w:rPr>
        <w:t>所有形式的收入</w:t>
      </w:r>
      <w:r>
        <w:rPr>
          <w:rFonts w:hint="eastAsia"/>
          <w:lang w:eastAsia="zh-CN"/>
        </w:rPr>
        <w:t>筹措</w:t>
      </w:r>
      <w:r w:rsidRPr="00926A7D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既</w:t>
      </w:r>
      <w:r w:rsidRPr="00926A7D">
        <w:rPr>
          <w:rFonts w:hint="eastAsia"/>
          <w:lang w:eastAsia="zh-CN"/>
        </w:rPr>
        <w:t>包括</w:t>
      </w:r>
      <w:r>
        <w:rPr>
          <w:rFonts w:hint="eastAsia"/>
          <w:lang w:eastAsia="zh-CN"/>
        </w:rPr>
        <w:t>正常</w:t>
      </w:r>
      <w:r w:rsidRPr="00926A7D">
        <w:rPr>
          <w:rFonts w:hint="eastAsia"/>
          <w:lang w:eastAsia="zh-CN"/>
        </w:rPr>
        <w:t>预算收入</w:t>
      </w:r>
      <w:r>
        <w:rPr>
          <w:rFonts w:hint="eastAsia"/>
          <w:lang w:eastAsia="zh-CN"/>
        </w:rPr>
        <w:t>，也包括</w:t>
      </w:r>
      <w:r w:rsidRPr="00926A7D">
        <w:rPr>
          <w:rFonts w:hint="eastAsia"/>
          <w:lang w:eastAsia="zh-CN"/>
        </w:rPr>
        <w:t>预算外</w:t>
      </w:r>
      <w:r>
        <w:rPr>
          <w:rFonts w:hint="eastAsia"/>
          <w:lang w:eastAsia="zh-CN"/>
        </w:rPr>
        <w:t>捐款</w:t>
      </w:r>
      <w:r w:rsidRPr="00926A7D">
        <w:rPr>
          <w:rFonts w:hint="eastAsia"/>
          <w:lang w:eastAsia="zh-CN"/>
        </w:rPr>
        <w:t>。</w:t>
      </w:r>
    </w:p>
    <w:p w:rsidR="0028391C" w:rsidRPr="002E2B4B" w:rsidRDefault="0028391C" w:rsidP="00F77BEC">
      <w:pPr>
        <w:rPr>
          <w:rFonts w:asciiTheme="minorHAnsi" w:hAnsiTheme="minorHAnsi" w:cstheme="majorBidi"/>
          <w:lang w:eastAsia="zh-CN"/>
        </w:rPr>
      </w:pPr>
      <w:r>
        <w:rPr>
          <w:rFonts w:asciiTheme="minorHAnsi" w:hAnsiTheme="minorHAnsi" w:cstheme="majorBidi" w:hint="eastAsia"/>
          <w:lang w:eastAsia="zh-CN"/>
        </w:rPr>
        <w:t>2</w:t>
      </w:r>
      <w:r>
        <w:rPr>
          <w:rFonts w:asciiTheme="minorHAnsi" w:hAnsiTheme="minorHAnsi" w:cstheme="majorBidi"/>
          <w:lang w:eastAsia="zh-CN"/>
        </w:rPr>
        <w:tab/>
      </w:r>
      <w:r w:rsidR="00F77BEC">
        <w:rPr>
          <w:rFonts w:asciiTheme="minorHAnsi" w:hAnsiTheme="minorHAnsi" w:cstheme="majorBidi" w:hint="eastAsia"/>
          <w:u w:val="single"/>
          <w:lang w:eastAsia="zh-CN"/>
        </w:rPr>
        <w:t>确</w:t>
      </w:r>
      <w:r>
        <w:rPr>
          <w:rFonts w:asciiTheme="minorHAnsi" w:hAnsiTheme="minorHAnsi" w:cstheme="majorBidi"/>
          <w:u w:val="single"/>
          <w:lang w:eastAsia="zh-CN"/>
        </w:rPr>
        <w:t>定重点</w:t>
      </w:r>
      <w:r w:rsidRPr="004A7212">
        <w:rPr>
          <w:rFonts w:hint="eastAsia"/>
          <w:lang w:eastAsia="zh-CN"/>
        </w:rPr>
        <w:t>：</w:t>
      </w:r>
      <w:r w:rsidRPr="004F1200">
        <w:rPr>
          <w:rFonts w:hint="eastAsia"/>
          <w:lang w:eastAsia="zh-CN"/>
        </w:rPr>
        <w:t>作为国际电联的主要收入来源，</w:t>
      </w:r>
      <w:r>
        <w:rPr>
          <w:rFonts w:hint="eastAsia"/>
          <w:lang w:eastAsia="zh-CN"/>
        </w:rPr>
        <w:t>来自</w:t>
      </w:r>
      <w:r w:rsidR="00F77BEC">
        <w:rPr>
          <w:rFonts w:hint="eastAsia"/>
          <w:lang w:eastAsia="zh-CN"/>
        </w:rPr>
        <w:t>国</w:t>
      </w:r>
      <w:r w:rsidRPr="004F1200">
        <w:rPr>
          <w:rFonts w:hint="eastAsia"/>
          <w:lang w:eastAsia="zh-CN"/>
        </w:rPr>
        <w:t>际电联成员国的</w:t>
      </w:r>
      <w:r w:rsidRPr="00F22E29">
        <w:rPr>
          <w:rFonts w:hint="eastAsia"/>
          <w:lang w:eastAsia="zh-CN"/>
        </w:rPr>
        <w:t>应摊会费</w:t>
      </w:r>
      <w:r>
        <w:rPr>
          <w:rFonts w:hint="eastAsia"/>
          <w:lang w:eastAsia="zh-CN"/>
        </w:rPr>
        <w:t>是</w:t>
      </w:r>
      <w:r w:rsidR="00102B8B">
        <w:rPr>
          <w:rFonts w:hint="eastAsia"/>
          <w:lang w:eastAsia="zh-CN"/>
        </w:rPr>
        <w:t>资源筹措</w:t>
      </w:r>
      <w:r w:rsidRPr="004F1200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重中之重</w:t>
      </w:r>
      <w:r w:rsidRPr="004F1200">
        <w:rPr>
          <w:rFonts w:hint="eastAsia"/>
          <w:lang w:eastAsia="zh-CN"/>
        </w:rPr>
        <w:t>。这些</w:t>
      </w:r>
      <w:r>
        <w:rPr>
          <w:rFonts w:hint="eastAsia"/>
          <w:lang w:eastAsia="zh-CN"/>
        </w:rPr>
        <w:t>会费被用于</w:t>
      </w:r>
      <w:r w:rsidRPr="004F1200">
        <w:rPr>
          <w:rFonts w:hint="eastAsia"/>
          <w:lang w:eastAsia="zh-CN"/>
        </w:rPr>
        <w:t>支持</w:t>
      </w:r>
      <w:r>
        <w:rPr>
          <w:rFonts w:hint="eastAsia"/>
          <w:lang w:eastAsia="zh-CN"/>
        </w:rPr>
        <w:t>一致通过</w:t>
      </w:r>
      <w:r w:rsidRPr="004F1200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《</w:t>
      </w:r>
      <w:r w:rsidRPr="004F1200">
        <w:rPr>
          <w:rFonts w:hint="eastAsia"/>
          <w:lang w:eastAsia="zh-CN"/>
        </w:rPr>
        <w:t>战略</w:t>
      </w:r>
      <w:r>
        <w:rPr>
          <w:rFonts w:hint="eastAsia"/>
          <w:lang w:eastAsia="zh-CN"/>
        </w:rPr>
        <w:t>规</w:t>
      </w:r>
      <w:r w:rsidRPr="004F1200">
        <w:rPr>
          <w:rFonts w:hint="eastAsia"/>
          <w:lang w:eastAsia="zh-CN"/>
        </w:rPr>
        <w:t>划</w:t>
      </w:r>
      <w:r w:rsidR="00F77BEC">
        <w:rPr>
          <w:rFonts w:hint="eastAsia"/>
          <w:lang w:eastAsia="zh-CN"/>
        </w:rPr>
        <w:t>》以及</w:t>
      </w:r>
      <w:r>
        <w:rPr>
          <w:rFonts w:hint="eastAsia"/>
          <w:lang w:eastAsia="zh-CN"/>
        </w:rPr>
        <w:t>利</w:t>
      </w:r>
      <w:r w:rsidRPr="004F1200">
        <w:rPr>
          <w:rFonts w:hint="eastAsia"/>
          <w:lang w:eastAsia="zh-CN"/>
        </w:rPr>
        <w:t>用</w:t>
      </w:r>
      <w:r>
        <w:rPr>
          <w:rFonts w:asciiTheme="minorEastAsia" w:eastAsiaTheme="minorEastAsia" w:hAnsiTheme="minorEastAsia" w:cstheme="majorBidi" w:hint="eastAsia"/>
          <w:lang w:eastAsia="zh-CN"/>
        </w:rPr>
        <w:t>国际电联</w:t>
      </w:r>
      <w:r>
        <w:rPr>
          <w:rFonts w:asciiTheme="minorHAnsi" w:hAnsiTheme="minorHAnsi" w:cstheme="majorBidi" w:hint="eastAsia"/>
          <w:lang w:eastAsia="zh-CN"/>
        </w:rPr>
        <w:t>正常</w:t>
      </w:r>
      <w:r w:rsidRPr="004F1200">
        <w:rPr>
          <w:rFonts w:hint="eastAsia"/>
          <w:lang w:eastAsia="zh-CN"/>
        </w:rPr>
        <w:t>预算</w:t>
      </w:r>
      <w:r w:rsidR="00F77BEC">
        <w:rPr>
          <w:rFonts w:hint="eastAsia"/>
          <w:lang w:eastAsia="zh-CN"/>
        </w:rPr>
        <w:t>、通过</w:t>
      </w:r>
      <w:r>
        <w:rPr>
          <w:rFonts w:hint="eastAsia"/>
          <w:lang w:eastAsia="zh-CN"/>
        </w:rPr>
        <w:t>《</w:t>
      </w:r>
      <w:r w:rsidRPr="00D231CB">
        <w:rPr>
          <w:rFonts w:hint="eastAsia"/>
          <w:lang w:eastAsia="zh-CN"/>
        </w:rPr>
        <w:t>运作规划</w:t>
      </w:r>
      <w:r>
        <w:rPr>
          <w:rFonts w:hint="eastAsia"/>
          <w:lang w:eastAsia="zh-CN"/>
        </w:rPr>
        <w:t>》</w:t>
      </w:r>
      <w:r w:rsidR="00F77BEC">
        <w:rPr>
          <w:rFonts w:hint="eastAsia"/>
          <w:lang w:eastAsia="zh-CN"/>
        </w:rPr>
        <w:t>对其实施</w:t>
      </w:r>
      <w:r w:rsidRPr="004F1200">
        <w:rPr>
          <w:rFonts w:hint="eastAsia"/>
          <w:lang w:eastAsia="zh-CN"/>
        </w:rPr>
        <w:t>。因此，鼓励</w:t>
      </w:r>
      <w:r>
        <w:rPr>
          <w:rFonts w:hint="eastAsia"/>
          <w:lang w:eastAsia="zh-CN"/>
        </w:rPr>
        <w:t>成</w:t>
      </w:r>
      <w:r w:rsidRPr="004F1200">
        <w:rPr>
          <w:rFonts w:hint="eastAsia"/>
          <w:lang w:eastAsia="zh-CN"/>
        </w:rPr>
        <w:t>员国</w:t>
      </w:r>
      <w:r>
        <w:rPr>
          <w:rFonts w:hint="eastAsia"/>
          <w:lang w:eastAsia="zh-CN"/>
        </w:rPr>
        <w:t>在</w:t>
      </w:r>
      <w:r w:rsidRPr="004F1200">
        <w:rPr>
          <w:rFonts w:hint="eastAsia"/>
          <w:lang w:eastAsia="zh-CN"/>
        </w:rPr>
        <w:t>考虑</w:t>
      </w:r>
      <w:r>
        <w:rPr>
          <w:rFonts w:hint="eastAsia"/>
          <w:lang w:eastAsia="zh-CN"/>
        </w:rPr>
        <w:t>为国际电联</w:t>
      </w:r>
      <w:r w:rsidRPr="004D1128">
        <w:rPr>
          <w:rFonts w:hint="eastAsia"/>
          <w:lang w:eastAsia="zh-CN"/>
        </w:rPr>
        <w:t>正常预算</w:t>
      </w:r>
      <w:r>
        <w:rPr>
          <w:rFonts w:hint="eastAsia"/>
          <w:lang w:eastAsia="zh-CN"/>
        </w:rPr>
        <w:t>外活动</w:t>
      </w:r>
      <w:r w:rsidRPr="004F1200">
        <w:rPr>
          <w:rFonts w:hint="eastAsia"/>
          <w:lang w:eastAsia="zh-CN"/>
        </w:rPr>
        <w:t>提供资源之前</w:t>
      </w:r>
      <w:r>
        <w:rPr>
          <w:rFonts w:hint="eastAsia"/>
          <w:lang w:eastAsia="zh-CN"/>
        </w:rPr>
        <w:t>，</w:t>
      </w:r>
      <w:r w:rsidRPr="004F1200">
        <w:rPr>
          <w:rFonts w:hint="eastAsia"/>
          <w:lang w:eastAsia="zh-CN"/>
        </w:rPr>
        <w:t>通过</w:t>
      </w:r>
      <w:r w:rsidR="00F77BEC">
        <w:rPr>
          <w:rFonts w:hint="eastAsia"/>
          <w:lang w:eastAsia="zh-CN"/>
        </w:rPr>
        <w:t>保</w:t>
      </w:r>
      <w:r w:rsidRPr="004F1200">
        <w:rPr>
          <w:rFonts w:hint="eastAsia"/>
          <w:lang w:eastAsia="zh-CN"/>
        </w:rPr>
        <w:t>持或在可能的情况下增加</w:t>
      </w:r>
      <w:r>
        <w:rPr>
          <w:rFonts w:hint="eastAsia"/>
          <w:lang w:eastAsia="zh-CN"/>
        </w:rPr>
        <w:t>会费的方式，</w:t>
      </w:r>
      <w:r w:rsidR="00F77BEC">
        <w:rPr>
          <w:rFonts w:hint="eastAsia"/>
          <w:lang w:eastAsia="zh-CN"/>
        </w:rPr>
        <w:t>优先考虑</w:t>
      </w:r>
      <w:r w:rsidR="00F77BEC">
        <w:rPr>
          <w:lang w:eastAsia="zh-CN"/>
        </w:rPr>
        <w:t>将其</w:t>
      </w:r>
      <w:r w:rsidRPr="00F22E29">
        <w:rPr>
          <w:rFonts w:hint="eastAsia"/>
          <w:lang w:eastAsia="zh-CN"/>
        </w:rPr>
        <w:t>应摊会费</w:t>
      </w:r>
      <w:r w:rsidR="00F77BEC">
        <w:rPr>
          <w:rFonts w:hint="eastAsia"/>
          <w:lang w:eastAsia="zh-CN"/>
        </w:rPr>
        <w:t>作为</w:t>
      </w:r>
      <w:r w:rsidR="00F77BEC">
        <w:rPr>
          <w:lang w:eastAsia="zh-CN"/>
        </w:rPr>
        <w:t>对</w:t>
      </w:r>
      <w:r>
        <w:rPr>
          <w:rFonts w:hint="eastAsia"/>
          <w:lang w:eastAsia="zh-CN"/>
        </w:rPr>
        <w:t>国际电联</w:t>
      </w:r>
      <w:r w:rsidR="00F77BEC">
        <w:rPr>
          <w:rFonts w:hint="eastAsia"/>
          <w:lang w:eastAsia="zh-CN"/>
        </w:rPr>
        <w:t>的</w:t>
      </w:r>
      <w:r w:rsidRPr="004F1200">
        <w:rPr>
          <w:rFonts w:hint="eastAsia"/>
          <w:lang w:eastAsia="zh-CN"/>
        </w:rPr>
        <w:t>主要财</w:t>
      </w:r>
      <w:r>
        <w:rPr>
          <w:rFonts w:hint="eastAsia"/>
          <w:lang w:eastAsia="zh-CN"/>
        </w:rPr>
        <w:t>务</w:t>
      </w:r>
      <w:r w:rsidR="00F77BEC">
        <w:rPr>
          <w:rFonts w:hint="eastAsia"/>
          <w:lang w:eastAsia="zh-CN"/>
        </w:rPr>
        <w:t>支持</w:t>
      </w:r>
      <w:r w:rsidRPr="004F1200">
        <w:rPr>
          <w:rFonts w:hint="eastAsia"/>
          <w:lang w:eastAsia="zh-CN"/>
        </w:rPr>
        <w:t>。为此，秘书处将尽可能鼓励</w:t>
      </w:r>
      <w:r>
        <w:rPr>
          <w:rFonts w:asciiTheme="minorEastAsia" w:eastAsiaTheme="minorEastAsia" w:hAnsiTheme="minorEastAsia" w:cstheme="majorBidi" w:hint="eastAsia"/>
          <w:lang w:eastAsia="zh-CN"/>
        </w:rPr>
        <w:t>国际电联</w:t>
      </w:r>
      <w:r w:rsidRPr="004F1200">
        <w:rPr>
          <w:rFonts w:hint="eastAsia"/>
          <w:lang w:eastAsia="zh-CN"/>
        </w:rPr>
        <w:t>以外的实体提供预算外自愿捐</w:t>
      </w:r>
      <w:r>
        <w:rPr>
          <w:rFonts w:hint="eastAsia"/>
          <w:lang w:eastAsia="zh-CN"/>
        </w:rPr>
        <w:t>款</w:t>
      </w:r>
      <w:r w:rsidRPr="004F1200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作为</w:t>
      </w:r>
      <w:r w:rsidRPr="004F1200">
        <w:rPr>
          <w:rFonts w:hint="eastAsia"/>
          <w:lang w:eastAsia="zh-CN"/>
        </w:rPr>
        <w:t>成员</w:t>
      </w:r>
      <w:r>
        <w:rPr>
          <w:rFonts w:hint="eastAsia"/>
          <w:lang w:eastAsia="zh-CN"/>
        </w:rPr>
        <w:t>所</w:t>
      </w:r>
      <w:r w:rsidR="00F77BEC">
        <w:rPr>
          <w:rFonts w:hint="eastAsia"/>
          <w:lang w:eastAsia="zh-CN"/>
        </w:rPr>
        <w:t>提</w:t>
      </w:r>
      <w:r>
        <w:rPr>
          <w:rFonts w:hint="eastAsia"/>
          <w:lang w:eastAsia="zh-CN"/>
        </w:rPr>
        <w:t>供</w:t>
      </w:r>
      <w:r w:rsidRPr="004F1200">
        <w:rPr>
          <w:rFonts w:hint="eastAsia"/>
          <w:lang w:eastAsia="zh-CN"/>
        </w:rPr>
        <w:t>资源</w:t>
      </w:r>
      <w:r>
        <w:rPr>
          <w:rFonts w:hint="eastAsia"/>
          <w:lang w:eastAsia="zh-CN"/>
        </w:rPr>
        <w:t>的</w:t>
      </w:r>
      <w:r w:rsidRPr="004F1200">
        <w:rPr>
          <w:rFonts w:hint="eastAsia"/>
          <w:lang w:eastAsia="zh-CN"/>
        </w:rPr>
        <w:t>补充。</w:t>
      </w:r>
    </w:p>
    <w:p w:rsidR="0028391C" w:rsidRPr="002E2B4B" w:rsidRDefault="0028391C" w:rsidP="009B7F55">
      <w:pPr>
        <w:rPr>
          <w:rFonts w:asciiTheme="minorHAnsi" w:hAnsiTheme="minorHAnsi" w:cstheme="majorBidi"/>
          <w:lang w:eastAsia="zh-CN"/>
        </w:rPr>
      </w:pPr>
      <w:r>
        <w:rPr>
          <w:rFonts w:asciiTheme="minorHAnsi" w:hAnsiTheme="minorHAnsi" w:cstheme="majorBidi" w:hint="eastAsia"/>
          <w:lang w:eastAsia="zh-CN"/>
        </w:rPr>
        <w:t>3</w:t>
      </w:r>
      <w:r>
        <w:rPr>
          <w:rFonts w:asciiTheme="minorHAnsi" w:hAnsiTheme="minorHAnsi" w:cstheme="majorBidi" w:hint="eastAsia"/>
          <w:lang w:eastAsia="zh-CN"/>
        </w:rPr>
        <w:tab/>
      </w:r>
      <w:r>
        <w:rPr>
          <w:rFonts w:asciiTheme="minorHAnsi" w:hAnsiTheme="minorHAnsi" w:cstheme="majorBidi"/>
          <w:u w:val="single"/>
          <w:lang w:eastAsia="zh-CN"/>
        </w:rPr>
        <w:t>确保透明度</w:t>
      </w:r>
      <w:r w:rsidRPr="004A7212">
        <w:rPr>
          <w:rFonts w:hint="eastAsia"/>
          <w:lang w:eastAsia="zh-CN"/>
        </w:rPr>
        <w:t>：</w:t>
      </w:r>
      <w:r w:rsidRPr="00B8545E">
        <w:rPr>
          <w:rFonts w:hint="eastAsia"/>
          <w:lang w:eastAsia="zh-CN"/>
        </w:rPr>
        <w:t>应</w:t>
      </w:r>
      <w:r>
        <w:rPr>
          <w:rFonts w:hint="eastAsia"/>
          <w:lang w:eastAsia="zh-CN"/>
        </w:rPr>
        <w:t>使所有成</w:t>
      </w:r>
      <w:r w:rsidRPr="00B8545E">
        <w:rPr>
          <w:rFonts w:hint="eastAsia"/>
          <w:lang w:eastAsia="zh-CN"/>
        </w:rPr>
        <w:t>员</w:t>
      </w:r>
      <w:r>
        <w:rPr>
          <w:rFonts w:hint="eastAsia"/>
          <w:lang w:eastAsia="zh-CN"/>
        </w:rPr>
        <w:t>了解</w:t>
      </w:r>
      <w:r>
        <w:rPr>
          <w:rFonts w:asciiTheme="minorEastAsia" w:eastAsiaTheme="minorEastAsia" w:hAnsiTheme="minorEastAsia" w:cstheme="majorBidi" w:hint="eastAsia"/>
          <w:lang w:eastAsia="zh-CN"/>
        </w:rPr>
        <w:t>国际电联</w:t>
      </w:r>
      <w:r>
        <w:rPr>
          <w:rFonts w:hint="eastAsia"/>
          <w:lang w:eastAsia="zh-CN"/>
        </w:rPr>
        <w:t>成</w:t>
      </w:r>
      <w:r w:rsidR="00F77BEC">
        <w:rPr>
          <w:rFonts w:hint="eastAsia"/>
          <w:lang w:eastAsia="zh-CN"/>
        </w:rPr>
        <w:t>员及</w:t>
      </w:r>
      <w:r w:rsidRPr="00B8545E">
        <w:rPr>
          <w:rFonts w:hint="eastAsia"/>
          <w:lang w:eastAsia="zh-CN"/>
        </w:rPr>
        <w:t>其他实体通过</w:t>
      </w:r>
      <w:r w:rsidR="00102B8B">
        <w:rPr>
          <w:rFonts w:hint="eastAsia"/>
          <w:lang w:eastAsia="zh-CN"/>
        </w:rPr>
        <w:t>资源筹措</w:t>
      </w:r>
      <w:r w:rsidRPr="00B8545E">
        <w:rPr>
          <w:rFonts w:hint="eastAsia"/>
          <w:lang w:eastAsia="zh-CN"/>
        </w:rPr>
        <w:t>活动</w:t>
      </w:r>
      <w:r w:rsidR="00F77BEC">
        <w:rPr>
          <w:rFonts w:hint="eastAsia"/>
          <w:lang w:eastAsia="zh-CN"/>
        </w:rPr>
        <w:t>支持</w:t>
      </w:r>
      <w:r w:rsidR="00F77BEC">
        <w:rPr>
          <w:lang w:eastAsia="zh-CN"/>
        </w:rPr>
        <w:t>额外</w:t>
      </w:r>
      <w:r w:rsidRPr="00B8545E">
        <w:rPr>
          <w:rFonts w:hint="eastAsia"/>
          <w:lang w:eastAsia="zh-CN"/>
        </w:rPr>
        <w:t>活动</w:t>
      </w:r>
      <w:r w:rsidR="00F77BEC">
        <w:rPr>
          <w:rFonts w:hint="eastAsia"/>
          <w:lang w:eastAsia="zh-CN"/>
        </w:rPr>
        <w:t>的</w:t>
      </w:r>
      <w:r w:rsidR="00F77BEC">
        <w:rPr>
          <w:lang w:eastAsia="zh-CN"/>
        </w:rPr>
        <w:t>机遇</w:t>
      </w:r>
      <w:r w:rsidRPr="00B8545E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而且</w:t>
      </w:r>
      <w:r w:rsidRPr="00B8545E">
        <w:rPr>
          <w:rFonts w:hint="eastAsia"/>
          <w:lang w:eastAsia="zh-CN"/>
        </w:rPr>
        <w:t>合作伙伴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出资方</w:t>
      </w:r>
      <w:r w:rsidRPr="00B8545E">
        <w:rPr>
          <w:rFonts w:hint="eastAsia"/>
          <w:lang w:eastAsia="zh-CN"/>
        </w:rPr>
        <w:t>的</w:t>
      </w:r>
      <w:r w:rsidR="009B7F55">
        <w:rPr>
          <w:rFonts w:hint="eastAsia"/>
          <w:lang w:eastAsia="zh-CN"/>
        </w:rPr>
        <w:t>权益</w:t>
      </w:r>
      <w:r w:rsidRPr="00B8545E">
        <w:rPr>
          <w:rFonts w:hint="eastAsia"/>
          <w:lang w:eastAsia="zh-CN"/>
        </w:rPr>
        <w:t>应</w:t>
      </w:r>
      <w:r>
        <w:rPr>
          <w:rFonts w:hint="eastAsia"/>
          <w:lang w:eastAsia="zh-CN"/>
        </w:rPr>
        <w:t>当适度</w:t>
      </w:r>
      <w:r w:rsidRPr="00B8545E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并符合国际电联</w:t>
      </w:r>
      <w:r w:rsidRPr="00B8545E">
        <w:rPr>
          <w:rFonts w:hint="eastAsia"/>
          <w:lang w:eastAsia="zh-CN"/>
        </w:rPr>
        <w:t>的规则和程序，包括</w:t>
      </w:r>
      <w:r>
        <w:rPr>
          <w:rFonts w:hint="eastAsia"/>
          <w:lang w:eastAsia="zh-CN"/>
        </w:rPr>
        <w:t>国际电联的</w:t>
      </w:r>
      <w:r w:rsidRPr="00B8545E">
        <w:rPr>
          <w:rFonts w:hint="eastAsia"/>
          <w:lang w:eastAsia="zh-CN"/>
        </w:rPr>
        <w:t>协议和</w:t>
      </w:r>
      <w:r>
        <w:rPr>
          <w:rFonts w:hint="eastAsia"/>
          <w:lang w:eastAsia="zh-CN"/>
        </w:rPr>
        <w:t>惯例</w:t>
      </w:r>
      <w:r w:rsidRPr="00B8545E">
        <w:rPr>
          <w:rFonts w:hint="eastAsia"/>
          <w:lang w:eastAsia="zh-CN"/>
        </w:rPr>
        <w:t>。</w:t>
      </w:r>
    </w:p>
    <w:p w:rsidR="0028391C" w:rsidRPr="002E2B4B" w:rsidRDefault="0028391C" w:rsidP="005B2BCB">
      <w:pPr>
        <w:rPr>
          <w:rFonts w:asciiTheme="minorHAnsi" w:hAnsiTheme="minorHAnsi" w:cstheme="majorBidi"/>
          <w:lang w:eastAsia="zh-CN"/>
        </w:rPr>
      </w:pPr>
      <w:r>
        <w:rPr>
          <w:rFonts w:asciiTheme="minorHAnsi" w:hAnsiTheme="minorHAnsi" w:cstheme="majorBidi" w:hint="eastAsia"/>
          <w:lang w:eastAsia="zh-CN"/>
        </w:rPr>
        <w:t>4</w:t>
      </w:r>
      <w:r>
        <w:rPr>
          <w:rFonts w:asciiTheme="minorHAnsi" w:hAnsiTheme="minorHAnsi" w:cstheme="majorBidi" w:hint="eastAsia"/>
          <w:lang w:eastAsia="zh-CN"/>
        </w:rPr>
        <w:tab/>
      </w:r>
      <w:r w:rsidRPr="003E3A83">
        <w:rPr>
          <w:rFonts w:asciiTheme="minorHAnsi" w:hAnsiTheme="minorHAnsi" w:cstheme="majorBidi" w:hint="eastAsia"/>
          <w:u w:val="single"/>
          <w:lang w:eastAsia="zh-CN"/>
        </w:rPr>
        <w:t>恪守</w:t>
      </w:r>
      <w:r>
        <w:rPr>
          <w:rFonts w:asciiTheme="minorHAnsi" w:hAnsiTheme="minorHAnsi" w:cstheme="majorBidi"/>
          <w:u w:val="single"/>
          <w:lang w:eastAsia="zh-CN"/>
        </w:rPr>
        <w:t>联合国原则</w:t>
      </w:r>
      <w:r w:rsidRPr="004A7212">
        <w:rPr>
          <w:rFonts w:hint="eastAsia"/>
          <w:lang w:eastAsia="zh-CN"/>
        </w:rPr>
        <w:t>：</w:t>
      </w:r>
      <w:r w:rsidRPr="00DF246A">
        <w:rPr>
          <w:rFonts w:hint="eastAsia"/>
          <w:bCs/>
          <w:lang w:eastAsia="zh-CN"/>
        </w:rPr>
        <w:t>国际电联将接受</w:t>
      </w:r>
      <w:r w:rsidR="009B7F55">
        <w:rPr>
          <w:rFonts w:hint="eastAsia"/>
          <w:bCs/>
          <w:lang w:eastAsia="zh-CN"/>
        </w:rPr>
        <w:t>那些</w:t>
      </w:r>
      <w:r w:rsidRPr="00DF246A">
        <w:rPr>
          <w:rFonts w:hint="eastAsia"/>
          <w:bCs/>
          <w:lang w:eastAsia="zh-CN"/>
        </w:rPr>
        <w:t>行为符合人权、劳工、环境和反腐</w:t>
      </w:r>
      <w:r>
        <w:rPr>
          <w:rFonts w:hint="eastAsia"/>
          <w:bCs/>
          <w:lang w:eastAsia="zh-CN"/>
        </w:rPr>
        <w:t>等</w:t>
      </w:r>
      <w:hyperlink r:id="rId9" w:history="1">
        <w:r w:rsidR="005B2BCB">
          <w:rPr>
            <w:rStyle w:val="Hyperlink"/>
            <w:rFonts w:cstheme="majorBidi" w:hint="eastAsia"/>
            <w:bCs/>
            <w:szCs w:val="24"/>
            <w:lang w:eastAsia="zh-CN"/>
          </w:rPr>
          <w:t>联合国</w:t>
        </w:r>
        <w:r w:rsidR="005B2BCB">
          <w:rPr>
            <w:rStyle w:val="Hyperlink"/>
            <w:rFonts w:cstheme="majorBidi"/>
            <w:bCs/>
            <w:szCs w:val="24"/>
            <w:lang w:eastAsia="zh-CN"/>
          </w:rPr>
          <w:t>原则</w:t>
        </w:r>
      </w:hyperlink>
      <w:r w:rsidRPr="00DF246A">
        <w:rPr>
          <w:rFonts w:hint="eastAsia"/>
          <w:bCs/>
          <w:lang w:eastAsia="zh-CN"/>
        </w:rPr>
        <w:t>的实体的</w:t>
      </w:r>
      <w:r>
        <w:rPr>
          <w:rFonts w:hint="eastAsia"/>
          <w:bCs/>
          <w:lang w:eastAsia="zh-CN"/>
        </w:rPr>
        <w:t>资助</w:t>
      </w:r>
      <w:r w:rsidR="009B7F55">
        <w:rPr>
          <w:rFonts w:hint="eastAsia"/>
          <w:bCs/>
          <w:lang w:eastAsia="zh-CN"/>
        </w:rPr>
        <w:t>或</w:t>
      </w:r>
      <w:r w:rsidR="009B7F55">
        <w:rPr>
          <w:bCs/>
          <w:lang w:eastAsia="zh-CN"/>
        </w:rPr>
        <w:t>与之合作</w:t>
      </w:r>
      <w:r w:rsidR="009B7F55">
        <w:rPr>
          <w:rFonts w:hint="eastAsia"/>
          <w:bCs/>
          <w:lang w:eastAsia="zh-CN"/>
        </w:rPr>
        <w:t>，作为对</w:t>
      </w:r>
      <w:r w:rsidR="009B7F55" w:rsidRPr="00DF246A">
        <w:rPr>
          <w:rFonts w:hint="eastAsia"/>
          <w:bCs/>
          <w:lang w:eastAsia="zh-CN"/>
        </w:rPr>
        <w:t>成员</w:t>
      </w:r>
      <w:r w:rsidR="009B7F55">
        <w:rPr>
          <w:rFonts w:hint="eastAsia"/>
          <w:bCs/>
          <w:lang w:eastAsia="zh-CN"/>
        </w:rPr>
        <w:t>提供的财务</w:t>
      </w:r>
      <w:r w:rsidR="009B7F55" w:rsidRPr="00DF246A">
        <w:rPr>
          <w:rFonts w:hint="eastAsia"/>
          <w:bCs/>
          <w:lang w:eastAsia="zh-CN"/>
        </w:rPr>
        <w:t>支持</w:t>
      </w:r>
      <w:r w:rsidR="009B7F55">
        <w:rPr>
          <w:rFonts w:hint="eastAsia"/>
          <w:bCs/>
          <w:lang w:eastAsia="zh-CN"/>
        </w:rPr>
        <w:t>的补充。</w:t>
      </w:r>
      <w:r w:rsidRPr="00DF246A">
        <w:rPr>
          <w:rFonts w:hint="eastAsia"/>
          <w:bCs/>
          <w:lang w:eastAsia="zh-CN"/>
        </w:rPr>
        <w:t>在考虑是否接受非</w:t>
      </w:r>
      <w:r>
        <w:rPr>
          <w:rFonts w:asciiTheme="minorEastAsia" w:eastAsiaTheme="minorEastAsia" w:hAnsiTheme="minorEastAsia" w:cstheme="majorBidi" w:hint="eastAsia"/>
          <w:bCs/>
          <w:lang w:eastAsia="zh-CN"/>
        </w:rPr>
        <w:t>国际电联</w:t>
      </w:r>
      <w:r w:rsidRPr="00DF246A">
        <w:rPr>
          <w:rFonts w:hint="eastAsia"/>
          <w:bCs/>
          <w:lang w:eastAsia="zh-CN"/>
        </w:rPr>
        <w:t>成员实体</w:t>
      </w:r>
      <w:r>
        <w:rPr>
          <w:rFonts w:hint="eastAsia"/>
          <w:bCs/>
          <w:lang w:eastAsia="zh-CN"/>
        </w:rPr>
        <w:t>资助</w:t>
      </w:r>
      <w:r w:rsidRPr="00DF246A">
        <w:rPr>
          <w:rFonts w:hint="eastAsia"/>
          <w:bCs/>
          <w:lang w:eastAsia="zh-CN"/>
        </w:rPr>
        <w:t>或</w:t>
      </w:r>
      <w:r>
        <w:rPr>
          <w:rFonts w:hint="eastAsia"/>
          <w:bCs/>
          <w:lang w:eastAsia="zh-CN"/>
        </w:rPr>
        <w:t>与之</w:t>
      </w:r>
      <w:r w:rsidR="009B7F55">
        <w:rPr>
          <w:rFonts w:hint="eastAsia"/>
          <w:bCs/>
          <w:lang w:eastAsia="zh-CN"/>
        </w:rPr>
        <w:t>合作</w:t>
      </w:r>
      <w:r w:rsidRPr="00DF246A">
        <w:rPr>
          <w:rFonts w:hint="eastAsia"/>
          <w:bCs/>
          <w:lang w:eastAsia="zh-CN"/>
        </w:rPr>
        <w:t>时，</w:t>
      </w:r>
      <w:r w:rsidR="009B7F55" w:rsidRPr="00DF246A">
        <w:rPr>
          <w:rFonts w:hint="eastAsia"/>
          <w:bCs/>
          <w:lang w:eastAsia="zh-CN"/>
        </w:rPr>
        <w:t>国际电联</w:t>
      </w:r>
      <w:r>
        <w:rPr>
          <w:rFonts w:hint="eastAsia"/>
          <w:bCs/>
          <w:lang w:eastAsia="zh-CN"/>
        </w:rPr>
        <w:t>将</w:t>
      </w:r>
      <w:r w:rsidR="009B7F55">
        <w:rPr>
          <w:rFonts w:hint="eastAsia"/>
          <w:bCs/>
          <w:lang w:val="en-US" w:eastAsia="zh-CN"/>
        </w:rPr>
        <w:t>遵循</w:t>
      </w:r>
      <w:hyperlink r:id="rId10" w:history="1">
        <w:r w:rsidR="005B2BCB">
          <w:rPr>
            <w:rStyle w:val="Hyperlink"/>
            <w:rFonts w:cstheme="majorBidi" w:hint="eastAsia"/>
            <w:szCs w:val="24"/>
            <w:lang w:eastAsia="zh-CN"/>
          </w:rPr>
          <w:t>联合</w:t>
        </w:r>
        <w:r w:rsidR="005B2BCB">
          <w:rPr>
            <w:rStyle w:val="Hyperlink"/>
            <w:rFonts w:cstheme="majorBidi"/>
            <w:szCs w:val="24"/>
            <w:lang w:eastAsia="zh-CN"/>
          </w:rPr>
          <w:t>国准则</w:t>
        </w:r>
      </w:hyperlink>
      <w:r w:rsidRPr="00DF246A">
        <w:rPr>
          <w:rFonts w:hint="eastAsia"/>
          <w:bCs/>
          <w:lang w:eastAsia="zh-CN"/>
        </w:rPr>
        <w:t>和最佳</w:t>
      </w:r>
      <w:r>
        <w:rPr>
          <w:rFonts w:hint="eastAsia"/>
          <w:bCs/>
          <w:lang w:val="en-US" w:eastAsia="zh-CN"/>
        </w:rPr>
        <w:t>做法</w:t>
      </w:r>
      <w:r w:rsidRPr="00DF246A">
        <w:rPr>
          <w:rFonts w:hint="eastAsia"/>
          <w:bCs/>
          <w:lang w:eastAsia="zh-CN"/>
        </w:rPr>
        <w:t>，开展尽职调查筛选</w:t>
      </w:r>
      <w:r>
        <w:rPr>
          <w:rFonts w:hint="eastAsia"/>
          <w:bCs/>
          <w:lang w:eastAsia="zh-CN"/>
        </w:rPr>
        <w:t>工作</w:t>
      </w:r>
      <w:r w:rsidRPr="00DF246A">
        <w:rPr>
          <w:rFonts w:hint="eastAsia"/>
          <w:bCs/>
          <w:lang w:eastAsia="zh-CN"/>
        </w:rPr>
        <w:t>。</w:t>
      </w:r>
    </w:p>
    <w:p w:rsidR="0028391C" w:rsidRPr="002E2B4B" w:rsidRDefault="0028391C" w:rsidP="0028391C">
      <w:pPr>
        <w:rPr>
          <w:rFonts w:asciiTheme="minorHAnsi" w:hAnsiTheme="minorHAnsi" w:cstheme="majorBidi"/>
          <w:lang w:eastAsia="zh-CN"/>
        </w:rPr>
      </w:pPr>
      <w:r>
        <w:rPr>
          <w:rFonts w:asciiTheme="minorHAnsi" w:hAnsiTheme="minorHAnsi" w:cstheme="majorBidi" w:hint="eastAsia"/>
          <w:bCs/>
          <w:lang w:eastAsia="zh-CN"/>
        </w:rPr>
        <w:t>5</w:t>
      </w:r>
      <w:r>
        <w:rPr>
          <w:rFonts w:asciiTheme="minorHAnsi" w:hAnsiTheme="minorHAnsi" w:cstheme="majorBidi" w:hint="eastAsia"/>
          <w:bCs/>
          <w:lang w:eastAsia="zh-CN"/>
        </w:rPr>
        <w:tab/>
      </w:r>
      <w:r>
        <w:rPr>
          <w:rFonts w:asciiTheme="minorHAnsi" w:hAnsiTheme="minorHAnsi" w:cstheme="majorBidi"/>
          <w:bCs/>
          <w:u w:val="single"/>
          <w:lang w:eastAsia="zh-CN"/>
        </w:rPr>
        <w:t>实现国际电联的目标</w:t>
      </w:r>
      <w:r w:rsidRPr="004A7212">
        <w:rPr>
          <w:rFonts w:hint="eastAsia"/>
          <w:lang w:eastAsia="zh-CN"/>
        </w:rPr>
        <w:t>：</w:t>
      </w:r>
      <w:r w:rsidRPr="00DF56FC">
        <w:rPr>
          <w:rFonts w:hint="eastAsia"/>
          <w:bCs/>
          <w:lang w:eastAsia="zh-CN"/>
        </w:rPr>
        <w:t>资</w:t>
      </w:r>
      <w:r>
        <w:rPr>
          <w:rFonts w:hint="eastAsia"/>
          <w:bCs/>
          <w:lang w:eastAsia="zh-CN"/>
        </w:rPr>
        <w:t>助</w:t>
      </w:r>
      <w:r w:rsidRPr="00DF56FC">
        <w:rPr>
          <w:rFonts w:hint="eastAsia"/>
          <w:bCs/>
          <w:lang w:eastAsia="zh-CN"/>
        </w:rPr>
        <w:t>（或实物</w:t>
      </w:r>
      <w:r>
        <w:rPr>
          <w:rFonts w:hint="eastAsia"/>
          <w:bCs/>
          <w:lang w:eastAsia="zh-CN"/>
        </w:rPr>
        <w:t>捐赠</w:t>
      </w:r>
      <w:r w:rsidRPr="00DF56FC">
        <w:rPr>
          <w:rFonts w:asciiTheme="minorHAnsi" w:hAnsiTheme="minorHAnsi" w:cstheme="majorBidi" w:hint="eastAsia"/>
          <w:bCs/>
          <w:lang w:eastAsia="zh-CN"/>
        </w:rPr>
        <w:t>/</w:t>
      </w:r>
      <w:r w:rsidRPr="00DF56FC">
        <w:rPr>
          <w:rFonts w:hint="eastAsia"/>
          <w:bCs/>
          <w:lang w:eastAsia="zh-CN"/>
        </w:rPr>
        <w:t>伙伴关系）</w:t>
      </w:r>
      <w:r>
        <w:rPr>
          <w:rFonts w:hint="eastAsia"/>
          <w:bCs/>
          <w:lang w:eastAsia="zh-CN"/>
        </w:rPr>
        <w:t>安排</w:t>
      </w:r>
      <w:r w:rsidRPr="00DF56FC">
        <w:rPr>
          <w:rFonts w:hint="eastAsia"/>
          <w:bCs/>
          <w:lang w:eastAsia="zh-CN"/>
        </w:rPr>
        <w:t>的目标必须</w:t>
      </w:r>
      <w:r>
        <w:rPr>
          <w:rFonts w:hint="eastAsia"/>
          <w:bCs/>
          <w:lang w:eastAsia="zh-CN"/>
        </w:rPr>
        <w:t>符合国际电联《组织法》、《公约》和《</w:t>
      </w:r>
      <w:r w:rsidRPr="00DF56FC">
        <w:rPr>
          <w:rFonts w:hint="eastAsia"/>
          <w:bCs/>
          <w:lang w:eastAsia="zh-CN"/>
        </w:rPr>
        <w:t>战略</w:t>
      </w:r>
      <w:r>
        <w:rPr>
          <w:rFonts w:hint="eastAsia"/>
          <w:bCs/>
          <w:lang w:eastAsia="zh-CN"/>
        </w:rPr>
        <w:t>规</w:t>
      </w:r>
      <w:r w:rsidRPr="00DF56FC">
        <w:rPr>
          <w:rFonts w:hint="eastAsia"/>
          <w:bCs/>
          <w:lang w:eastAsia="zh-CN"/>
        </w:rPr>
        <w:t>划</w:t>
      </w:r>
      <w:r>
        <w:rPr>
          <w:rFonts w:hint="eastAsia"/>
          <w:bCs/>
          <w:lang w:eastAsia="zh-CN"/>
        </w:rPr>
        <w:t>》提出的国际电联总</w:t>
      </w:r>
      <w:r w:rsidRPr="00DF56FC">
        <w:rPr>
          <w:rFonts w:hint="eastAsia"/>
          <w:bCs/>
          <w:lang w:eastAsia="zh-CN"/>
        </w:rPr>
        <w:t>体目标。</w:t>
      </w:r>
    </w:p>
    <w:p w:rsidR="0028391C" w:rsidRPr="002E2B4B" w:rsidRDefault="0028391C" w:rsidP="009B7F55">
      <w:pPr>
        <w:rPr>
          <w:rFonts w:asciiTheme="minorHAnsi" w:hAnsiTheme="minorHAnsi" w:cstheme="majorBidi"/>
          <w:lang w:eastAsia="zh-CN"/>
        </w:rPr>
      </w:pPr>
      <w:r>
        <w:rPr>
          <w:rFonts w:asciiTheme="minorHAnsi" w:hAnsiTheme="minorHAnsi" w:cstheme="majorBidi" w:hint="eastAsia"/>
          <w:bCs/>
          <w:lang w:eastAsia="zh-CN"/>
        </w:rPr>
        <w:t>6</w:t>
      </w:r>
      <w:r>
        <w:rPr>
          <w:rFonts w:asciiTheme="minorHAnsi" w:hAnsiTheme="minorHAnsi" w:cstheme="majorBidi" w:hint="eastAsia"/>
          <w:bCs/>
          <w:lang w:eastAsia="zh-CN"/>
        </w:rPr>
        <w:tab/>
      </w:r>
      <w:r>
        <w:rPr>
          <w:rFonts w:asciiTheme="minorHAnsi" w:hAnsiTheme="minorHAnsi" w:cstheme="majorBidi"/>
          <w:bCs/>
          <w:u w:val="single"/>
          <w:lang w:eastAsia="zh-CN"/>
        </w:rPr>
        <w:t>明确作用与职责</w:t>
      </w:r>
      <w:r w:rsidRPr="003F3D19">
        <w:rPr>
          <w:rFonts w:asciiTheme="minorEastAsia" w:eastAsiaTheme="minorEastAsia" w:hAnsiTheme="minorEastAsia" w:cstheme="majorBidi" w:hint="eastAsia"/>
          <w:bCs/>
          <w:lang w:eastAsia="zh-CN"/>
        </w:rPr>
        <w:t>：</w:t>
      </w:r>
      <w:r w:rsidRPr="00DF56FC">
        <w:rPr>
          <w:rFonts w:hint="eastAsia"/>
          <w:bCs/>
          <w:lang w:eastAsia="zh-CN"/>
        </w:rPr>
        <w:t>资</w:t>
      </w:r>
      <w:r>
        <w:rPr>
          <w:rFonts w:hint="eastAsia"/>
          <w:bCs/>
          <w:lang w:eastAsia="zh-CN"/>
        </w:rPr>
        <w:t>助</w:t>
      </w:r>
      <w:r w:rsidRPr="00DF56FC">
        <w:rPr>
          <w:rFonts w:asciiTheme="minorHAnsi" w:hAnsiTheme="minorHAnsi" w:cstheme="majorBidi" w:hint="eastAsia"/>
          <w:bCs/>
          <w:lang w:eastAsia="zh-CN"/>
        </w:rPr>
        <w:t>/</w:t>
      </w:r>
      <w:r w:rsidRPr="00DF56FC">
        <w:rPr>
          <w:rFonts w:hint="eastAsia"/>
          <w:bCs/>
          <w:lang w:eastAsia="zh-CN"/>
        </w:rPr>
        <w:t>合作伙伴安排必须基于</w:t>
      </w:r>
      <w:r>
        <w:rPr>
          <w:rFonts w:hint="eastAsia"/>
          <w:bCs/>
          <w:lang w:eastAsia="zh-CN"/>
        </w:rPr>
        <w:t>对国际电联和出资方</w:t>
      </w:r>
      <w:r>
        <w:rPr>
          <w:rFonts w:hint="eastAsia"/>
          <w:bCs/>
          <w:lang w:eastAsia="zh-CN"/>
        </w:rPr>
        <w:t>/</w:t>
      </w:r>
      <w:r>
        <w:rPr>
          <w:rFonts w:hint="eastAsia"/>
          <w:bCs/>
          <w:lang w:eastAsia="zh-CN"/>
        </w:rPr>
        <w:t>合作伙伴</w:t>
      </w:r>
      <w:r w:rsidRPr="00DF56FC">
        <w:rPr>
          <w:rFonts w:hint="eastAsia"/>
          <w:bCs/>
          <w:lang w:eastAsia="zh-CN"/>
        </w:rPr>
        <w:t>各自</w:t>
      </w:r>
      <w:r w:rsidR="009B7F55">
        <w:rPr>
          <w:rFonts w:hint="eastAsia"/>
          <w:bCs/>
          <w:lang w:eastAsia="zh-CN"/>
        </w:rPr>
        <w:t>作用</w:t>
      </w:r>
      <w:r w:rsidRPr="00DF56FC">
        <w:rPr>
          <w:rFonts w:hint="eastAsia"/>
          <w:bCs/>
          <w:lang w:eastAsia="zh-CN"/>
        </w:rPr>
        <w:t>和</w:t>
      </w:r>
      <w:r w:rsidR="009B7F55">
        <w:rPr>
          <w:rFonts w:hint="eastAsia"/>
          <w:bCs/>
          <w:lang w:eastAsia="zh-CN"/>
        </w:rPr>
        <w:t>期待值</w:t>
      </w:r>
      <w:r w:rsidRPr="00DF56FC">
        <w:rPr>
          <w:rFonts w:hint="eastAsia"/>
          <w:bCs/>
          <w:lang w:eastAsia="zh-CN"/>
        </w:rPr>
        <w:t>的明确了解，</w:t>
      </w:r>
      <w:r w:rsidR="009B7F55">
        <w:rPr>
          <w:rFonts w:hint="eastAsia"/>
          <w:bCs/>
          <w:lang w:eastAsia="zh-CN"/>
        </w:rPr>
        <w:t>实行</w:t>
      </w:r>
      <w:r w:rsidRPr="00DF56FC">
        <w:rPr>
          <w:rFonts w:hint="eastAsia"/>
          <w:bCs/>
          <w:lang w:eastAsia="zh-CN"/>
        </w:rPr>
        <w:t>问责制</w:t>
      </w:r>
      <w:r w:rsidR="009B7F55">
        <w:rPr>
          <w:rFonts w:hint="eastAsia"/>
          <w:bCs/>
          <w:lang w:eastAsia="zh-CN"/>
        </w:rPr>
        <w:t>且</w:t>
      </w:r>
      <w:r w:rsidRPr="00DF56FC">
        <w:rPr>
          <w:rFonts w:hint="eastAsia"/>
          <w:bCs/>
          <w:lang w:eastAsia="zh-CN"/>
        </w:rPr>
        <w:t>责任明确。</w:t>
      </w:r>
    </w:p>
    <w:p w:rsidR="0028391C" w:rsidRPr="002E2B4B" w:rsidRDefault="0028391C" w:rsidP="00E418E4">
      <w:pPr>
        <w:rPr>
          <w:rFonts w:asciiTheme="minorHAnsi" w:hAnsiTheme="minorHAnsi" w:cstheme="majorBidi"/>
          <w:b/>
          <w:bCs/>
          <w:lang w:eastAsia="zh-CN"/>
        </w:rPr>
      </w:pPr>
      <w:r>
        <w:rPr>
          <w:rFonts w:asciiTheme="minorHAnsi" w:hAnsiTheme="minorHAnsi" w:cstheme="majorBidi"/>
          <w:bCs/>
          <w:lang w:eastAsia="zh-CN"/>
        </w:rPr>
        <w:t>7</w:t>
      </w:r>
      <w:r w:rsidRPr="002E2B4B">
        <w:rPr>
          <w:rFonts w:asciiTheme="minorHAnsi" w:hAnsiTheme="minorHAnsi" w:cstheme="majorBidi"/>
          <w:bCs/>
          <w:lang w:eastAsia="zh-CN"/>
        </w:rPr>
        <w:tab/>
      </w:r>
      <w:r w:rsidRPr="00D96072">
        <w:rPr>
          <w:bCs/>
          <w:u w:val="single"/>
          <w:lang w:eastAsia="zh-CN"/>
        </w:rPr>
        <w:t>维护国际电联的声誉</w:t>
      </w:r>
      <w:r w:rsidRPr="004A7212">
        <w:rPr>
          <w:rFonts w:hint="eastAsia"/>
          <w:lang w:eastAsia="zh-CN"/>
        </w:rPr>
        <w:t>：</w:t>
      </w:r>
      <w:r w:rsidRPr="00DF56FC">
        <w:rPr>
          <w:rFonts w:hint="eastAsia"/>
          <w:bCs/>
          <w:lang w:eastAsia="zh-CN"/>
        </w:rPr>
        <w:t>资</w:t>
      </w:r>
      <w:r>
        <w:rPr>
          <w:rFonts w:hint="eastAsia"/>
          <w:bCs/>
          <w:lang w:eastAsia="zh-CN"/>
        </w:rPr>
        <w:t>助</w:t>
      </w:r>
      <w:r w:rsidRPr="00DF56FC">
        <w:rPr>
          <w:rFonts w:asciiTheme="minorHAnsi" w:hAnsiTheme="minorHAnsi" w:cstheme="majorBidi" w:hint="eastAsia"/>
          <w:bCs/>
          <w:lang w:eastAsia="zh-CN"/>
        </w:rPr>
        <w:t>/</w:t>
      </w:r>
      <w:r w:rsidRPr="00DF56FC">
        <w:rPr>
          <w:rFonts w:hint="eastAsia"/>
          <w:bCs/>
          <w:lang w:eastAsia="zh-CN"/>
        </w:rPr>
        <w:t>合作伙伴安排</w:t>
      </w:r>
      <w:r w:rsidRPr="00D96072">
        <w:rPr>
          <w:rFonts w:hint="eastAsia"/>
          <w:bCs/>
          <w:lang w:eastAsia="zh-CN"/>
        </w:rPr>
        <w:t>不得削弱</w:t>
      </w:r>
      <w:r>
        <w:rPr>
          <w:rFonts w:hint="eastAsia"/>
          <w:bCs/>
          <w:lang w:eastAsia="zh-CN"/>
        </w:rPr>
        <w:t>国际电联</w:t>
      </w:r>
      <w:r w:rsidRPr="00D96072">
        <w:rPr>
          <w:rFonts w:hint="eastAsia"/>
          <w:bCs/>
          <w:lang w:eastAsia="zh-CN"/>
        </w:rPr>
        <w:t>的</w:t>
      </w:r>
      <w:r w:rsidR="009B7F55">
        <w:rPr>
          <w:rFonts w:hint="eastAsia"/>
          <w:bCs/>
          <w:lang w:eastAsia="zh-CN"/>
        </w:rPr>
        <w:t>声</w:t>
      </w:r>
      <w:r w:rsidR="00102B8B">
        <w:rPr>
          <w:rFonts w:hint="eastAsia"/>
          <w:bCs/>
          <w:lang w:eastAsia="zh-CN"/>
        </w:rPr>
        <w:t>誉</w:t>
      </w:r>
      <w:r w:rsidRPr="00D96072">
        <w:rPr>
          <w:rFonts w:hint="eastAsia"/>
          <w:bCs/>
          <w:lang w:eastAsia="zh-CN"/>
        </w:rPr>
        <w:t>、独立性和公正性，</w:t>
      </w:r>
      <w:r w:rsidR="009B7F55">
        <w:rPr>
          <w:rFonts w:hint="eastAsia"/>
          <w:bCs/>
          <w:lang w:eastAsia="zh-CN"/>
        </w:rPr>
        <w:t>亦</w:t>
      </w:r>
      <w:r w:rsidR="00E418E4">
        <w:rPr>
          <w:rFonts w:hint="eastAsia"/>
          <w:bCs/>
          <w:lang w:eastAsia="zh-CN"/>
        </w:rPr>
        <w:t>不得</w:t>
      </w:r>
      <w:r w:rsidR="00E418E4">
        <w:rPr>
          <w:bCs/>
          <w:lang w:eastAsia="zh-CN"/>
        </w:rPr>
        <w:t>给予任何不当之利</w:t>
      </w:r>
      <w:r w:rsidRPr="00D96072">
        <w:rPr>
          <w:rFonts w:hint="eastAsia"/>
          <w:bCs/>
          <w:lang w:eastAsia="zh-CN"/>
        </w:rPr>
        <w:t>。</w:t>
      </w:r>
      <w:r>
        <w:rPr>
          <w:rFonts w:hint="eastAsia"/>
          <w:bCs/>
          <w:lang w:eastAsia="zh-CN"/>
        </w:rPr>
        <w:t>尤其重要的是</w:t>
      </w:r>
      <w:r w:rsidRPr="00D96072">
        <w:rPr>
          <w:rFonts w:hint="eastAsia"/>
          <w:bCs/>
          <w:lang w:eastAsia="zh-CN"/>
        </w:rPr>
        <w:t>，</w:t>
      </w:r>
      <w:r>
        <w:rPr>
          <w:rFonts w:hint="eastAsia"/>
          <w:bCs/>
          <w:lang w:eastAsia="zh-CN"/>
        </w:rPr>
        <w:t>这些安排</w:t>
      </w:r>
      <w:r w:rsidRPr="00D96072">
        <w:rPr>
          <w:rFonts w:hint="eastAsia"/>
          <w:bCs/>
          <w:lang w:eastAsia="zh-CN"/>
        </w:rPr>
        <w:t>不</w:t>
      </w:r>
      <w:r>
        <w:rPr>
          <w:rFonts w:hint="eastAsia"/>
          <w:bCs/>
          <w:lang w:eastAsia="zh-CN"/>
        </w:rPr>
        <w:t>得</w:t>
      </w:r>
      <w:r w:rsidRPr="00D96072">
        <w:rPr>
          <w:rFonts w:hint="eastAsia"/>
          <w:bCs/>
          <w:lang w:eastAsia="zh-CN"/>
        </w:rPr>
        <w:t>表达或暗示</w:t>
      </w:r>
      <w:r>
        <w:rPr>
          <w:rFonts w:hint="eastAsia"/>
          <w:bCs/>
          <w:lang w:eastAsia="zh-CN"/>
        </w:rPr>
        <w:t>对</w:t>
      </w:r>
      <w:r w:rsidRPr="00D96072">
        <w:rPr>
          <w:rFonts w:hint="eastAsia"/>
          <w:bCs/>
          <w:lang w:eastAsia="zh-CN"/>
        </w:rPr>
        <w:t>出资</w:t>
      </w:r>
      <w:r>
        <w:rPr>
          <w:rFonts w:hint="eastAsia"/>
          <w:bCs/>
          <w:lang w:eastAsia="zh-CN"/>
        </w:rPr>
        <w:t>方</w:t>
      </w:r>
      <w:r w:rsidRPr="00D96072">
        <w:rPr>
          <w:rFonts w:hint="eastAsia"/>
          <w:bCs/>
          <w:lang w:eastAsia="zh-CN"/>
        </w:rPr>
        <w:t>/</w:t>
      </w:r>
      <w:r w:rsidRPr="00D96072">
        <w:rPr>
          <w:rFonts w:hint="eastAsia"/>
          <w:bCs/>
          <w:lang w:eastAsia="zh-CN"/>
        </w:rPr>
        <w:t>合</w:t>
      </w:r>
      <w:r>
        <w:rPr>
          <w:rFonts w:hint="eastAsia"/>
          <w:bCs/>
          <w:lang w:eastAsia="zh-CN"/>
        </w:rPr>
        <w:t>作伙伴、</w:t>
      </w:r>
      <w:r w:rsidRPr="00D96072">
        <w:rPr>
          <w:rFonts w:hint="eastAsia"/>
          <w:bCs/>
          <w:lang w:eastAsia="zh-CN"/>
        </w:rPr>
        <w:t>其政策、产品或服务的直接或间接支持。</w:t>
      </w:r>
      <w:r>
        <w:rPr>
          <w:rFonts w:hint="eastAsia"/>
          <w:bCs/>
          <w:lang w:eastAsia="zh-CN"/>
        </w:rPr>
        <w:t>必须</w:t>
      </w:r>
      <w:r w:rsidRPr="00D96072">
        <w:rPr>
          <w:rFonts w:hint="eastAsia"/>
          <w:bCs/>
          <w:lang w:eastAsia="zh-CN"/>
        </w:rPr>
        <w:t>明确</w:t>
      </w:r>
      <w:r w:rsidR="00E418E4">
        <w:rPr>
          <w:rFonts w:hint="eastAsia"/>
          <w:bCs/>
          <w:lang w:eastAsia="zh-CN"/>
        </w:rPr>
        <w:t>区分</w:t>
      </w:r>
      <w:r w:rsidR="00102B8B">
        <w:rPr>
          <w:rFonts w:hint="eastAsia"/>
          <w:bCs/>
          <w:lang w:eastAsia="zh-CN"/>
        </w:rPr>
        <w:t>资源筹措</w:t>
      </w:r>
      <w:r>
        <w:rPr>
          <w:rFonts w:hint="eastAsia"/>
          <w:bCs/>
          <w:lang w:eastAsia="zh-CN"/>
        </w:rPr>
        <w:t>/</w:t>
      </w:r>
      <w:r w:rsidRPr="00D96072">
        <w:rPr>
          <w:rFonts w:hint="eastAsia"/>
          <w:bCs/>
          <w:lang w:eastAsia="zh-CN"/>
        </w:rPr>
        <w:t>伙伴关系</w:t>
      </w:r>
      <w:r w:rsidR="00E418E4">
        <w:rPr>
          <w:rFonts w:hint="eastAsia"/>
          <w:bCs/>
          <w:lang w:eastAsia="zh-CN"/>
        </w:rPr>
        <w:t>与</w:t>
      </w:r>
      <w:r w:rsidRPr="00D96072">
        <w:rPr>
          <w:rFonts w:hint="eastAsia"/>
          <w:bCs/>
          <w:lang w:eastAsia="zh-CN"/>
        </w:rPr>
        <w:t>采购</w:t>
      </w:r>
      <w:r>
        <w:rPr>
          <w:rFonts w:hint="eastAsia"/>
          <w:bCs/>
          <w:lang w:eastAsia="zh-CN"/>
        </w:rPr>
        <w:t>之间的差别</w:t>
      </w:r>
      <w:r w:rsidRPr="00D96072">
        <w:rPr>
          <w:rFonts w:hint="eastAsia"/>
          <w:bCs/>
          <w:lang w:eastAsia="zh-CN"/>
        </w:rPr>
        <w:t>。</w:t>
      </w:r>
    </w:p>
    <w:p w:rsidR="003F3D19" w:rsidRDefault="003F3D19" w:rsidP="0032202E">
      <w:pPr>
        <w:pStyle w:val="Reasons"/>
        <w:rPr>
          <w:lang w:eastAsia="zh-CN"/>
        </w:rPr>
      </w:pPr>
    </w:p>
    <w:p w:rsidR="005B2BCB" w:rsidRDefault="005B2BCB" w:rsidP="0032202E">
      <w:pPr>
        <w:pStyle w:val="Reasons"/>
        <w:rPr>
          <w:lang w:eastAsia="zh-CN"/>
        </w:rPr>
      </w:pPr>
    </w:p>
    <w:p w:rsidR="009D1E3B" w:rsidRPr="0028391C" w:rsidRDefault="003F3D19" w:rsidP="004D7880">
      <w:pPr>
        <w:jc w:val="center"/>
      </w:pPr>
      <w:r>
        <w:t>______________</w:t>
      </w:r>
    </w:p>
    <w:sectPr w:rsidR="009D1E3B" w:rsidRPr="0028391C" w:rsidSect="0028391C">
      <w:headerReference w:type="default" r:id="rId11"/>
      <w:footerReference w:type="default" r:id="rId12"/>
      <w:footerReference w:type="first" r:id="rId13"/>
      <w:pgSz w:w="11907" w:h="16840" w:code="9"/>
      <w:pgMar w:top="1021" w:right="1134" w:bottom="1021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CDB" w:rsidRDefault="00B45CDB">
      <w:r>
        <w:separator/>
      </w:r>
    </w:p>
  </w:endnote>
  <w:endnote w:type="continuationSeparator" w:id="0">
    <w:p w:rsidR="00B45CDB" w:rsidRDefault="00B45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CDB" w:rsidRPr="00BE1EB7" w:rsidRDefault="00B45CDB" w:rsidP="00182F80">
    <w:pPr>
      <w:pStyle w:val="Footer"/>
      <w:rPr>
        <w:color w:val="000000" w:themeColor="text1"/>
      </w:rPr>
    </w:pPr>
    <w:r w:rsidRPr="00BE1EB7">
      <w:rPr>
        <w:color w:val="000000" w:themeColor="text1"/>
      </w:rPr>
      <w:fldChar w:fldCharType="begin"/>
    </w:r>
    <w:r w:rsidRPr="00BE1EB7">
      <w:rPr>
        <w:color w:val="000000" w:themeColor="text1"/>
      </w:rPr>
      <w:instrText xml:space="preserve"> FILENAME \p  \* MERGEFORMAT </w:instrText>
    </w:r>
    <w:r w:rsidRPr="00BE1EB7">
      <w:rPr>
        <w:color w:val="000000" w:themeColor="text1"/>
      </w:rPr>
      <w:fldChar w:fldCharType="separate"/>
    </w:r>
    <w:r w:rsidR="005B2BCB">
      <w:rPr>
        <w:color w:val="000000" w:themeColor="text1"/>
      </w:rPr>
      <w:t>P:\CHI\SG\CONSEIL\C18\000\047C.docx</w:t>
    </w:r>
    <w:r w:rsidRPr="00BE1EB7">
      <w:rPr>
        <w:color w:val="000000" w:themeColor="text1"/>
      </w:rPr>
      <w:fldChar w:fldCharType="end"/>
    </w:r>
    <w:r w:rsidRPr="00BE1EB7">
      <w:rPr>
        <w:color w:val="000000" w:themeColor="text1"/>
      </w:rPr>
      <w:t xml:space="preserve"> (4297</w:t>
    </w:r>
    <w:r w:rsidR="00182F80">
      <w:rPr>
        <w:color w:val="000000" w:themeColor="text1"/>
      </w:rPr>
      <w:t>32</w:t>
    </w:r>
    <w:r w:rsidRPr="00BE1EB7">
      <w:rPr>
        <w:color w:val="000000" w:themeColor="text1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CDB" w:rsidRDefault="00B45CDB" w:rsidP="005820DC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  <w:p w:rsidR="00B45CDB" w:rsidRPr="00182F80" w:rsidRDefault="00182F80" w:rsidP="00182F80">
    <w:pPr>
      <w:pStyle w:val="Footer"/>
      <w:rPr>
        <w:color w:val="000000" w:themeColor="text1"/>
      </w:rPr>
    </w:pPr>
    <w:r w:rsidRPr="00BE1EB7">
      <w:rPr>
        <w:color w:val="000000" w:themeColor="text1"/>
      </w:rPr>
      <w:fldChar w:fldCharType="begin"/>
    </w:r>
    <w:r w:rsidRPr="00BE1EB7">
      <w:rPr>
        <w:color w:val="000000" w:themeColor="text1"/>
      </w:rPr>
      <w:instrText xml:space="preserve"> FILENAME \p  \* MERGEFORMAT </w:instrText>
    </w:r>
    <w:r w:rsidRPr="00BE1EB7">
      <w:rPr>
        <w:color w:val="000000" w:themeColor="text1"/>
      </w:rPr>
      <w:fldChar w:fldCharType="separate"/>
    </w:r>
    <w:r w:rsidR="005B2BCB">
      <w:rPr>
        <w:color w:val="000000" w:themeColor="text1"/>
      </w:rPr>
      <w:t>P:\CHI\SG\CONSEIL\C18\000\047C.docx</w:t>
    </w:r>
    <w:r w:rsidRPr="00BE1EB7">
      <w:rPr>
        <w:color w:val="000000" w:themeColor="text1"/>
      </w:rPr>
      <w:fldChar w:fldCharType="end"/>
    </w:r>
    <w:r w:rsidRPr="00BE1EB7">
      <w:rPr>
        <w:color w:val="000000" w:themeColor="text1"/>
      </w:rPr>
      <w:t xml:space="preserve"> (4297</w:t>
    </w:r>
    <w:r>
      <w:rPr>
        <w:color w:val="000000" w:themeColor="text1"/>
      </w:rPr>
      <w:t>32</w:t>
    </w:r>
    <w:r w:rsidRPr="00BE1EB7">
      <w:rPr>
        <w:color w:val="000000" w:themeColor="text1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CDB" w:rsidRDefault="00B45CDB">
      <w:r>
        <w:t>____________________</w:t>
      </w:r>
    </w:p>
  </w:footnote>
  <w:footnote w:type="continuationSeparator" w:id="0">
    <w:p w:rsidR="00B45CDB" w:rsidRDefault="00B45C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CDB" w:rsidRDefault="00B45CDB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4E76A0">
      <w:rPr>
        <w:noProof/>
      </w:rPr>
      <w:t>4</w:t>
    </w:r>
    <w:r>
      <w:rPr>
        <w:noProof/>
      </w:rPr>
      <w:fldChar w:fldCharType="end"/>
    </w:r>
  </w:p>
  <w:p w:rsidR="00B45CDB" w:rsidRDefault="00B45CDB" w:rsidP="0028391C">
    <w:pPr>
      <w:pStyle w:val="Header"/>
      <w:rPr>
        <w:lang w:eastAsia="zh-CN"/>
      </w:rPr>
    </w:pPr>
    <w:r>
      <w:t>C1</w:t>
    </w:r>
    <w:r w:rsidR="005B2BCB">
      <w:rPr>
        <w:rFonts w:hint="eastAsia"/>
        <w:lang w:eastAsia="zh-CN"/>
      </w:rPr>
      <w:t>8</w:t>
    </w:r>
    <w:r>
      <w:t>/</w:t>
    </w:r>
    <w:r>
      <w:rPr>
        <w:lang w:eastAsia="zh-CN"/>
      </w:rPr>
      <w:t>4</w:t>
    </w:r>
    <w:r w:rsidR="007E1DFA">
      <w:rPr>
        <w:rFonts w:hint="eastAsia"/>
        <w:lang w:eastAsia="zh-CN"/>
      </w:rPr>
      <w:t>7</w:t>
    </w:r>
    <w:r>
      <w:t>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C121B2C"/>
    <w:multiLevelType w:val="hybridMultilevel"/>
    <w:tmpl w:val="DBFC0A32"/>
    <w:lvl w:ilvl="0" w:tplc="3076ABAE">
      <w:numFmt w:val="bullet"/>
      <w:lvlText w:val="–"/>
      <w:lvlJc w:val="left"/>
      <w:pPr>
        <w:ind w:left="1155" w:hanging="795"/>
      </w:pPr>
      <w:rPr>
        <w:rFonts w:ascii="Calibri" w:eastAsia="SimSun" w:hAnsi="Calibri" w:cs="Times New Roman" w:hint="default"/>
        <w:b w:val="0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F225C31"/>
    <w:multiLevelType w:val="hybridMultilevel"/>
    <w:tmpl w:val="01347FCC"/>
    <w:lvl w:ilvl="0" w:tplc="9D347A3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8"/>
  </w:num>
  <w:num w:numId="6">
    <w:abstractNumId w:val="7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A9F"/>
    <w:rsid w:val="00001B77"/>
    <w:rsid w:val="0000517A"/>
    <w:rsid w:val="00031E72"/>
    <w:rsid w:val="000404D2"/>
    <w:rsid w:val="0006005B"/>
    <w:rsid w:val="0008332E"/>
    <w:rsid w:val="000853C0"/>
    <w:rsid w:val="000903B2"/>
    <w:rsid w:val="000A1C21"/>
    <w:rsid w:val="000D15EA"/>
    <w:rsid w:val="000E44E1"/>
    <w:rsid w:val="00100D84"/>
    <w:rsid w:val="00102B8B"/>
    <w:rsid w:val="00124C9D"/>
    <w:rsid w:val="00157773"/>
    <w:rsid w:val="00164008"/>
    <w:rsid w:val="00177002"/>
    <w:rsid w:val="0018251A"/>
    <w:rsid w:val="00182F80"/>
    <w:rsid w:val="00190272"/>
    <w:rsid w:val="00193244"/>
    <w:rsid w:val="00195C6C"/>
    <w:rsid w:val="00195FED"/>
    <w:rsid w:val="001A4BD6"/>
    <w:rsid w:val="001C2F3E"/>
    <w:rsid w:val="001D5A18"/>
    <w:rsid w:val="001E6916"/>
    <w:rsid w:val="001F27A7"/>
    <w:rsid w:val="001F2F0F"/>
    <w:rsid w:val="00280EB8"/>
    <w:rsid w:val="0028391C"/>
    <w:rsid w:val="002A6670"/>
    <w:rsid w:val="00303502"/>
    <w:rsid w:val="00325C25"/>
    <w:rsid w:val="00336796"/>
    <w:rsid w:val="00372C8F"/>
    <w:rsid w:val="00380B86"/>
    <w:rsid w:val="00380ECE"/>
    <w:rsid w:val="00393DDF"/>
    <w:rsid w:val="00397F55"/>
    <w:rsid w:val="003A299D"/>
    <w:rsid w:val="003B4343"/>
    <w:rsid w:val="003B4454"/>
    <w:rsid w:val="003C2E37"/>
    <w:rsid w:val="003D0B5B"/>
    <w:rsid w:val="003E50C8"/>
    <w:rsid w:val="003F1415"/>
    <w:rsid w:val="003F3D19"/>
    <w:rsid w:val="0040144C"/>
    <w:rsid w:val="00403EB7"/>
    <w:rsid w:val="00430BF0"/>
    <w:rsid w:val="004672E6"/>
    <w:rsid w:val="00474ED1"/>
    <w:rsid w:val="00493085"/>
    <w:rsid w:val="004A36EC"/>
    <w:rsid w:val="004D163F"/>
    <w:rsid w:val="004D229B"/>
    <w:rsid w:val="004D7880"/>
    <w:rsid w:val="004E4BFF"/>
    <w:rsid w:val="004E76A0"/>
    <w:rsid w:val="004F2598"/>
    <w:rsid w:val="005403F7"/>
    <w:rsid w:val="00540632"/>
    <w:rsid w:val="00541CF4"/>
    <w:rsid w:val="005451E8"/>
    <w:rsid w:val="005507F2"/>
    <w:rsid w:val="0057339C"/>
    <w:rsid w:val="005759CC"/>
    <w:rsid w:val="005820DC"/>
    <w:rsid w:val="00595A9F"/>
    <w:rsid w:val="005A72E1"/>
    <w:rsid w:val="005B2BCB"/>
    <w:rsid w:val="005B311F"/>
    <w:rsid w:val="005C6632"/>
    <w:rsid w:val="005C691C"/>
    <w:rsid w:val="005D1C9E"/>
    <w:rsid w:val="005E0567"/>
    <w:rsid w:val="00623D25"/>
    <w:rsid w:val="00632D09"/>
    <w:rsid w:val="00654257"/>
    <w:rsid w:val="0065435A"/>
    <w:rsid w:val="00665E07"/>
    <w:rsid w:val="00683410"/>
    <w:rsid w:val="006842D1"/>
    <w:rsid w:val="00691430"/>
    <w:rsid w:val="006A2DD3"/>
    <w:rsid w:val="006A5AF8"/>
    <w:rsid w:val="006C36CD"/>
    <w:rsid w:val="006D3FAF"/>
    <w:rsid w:val="006F4B6C"/>
    <w:rsid w:val="00700D1F"/>
    <w:rsid w:val="007205CB"/>
    <w:rsid w:val="00726073"/>
    <w:rsid w:val="00734FE8"/>
    <w:rsid w:val="007360CE"/>
    <w:rsid w:val="00743279"/>
    <w:rsid w:val="00772315"/>
    <w:rsid w:val="00775157"/>
    <w:rsid w:val="007813AE"/>
    <w:rsid w:val="007A37DB"/>
    <w:rsid w:val="007E189D"/>
    <w:rsid w:val="007E1DFA"/>
    <w:rsid w:val="00811259"/>
    <w:rsid w:val="00813AA2"/>
    <w:rsid w:val="008173A3"/>
    <w:rsid w:val="00843CCD"/>
    <w:rsid w:val="00847240"/>
    <w:rsid w:val="0086059C"/>
    <w:rsid w:val="00864589"/>
    <w:rsid w:val="008808D9"/>
    <w:rsid w:val="00890AFB"/>
    <w:rsid w:val="00890FC4"/>
    <w:rsid w:val="00895905"/>
    <w:rsid w:val="008D276C"/>
    <w:rsid w:val="009164A9"/>
    <w:rsid w:val="009258CB"/>
    <w:rsid w:val="0093362E"/>
    <w:rsid w:val="00942A20"/>
    <w:rsid w:val="00944563"/>
    <w:rsid w:val="00953160"/>
    <w:rsid w:val="009625D8"/>
    <w:rsid w:val="0098459B"/>
    <w:rsid w:val="00997185"/>
    <w:rsid w:val="009B7F55"/>
    <w:rsid w:val="009C2458"/>
    <w:rsid w:val="009C40FC"/>
    <w:rsid w:val="009C4A7B"/>
    <w:rsid w:val="009C6123"/>
    <w:rsid w:val="009D1E3B"/>
    <w:rsid w:val="009F1E3E"/>
    <w:rsid w:val="00A1213C"/>
    <w:rsid w:val="00A272FF"/>
    <w:rsid w:val="00A47688"/>
    <w:rsid w:val="00A5354B"/>
    <w:rsid w:val="00AB42C1"/>
    <w:rsid w:val="00AC516F"/>
    <w:rsid w:val="00AC7B3B"/>
    <w:rsid w:val="00AE2926"/>
    <w:rsid w:val="00AE4661"/>
    <w:rsid w:val="00AF3CB3"/>
    <w:rsid w:val="00B003D8"/>
    <w:rsid w:val="00B0184B"/>
    <w:rsid w:val="00B035CD"/>
    <w:rsid w:val="00B0769D"/>
    <w:rsid w:val="00B13438"/>
    <w:rsid w:val="00B217F8"/>
    <w:rsid w:val="00B332EA"/>
    <w:rsid w:val="00B40A53"/>
    <w:rsid w:val="00B45365"/>
    <w:rsid w:val="00B45CDB"/>
    <w:rsid w:val="00B4606B"/>
    <w:rsid w:val="00B46A65"/>
    <w:rsid w:val="00B60184"/>
    <w:rsid w:val="00B62D20"/>
    <w:rsid w:val="00B76D67"/>
    <w:rsid w:val="00B81E75"/>
    <w:rsid w:val="00BB4569"/>
    <w:rsid w:val="00BC3A9A"/>
    <w:rsid w:val="00BC56EB"/>
    <w:rsid w:val="00BD1A5A"/>
    <w:rsid w:val="00BD7A9B"/>
    <w:rsid w:val="00BD7BE1"/>
    <w:rsid w:val="00BE1EB7"/>
    <w:rsid w:val="00BF416B"/>
    <w:rsid w:val="00BF75E5"/>
    <w:rsid w:val="00C0402A"/>
    <w:rsid w:val="00C27BE1"/>
    <w:rsid w:val="00C64E4E"/>
    <w:rsid w:val="00C66E64"/>
    <w:rsid w:val="00C761A0"/>
    <w:rsid w:val="00C85F7E"/>
    <w:rsid w:val="00CA7209"/>
    <w:rsid w:val="00CD1ADD"/>
    <w:rsid w:val="00CD47F0"/>
    <w:rsid w:val="00CD5566"/>
    <w:rsid w:val="00CD64D7"/>
    <w:rsid w:val="00CE6F22"/>
    <w:rsid w:val="00CF41F6"/>
    <w:rsid w:val="00CF7D3E"/>
    <w:rsid w:val="00D02B4E"/>
    <w:rsid w:val="00D12012"/>
    <w:rsid w:val="00D177F0"/>
    <w:rsid w:val="00D36817"/>
    <w:rsid w:val="00D41CF2"/>
    <w:rsid w:val="00D5203E"/>
    <w:rsid w:val="00D5666C"/>
    <w:rsid w:val="00D6577A"/>
    <w:rsid w:val="00D666BC"/>
    <w:rsid w:val="00D7462A"/>
    <w:rsid w:val="00D83542"/>
    <w:rsid w:val="00D92F45"/>
    <w:rsid w:val="00D94637"/>
    <w:rsid w:val="00D96ADD"/>
    <w:rsid w:val="00D9725C"/>
    <w:rsid w:val="00D97B81"/>
    <w:rsid w:val="00DA7006"/>
    <w:rsid w:val="00DC5DF7"/>
    <w:rsid w:val="00DC6427"/>
    <w:rsid w:val="00DD66A1"/>
    <w:rsid w:val="00DE196D"/>
    <w:rsid w:val="00DF6B49"/>
    <w:rsid w:val="00E00F6F"/>
    <w:rsid w:val="00E067C5"/>
    <w:rsid w:val="00E265BF"/>
    <w:rsid w:val="00E378D8"/>
    <w:rsid w:val="00E418E4"/>
    <w:rsid w:val="00E43A12"/>
    <w:rsid w:val="00E55171"/>
    <w:rsid w:val="00E67C67"/>
    <w:rsid w:val="00E70D28"/>
    <w:rsid w:val="00E77476"/>
    <w:rsid w:val="00E8228B"/>
    <w:rsid w:val="00E85110"/>
    <w:rsid w:val="00EE237C"/>
    <w:rsid w:val="00EE5706"/>
    <w:rsid w:val="00EF373D"/>
    <w:rsid w:val="00F11595"/>
    <w:rsid w:val="00F13BC9"/>
    <w:rsid w:val="00F33ABC"/>
    <w:rsid w:val="00F357B2"/>
    <w:rsid w:val="00F36556"/>
    <w:rsid w:val="00F6537C"/>
    <w:rsid w:val="00F705DF"/>
    <w:rsid w:val="00F70622"/>
    <w:rsid w:val="00F77BEC"/>
    <w:rsid w:val="00F8136E"/>
    <w:rsid w:val="00F85624"/>
    <w:rsid w:val="00F87C05"/>
    <w:rsid w:val="00F93191"/>
    <w:rsid w:val="00F93A17"/>
    <w:rsid w:val="00FA2AE1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6D15A6E5-52E9-4D75-95C5-DBEBA9D7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003D8"/>
    <w:rPr>
      <w:rFonts w:ascii="Calibri" w:eastAsia="Times New Roman" w:hAnsi="Calibri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D3FAF"/>
    <w:rPr>
      <w:rFonts w:ascii="Calibri" w:hAnsi="Calibri"/>
      <w:sz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usiness.un.org/en/documents/guidelin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globalcompact.org/what-is-gc/mission/principles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ngyji\AppData\Roaming\Microsoft\Templates\POOL%20C%20-%20ITU\PC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A4D9A-ED08-41FF-8309-CA38F15FD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PC_C17.dotx</Template>
  <TotalTime>1</TotalTime>
  <Pages>4</Pages>
  <Words>2431</Words>
  <Characters>526</Characters>
  <Application>Microsoft Office Word</Application>
  <DocSecurity>4</DocSecurity>
  <Lines>4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Efficiency measures</vt:lpstr>
    </vt:vector>
  </TitlesOfParts>
  <Manager>General Secretariat - Pool</Manager>
  <Company>International Telecommunication Union (ITU)</Company>
  <LinksUpToDate>false</LinksUpToDate>
  <CharactersWithSpaces>2952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HQ premises project</dc:title>
  <dc:subject>Council 2017</dc:subject>
  <dc:creator>Wang, Yujia</dc:creator>
  <cp:keywords>C2018, C18</cp:keywords>
  <dc:description/>
  <cp:lastModifiedBy>Janin</cp:lastModifiedBy>
  <cp:revision>2</cp:revision>
  <cp:lastPrinted>2015-02-24T13:23:00Z</cp:lastPrinted>
  <dcterms:created xsi:type="dcterms:W3CDTF">2018-03-12T08:27:00Z</dcterms:created>
  <dcterms:modified xsi:type="dcterms:W3CDTF">2018-03-12T08:27:00Z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