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30735A">
        <w:trPr>
          <w:cantSplit/>
        </w:trPr>
        <w:tc>
          <w:tcPr>
            <w:tcW w:w="6911" w:type="dxa"/>
          </w:tcPr>
          <w:p w:rsidR="00BC7BC0" w:rsidRPr="0030735A" w:rsidRDefault="000569B4" w:rsidP="00A01CF9">
            <w:pPr>
              <w:spacing w:before="360" w:after="48"/>
              <w:rPr>
                <w:position w:val="6"/>
                <w:szCs w:val="22"/>
              </w:rPr>
            </w:pPr>
            <w:r w:rsidRPr="0030735A">
              <w:rPr>
                <w:b/>
                <w:smallCaps/>
                <w:sz w:val="28"/>
                <w:szCs w:val="28"/>
              </w:rPr>
              <w:t>СОВЕТ 20</w:t>
            </w:r>
            <w:r w:rsidR="003F099E" w:rsidRPr="0030735A">
              <w:rPr>
                <w:b/>
                <w:smallCaps/>
                <w:sz w:val="28"/>
                <w:szCs w:val="28"/>
              </w:rPr>
              <w:t>1</w:t>
            </w:r>
            <w:r w:rsidR="00A01CF9" w:rsidRPr="0030735A">
              <w:rPr>
                <w:b/>
                <w:smallCaps/>
                <w:sz w:val="28"/>
                <w:szCs w:val="28"/>
              </w:rPr>
              <w:t>8</w:t>
            </w:r>
            <w:r w:rsidRPr="0030735A">
              <w:rPr>
                <w:b/>
                <w:smallCaps/>
                <w:sz w:val="24"/>
                <w:szCs w:val="24"/>
              </w:rPr>
              <w:br/>
            </w:r>
            <w:r w:rsidR="00225368" w:rsidRPr="0030735A">
              <w:rPr>
                <w:rFonts w:cs="Arial"/>
                <w:b/>
                <w:bCs/>
                <w:szCs w:val="22"/>
              </w:rPr>
              <w:t>Женева</w:t>
            </w:r>
            <w:r w:rsidR="00225368" w:rsidRPr="0030735A">
              <w:rPr>
                <w:b/>
                <w:bCs/>
                <w:szCs w:val="22"/>
              </w:rPr>
              <w:t xml:space="preserve">, </w:t>
            </w:r>
            <w:r w:rsidR="00225368" w:rsidRPr="0030735A">
              <w:rPr>
                <w:b/>
                <w:bCs/>
              </w:rPr>
              <w:t>1</w:t>
            </w:r>
            <w:r w:rsidR="00A01CF9" w:rsidRPr="0030735A">
              <w:rPr>
                <w:b/>
                <w:bCs/>
              </w:rPr>
              <w:t>7</w:t>
            </w:r>
            <w:r w:rsidR="006833CE" w:rsidRPr="0030735A">
              <w:rPr>
                <w:b/>
                <w:bCs/>
              </w:rPr>
              <w:t>−</w:t>
            </w:r>
            <w:r w:rsidR="008B62B4" w:rsidRPr="0030735A">
              <w:rPr>
                <w:b/>
                <w:bCs/>
              </w:rPr>
              <w:t>2</w:t>
            </w:r>
            <w:r w:rsidR="00A01CF9" w:rsidRPr="0030735A">
              <w:rPr>
                <w:b/>
                <w:bCs/>
              </w:rPr>
              <w:t>7</w:t>
            </w:r>
            <w:r w:rsidR="00A01CF9" w:rsidRPr="0030735A">
              <w:rPr>
                <w:b/>
                <w:szCs w:val="22"/>
              </w:rPr>
              <w:t xml:space="preserve"> апреля</w:t>
            </w:r>
            <w:r w:rsidR="00A01CF9" w:rsidRPr="0030735A">
              <w:rPr>
                <w:b/>
                <w:bCs/>
              </w:rPr>
              <w:t xml:space="preserve"> </w:t>
            </w:r>
            <w:r w:rsidR="00225368" w:rsidRPr="0030735A">
              <w:rPr>
                <w:b/>
                <w:bCs/>
              </w:rPr>
              <w:t>201</w:t>
            </w:r>
            <w:r w:rsidR="00A01CF9" w:rsidRPr="0030735A">
              <w:rPr>
                <w:b/>
                <w:bCs/>
              </w:rPr>
              <w:t>8</w:t>
            </w:r>
            <w:r w:rsidR="00225368" w:rsidRPr="0030735A">
              <w:rPr>
                <w:b/>
                <w:bCs/>
              </w:rPr>
              <w:t xml:space="preserve"> года</w:t>
            </w:r>
          </w:p>
        </w:tc>
        <w:tc>
          <w:tcPr>
            <w:tcW w:w="3120" w:type="dxa"/>
          </w:tcPr>
          <w:p w:rsidR="00BC7BC0" w:rsidRPr="0030735A" w:rsidRDefault="009C1C89" w:rsidP="00D92EEA">
            <w:pPr>
              <w:spacing w:before="0" w:line="240" w:lineRule="atLeast"/>
              <w:jc w:val="right"/>
              <w:rPr>
                <w:szCs w:val="22"/>
              </w:rPr>
            </w:pPr>
            <w:bookmarkStart w:id="0" w:name="ditulogo"/>
            <w:bookmarkEnd w:id="0"/>
            <w:r w:rsidRPr="0030735A">
              <w:rPr>
                <w:noProof/>
                <w:lang w:val="en-GB"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30735A">
        <w:trPr>
          <w:cantSplit/>
        </w:trPr>
        <w:tc>
          <w:tcPr>
            <w:tcW w:w="6911" w:type="dxa"/>
            <w:tcBorders>
              <w:bottom w:val="single" w:sz="12" w:space="0" w:color="auto"/>
            </w:tcBorders>
          </w:tcPr>
          <w:p w:rsidR="00BC7BC0" w:rsidRPr="0030735A" w:rsidRDefault="00BC7BC0" w:rsidP="00BC7BC0">
            <w:pPr>
              <w:spacing w:before="0" w:after="48" w:line="240" w:lineRule="atLeast"/>
              <w:rPr>
                <w:b/>
                <w:smallCaps/>
                <w:szCs w:val="22"/>
              </w:rPr>
            </w:pPr>
          </w:p>
        </w:tc>
        <w:tc>
          <w:tcPr>
            <w:tcW w:w="3120" w:type="dxa"/>
            <w:tcBorders>
              <w:bottom w:val="single" w:sz="12" w:space="0" w:color="auto"/>
            </w:tcBorders>
          </w:tcPr>
          <w:p w:rsidR="00BC7BC0" w:rsidRPr="0030735A" w:rsidRDefault="00BC7BC0" w:rsidP="00BC7BC0">
            <w:pPr>
              <w:spacing w:before="0" w:line="240" w:lineRule="atLeast"/>
              <w:rPr>
                <w:szCs w:val="22"/>
              </w:rPr>
            </w:pPr>
          </w:p>
        </w:tc>
      </w:tr>
      <w:tr w:rsidR="00BC7BC0" w:rsidRPr="0030735A">
        <w:trPr>
          <w:cantSplit/>
        </w:trPr>
        <w:tc>
          <w:tcPr>
            <w:tcW w:w="6911" w:type="dxa"/>
            <w:tcBorders>
              <w:top w:val="single" w:sz="12" w:space="0" w:color="auto"/>
            </w:tcBorders>
          </w:tcPr>
          <w:p w:rsidR="00BC7BC0" w:rsidRPr="0030735A" w:rsidRDefault="00BC7BC0" w:rsidP="004D0129">
            <w:pPr>
              <w:spacing w:before="0" w:line="240" w:lineRule="atLeast"/>
              <w:rPr>
                <w:b/>
                <w:smallCaps/>
                <w:szCs w:val="22"/>
              </w:rPr>
            </w:pPr>
          </w:p>
        </w:tc>
        <w:tc>
          <w:tcPr>
            <w:tcW w:w="3120" w:type="dxa"/>
            <w:tcBorders>
              <w:top w:val="single" w:sz="12" w:space="0" w:color="auto"/>
            </w:tcBorders>
          </w:tcPr>
          <w:p w:rsidR="00BC7BC0" w:rsidRPr="0030735A" w:rsidRDefault="00BC7BC0" w:rsidP="004D0129">
            <w:pPr>
              <w:spacing w:before="0" w:line="240" w:lineRule="atLeast"/>
              <w:rPr>
                <w:szCs w:val="22"/>
              </w:rPr>
            </w:pPr>
          </w:p>
        </w:tc>
      </w:tr>
      <w:tr w:rsidR="00BC7BC0" w:rsidRPr="0030735A">
        <w:trPr>
          <w:cantSplit/>
          <w:trHeight w:val="23"/>
        </w:trPr>
        <w:tc>
          <w:tcPr>
            <w:tcW w:w="6911" w:type="dxa"/>
            <w:vMerge w:val="restart"/>
          </w:tcPr>
          <w:p w:rsidR="00BC7BC0" w:rsidRPr="0030735A" w:rsidRDefault="00BC7BC0" w:rsidP="00012983">
            <w:pPr>
              <w:tabs>
                <w:tab w:val="left" w:pos="851"/>
              </w:tabs>
              <w:spacing w:before="0" w:line="240" w:lineRule="atLeast"/>
              <w:rPr>
                <w:b/>
                <w:szCs w:val="22"/>
              </w:rPr>
            </w:pPr>
            <w:r w:rsidRPr="0030735A">
              <w:rPr>
                <w:b/>
                <w:bCs/>
                <w:szCs w:val="22"/>
              </w:rPr>
              <w:t>Пункт повестки дня:</w:t>
            </w:r>
            <w:r w:rsidRPr="0030735A">
              <w:rPr>
                <w:b/>
                <w:bCs/>
                <w:caps/>
                <w:szCs w:val="22"/>
              </w:rPr>
              <w:t xml:space="preserve"> </w:t>
            </w:r>
            <w:r w:rsidR="00012983" w:rsidRPr="0030735A">
              <w:rPr>
                <w:b/>
              </w:rPr>
              <w:t>ADM 15</w:t>
            </w:r>
          </w:p>
        </w:tc>
        <w:tc>
          <w:tcPr>
            <w:tcW w:w="3120" w:type="dxa"/>
          </w:tcPr>
          <w:p w:rsidR="00BC7BC0" w:rsidRPr="0030735A" w:rsidRDefault="00BC7BC0" w:rsidP="00E56027">
            <w:pPr>
              <w:tabs>
                <w:tab w:val="left" w:pos="851"/>
              </w:tabs>
              <w:spacing w:before="0" w:line="240" w:lineRule="atLeast"/>
              <w:rPr>
                <w:b/>
                <w:bCs/>
                <w:szCs w:val="22"/>
              </w:rPr>
            </w:pPr>
            <w:r w:rsidRPr="0030735A">
              <w:rPr>
                <w:b/>
                <w:bCs/>
                <w:szCs w:val="22"/>
              </w:rPr>
              <w:t>Документ C</w:t>
            </w:r>
            <w:r w:rsidR="003F099E" w:rsidRPr="0030735A">
              <w:rPr>
                <w:b/>
                <w:bCs/>
                <w:szCs w:val="22"/>
              </w:rPr>
              <w:t>1</w:t>
            </w:r>
            <w:r w:rsidR="00A01CF9" w:rsidRPr="0030735A">
              <w:rPr>
                <w:b/>
                <w:bCs/>
                <w:szCs w:val="22"/>
              </w:rPr>
              <w:t>8</w:t>
            </w:r>
            <w:r w:rsidRPr="0030735A">
              <w:rPr>
                <w:b/>
                <w:bCs/>
                <w:szCs w:val="22"/>
              </w:rPr>
              <w:t>/</w:t>
            </w:r>
            <w:r w:rsidR="00E56027" w:rsidRPr="0030735A">
              <w:rPr>
                <w:b/>
                <w:bCs/>
                <w:szCs w:val="22"/>
              </w:rPr>
              <w:t>46</w:t>
            </w:r>
            <w:r w:rsidRPr="0030735A">
              <w:rPr>
                <w:b/>
                <w:bCs/>
                <w:szCs w:val="22"/>
              </w:rPr>
              <w:t>-R</w:t>
            </w:r>
          </w:p>
        </w:tc>
      </w:tr>
      <w:tr w:rsidR="00BC7BC0" w:rsidRPr="0030735A">
        <w:trPr>
          <w:cantSplit/>
          <w:trHeight w:val="23"/>
        </w:trPr>
        <w:tc>
          <w:tcPr>
            <w:tcW w:w="6911" w:type="dxa"/>
            <w:vMerge/>
          </w:tcPr>
          <w:p w:rsidR="00BC7BC0" w:rsidRPr="0030735A" w:rsidRDefault="00BC7BC0" w:rsidP="00BC7BC0">
            <w:pPr>
              <w:tabs>
                <w:tab w:val="left" w:pos="851"/>
              </w:tabs>
              <w:spacing w:line="240" w:lineRule="atLeast"/>
              <w:rPr>
                <w:b/>
                <w:szCs w:val="22"/>
              </w:rPr>
            </w:pPr>
          </w:p>
        </w:tc>
        <w:tc>
          <w:tcPr>
            <w:tcW w:w="3120" w:type="dxa"/>
          </w:tcPr>
          <w:p w:rsidR="00BC7BC0" w:rsidRPr="0030735A" w:rsidRDefault="00E56027" w:rsidP="006833CE">
            <w:pPr>
              <w:tabs>
                <w:tab w:val="left" w:pos="993"/>
              </w:tabs>
              <w:spacing w:before="0"/>
              <w:rPr>
                <w:b/>
                <w:bCs/>
                <w:szCs w:val="22"/>
              </w:rPr>
            </w:pPr>
            <w:r w:rsidRPr="0030735A">
              <w:rPr>
                <w:b/>
                <w:bCs/>
                <w:szCs w:val="22"/>
              </w:rPr>
              <w:t>4 апреля</w:t>
            </w:r>
            <w:r w:rsidR="00BC7BC0" w:rsidRPr="0030735A">
              <w:rPr>
                <w:b/>
                <w:bCs/>
                <w:szCs w:val="22"/>
              </w:rPr>
              <w:t xml:space="preserve"> 20</w:t>
            </w:r>
            <w:r w:rsidR="003F099E" w:rsidRPr="0030735A">
              <w:rPr>
                <w:b/>
                <w:bCs/>
                <w:szCs w:val="22"/>
              </w:rPr>
              <w:t>1</w:t>
            </w:r>
            <w:r w:rsidR="00A01CF9" w:rsidRPr="0030735A">
              <w:rPr>
                <w:b/>
                <w:bCs/>
                <w:szCs w:val="22"/>
              </w:rPr>
              <w:t>8</w:t>
            </w:r>
            <w:r w:rsidR="00BC7BC0" w:rsidRPr="0030735A">
              <w:rPr>
                <w:b/>
                <w:bCs/>
                <w:szCs w:val="22"/>
              </w:rPr>
              <w:t xml:space="preserve"> года</w:t>
            </w:r>
          </w:p>
        </w:tc>
      </w:tr>
      <w:tr w:rsidR="00BC7BC0" w:rsidRPr="0030735A">
        <w:trPr>
          <w:cantSplit/>
          <w:trHeight w:val="23"/>
        </w:trPr>
        <w:tc>
          <w:tcPr>
            <w:tcW w:w="6911" w:type="dxa"/>
            <w:vMerge/>
          </w:tcPr>
          <w:p w:rsidR="00BC7BC0" w:rsidRPr="0030735A" w:rsidRDefault="00BC7BC0" w:rsidP="00BC7BC0">
            <w:pPr>
              <w:tabs>
                <w:tab w:val="left" w:pos="851"/>
              </w:tabs>
              <w:spacing w:line="240" w:lineRule="atLeast"/>
              <w:rPr>
                <w:b/>
                <w:szCs w:val="22"/>
              </w:rPr>
            </w:pPr>
          </w:p>
        </w:tc>
        <w:tc>
          <w:tcPr>
            <w:tcW w:w="3120" w:type="dxa"/>
          </w:tcPr>
          <w:p w:rsidR="00BC7BC0" w:rsidRPr="0030735A" w:rsidRDefault="00BC7BC0" w:rsidP="006833CE">
            <w:pPr>
              <w:tabs>
                <w:tab w:val="left" w:pos="993"/>
              </w:tabs>
              <w:spacing w:before="0"/>
              <w:rPr>
                <w:b/>
                <w:bCs/>
                <w:szCs w:val="22"/>
              </w:rPr>
            </w:pPr>
            <w:r w:rsidRPr="0030735A">
              <w:rPr>
                <w:b/>
                <w:bCs/>
                <w:szCs w:val="22"/>
              </w:rPr>
              <w:t xml:space="preserve">Оригинал: </w:t>
            </w:r>
            <w:r w:rsidR="00CF2179" w:rsidRPr="0030735A">
              <w:rPr>
                <w:b/>
                <w:bCs/>
                <w:szCs w:val="22"/>
              </w:rPr>
              <w:t>английский</w:t>
            </w:r>
          </w:p>
        </w:tc>
      </w:tr>
      <w:tr w:rsidR="00BC7BC0" w:rsidRPr="0030735A">
        <w:trPr>
          <w:cantSplit/>
        </w:trPr>
        <w:tc>
          <w:tcPr>
            <w:tcW w:w="10031" w:type="dxa"/>
            <w:gridSpan w:val="2"/>
          </w:tcPr>
          <w:p w:rsidR="00BC7BC0" w:rsidRPr="0030735A" w:rsidRDefault="00BC7BC0" w:rsidP="00CF2179">
            <w:pPr>
              <w:pStyle w:val="Source"/>
              <w:rPr>
                <w:szCs w:val="22"/>
              </w:rPr>
            </w:pPr>
            <w:bookmarkStart w:id="1" w:name="dtitle2" w:colFirst="0" w:colLast="0"/>
            <w:r w:rsidRPr="0030735A">
              <w:t>Отчет Генерального секретаря</w:t>
            </w:r>
          </w:p>
        </w:tc>
      </w:tr>
      <w:tr w:rsidR="00BC7BC0" w:rsidRPr="0030735A">
        <w:trPr>
          <w:cantSplit/>
        </w:trPr>
        <w:tc>
          <w:tcPr>
            <w:tcW w:w="10031" w:type="dxa"/>
            <w:gridSpan w:val="2"/>
          </w:tcPr>
          <w:p w:rsidR="00BC7BC0" w:rsidRPr="0030735A" w:rsidRDefault="00E56027" w:rsidP="00A71773">
            <w:pPr>
              <w:pStyle w:val="Title1"/>
              <w:rPr>
                <w:szCs w:val="22"/>
              </w:rPr>
            </w:pPr>
            <w:bookmarkStart w:id="2" w:name="dtitle3" w:colFirst="0" w:colLast="0"/>
            <w:bookmarkEnd w:id="1"/>
            <w:r w:rsidRPr="0030735A">
              <w:rPr>
                <w:szCs w:val="26"/>
                <w:lang w:eastAsia="ja-JP"/>
              </w:rPr>
              <w:t>ОБЯЗАТЕЛЬСТВА ПО МЕДИЦИНСКОМУ СТРАХОВАНИЮ</w:t>
            </w:r>
            <w:r w:rsidRPr="0030735A">
              <w:rPr>
                <w:szCs w:val="26"/>
                <w:lang w:eastAsia="ja-JP"/>
              </w:rPr>
              <w:br/>
              <w:t>ПОСЛЕ ВЫХОДА В ОТСТАВКУ (АСХИ)</w:t>
            </w:r>
          </w:p>
        </w:tc>
      </w:tr>
      <w:bookmarkEnd w:id="2"/>
    </w:tbl>
    <w:p w:rsidR="002D2F57" w:rsidRPr="0030735A" w:rsidRDefault="002D2F5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12983" w:rsidRPr="0030735A" w:rsidTr="00F239A9">
        <w:trPr>
          <w:trHeight w:val="3372"/>
        </w:trPr>
        <w:tc>
          <w:tcPr>
            <w:tcW w:w="8080" w:type="dxa"/>
            <w:tcBorders>
              <w:top w:val="single" w:sz="12" w:space="0" w:color="auto"/>
              <w:left w:val="single" w:sz="12" w:space="0" w:color="auto"/>
              <w:bottom w:val="single" w:sz="12" w:space="0" w:color="auto"/>
              <w:right w:val="single" w:sz="12" w:space="0" w:color="auto"/>
            </w:tcBorders>
          </w:tcPr>
          <w:p w:rsidR="00012983" w:rsidRPr="0030735A" w:rsidRDefault="00012983" w:rsidP="00E56027">
            <w:pPr>
              <w:pStyle w:val="Headingb"/>
            </w:pPr>
            <w:r w:rsidRPr="0030735A">
              <w:t>Резюме</w:t>
            </w:r>
          </w:p>
          <w:p w:rsidR="00012983" w:rsidRPr="0030735A" w:rsidRDefault="00012983" w:rsidP="00E56027">
            <w:r w:rsidRPr="0030735A">
              <w:t>В настоящем документе представлена ситуация с обязательствами по </w:t>
            </w:r>
            <w:r w:rsidRPr="0030735A">
              <w:rPr>
                <w:rFonts w:asciiTheme="minorHAnsi" w:hAnsiTheme="minorHAnsi"/>
                <w:lang w:eastAsia="ja-JP"/>
              </w:rPr>
              <w:t>медицинскому страхованию после выхода в отставку</w:t>
            </w:r>
            <w:r w:rsidRPr="0030735A">
              <w:t xml:space="preserve"> (АСХИ) по состоянию на 31 декабря 201</w:t>
            </w:r>
            <w:r w:rsidR="00E56027" w:rsidRPr="0030735A">
              <w:t>7</w:t>
            </w:r>
            <w:r w:rsidRPr="0030735A">
              <w:t> года. Документ подготовлен в соответствии с поручением Совета 2014 года о получении от МСЭ ежегодных отчетов, касающихся обязательств по АСХИ, и представлении предложений по затратам для частичного финансирования этих обязательств в соответствии с рекомендацией 6 отчета Внешнего аудитора по счетам за 2012 год.</w:t>
            </w:r>
          </w:p>
          <w:p w:rsidR="00012983" w:rsidRPr="0030735A" w:rsidRDefault="00012983" w:rsidP="00E56027">
            <w:pPr>
              <w:pStyle w:val="Headingb"/>
            </w:pPr>
            <w:r w:rsidRPr="0030735A">
              <w:t>Необходимые действия</w:t>
            </w:r>
          </w:p>
          <w:p w:rsidR="00012983" w:rsidRPr="0030735A" w:rsidRDefault="00012983" w:rsidP="00E56027">
            <w:r w:rsidRPr="0030735A">
              <w:t xml:space="preserve">Совету предлагается </w:t>
            </w:r>
            <w:r w:rsidRPr="0030735A">
              <w:rPr>
                <w:b/>
                <w:bCs/>
              </w:rPr>
              <w:t>принять к сведению</w:t>
            </w:r>
            <w:r w:rsidRPr="0030735A">
              <w:t xml:space="preserve"> настоящий документ.</w:t>
            </w:r>
          </w:p>
          <w:p w:rsidR="00012983" w:rsidRPr="0030735A" w:rsidRDefault="00012983" w:rsidP="00F239A9">
            <w:pPr>
              <w:jc w:val="center"/>
              <w:rPr>
                <w:szCs w:val="22"/>
              </w:rPr>
            </w:pPr>
            <w:r w:rsidRPr="0030735A">
              <w:rPr>
                <w:szCs w:val="22"/>
              </w:rPr>
              <w:t>____________</w:t>
            </w:r>
          </w:p>
          <w:p w:rsidR="00012983" w:rsidRPr="0030735A" w:rsidRDefault="00012983" w:rsidP="00E56027">
            <w:pPr>
              <w:pStyle w:val="Headingb"/>
            </w:pPr>
            <w:r w:rsidRPr="0030735A">
              <w:t>Справочные материалы</w:t>
            </w:r>
          </w:p>
          <w:p w:rsidR="00012983" w:rsidRPr="0030735A" w:rsidRDefault="00012983" w:rsidP="00E56027">
            <w:pPr>
              <w:spacing w:after="120"/>
              <w:rPr>
                <w:i/>
                <w:iCs/>
              </w:rPr>
            </w:pPr>
            <w:r w:rsidRPr="0030735A">
              <w:rPr>
                <w:szCs w:val="22"/>
              </w:rPr>
              <w:t xml:space="preserve">Документ </w:t>
            </w:r>
            <w:hyperlink r:id="rId8" w:history="1">
              <w:r w:rsidRPr="0030735A">
                <w:rPr>
                  <w:rStyle w:val="Hyperlink"/>
                  <w:szCs w:val="22"/>
                </w:rPr>
                <w:t>C16/46</w:t>
              </w:r>
            </w:hyperlink>
            <w:r w:rsidRPr="0030735A">
              <w:rPr>
                <w:szCs w:val="22"/>
              </w:rPr>
              <w:t xml:space="preserve"> и </w:t>
            </w:r>
            <w:hyperlink r:id="rId9" w:history="1">
              <w:r w:rsidRPr="0030735A">
                <w:rPr>
                  <w:rStyle w:val="Hyperlink"/>
                  <w:szCs w:val="22"/>
                </w:rPr>
                <w:t>Реш</w:t>
              </w:r>
              <w:bookmarkStart w:id="3" w:name="_GoBack"/>
              <w:bookmarkEnd w:id="3"/>
              <w:r w:rsidRPr="0030735A">
                <w:rPr>
                  <w:rStyle w:val="Hyperlink"/>
                  <w:szCs w:val="22"/>
                </w:rPr>
                <w:t>ение 5</w:t>
              </w:r>
            </w:hyperlink>
            <w:r w:rsidRPr="0030735A">
              <w:rPr>
                <w:szCs w:val="22"/>
              </w:rPr>
              <w:t xml:space="preserve"> (Пересм. Пусан, 2014 г</w:t>
            </w:r>
            <w:r w:rsidR="00E56027" w:rsidRPr="0030735A">
              <w:rPr>
                <w:szCs w:val="22"/>
              </w:rPr>
              <w:t>.</w:t>
            </w:r>
            <w:r w:rsidRPr="0030735A">
              <w:rPr>
                <w:szCs w:val="22"/>
              </w:rPr>
              <w:t>)</w:t>
            </w:r>
          </w:p>
        </w:tc>
      </w:tr>
    </w:tbl>
    <w:p w:rsidR="00E56027" w:rsidRPr="0030735A" w:rsidRDefault="00E56027" w:rsidP="0091704A">
      <w:pPr>
        <w:pStyle w:val="Heading1"/>
        <w:spacing w:before="360"/>
        <w:rPr>
          <w:bCs/>
        </w:rPr>
      </w:pPr>
      <w:r w:rsidRPr="0030735A">
        <w:rPr>
          <w:bCs/>
        </w:rPr>
        <w:t>1</w:t>
      </w:r>
      <w:r w:rsidRPr="0030735A">
        <w:rPr>
          <w:bCs/>
        </w:rPr>
        <w:tab/>
      </w:r>
      <w:r w:rsidRPr="0030735A">
        <w:t>Введение</w:t>
      </w:r>
    </w:p>
    <w:p w:rsidR="00E56027" w:rsidRPr="0030735A" w:rsidRDefault="00E56027" w:rsidP="00E56027">
      <w:r w:rsidRPr="0030735A">
        <w:t>1.1</w:t>
      </w:r>
      <w:r w:rsidRPr="0030735A">
        <w:tab/>
        <w:t>Величина чистых активов МСЭ изменилась с положительной на отрицательную в связи с отражением обязательств по АСХИ в соответствии с требованиями IPSAS, что привело к признанию в обязательном порядке приведенной стоимости будущих обязательств, связанных с медицинским страхованием после выхода в отставку (АСХИ).</w:t>
      </w:r>
    </w:p>
    <w:p w:rsidR="00E56027" w:rsidRPr="0030735A" w:rsidRDefault="00E56027" w:rsidP="005034EC">
      <w:r w:rsidRPr="0030735A">
        <w:t>1.2</w:t>
      </w:r>
      <w:r w:rsidRPr="0030735A">
        <w:tab/>
        <w:t xml:space="preserve">Программа АСХИ, осуществляемая в виде самофинансируемой программы, в рамках которой продолжается обеспечение медицинского страхования после выхода на пенсию в отношении имеющих на это право сотрудников, была создана в 1967 году. С тех пор соответствующие затраты, которые </w:t>
      </w:r>
      <w:r w:rsidR="005034EC" w:rsidRPr="0030735A">
        <w:t>совместно несут</w:t>
      </w:r>
      <w:r w:rsidRPr="0030735A">
        <w:t xml:space="preserve"> Союз и персонал, существенно возросли вследствие увеличения числа застрахованных пенсионеров и роста затрат на медицинские услуги.</w:t>
      </w:r>
    </w:p>
    <w:p w:rsidR="00E56027" w:rsidRPr="0030735A" w:rsidRDefault="00E56027" w:rsidP="005034EC">
      <w:r w:rsidRPr="0030735A">
        <w:t>1.3</w:t>
      </w:r>
      <w:r w:rsidRPr="0030735A">
        <w:tab/>
      </w:r>
      <w:r w:rsidR="005034EC" w:rsidRPr="0030735A">
        <w:t xml:space="preserve">Обязательства по АСХИ на дату закрытия </w:t>
      </w:r>
      <w:r w:rsidR="0091704A" w:rsidRPr="0030735A">
        <w:t>отражаю</w:t>
      </w:r>
      <w:r w:rsidR="005034EC" w:rsidRPr="0030735A">
        <w:t xml:space="preserve">т </w:t>
      </w:r>
      <w:r w:rsidR="005034EC" w:rsidRPr="0030735A">
        <w:rPr>
          <w:color w:val="000000"/>
        </w:rPr>
        <w:t>приведенную стоимость платежей, которые МСЭ должен был бы осуществить сегодня в случае прекращения деятельности</w:t>
      </w:r>
      <w:r w:rsidRPr="0030735A">
        <w:t xml:space="preserve">. </w:t>
      </w:r>
      <w:r w:rsidR="00C53AF2" w:rsidRPr="0030735A">
        <w:t xml:space="preserve">Данная ситуация </w:t>
      </w:r>
      <w:r w:rsidR="005034EC" w:rsidRPr="0030735A">
        <w:t>крайне</w:t>
      </w:r>
      <w:r w:rsidR="00C53AF2" w:rsidRPr="0030735A">
        <w:t xml:space="preserve"> маловероятна, однако Союз стремится увеличить объем средств фонда и таким образом уменьшить соответствующие обязательства. Были приняты меры по возвращению к ситуации, при которой счета плана медицинского страхования имели положительное сальдо, чтобы обеспечить страховое покрытие на основе распределительного принципа и создать доступные ресурсы для финансирования актуарных обязательств</w:t>
      </w:r>
      <w:r w:rsidRPr="0030735A">
        <w:t>.</w:t>
      </w:r>
    </w:p>
    <w:p w:rsidR="00E56027" w:rsidRPr="0030735A" w:rsidRDefault="00E56027" w:rsidP="004A1497">
      <w:r w:rsidRPr="0030735A">
        <w:lastRenderedPageBreak/>
        <w:t>1.4</w:t>
      </w:r>
      <w:r w:rsidRPr="0030735A">
        <w:tab/>
      </w:r>
      <w:r w:rsidR="00E65033" w:rsidRPr="0030735A">
        <w:rPr>
          <w:szCs w:val="22"/>
        </w:rPr>
        <w:t xml:space="preserve">По состоянию на 31 декабря 2017 года сумма обязательств, связанных с АСХИ, составляет </w:t>
      </w:r>
      <w:r w:rsidRPr="0030735A">
        <w:t>617</w:t>
      </w:r>
      <w:r w:rsidR="00E65033" w:rsidRPr="0030735A">
        <w:t>,</w:t>
      </w:r>
      <w:r w:rsidRPr="0030735A">
        <w:t>25</w:t>
      </w:r>
      <w:r w:rsidR="00E65033" w:rsidRPr="0030735A">
        <w:t> млн. швейцарских франков</w:t>
      </w:r>
      <w:r w:rsidRPr="0030735A">
        <w:t xml:space="preserve">. </w:t>
      </w:r>
      <w:r w:rsidR="005034EC" w:rsidRPr="0030735A">
        <w:t>Это существенное увеличение – с 551,9 млн. швейцарских франков на конец 2016 года – может быть объяснен</w:t>
      </w:r>
      <w:r w:rsidR="004A1497" w:rsidRPr="0030735A">
        <w:t>о</w:t>
      </w:r>
      <w:r w:rsidR="005034EC" w:rsidRPr="0030735A">
        <w:t xml:space="preserve"> различными факторами</w:t>
      </w:r>
      <w:r w:rsidRPr="0030735A">
        <w:t xml:space="preserve">. </w:t>
      </w:r>
      <w:r w:rsidR="005034EC" w:rsidRPr="0030735A">
        <w:t>Один из них – снижение с</w:t>
      </w:r>
      <w:r w:rsidR="00E65033" w:rsidRPr="0030735A">
        <w:t xml:space="preserve"> 0,92% </w:t>
      </w:r>
      <w:r w:rsidR="005034EC" w:rsidRPr="0030735A">
        <w:t>до</w:t>
      </w:r>
      <w:r w:rsidR="00E65033" w:rsidRPr="0030735A">
        <w:t xml:space="preserve"> 0,</w:t>
      </w:r>
      <w:r w:rsidRPr="0030735A">
        <w:t xml:space="preserve">90% </w:t>
      </w:r>
      <w:r w:rsidR="005034EC" w:rsidRPr="0030735A">
        <w:rPr>
          <w:color w:val="000000"/>
        </w:rPr>
        <w:t>ставки дисконтирования, используемой для расчета приведенной стоимости будущих суммарных заявок</w:t>
      </w:r>
      <w:r w:rsidRPr="0030735A">
        <w:t xml:space="preserve">. </w:t>
      </w:r>
      <w:r w:rsidR="00E65033" w:rsidRPr="0030735A">
        <w:rPr>
          <w:szCs w:val="22"/>
        </w:rPr>
        <w:t xml:space="preserve">Хотя данная ситуация связана с постоянно низкими процентными ставками (ставка дисконтирования МСЭ основана на доходности корпоративных облигаций, имеющих рейтинг AA), динамика ставки дисконтирования непредсказуема в долгосрочной перспективе, и ее увеличение может оказывать существенное положительное воздействие на обязательства по АСХИ. </w:t>
      </w:r>
      <w:r w:rsidR="005034EC" w:rsidRPr="0030735A">
        <w:rPr>
          <w:szCs w:val="22"/>
        </w:rPr>
        <w:t>Следует подчеркнуть, что текущие</w:t>
      </w:r>
      <w:r w:rsidRPr="0030735A">
        <w:t xml:space="preserve"> </w:t>
      </w:r>
      <w:r w:rsidR="00583944" w:rsidRPr="0030735A">
        <w:t>ставки дисконтирования постоянно низки, что оказало исключительно сильное отрицательное воздействие на чистые активы</w:t>
      </w:r>
      <w:r w:rsidRPr="0030735A">
        <w:t>.</w:t>
      </w:r>
    </w:p>
    <w:p w:rsidR="00E56027" w:rsidRPr="0030735A" w:rsidRDefault="00E56027" w:rsidP="00B647DF">
      <w:r w:rsidRPr="0030735A">
        <w:t>1.5</w:t>
      </w:r>
      <w:r w:rsidRPr="0030735A">
        <w:tab/>
      </w:r>
      <w:r w:rsidR="005034EC" w:rsidRPr="0030735A">
        <w:t>Тем не менее, происшедшее в 2017 году увеличение в основном связано с изменением допущений</w:t>
      </w:r>
      <w:r w:rsidR="00B647DF" w:rsidRPr="0030735A">
        <w:t>, используемых ООН, и, в частности таблицы смертности</w:t>
      </w:r>
      <w:r w:rsidRPr="0030735A">
        <w:t xml:space="preserve">. </w:t>
      </w:r>
      <w:r w:rsidR="00B647DF" w:rsidRPr="0030735A">
        <w:t xml:space="preserve">С </w:t>
      </w:r>
      <w:r w:rsidRPr="0030735A">
        <w:t>2010</w:t>
      </w:r>
      <w:r w:rsidR="00B647DF" w:rsidRPr="0030735A">
        <w:t> года демографические допущения базируются на таблице ООН, которая была обновлена и начала использоваться с конца 2017 года</w:t>
      </w:r>
      <w:r w:rsidRPr="0030735A">
        <w:t>.</w:t>
      </w:r>
    </w:p>
    <w:p w:rsidR="00E56027" w:rsidRPr="0030735A" w:rsidRDefault="00E56027" w:rsidP="00C453DC">
      <w:r w:rsidRPr="0030735A">
        <w:t>1.6</w:t>
      </w:r>
      <w:r w:rsidRPr="0030735A">
        <w:tab/>
      </w:r>
      <w:r w:rsidR="00583944" w:rsidRPr="0030735A">
        <w:t xml:space="preserve">В целях оптимизации сдерживания затрат МСЭ прекратил свое участие в Фонде медицинского страхования персонала (ФМСП), созданном при МОТ, и с 1 мая 2014 года внедрил новую систему медицинского страхования персонала под названием "План коллективного медицинского страхования (ПКМС) МСЭ". Этот план находится под управлением МСЭ и основан на контракте, подписанном с компаниями Cigna/Vanbreda International, при этом Cigna является страховщиком, а Cigna/Vanbreda – претензионистом. </w:t>
      </w:r>
      <w:r w:rsidR="008031FB" w:rsidRPr="0030735A">
        <w:t>После выхода МСЭ из ФМСП в 2014 году между МСЭ и МОТ велось судебное разбирательство по поводу разделения гарантийного фонда</w:t>
      </w:r>
      <w:r w:rsidRPr="0030735A">
        <w:t xml:space="preserve">. </w:t>
      </w:r>
      <w:r w:rsidR="00C453DC" w:rsidRPr="0030735A">
        <w:t>Слушания в арбитраже прошли в марте, и результат разбирательства должен б</w:t>
      </w:r>
      <w:r w:rsidR="0030735A">
        <w:t>ыть обнародован в течение этого </w:t>
      </w:r>
      <w:r w:rsidR="00C453DC" w:rsidRPr="0030735A">
        <w:t>года</w:t>
      </w:r>
      <w:r w:rsidRPr="0030735A">
        <w:t>.</w:t>
      </w:r>
    </w:p>
    <w:p w:rsidR="00E56027" w:rsidRPr="0030735A" w:rsidRDefault="00E56027" w:rsidP="00C453DC">
      <w:r w:rsidRPr="0030735A">
        <w:t>1.7</w:t>
      </w:r>
      <w:r w:rsidRPr="0030735A">
        <w:tab/>
      </w:r>
      <w:r w:rsidR="00120B2C" w:rsidRPr="0030735A">
        <w:t xml:space="preserve">МСЭ имеет твердое намерение и далее финансировать обязательства по АСХИ на долгосрочной основе, сосредоточив при этом свои усилия на финансировании системы медицинского страхования на распределительной основе. Следует отметить, что сметная величина взносов МСЭ на медицинское страхование, связанных с действующими сотрудниками, а также </w:t>
      </w:r>
      <w:r w:rsidR="00C453DC" w:rsidRPr="0030735A">
        <w:t xml:space="preserve">с </w:t>
      </w:r>
      <w:r w:rsidR="00120B2C" w:rsidRPr="0030735A">
        <w:t>пенсионерами, включ</w:t>
      </w:r>
      <w:r w:rsidR="00C453DC" w:rsidRPr="0030735A">
        <w:t>ается</w:t>
      </w:r>
      <w:r w:rsidR="00120B2C" w:rsidRPr="0030735A">
        <w:t xml:space="preserve"> в двухгодичный бюджет, представл</w:t>
      </w:r>
      <w:r w:rsidR="00C453DC" w:rsidRPr="0030735A">
        <w:t>яемый</w:t>
      </w:r>
      <w:r w:rsidR="00120B2C" w:rsidRPr="0030735A">
        <w:t xml:space="preserve"> Совету.</w:t>
      </w:r>
    </w:p>
    <w:p w:rsidR="00E56027" w:rsidRPr="0030735A" w:rsidRDefault="00E56027" w:rsidP="00120B2C">
      <w:pPr>
        <w:pStyle w:val="Heading1"/>
      </w:pPr>
      <w:r w:rsidRPr="0030735A">
        <w:t>2</w:t>
      </w:r>
      <w:r w:rsidRPr="0030735A">
        <w:tab/>
      </w:r>
      <w:r w:rsidR="00120B2C" w:rsidRPr="0030735A">
        <w:t>Динамика обязательств по АСХИ в 2017 году</w:t>
      </w:r>
    </w:p>
    <w:p w:rsidR="00E56027" w:rsidRPr="0030735A" w:rsidRDefault="00E56027" w:rsidP="00120B2C">
      <w:pPr>
        <w:spacing w:after="120"/>
      </w:pPr>
      <w:r w:rsidRPr="0030735A">
        <w:t>2.1</w:t>
      </w:r>
      <w:r w:rsidRPr="0030735A">
        <w:tab/>
      </w:r>
      <w:r w:rsidR="00120B2C" w:rsidRPr="0030735A">
        <w:rPr>
          <w:szCs w:val="22"/>
        </w:rPr>
        <w:t>Динамика обязательств по АСХИ начиная с 2010 года привела к росту отрицательной величины чистых активов, так как в них полностью учтены актуарные потери. В конце 2017 года обязательства по АСХИ существенно увеличились из-за изменения допущений, что привело к увеличению обязательств на 63,1 млн. швейцарских франков и отрицательному воздействию на чистые активы МСЭ в размере 47,1 млн. швейцарских франков.</w:t>
      </w:r>
    </w:p>
    <w:tbl>
      <w:tblPr>
        <w:tblW w:w="9640" w:type="dxa"/>
        <w:tblLayout w:type="fixed"/>
        <w:tblLook w:val="04A0" w:firstRow="1" w:lastRow="0" w:firstColumn="1" w:lastColumn="0" w:noHBand="0" w:noVBand="1"/>
      </w:tblPr>
      <w:tblGrid>
        <w:gridCol w:w="5818"/>
        <w:gridCol w:w="1911"/>
        <w:gridCol w:w="1911"/>
      </w:tblGrid>
      <w:tr w:rsidR="00120B2C" w:rsidRPr="0030735A" w:rsidTr="00431E2B">
        <w:trPr>
          <w:tblHeader/>
        </w:trPr>
        <w:tc>
          <w:tcPr>
            <w:tcW w:w="5818" w:type="dxa"/>
            <w:tcBorders>
              <w:top w:val="single" w:sz="4" w:space="0" w:color="auto"/>
              <w:left w:val="single" w:sz="4" w:space="0" w:color="auto"/>
              <w:bottom w:val="single" w:sz="4" w:space="0" w:color="auto"/>
              <w:right w:val="nil"/>
            </w:tcBorders>
            <w:shd w:val="clear" w:color="auto" w:fill="auto"/>
            <w:vAlign w:val="center"/>
            <w:hideMark/>
          </w:tcPr>
          <w:p w:rsidR="00120B2C" w:rsidRPr="0030735A" w:rsidRDefault="00120B2C" w:rsidP="00C752DD">
            <w:pPr>
              <w:pStyle w:val="Tablehead"/>
              <w:rPr>
                <w:bCs/>
                <w:color w:val="000000"/>
              </w:rPr>
            </w:pPr>
            <w:r w:rsidRPr="0030735A">
              <w:t xml:space="preserve">Сумма обязательств в рамках плана АСХИ </w:t>
            </w:r>
            <w:r w:rsidRPr="0030735A">
              <w:br/>
              <w:t>на 31 декабря 2017 года и 31 декабря 201</w:t>
            </w:r>
            <w:r w:rsidR="00C752DD" w:rsidRPr="0030735A">
              <w:t>6</w:t>
            </w:r>
            <w:r w:rsidRPr="0030735A">
              <w:t xml:space="preserve"> года, </w:t>
            </w:r>
            <w:r w:rsidRPr="0030735A">
              <w:br/>
              <w:t>представленная в отчете о финансовом положении</w:t>
            </w:r>
          </w:p>
        </w:tc>
        <w:tc>
          <w:tcPr>
            <w:tcW w:w="1911" w:type="dxa"/>
            <w:tcBorders>
              <w:top w:val="single" w:sz="4" w:space="0" w:color="auto"/>
              <w:left w:val="single" w:sz="4" w:space="0" w:color="auto"/>
              <w:bottom w:val="single" w:sz="4" w:space="0" w:color="auto"/>
              <w:right w:val="single" w:sz="4" w:space="0" w:color="auto"/>
            </w:tcBorders>
            <w:vAlign w:val="center"/>
          </w:tcPr>
          <w:p w:rsidR="00120B2C" w:rsidRPr="0030735A" w:rsidRDefault="00120B2C" w:rsidP="00431E2B">
            <w:pPr>
              <w:pStyle w:val="Tablehead"/>
            </w:pPr>
            <w:r w:rsidRPr="0030735A">
              <w:t>31 декабря 2017 г</w:t>
            </w:r>
            <w:r w:rsidR="00431E2B" w:rsidRPr="0030735A">
              <w:t>.</w:t>
            </w:r>
            <w:r w:rsidRPr="0030735A">
              <w:t>,</w:t>
            </w:r>
            <w:r w:rsidRPr="0030735A">
              <w:br/>
            </w:r>
            <w:r w:rsidRPr="0030735A">
              <w:rPr>
                <w:i/>
                <w:iCs/>
              </w:rPr>
              <w:t>тыс. шв. фр.</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B2C" w:rsidRPr="0030735A" w:rsidRDefault="00120B2C" w:rsidP="00431E2B">
            <w:pPr>
              <w:pStyle w:val="Tablehead"/>
            </w:pPr>
            <w:r w:rsidRPr="0030735A">
              <w:t>31 декабря 2016 г</w:t>
            </w:r>
            <w:r w:rsidR="00431E2B" w:rsidRPr="0030735A">
              <w:t>.</w:t>
            </w:r>
            <w:r w:rsidRPr="0030735A">
              <w:t>,</w:t>
            </w:r>
            <w:r w:rsidRPr="0030735A">
              <w:br/>
            </w:r>
            <w:r w:rsidRPr="0030735A">
              <w:rPr>
                <w:i/>
                <w:iCs/>
              </w:rPr>
              <w:t>тыс. шв. фр.</w:t>
            </w:r>
          </w:p>
        </w:tc>
      </w:tr>
      <w:tr w:rsidR="00C752DD" w:rsidRPr="0030735A" w:rsidTr="00431E2B">
        <w:tc>
          <w:tcPr>
            <w:tcW w:w="5818" w:type="dxa"/>
            <w:tcBorders>
              <w:top w:val="nil"/>
              <w:left w:val="single" w:sz="4" w:space="0" w:color="auto"/>
              <w:bottom w:val="nil"/>
              <w:right w:val="single" w:sz="4" w:space="0" w:color="auto"/>
            </w:tcBorders>
            <w:shd w:val="clear" w:color="auto" w:fill="auto"/>
            <w:hideMark/>
          </w:tcPr>
          <w:p w:rsidR="00C752DD" w:rsidRPr="0030735A" w:rsidRDefault="00C752DD" w:rsidP="00C752DD">
            <w:pPr>
              <w:pStyle w:val="Tabletext"/>
            </w:pPr>
            <w:r w:rsidRPr="0030735A">
              <w:t>Сальдо на 31 декабря 2017−2016 гг.</w:t>
            </w:r>
          </w:p>
        </w:tc>
        <w:tc>
          <w:tcPr>
            <w:tcW w:w="1911" w:type="dxa"/>
            <w:tcBorders>
              <w:top w:val="single" w:sz="4" w:space="0" w:color="auto"/>
              <w:left w:val="single" w:sz="4" w:space="0" w:color="auto"/>
              <w:bottom w:val="nil"/>
              <w:right w:val="single" w:sz="4" w:space="0" w:color="auto"/>
            </w:tcBorders>
            <w:vAlign w:val="bottom"/>
          </w:tcPr>
          <w:p w:rsidR="00C752DD" w:rsidRPr="0030735A" w:rsidRDefault="00C752DD" w:rsidP="00C752DD">
            <w:pPr>
              <w:pStyle w:val="Tabletext"/>
              <w:ind w:right="284"/>
              <w:jc w:val="right"/>
            </w:pPr>
            <w:r w:rsidRPr="0030735A">
              <w:t>551 911</w:t>
            </w:r>
          </w:p>
        </w:tc>
        <w:tc>
          <w:tcPr>
            <w:tcW w:w="1911" w:type="dxa"/>
            <w:tcBorders>
              <w:top w:val="single" w:sz="4" w:space="0" w:color="auto"/>
              <w:left w:val="single" w:sz="4" w:space="0" w:color="auto"/>
              <w:bottom w:val="nil"/>
              <w:right w:val="single" w:sz="4" w:space="0" w:color="auto"/>
            </w:tcBorders>
            <w:shd w:val="clear" w:color="auto" w:fill="auto"/>
            <w:vAlign w:val="bottom"/>
          </w:tcPr>
          <w:p w:rsidR="00C752DD" w:rsidRPr="0030735A" w:rsidRDefault="00C752DD" w:rsidP="00C752DD">
            <w:pPr>
              <w:pStyle w:val="Tabletext"/>
              <w:ind w:right="284"/>
              <w:jc w:val="right"/>
            </w:pPr>
            <w:r w:rsidRPr="0030735A">
              <w:t>472 801</w:t>
            </w:r>
          </w:p>
        </w:tc>
      </w:tr>
      <w:tr w:rsidR="00C752DD" w:rsidRPr="0030735A" w:rsidTr="00431E2B">
        <w:tc>
          <w:tcPr>
            <w:tcW w:w="5818" w:type="dxa"/>
            <w:tcBorders>
              <w:top w:val="nil"/>
              <w:left w:val="single" w:sz="4" w:space="0" w:color="auto"/>
              <w:right w:val="single" w:sz="4" w:space="0" w:color="auto"/>
            </w:tcBorders>
            <w:shd w:val="clear" w:color="auto" w:fill="auto"/>
            <w:hideMark/>
          </w:tcPr>
          <w:p w:rsidR="00C752DD" w:rsidRPr="0030735A" w:rsidRDefault="00C752DD" w:rsidP="00C752DD">
            <w:pPr>
              <w:pStyle w:val="Tabletext"/>
            </w:pPr>
            <w:r w:rsidRPr="0030735A">
              <w:t xml:space="preserve">Всего: расходы, признанные в отчете о результатах финансовой деятельности </w:t>
            </w:r>
          </w:p>
        </w:tc>
        <w:tc>
          <w:tcPr>
            <w:tcW w:w="1911" w:type="dxa"/>
            <w:tcBorders>
              <w:top w:val="nil"/>
              <w:left w:val="single" w:sz="4" w:space="0" w:color="auto"/>
              <w:right w:val="single" w:sz="4" w:space="0" w:color="auto"/>
            </w:tcBorders>
            <w:vAlign w:val="bottom"/>
          </w:tcPr>
          <w:p w:rsidR="00C752DD" w:rsidRPr="0030735A" w:rsidRDefault="00C752DD" w:rsidP="00C752DD">
            <w:pPr>
              <w:pStyle w:val="Tabletext"/>
              <w:ind w:right="284"/>
              <w:jc w:val="right"/>
            </w:pPr>
            <w:r w:rsidRPr="0030735A">
              <w:t>25 375</w:t>
            </w:r>
          </w:p>
        </w:tc>
        <w:tc>
          <w:tcPr>
            <w:tcW w:w="1911" w:type="dxa"/>
            <w:tcBorders>
              <w:top w:val="nil"/>
              <w:left w:val="single" w:sz="4" w:space="0" w:color="auto"/>
              <w:right w:val="single" w:sz="4" w:space="0" w:color="auto"/>
            </w:tcBorders>
            <w:shd w:val="clear" w:color="auto" w:fill="auto"/>
            <w:vAlign w:val="bottom"/>
          </w:tcPr>
          <w:p w:rsidR="00C752DD" w:rsidRPr="0030735A" w:rsidRDefault="00C752DD" w:rsidP="00C752DD">
            <w:pPr>
              <w:pStyle w:val="Tabletext"/>
              <w:ind w:right="284"/>
              <w:jc w:val="right"/>
            </w:pPr>
            <w:r w:rsidRPr="0030735A">
              <w:t>22 229</w:t>
            </w:r>
          </w:p>
        </w:tc>
      </w:tr>
      <w:tr w:rsidR="00C752DD" w:rsidRPr="0030735A" w:rsidTr="00CF5652">
        <w:tc>
          <w:tcPr>
            <w:tcW w:w="5818" w:type="dxa"/>
            <w:tcBorders>
              <w:top w:val="nil"/>
              <w:left w:val="single" w:sz="4" w:space="0" w:color="auto"/>
              <w:right w:val="single" w:sz="4" w:space="0" w:color="auto"/>
            </w:tcBorders>
            <w:shd w:val="clear" w:color="auto" w:fill="auto"/>
            <w:hideMark/>
          </w:tcPr>
          <w:p w:rsidR="00C752DD" w:rsidRPr="0030735A" w:rsidRDefault="00C752DD" w:rsidP="00C752DD">
            <w:pPr>
              <w:pStyle w:val="Tabletext"/>
            </w:pPr>
            <w:r w:rsidRPr="0030735A">
              <w:t xml:space="preserve">Актуарные потери, признанные в чистых активах </w:t>
            </w:r>
          </w:p>
        </w:tc>
        <w:tc>
          <w:tcPr>
            <w:tcW w:w="1911" w:type="dxa"/>
            <w:tcBorders>
              <w:top w:val="nil"/>
              <w:left w:val="single" w:sz="4" w:space="0" w:color="auto"/>
              <w:right w:val="single" w:sz="4" w:space="0" w:color="auto"/>
            </w:tcBorders>
            <w:vAlign w:val="bottom"/>
          </w:tcPr>
          <w:p w:rsidR="00C752DD" w:rsidRPr="0030735A" w:rsidRDefault="00C752DD" w:rsidP="00C752DD">
            <w:pPr>
              <w:pStyle w:val="Tabletext"/>
              <w:ind w:right="284"/>
              <w:jc w:val="right"/>
            </w:pPr>
            <w:r w:rsidRPr="0030735A">
              <w:t>47 125</w:t>
            </w:r>
          </w:p>
        </w:tc>
        <w:tc>
          <w:tcPr>
            <w:tcW w:w="1911" w:type="dxa"/>
            <w:tcBorders>
              <w:top w:val="nil"/>
              <w:left w:val="single" w:sz="4" w:space="0" w:color="auto"/>
              <w:right w:val="single" w:sz="4" w:space="0" w:color="auto"/>
            </w:tcBorders>
            <w:shd w:val="clear" w:color="auto" w:fill="auto"/>
            <w:vAlign w:val="bottom"/>
          </w:tcPr>
          <w:p w:rsidR="00C752DD" w:rsidRPr="0030735A" w:rsidRDefault="00C752DD" w:rsidP="00C752DD">
            <w:pPr>
              <w:pStyle w:val="Tabletext"/>
              <w:ind w:right="284"/>
              <w:jc w:val="right"/>
            </w:pPr>
            <w:r w:rsidRPr="0030735A">
              <w:t>65 443</w:t>
            </w:r>
          </w:p>
        </w:tc>
      </w:tr>
      <w:tr w:rsidR="00C752DD" w:rsidRPr="0030735A" w:rsidTr="00CF5652">
        <w:tc>
          <w:tcPr>
            <w:tcW w:w="5818" w:type="dxa"/>
            <w:tcBorders>
              <w:left w:val="single" w:sz="4" w:space="0" w:color="auto"/>
              <w:bottom w:val="nil"/>
              <w:right w:val="single" w:sz="4" w:space="0" w:color="auto"/>
            </w:tcBorders>
            <w:shd w:val="clear" w:color="auto" w:fill="auto"/>
            <w:hideMark/>
          </w:tcPr>
          <w:p w:rsidR="00C752DD" w:rsidRPr="0030735A" w:rsidRDefault="00C752DD" w:rsidP="00C752DD">
            <w:pPr>
              <w:pStyle w:val="Tabletext"/>
            </w:pPr>
            <w:r w:rsidRPr="0030735A">
              <w:t xml:space="preserve">Взносы в финансовом периоде </w:t>
            </w:r>
          </w:p>
        </w:tc>
        <w:tc>
          <w:tcPr>
            <w:tcW w:w="1911" w:type="dxa"/>
            <w:tcBorders>
              <w:left w:val="single" w:sz="4" w:space="0" w:color="auto"/>
              <w:bottom w:val="nil"/>
              <w:right w:val="single" w:sz="4" w:space="0" w:color="auto"/>
            </w:tcBorders>
            <w:vAlign w:val="bottom"/>
          </w:tcPr>
          <w:p w:rsidR="00C752DD" w:rsidRPr="0030735A" w:rsidRDefault="00C752DD" w:rsidP="00C752DD">
            <w:pPr>
              <w:pStyle w:val="Tabletext"/>
              <w:ind w:right="284"/>
              <w:jc w:val="right"/>
            </w:pPr>
            <w:r w:rsidRPr="0030735A">
              <w:t>−7 161</w:t>
            </w:r>
          </w:p>
        </w:tc>
        <w:tc>
          <w:tcPr>
            <w:tcW w:w="1911" w:type="dxa"/>
            <w:tcBorders>
              <w:left w:val="single" w:sz="4" w:space="0" w:color="auto"/>
              <w:bottom w:val="nil"/>
              <w:right w:val="single" w:sz="4" w:space="0" w:color="auto"/>
            </w:tcBorders>
            <w:shd w:val="clear" w:color="auto" w:fill="auto"/>
            <w:vAlign w:val="bottom"/>
          </w:tcPr>
          <w:p w:rsidR="00C752DD" w:rsidRPr="0030735A" w:rsidRDefault="00C752DD" w:rsidP="00C752DD">
            <w:pPr>
              <w:pStyle w:val="Tabletext"/>
              <w:ind w:right="284"/>
              <w:jc w:val="right"/>
            </w:pPr>
            <w:r w:rsidRPr="0030735A">
              <w:t>−8 562</w:t>
            </w:r>
          </w:p>
        </w:tc>
      </w:tr>
      <w:tr w:rsidR="00C752DD" w:rsidRPr="0030735A" w:rsidTr="00431E2B">
        <w:tc>
          <w:tcPr>
            <w:tcW w:w="5818" w:type="dxa"/>
            <w:tcBorders>
              <w:top w:val="nil"/>
              <w:left w:val="single" w:sz="4" w:space="0" w:color="auto"/>
              <w:right w:val="single" w:sz="4" w:space="0" w:color="auto"/>
            </w:tcBorders>
            <w:shd w:val="clear" w:color="auto" w:fill="auto"/>
            <w:hideMark/>
          </w:tcPr>
          <w:p w:rsidR="00C752DD" w:rsidRPr="0030735A" w:rsidRDefault="00C752DD" w:rsidP="00C752DD">
            <w:pPr>
              <w:pStyle w:val="Tabletext"/>
            </w:pPr>
            <w:r w:rsidRPr="0030735A">
              <w:t xml:space="preserve">Неполученный курсовой убыток/(прибыль) </w:t>
            </w:r>
          </w:p>
        </w:tc>
        <w:tc>
          <w:tcPr>
            <w:tcW w:w="1911" w:type="dxa"/>
            <w:tcBorders>
              <w:top w:val="nil"/>
              <w:left w:val="single" w:sz="4" w:space="0" w:color="auto"/>
              <w:right w:val="single" w:sz="4" w:space="0" w:color="auto"/>
            </w:tcBorders>
            <w:vAlign w:val="bottom"/>
          </w:tcPr>
          <w:p w:rsidR="00C752DD" w:rsidRPr="0030735A" w:rsidRDefault="00C752DD" w:rsidP="00C752DD">
            <w:pPr>
              <w:pStyle w:val="Tabletext"/>
              <w:ind w:right="284"/>
              <w:jc w:val="right"/>
            </w:pPr>
            <w:r w:rsidRPr="0030735A">
              <w:t>0</w:t>
            </w:r>
          </w:p>
        </w:tc>
        <w:tc>
          <w:tcPr>
            <w:tcW w:w="1911" w:type="dxa"/>
            <w:tcBorders>
              <w:top w:val="nil"/>
              <w:left w:val="single" w:sz="4" w:space="0" w:color="auto"/>
              <w:right w:val="single" w:sz="4" w:space="0" w:color="auto"/>
            </w:tcBorders>
            <w:shd w:val="clear" w:color="auto" w:fill="auto"/>
            <w:vAlign w:val="bottom"/>
          </w:tcPr>
          <w:p w:rsidR="00C752DD" w:rsidRPr="0030735A" w:rsidRDefault="00C752DD" w:rsidP="00C752DD">
            <w:pPr>
              <w:pStyle w:val="Tabletext"/>
              <w:ind w:right="284"/>
              <w:jc w:val="right"/>
            </w:pPr>
            <w:r w:rsidRPr="0030735A">
              <w:t>0</w:t>
            </w:r>
          </w:p>
        </w:tc>
      </w:tr>
      <w:tr w:rsidR="00C752DD" w:rsidRPr="0030735A" w:rsidTr="00431E2B">
        <w:tc>
          <w:tcPr>
            <w:tcW w:w="5818" w:type="dxa"/>
            <w:tcBorders>
              <w:top w:val="nil"/>
              <w:left w:val="single" w:sz="4" w:space="0" w:color="auto"/>
              <w:bottom w:val="single" w:sz="4" w:space="0" w:color="auto"/>
              <w:right w:val="single" w:sz="4" w:space="0" w:color="auto"/>
            </w:tcBorders>
            <w:shd w:val="clear" w:color="auto" w:fill="auto"/>
            <w:hideMark/>
          </w:tcPr>
          <w:p w:rsidR="00C752DD" w:rsidRPr="0030735A" w:rsidRDefault="00C752DD" w:rsidP="00C752DD">
            <w:pPr>
              <w:pStyle w:val="Tabletext"/>
            </w:pPr>
            <w:r w:rsidRPr="0030735A">
              <w:t>Сумма обязательств в рамках плана АСХИ по состоянию на 31 декабря 2017−2016 гг.</w:t>
            </w:r>
          </w:p>
        </w:tc>
        <w:tc>
          <w:tcPr>
            <w:tcW w:w="1911" w:type="dxa"/>
            <w:tcBorders>
              <w:top w:val="nil"/>
              <w:left w:val="single" w:sz="4" w:space="0" w:color="auto"/>
              <w:bottom w:val="single" w:sz="4" w:space="0" w:color="auto"/>
              <w:right w:val="single" w:sz="4" w:space="0" w:color="auto"/>
            </w:tcBorders>
            <w:vAlign w:val="bottom"/>
          </w:tcPr>
          <w:p w:rsidR="00C752DD" w:rsidRPr="0030735A" w:rsidRDefault="00C752DD" w:rsidP="00C752DD">
            <w:pPr>
              <w:pStyle w:val="Tabletext"/>
              <w:ind w:right="284"/>
              <w:jc w:val="right"/>
            </w:pPr>
            <w:r w:rsidRPr="0030735A">
              <w:t>617 250</w:t>
            </w:r>
          </w:p>
        </w:tc>
        <w:tc>
          <w:tcPr>
            <w:tcW w:w="1911" w:type="dxa"/>
            <w:tcBorders>
              <w:top w:val="nil"/>
              <w:left w:val="single" w:sz="4" w:space="0" w:color="auto"/>
              <w:bottom w:val="single" w:sz="4" w:space="0" w:color="auto"/>
              <w:right w:val="single" w:sz="4" w:space="0" w:color="auto"/>
            </w:tcBorders>
            <w:shd w:val="clear" w:color="auto" w:fill="auto"/>
            <w:vAlign w:val="bottom"/>
          </w:tcPr>
          <w:p w:rsidR="00C752DD" w:rsidRPr="0030735A" w:rsidRDefault="00C752DD" w:rsidP="00C752DD">
            <w:pPr>
              <w:pStyle w:val="Tabletext"/>
              <w:ind w:right="284"/>
              <w:jc w:val="right"/>
            </w:pPr>
            <w:r w:rsidRPr="0030735A">
              <w:t>551 911</w:t>
            </w:r>
          </w:p>
        </w:tc>
      </w:tr>
    </w:tbl>
    <w:p w:rsidR="003E67C7" w:rsidRPr="0030735A" w:rsidRDefault="003E67C7" w:rsidP="00C53AF2">
      <w:pPr>
        <w:spacing w:before="240"/>
      </w:pPr>
      <w:r w:rsidRPr="0030735A">
        <w:lastRenderedPageBreak/>
        <w:t>2.2</w:t>
      </w:r>
      <w:r w:rsidRPr="0030735A">
        <w:tab/>
        <w:t>Расчет обязательств по АСХИ основан на допущениях и поправках, сделанных исходя из статистики этого года. Ниже приводится анализ суммы, признанной в чистых активах.</w:t>
      </w:r>
    </w:p>
    <w:p w:rsidR="003E67C7" w:rsidRPr="0030735A" w:rsidRDefault="003E67C7" w:rsidP="00C453DC">
      <w:pPr>
        <w:snapToGrid w:val="0"/>
        <w:spacing w:after="120"/>
        <w:jc w:val="both"/>
        <w:rPr>
          <w:szCs w:val="24"/>
        </w:rPr>
      </w:pPr>
      <w:r w:rsidRPr="0030735A">
        <w:rPr>
          <w:szCs w:val="24"/>
        </w:rPr>
        <w:t>2.3</w:t>
      </w:r>
      <w:r w:rsidRPr="0030735A">
        <w:rPr>
          <w:szCs w:val="24"/>
        </w:rPr>
        <w:tab/>
      </w:r>
      <w:r w:rsidR="00C453DC" w:rsidRPr="0030735A">
        <w:rPr>
          <w:szCs w:val="24"/>
        </w:rPr>
        <w:t xml:space="preserve">Следует отметить, что в соответствии с решением целевой группы </w:t>
      </w:r>
      <w:r w:rsidRPr="0030735A">
        <w:rPr>
          <w:szCs w:val="24"/>
        </w:rPr>
        <w:t xml:space="preserve">IPSAS </w:t>
      </w:r>
      <w:r w:rsidR="00C453DC" w:rsidRPr="0030735A">
        <w:rPr>
          <w:szCs w:val="24"/>
        </w:rPr>
        <w:t>ООН все допущения, связанные с оценкой АСХИ, согласованы между учреждениями ООН</w:t>
      </w:r>
      <w:r w:rsidRPr="0030735A">
        <w:rPr>
          <w:szCs w:val="24"/>
        </w:rPr>
        <w:t xml:space="preserve">. </w:t>
      </w:r>
    </w:p>
    <w:tbl>
      <w:tblPr>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1"/>
        <w:gridCol w:w="1914"/>
        <w:gridCol w:w="1915"/>
      </w:tblGrid>
      <w:tr w:rsidR="003E67C7" w:rsidRPr="0030735A" w:rsidTr="00CF5652">
        <w:tc>
          <w:tcPr>
            <w:tcW w:w="5811" w:type="dxa"/>
            <w:tcBorders>
              <w:top w:val="single" w:sz="4" w:space="0" w:color="auto"/>
              <w:bottom w:val="single" w:sz="4" w:space="0" w:color="auto"/>
              <w:right w:val="single" w:sz="4" w:space="0" w:color="auto"/>
            </w:tcBorders>
            <w:shd w:val="clear" w:color="auto" w:fill="auto"/>
            <w:vAlign w:val="center"/>
            <w:hideMark/>
          </w:tcPr>
          <w:p w:rsidR="003E67C7" w:rsidRPr="0030735A" w:rsidRDefault="003E67C7" w:rsidP="003E67C7">
            <w:pPr>
              <w:pStyle w:val="Tablehead"/>
            </w:pPr>
            <w:r w:rsidRPr="0030735A">
              <w:t>Анализ актуарных потерь, признанных в чистых активах</w:t>
            </w:r>
          </w:p>
        </w:tc>
        <w:tc>
          <w:tcPr>
            <w:tcW w:w="3829" w:type="dxa"/>
            <w:gridSpan w:val="2"/>
            <w:tcBorders>
              <w:top w:val="single" w:sz="4" w:space="0" w:color="auto"/>
              <w:left w:val="single" w:sz="4" w:space="0" w:color="auto"/>
              <w:bottom w:val="single" w:sz="4" w:space="0" w:color="auto"/>
            </w:tcBorders>
            <w:shd w:val="clear" w:color="auto" w:fill="auto"/>
            <w:vAlign w:val="center"/>
            <w:hideMark/>
          </w:tcPr>
          <w:p w:rsidR="003E67C7" w:rsidRPr="0030735A" w:rsidRDefault="003E67C7" w:rsidP="00F239A9">
            <w:pPr>
              <w:pStyle w:val="Tablehead"/>
            </w:pPr>
            <w:r w:rsidRPr="0030735A">
              <w:t>Тыс. шв. фр.</w:t>
            </w:r>
          </w:p>
        </w:tc>
      </w:tr>
      <w:tr w:rsidR="003E67C7" w:rsidRPr="0030735A" w:rsidTr="00CF5652">
        <w:tc>
          <w:tcPr>
            <w:tcW w:w="5811" w:type="dxa"/>
            <w:tcBorders>
              <w:top w:val="single" w:sz="4" w:space="0" w:color="auto"/>
              <w:bottom w:val="nil"/>
              <w:right w:val="single" w:sz="4" w:space="0" w:color="auto"/>
            </w:tcBorders>
            <w:shd w:val="clear" w:color="auto" w:fill="auto"/>
            <w:hideMark/>
          </w:tcPr>
          <w:p w:rsidR="003E67C7" w:rsidRPr="0030735A" w:rsidRDefault="003E67C7" w:rsidP="003E67C7">
            <w:pPr>
              <w:pStyle w:val="Tablehead"/>
            </w:pPr>
          </w:p>
        </w:tc>
        <w:tc>
          <w:tcPr>
            <w:tcW w:w="1914" w:type="dxa"/>
            <w:tcBorders>
              <w:top w:val="single" w:sz="4" w:space="0" w:color="auto"/>
              <w:left w:val="single" w:sz="4" w:space="0" w:color="auto"/>
              <w:bottom w:val="single" w:sz="4" w:space="0" w:color="auto"/>
            </w:tcBorders>
            <w:shd w:val="clear" w:color="auto" w:fill="auto"/>
            <w:vAlign w:val="bottom"/>
          </w:tcPr>
          <w:p w:rsidR="003E67C7" w:rsidRPr="0030735A" w:rsidRDefault="003E67C7" w:rsidP="00431E2B">
            <w:pPr>
              <w:pStyle w:val="Tablehead"/>
            </w:pPr>
            <w:r w:rsidRPr="0030735A">
              <w:t>31 декабря</w:t>
            </w:r>
            <w:r w:rsidR="00431E2B" w:rsidRPr="0030735A">
              <w:t xml:space="preserve"> </w:t>
            </w:r>
            <w:r w:rsidRPr="0030735A">
              <w:t>2017 г</w:t>
            </w:r>
            <w:r w:rsidR="00431E2B" w:rsidRPr="0030735A">
              <w:t>.</w:t>
            </w:r>
          </w:p>
        </w:tc>
        <w:tc>
          <w:tcPr>
            <w:tcW w:w="1915" w:type="dxa"/>
            <w:tcBorders>
              <w:top w:val="single" w:sz="4" w:space="0" w:color="auto"/>
              <w:left w:val="single" w:sz="4" w:space="0" w:color="auto"/>
              <w:bottom w:val="single" w:sz="4" w:space="0" w:color="auto"/>
            </w:tcBorders>
            <w:vAlign w:val="bottom"/>
          </w:tcPr>
          <w:p w:rsidR="003E67C7" w:rsidRPr="0030735A" w:rsidRDefault="003E67C7" w:rsidP="00431E2B">
            <w:pPr>
              <w:pStyle w:val="Tablehead"/>
            </w:pPr>
            <w:r w:rsidRPr="0030735A">
              <w:t>31 декабря</w:t>
            </w:r>
            <w:r w:rsidR="00431E2B" w:rsidRPr="0030735A">
              <w:t xml:space="preserve"> </w:t>
            </w:r>
            <w:r w:rsidRPr="0030735A">
              <w:t>2016 г</w:t>
            </w:r>
            <w:r w:rsidR="00431E2B" w:rsidRPr="0030735A">
              <w:t>.</w:t>
            </w:r>
          </w:p>
        </w:tc>
      </w:tr>
      <w:tr w:rsidR="003E67C7" w:rsidRPr="0030735A" w:rsidTr="00CF5652">
        <w:tc>
          <w:tcPr>
            <w:tcW w:w="5811" w:type="dxa"/>
            <w:tcBorders>
              <w:top w:val="nil"/>
              <w:right w:val="single" w:sz="4" w:space="0" w:color="auto"/>
            </w:tcBorders>
            <w:shd w:val="clear" w:color="auto" w:fill="auto"/>
            <w:hideMark/>
          </w:tcPr>
          <w:p w:rsidR="003E67C7" w:rsidRPr="0030735A" w:rsidRDefault="003E67C7" w:rsidP="003E67C7">
            <w:pPr>
              <w:pStyle w:val="Tabletext"/>
            </w:pPr>
            <w:r w:rsidRPr="0030735A">
              <w:t>Обязательства в связи с изменением допущений</w:t>
            </w:r>
          </w:p>
        </w:tc>
        <w:tc>
          <w:tcPr>
            <w:tcW w:w="1914" w:type="dxa"/>
            <w:tcBorders>
              <w:top w:val="single" w:sz="4" w:space="0" w:color="auto"/>
              <w:left w:val="single" w:sz="4" w:space="0" w:color="auto"/>
              <w:bottom w:val="nil"/>
            </w:tcBorders>
            <w:shd w:val="clear" w:color="auto" w:fill="auto"/>
          </w:tcPr>
          <w:p w:rsidR="003E67C7" w:rsidRPr="0030735A" w:rsidRDefault="003E67C7" w:rsidP="003E67C7">
            <w:pPr>
              <w:pStyle w:val="Tabletext"/>
              <w:ind w:right="284"/>
              <w:jc w:val="right"/>
            </w:pPr>
            <w:r w:rsidRPr="0030735A">
              <w:t>75 452</w:t>
            </w:r>
          </w:p>
        </w:tc>
        <w:tc>
          <w:tcPr>
            <w:tcW w:w="1915" w:type="dxa"/>
            <w:tcBorders>
              <w:top w:val="single" w:sz="4" w:space="0" w:color="auto"/>
              <w:left w:val="single" w:sz="4" w:space="0" w:color="auto"/>
              <w:bottom w:val="nil"/>
            </w:tcBorders>
          </w:tcPr>
          <w:p w:rsidR="003E67C7" w:rsidRPr="0030735A" w:rsidRDefault="003E67C7" w:rsidP="003E67C7">
            <w:pPr>
              <w:pStyle w:val="Tabletext"/>
              <w:ind w:right="284"/>
              <w:jc w:val="right"/>
            </w:pPr>
            <w:r w:rsidRPr="0030735A">
              <w:t>42 746</w:t>
            </w:r>
          </w:p>
        </w:tc>
      </w:tr>
      <w:tr w:rsidR="003E67C7" w:rsidRPr="0030735A" w:rsidTr="00431E2B">
        <w:tc>
          <w:tcPr>
            <w:tcW w:w="5811" w:type="dxa"/>
            <w:tcBorders>
              <w:right w:val="single" w:sz="4" w:space="0" w:color="auto"/>
            </w:tcBorders>
            <w:shd w:val="clear" w:color="auto" w:fill="auto"/>
          </w:tcPr>
          <w:p w:rsidR="003E67C7" w:rsidRPr="0030735A" w:rsidRDefault="003E67C7" w:rsidP="003E67C7">
            <w:pPr>
              <w:pStyle w:val="Tabletext"/>
            </w:pPr>
            <w:r w:rsidRPr="0030735A">
              <w:t>Обязательства, исходя из статистики за финансовый период</w:t>
            </w:r>
          </w:p>
        </w:tc>
        <w:tc>
          <w:tcPr>
            <w:tcW w:w="1914" w:type="dxa"/>
            <w:tcBorders>
              <w:top w:val="nil"/>
              <w:left w:val="single" w:sz="4" w:space="0" w:color="auto"/>
              <w:bottom w:val="nil"/>
            </w:tcBorders>
            <w:shd w:val="clear" w:color="auto" w:fill="auto"/>
          </w:tcPr>
          <w:p w:rsidR="003E67C7" w:rsidRPr="0030735A" w:rsidRDefault="003E67C7" w:rsidP="003E67C7">
            <w:pPr>
              <w:pStyle w:val="Tabletext"/>
              <w:ind w:right="284"/>
              <w:jc w:val="right"/>
            </w:pPr>
            <w:r w:rsidRPr="0030735A">
              <w:t>(28 327)</w:t>
            </w:r>
          </w:p>
        </w:tc>
        <w:tc>
          <w:tcPr>
            <w:tcW w:w="1915" w:type="dxa"/>
            <w:tcBorders>
              <w:top w:val="nil"/>
              <w:left w:val="single" w:sz="4" w:space="0" w:color="auto"/>
              <w:bottom w:val="nil"/>
            </w:tcBorders>
          </w:tcPr>
          <w:p w:rsidR="003E67C7" w:rsidRPr="0030735A" w:rsidRDefault="003E67C7" w:rsidP="003E67C7">
            <w:pPr>
              <w:pStyle w:val="Tabletext"/>
              <w:ind w:right="284"/>
              <w:jc w:val="right"/>
            </w:pPr>
            <w:r w:rsidRPr="0030735A">
              <w:t>22 697</w:t>
            </w:r>
          </w:p>
        </w:tc>
      </w:tr>
      <w:tr w:rsidR="003E67C7" w:rsidRPr="0030735A" w:rsidTr="00431E2B">
        <w:tc>
          <w:tcPr>
            <w:tcW w:w="5811" w:type="dxa"/>
            <w:tcBorders>
              <w:right w:val="single" w:sz="4" w:space="0" w:color="auto"/>
            </w:tcBorders>
            <w:shd w:val="clear" w:color="auto" w:fill="auto"/>
            <w:hideMark/>
          </w:tcPr>
          <w:p w:rsidR="003E67C7" w:rsidRPr="0030735A" w:rsidRDefault="003E67C7" w:rsidP="003E67C7">
            <w:pPr>
              <w:pStyle w:val="Tabletext"/>
            </w:pPr>
            <w:r w:rsidRPr="0030735A">
              <w:t xml:space="preserve">Потери/прибыль, связанные с активами плана </w:t>
            </w:r>
          </w:p>
        </w:tc>
        <w:tc>
          <w:tcPr>
            <w:tcW w:w="1914" w:type="dxa"/>
            <w:tcBorders>
              <w:top w:val="nil"/>
              <w:left w:val="single" w:sz="4" w:space="0" w:color="auto"/>
              <w:bottom w:val="nil"/>
            </w:tcBorders>
            <w:shd w:val="clear" w:color="auto" w:fill="auto"/>
          </w:tcPr>
          <w:p w:rsidR="003E67C7" w:rsidRPr="0030735A" w:rsidRDefault="003E67C7" w:rsidP="003E67C7">
            <w:pPr>
              <w:pStyle w:val="Tabletext"/>
              <w:ind w:right="284"/>
              <w:jc w:val="right"/>
            </w:pPr>
          </w:p>
        </w:tc>
        <w:tc>
          <w:tcPr>
            <w:tcW w:w="1915" w:type="dxa"/>
            <w:tcBorders>
              <w:top w:val="nil"/>
              <w:left w:val="single" w:sz="4" w:space="0" w:color="auto"/>
              <w:bottom w:val="nil"/>
            </w:tcBorders>
          </w:tcPr>
          <w:p w:rsidR="003E67C7" w:rsidRPr="0030735A" w:rsidRDefault="003E67C7" w:rsidP="003E67C7">
            <w:pPr>
              <w:pStyle w:val="Tabletext"/>
              <w:ind w:right="284"/>
              <w:jc w:val="right"/>
            </w:pPr>
          </w:p>
        </w:tc>
      </w:tr>
      <w:tr w:rsidR="003E67C7" w:rsidRPr="0030735A" w:rsidTr="00431E2B">
        <w:tc>
          <w:tcPr>
            <w:tcW w:w="5811" w:type="dxa"/>
            <w:tcBorders>
              <w:right w:val="single" w:sz="4" w:space="0" w:color="auto"/>
            </w:tcBorders>
            <w:shd w:val="clear" w:color="auto" w:fill="auto"/>
          </w:tcPr>
          <w:p w:rsidR="003E67C7" w:rsidRPr="0030735A" w:rsidRDefault="003E67C7" w:rsidP="003E67C7">
            <w:pPr>
              <w:pStyle w:val="Tabletext"/>
            </w:pPr>
            <w:r w:rsidRPr="0030735A">
              <w:t>Изменения в течение финансового периода</w:t>
            </w:r>
          </w:p>
        </w:tc>
        <w:tc>
          <w:tcPr>
            <w:tcW w:w="1914" w:type="dxa"/>
            <w:tcBorders>
              <w:top w:val="nil"/>
              <w:left w:val="single" w:sz="4" w:space="0" w:color="auto"/>
              <w:bottom w:val="nil"/>
            </w:tcBorders>
            <w:shd w:val="clear" w:color="auto" w:fill="auto"/>
          </w:tcPr>
          <w:p w:rsidR="003E67C7" w:rsidRPr="0030735A" w:rsidRDefault="003E67C7" w:rsidP="003E67C7">
            <w:pPr>
              <w:pStyle w:val="Tabletext"/>
              <w:ind w:right="284"/>
              <w:jc w:val="right"/>
            </w:pPr>
            <w:r w:rsidRPr="0030735A">
              <w:t>47 125</w:t>
            </w:r>
          </w:p>
        </w:tc>
        <w:tc>
          <w:tcPr>
            <w:tcW w:w="1915" w:type="dxa"/>
            <w:tcBorders>
              <w:top w:val="nil"/>
              <w:left w:val="single" w:sz="4" w:space="0" w:color="auto"/>
              <w:bottom w:val="nil"/>
            </w:tcBorders>
          </w:tcPr>
          <w:p w:rsidR="003E67C7" w:rsidRPr="0030735A" w:rsidRDefault="003E67C7" w:rsidP="003E67C7">
            <w:pPr>
              <w:pStyle w:val="Tabletext"/>
              <w:ind w:right="284"/>
              <w:jc w:val="right"/>
            </w:pPr>
            <w:r w:rsidRPr="0030735A">
              <w:t>65 443</w:t>
            </w:r>
          </w:p>
        </w:tc>
      </w:tr>
      <w:tr w:rsidR="003E67C7" w:rsidRPr="0030735A" w:rsidTr="00431E2B">
        <w:tc>
          <w:tcPr>
            <w:tcW w:w="5811" w:type="dxa"/>
            <w:tcBorders>
              <w:right w:val="single" w:sz="4" w:space="0" w:color="auto"/>
            </w:tcBorders>
            <w:shd w:val="clear" w:color="auto" w:fill="auto"/>
            <w:hideMark/>
          </w:tcPr>
          <w:p w:rsidR="003E67C7" w:rsidRPr="0030735A" w:rsidRDefault="003E67C7" w:rsidP="003E67C7">
            <w:pPr>
              <w:pStyle w:val="Tabletext"/>
            </w:pPr>
            <w:r w:rsidRPr="0030735A">
              <w:t>Накопленная сумма, признанная в чистых активах на 31 декабря</w:t>
            </w:r>
          </w:p>
        </w:tc>
        <w:tc>
          <w:tcPr>
            <w:tcW w:w="1914" w:type="dxa"/>
            <w:tcBorders>
              <w:top w:val="nil"/>
              <w:left w:val="single" w:sz="4" w:space="0" w:color="auto"/>
              <w:bottom w:val="single" w:sz="4" w:space="0" w:color="auto"/>
            </w:tcBorders>
            <w:shd w:val="clear" w:color="auto" w:fill="auto"/>
          </w:tcPr>
          <w:p w:rsidR="003E67C7" w:rsidRPr="0030735A" w:rsidRDefault="003E67C7" w:rsidP="003E67C7">
            <w:pPr>
              <w:pStyle w:val="Tabletext"/>
              <w:ind w:right="284"/>
              <w:jc w:val="right"/>
            </w:pPr>
            <w:r w:rsidRPr="0030735A">
              <w:t>369 704</w:t>
            </w:r>
          </w:p>
        </w:tc>
        <w:tc>
          <w:tcPr>
            <w:tcW w:w="1915" w:type="dxa"/>
            <w:tcBorders>
              <w:top w:val="nil"/>
              <w:left w:val="single" w:sz="4" w:space="0" w:color="auto"/>
              <w:bottom w:val="single" w:sz="4" w:space="0" w:color="auto"/>
            </w:tcBorders>
          </w:tcPr>
          <w:p w:rsidR="003E67C7" w:rsidRPr="0030735A" w:rsidRDefault="003E67C7" w:rsidP="003E67C7">
            <w:pPr>
              <w:pStyle w:val="Tabletext"/>
              <w:ind w:right="284"/>
              <w:jc w:val="right"/>
            </w:pPr>
            <w:r w:rsidRPr="0030735A">
              <w:t>322 579</w:t>
            </w:r>
          </w:p>
        </w:tc>
      </w:tr>
    </w:tbl>
    <w:p w:rsidR="00431E2B" w:rsidRPr="0030735A" w:rsidRDefault="00431E2B" w:rsidP="00613AE7">
      <w:pPr>
        <w:spacing w:before="240"/>
      </w:pPr>
      <w:r w:rsidRPr="0030735A">
        <w:t>2.4</w:t>
      </w:r>
      <w:r w:rsidRPr="0030735A">
        <w:tab/>
        <w:t>Среди актуарных допущений, использованных при актуарной оценке, наибол</w:t>
      </w:r>
      <w:r w:rsidR="00C453DC" w:rsidRPr="0030735A">
        <w:t>ее</w:t>
      </w:r>
      <w:r w:rsidRPr="0030735A">
        <w:t xml:space="preserve"> существенное воздействие оказ</w:t>
      </w:r>
      <w:r w:rsidR="00613AE7" w:rsidRPr="0030735A">
        <w:t>ывают</w:t>
      </w:r>
      <w:r w:rsidRPr="0030735A">
        <w:t xml:space="preserve"> ставка дисконтирования</w:t>
      </w:r>
      <w:r w:rsidR="00C453DC" w:rsidRPr="0030735A">
        <w:t xml:space="preserve"> (</w:t>
      </w:r>
      <w:r w:rsidR="00C453DC" w:rsidRPr="0030735A">
        <w:rPr>
          <w:szCs w:val="22"/>
        </w:rPr>
        <w:t>основанная на доходности корпоративных облигаций, имеющих рейтинг AA)</w:t>
      </w:r>
      <w:r w:rsidRPr="0030735A">
        <w:t>, рост затрат на медицинские услуги и повышение окладов. Уменьшение ставки дисконтирования или рост затрат на медицинские услуги прив</w:t>
      </w:r>
      <w:r w:rsidR="00C453DC" w:rsidRPr="0030735A">
        <w:t>одят</w:t>
      </w:r>
      <w:r w:rsidRPr="0030735A">
        <w:t xml:space="preserve"> к увеличению обязательств по АСХИ, в то время как повышение окладов прив</w:t>
      </w:r>
      <w:r w:rsidR="00C453DC" w:rsidRPr="0030735A">
        <w:t>одит</w:t>
      </w:r>
      <w:r w:rsidRPr="0030735A">
        <w:t xml:space="preserve"> к росту взносов, выплачиваемых членами и МСЭ, и способств</w:t>
      </w:r>
      <w:r w:rsidR="00D235A0" w:rsidRPr="0030735A">
        <w:t>ует</w:t>
      </w:r>
      <w:r w:rsidRPr="0030735A">
        <w:t xml:space="preserve"> финансированию обязательств по АСХИ.</w:t>
      </w:r>
    </w:p>
    <w:p w:rsidR="00431E2B" w:rsidRPr="0030735A" w:rsidRDefault="00431E2B" w:rsidP="00431E2B">
      <w:r w:rsidRPr="0030735A">
        <w:t>2.5</w:t>
      </w:r>
      <w:r w:rsidRPr="0030735A">
        <w:tab/>
        <w:t>В приведенной ниже таблице представлена динамика этих допущений.</w:t>
      </w:r>
    </w:p>
    <w:p w:rsidR="00431E2B" w:rsidRPr="0030735A" w:rsidRDefault="00431E2B" w:rsidP="00431E2B">
      <w:pPr>
        <w:pStyle w:val="Headingb"/>
        <w:spacing w:after="120"/>
      </w:pPr>
      <w:r w:rsidRPr="0030735A">
        <w:t>Актуарные прогнозы, используемые при актуарной оценке, которые оказывают существенное воздействие на обязательство по стандарту IPSAS 39 и чистые активы МСЭ</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886"/>
        <w:gridCol w:w="887"/>
        <w:gridCol w:w="886"/>
        <w:gridCol w:w="887"/>
        <w:gridCol w:w="887"/>
        <w:gridCol w:w="886"/>
        <w:gridCol w:w="887"/>
        <w:gridCol w:w="887"/>
      </w:tblGrid>
      <w:tr w:rsidR="00431E2B" w:rsidRPr="0030735A" w:rsidTr="0091704A">
        <w:tc>
          <w:tcPr>
            <w:tcW w:w="2542" w:type="dxa"/>
            <w:tcBorders>
              <w:bottom w:val="single" w:sz="4" w:space="0" w:color="auto"/>
            </w:tcBorders>
            <w:shd w:val="clear" w:color="auto" w:fill="auto"/>
            <w:vAlign w:val="center"/>
          </w:tcPr>
          <w:p w:rsidR="00431E2B" w:rsidRPr="0030735A" w:rsidRDefault="00431E2B" w:rsidP="00431E2B">
            <w:pPr>
              <w:pStyle w:val="Tablehead"/>
            </w:pPr>
          </w:p>
        </w:tc>
        <w:tc>
          <w:tcPr>
            <w:tcW w:w="886" w:type="dxa"/>
            <w:tcBorders>
              <w:bottom w:val="single" w:sz="4" w:space="0" w:color="auto"/>
            </w:tcBorders>
            <w:shd w:val="clear" w:color="auto" w:fill="auto"/>
            <w:hideMark/>
          </w:tcPr>
          <w:p w:rsidR="00431E2B" w:rsidRPr="0030735A" w:rsidRDefault="00431E2B" w:rsidP="00431E2B">
            <w:pPr>
              <w:pStyle w:val="Tablehead"/>
            </w:pPr>
            <w:r w:rsidRPr="0030735A">
              <w:t>2010 г.</w:t>
            </w:r>
          </w:p>
        </w:tc>
        <w:tc>
          <w:tcPr>
            <w:tcW w:w="887" w:type="dxa"/>
            <w:tcBorders>
              <w:bottom w:val="single" w:sz="4" w:space="0" w:color="auto"/>
            </w:tcBorders>
            <w:shd w:val="clear" w:color="auto" w:fill="auto"/>
            <w:noWrap/>
            <w:hideMark/>
          </w:tcPr>
          <w:p w:rsidR="00431E2B" w:rsidRPr="0030735A" w:rsidRDefault="00431E2B" w:rsidP="00431E2B">
            <w:pPr>
              <w:pStyle w:val="Tablehead"/>
            </w:pPr>
            <w:r w:rsidRPr="0030735A">
              <w:t>2011 г.</w:t>
            </w:r>
          </w:p>
        </w:tc>
        <w:tc>
          <w:tcPr>
            <w:tcW w:w="886" w:type="dxa"/>
            <w:tcBorders>
              <w:bottom w:val="single" w:sz="4" w:space="0" w:color="auto"/>
            </w:tcBorders>
            <w:shd w:val="clear" w:color="auto" w:fill="auto"/>
            <w:hideMark/>
          </w:tcPr>
          <w:p w:rsidR="00431E2B" w:rsidRPr="0030735A" w:rsidRDefault="00431E2B" w:rsidP="00431E2B">
            <w:pPr>
              <w:pStyle w:val="Tablehead"/>
            </w:pPr>
            <w:r w:rsidRPr="0030735A">
              <w:t>2012 г.</w:t>
            </w:r>
          </w:p>
        </w:tc>
        <w:tc>
          <w:tcPr>
            <w:tcW w:w="887" w:type="dxa"/>
            <w:tcBorders>
              <w:bottom w:val="single" w:sz="4" w:space="0" w:color="auto"/>
            </w:tcBorders>
            <w:shd w:val="clear" w:color="auto" w:fill="auto"/>
            <w:noWrap/>
            <w:hideMark/>
          </w:tcPr>
          <w:p w:rsidR="00431E2B" w:rsidRPr="0030735A" w:rsidRDefault="00431E2B" w:rsidP="00431E2B">
            <w:pPr>
              <w:pStyle w:val="Tablehead"/>
            </w:pPr>
            <w:r w:rsidRPr="0030735A">
              <w:t>2013 г.</w:t>
            </w:r>
          </w:p>
        </w:tc>
        <w:tc>
          <w:tcPr>
            <w:tcW w:w="887" w:type="dxa"/>
            <w:tcBorders>
              <w:bottom w:val="single" w:sz="4" w:space="0" w:color="auto"/>
            </w:tcBorders>
            <w:shd w:val="clear" w:color="auto" w:fill="auto"/>
            <w:hideMark/>
          </w:tcPr>
          <w:p w:rsidR="00431E2B" w:rsidRPr="0030735A" w:rsidRDefault="00431E2B" w:rsidP="00431E2B">
            <w:pPr>
              <w:pStyle w:val="Tablehead"/>
            </w:pPr>
            <w:r w:rsidRPr="0030735A">
              <w:t>2014 г.</w:t>
            </w:r>
          </w:p>
        </w:tc>
        <w:tc>
          <w:tcPr>
            <w:tcW w:w="886" w:type="dxa"/>
            <w:tcBorders>
              <w:bottom w:val="single" w:sz="4" w:space="0" w:color="auto"/>
            </w:tcBorders>
            <w:shd w:val="clear" w:color="auto" w:fill="auto"/>
            <w:noWrap/>
            <w:hideMark/>
          </w:tcPr>
          <w:p w:rsidR="00431E2B" w:rsidRPr="0030735A" w:rsidRDefault="00431E2B" w:rsidP="00431E2B">
            <w:pPr>
              <w:pStyle w:val="Tablehead"/>
            </w:pPr>
            <w:r w:rsidRPr="0030735A">
              <w:t>2015 г.</w:t>
            </w:r>
          </w:p>
        </w:tc>
        <w:tc>
          <w:tcPr>
            <w:tcW w:w="887" w:type="dxa"/>
            <w:tcBorders>
              <w:bottom w:val="single" w:sz="4" w:space="0" w:color="auto"/>
            </w:tcBorders>
            <w:shd w:val="clear" w:color="auto" w:fill="auto"/>
            <w:hideMark/>
          </w:tcPr>
          <w:p w:rsidR="00431E2B" w:rsidRPr="0030735A" w:rsidRDefault="00431E2B" w:rsidP="00431E2B">
            <w:pPr>
              <w:pStyle w:val="Tablehead"/>
            </w:pPr>
            <w:r w:rsidRPr="0030735A">
              <w:t>2016 г.</w:t>
            </w:r>
          </w:p>
        </w:tc>
        <w:tc>
          <w:tcPr>
            <w:tcW w:w="887" w:type="dxa"/>
            <w:tcBorders>
              <w:bottom w:val="single" w:sz="4" w:space="0" w:color="auto"/>
            </w:tcBorders>
          </w:tcPr>
          <w:p w:rsidR="00431E2B" w:rsidRPr="0030735A" w:rsidRDefault="00431E2B" w:rsidP="00431E2B">
            <w:pPr>
              <w:pStyle w:val="Tablehead"/>
            </w:pPr>
            <w:r w:rsidRPr="0030735A">
              <w:t>2017 г.</w:t>
            </w:r>
          </w:p>
        </w:tc>
      </w:tr>
      <w:tr w:rsidR="00431E2B" w:rsidRPr="0030735A" w:rsidTr="0091704A">
        <w:tc>
          <w:tcPr>
            <w:tcW w:w="2542" w:type="dxa"/>
            <w:tcBorders>
              <w:bottom w:val="nil"/>
            </w:tcBorders>
            <w:shd w:val="clear" w:color="auto" w:fill="auto"/>
            <w:hideMark/>
          </w:tcPr>
          <w:p w:rsidR="00431E2B" w:rsidRPr="0030735A" w:rsidRDefault="00431E2B" w:rsidP="00431E2B">
            <w:pPr>
              <w:pStyle w:val="Tabletext"/>
            </w:pPr>
            <w:r w:rsidRPr="0030735A">
              <w:t>Ставка дисконтирования</w:t>
            </w:r>
          </w:p>
        </w:tc>
        <w:tc>
          <w:tcPr>
            <w:tcW w:w="886" w:type="dxa"/>
            <w:tcBorders>
              <w:bottom w:val="nil"/>
            </w:tcBorders>
            <w:shd w:val="clear" w:color="auto" w:fill="auto"/>
            <w:vAlign w:val="bottom"/>
          </w:tcPr>
          <w:p w:rsidR="00431E2B" w:rsidRPr="0030735A" w:rsidRDefault="00431E2B" w:rsidP="00431E2B">
            <w:pPr>
              <w:pStyle w:val="Tabletext"/>
              <w:jc w:val="right"/>
            </w:pPr>
            <w:r w:rsidRPr="0030735A">
              <w:t>3,25%</w:t>
            </w:r>
          </w:p>
        </w:tc>
        <w:tc>
          <w:tcPr>
            <w:tcW w:w="887" w:type="dxa"/>
            <w:tcBorders>
              <w:bottom w:val="nil"/>
            </w:tcBorders>
            <w:shd w:val="clear" w:color="auto" w:fill="auto"/>
            <w:noWrap/>
            <w:vAlign w:val="bottom"/>
          </w:tcPr>
          <w:p w:rsidR="00431E2B" w:rsidRPr="0030735A" w:rsidRDefault="00431E2B" w:rsidP="00431E2B">
            <w:pPr>
              <w:pStyle w:val="Tabletext"/>
              <w:jc w:val="right"/>
            </w:pPr>
            <w:r w:rsidRPr="0030735A">
              <w:t>2,50%</w:t>
            </w:r>
          </w:p>
        </w:tc>
        <w:tc>
          <w:tcPr>
            <w:tcW w:w="886" w:type="dxa"/>
            <w:tcBorders>
              <w:bottom w:val="nil"/>
            </w:tcBorders>
            <w:shd w:val="clear" w:color="auto" w:fill="auto"/>
            <w:noWrap/>
            <w:vAlign w:val="bottom"/>
          </w:tcPr>
          <w:p w:rsidR="00431E2B" w:rsidRPr="0030735A" w:rsidRDefault="00431E2B" w:rsidP="00431E2B">
            <w:pPr>
              <w:pStyle w:val="Tabletext"/>
              <w:jc w:val="right"/>
            </w:pPr>
            <w:r w:rsidRPr="0030735A">
              <w:t>2,24%</w:t>
            </w:r>
          </w:p>
        </w:tc>
        <w:tc>
          <w:tcPr>
            <w:tcW w:w="887" w:type="dxa"/>
            <w:tcBorders>
              <w:bottom w:val="nil"/>
            </w:tcBorders>
            <w:shd w:val="clear" w:color="auto" w:fill="auto"/>
            <w:noWrap/>
            <w:vAlign w:val="bottom"/>
          </w:tcPr>
          <w:p w:rsidR="00431E2B" w:rsidRPr="0030735A" w:rsidRDefault="00431E2B" w:rsidP="00431E2B">
            <w:pPr>
              <w:pStyle w:val="Tabletext"/>
              <w:jc w:val="right"/>
            </w:pPr>
            <w:r w:rsidRPr="0030735A">
              <w:t>2,76%</w:t>
            </w:r>
          </w:p>
        </w:tc>
        <w:tc>
          <w:tcPr>
            <w:tcW w:w="887" w:type="dxa"/>
            <w:tcBorders>
              <w:bottom w:val="nil"/>
            </w:tcBorders>
            <w:shd w:val="clear" w:color="auto" w:fill="auto"/>
            <w:noWrap/>
            <w:vAlign w:val="bottom"/>
          </w:tcPr>
          <w:p w:rsidR="00431E2B" w:rsidRPr="0030735A" w:rsidRDefault="00431E2B" w:rsidP="00431E2B">
            <w:pPr>
              <w:pStyle w:val="Tabletext"/>
              <w:jc w:val="right"/>
            </w:pPr>
            <w:r w:rsidRPr="0030735A">
              <w:t>1,51%</w:t>
            </w:r>
          </w:p>
        </w:tc>
        <w:tc>
          <w:tcPr>
            <w:tcW w:w="886" w:type="dxa"/>
            <w:tcBorders>
              <w:bottom w:val="nil"/>
            </w:tcBorders>
            <w:shd w:val="clear" w:color="auto" w:fill="auto"/>
            <w:noWrap/>
            <w:vAlign w:val="bottom"/>
          </w:tcPr>
          <w:p w:rsidR="00431E2B" w:rsidRPr="0030735A" w:rsidRDefault="00431E2B" w:rsidP="00431E2B">
            <w:pPr>
              <w:pStyle w:val="Tabletext"/>
              <w:jc w:val="right"/>
            </w:pPr>
            <w:r w:rsidRPr="0030735A">
              <w:t>1,32%</w:t>
            </w:r>
          </w:p>
        </w:tc>
        <w:tc>
          <w:tcPr>
            <w:tcW w:w="887" w:type="dxa"/>
            <w:tcBorders>
              <w:bottom w:val="nil"/>
            </w:tcBorders>
            <w:shd w:val="clear" w:color="auto" w:fill="auto"/>
            <w:noWrap/>
            <w:vAlign w:val="bottom"/>
          </w:tcPr>
          <w:p w:rsidR="00431E2B" w:rsidRPr="0030735A" w:rsidRDefault="00431E2B" w:rsidP="00431E2B">
            <w:pPr>
              <w:pStyle w:val="Tabletext"/>
              <w:jc w:val="right"/>
            </w:pPr>
            <w:r w:rsidRPr="0030735A">
              <w:t>0,92%</w:t>
            </w:r>
          </w:p>
        </w:tc>
        <w:tc>
          <w:tcPr>
            <w:tcW w:w="887" w:type="dxa"/>
            <w:tcBorders>
              <w:bottom w:val="nil"/>
            </w:tcBorders>
            <w:vAlign w:val="bottom"/>
          </w:tcPr>
          <w:p w:rsidR="00431E2B" w:rsidRPr="0030735A" w:rsidRDefault="00431E2B" w:rsidP="00431E2B">
            <w:pPr>
              <w:pStyle w:val="Tabletext"/>
              <w:jc w:val="right"/>
            </w:pPr>
            <w:r w:rsidRPr="0030735A">
              <w:t>0,90%</w:t>
            </w:r>
          </w:p>
        </w:tc>
      </w:tr>
      <w:tr w:rsidR="00431E2B" w:rsidRPr="0030735A" w:rsidTr="0091704A">
        <w:tc>
          <w:tcPr>
            <w:tcW w:w="2542" w:type="dxa"/>
            <w:tcBorders>
              <w:top w:val="nil"/>
              <w:bottom w:val="nil"/>
            </w:tcBorders>
            <w:shd w:val="clear" w:color="auto" w:fill="auto"/>
            <w:hideMark/>
          </w:tcPr>
          <w:p w:rsidR="00431E2B" w:rsidRPr="0030735A" w:rsidRDefault="00431E2B" w:rsidP="00431E2B">
            <w:pPr>
              <w:pStyle w:val="Tabletext"/>
            </w:pPr>
            <w:r w:rsidRPr="0030735A">
              <w:t>Рост затрат на медицинские услуги</w:t>
            </w:r>
          </w:p>
        </w:tc>
        <w:tc>
          <w:tcPr>
            <w:tcW w:w="886" w:type="dxa"/>
            <w:tcBorders>
              <w:top w:val="nil"/>
              <w:bottom w:val="nil"/>
            </w:tcBorders>
            <w:shd w:val="clear" w:color="auto" w:fill="auto"/>
            <w:vAlign w:val="bottom"/>
          </w:tcPr>
          <w:p w:rsidR="00431E2B" w:rsidRPr="0030735A" w:rsidRDefault="00431E2B" w:rsidP="00431E2B">
            <w:pPr>
              <w:pStyle w:val="Tabletext"/>
              <w:jc w:val="right"/>
            </w:pPr>
            <w:r w:rsidRPr="0030735A">
              <w:t>3,80%</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6,00%</w:t>
            </w:r>
          </w:p>
        </w:tc>
        <w:tc>
          <w:tcPr>
            <w:tcW w:w="886" w:type="dxa"/>
            <w:tcBorders>
              <w:top w:val="nil"/>
              <w:bottom w:val="nil"/>
            </w:tcBorders>
            <w:shd w:val="clear" w:color="auto" w:fill="auto"/>
            <w:vAlign w:val="bottom"/>
          </w:tcPr>
          <w:p w:rsidR="00431E2B" w:rsidRPr="0030735A" w:rsidRDefault="00431E2B" w:rsidP="00431E2B">
            <w:pPr>
              <w:pStyle w:val="Tabletext"/>
              <w:jc w:val="right"/>
            </w:pPr>
            <w:r w:rsidRPr="0030735A">
              <w:t>5,70%</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5,40%</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5,10%</w:t>
            </w:r>
          </w:p>
        </w:tc>
        <w:tc>
          <w:tcPr>
            <w:tcW w:w="886" w:type="dxa"/>
            <w:tcBorders>
              <w:top w:val="nil"/>
              <w:bottom w:val="nil"/>
            </w:tcBorders>
            <w:shd w:val="clear" w:color="auto" w:fill="auto"/>
            <w:vAlign w:val="bottom"/>
          </w:tcPr>
          <w:p w:rsidR="00431E2B" w:rsidRPr="0030735A" w:rsidRDefault="00431E2B" w:rsidP="00431E2B">
            <w:pPr>
              <w:pStyle w:val="Tabletext"/>
              <w:jc w:val="right"/>
            </w:pPr>
            <w:r w:rsidRPr="0030735A">
              <w:t>4,80%</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4,50%</w:t>
            </w:r>
          </w:p>
        </w:tc>
        <w:tc>
          <w:tcPr>
            <w:tcW w:w="887" w:type="dxa"/>
            <w:tcBorders>
              <w:top w:val="nil"/>
              <w:bottom w:val="nil"/>
            </w:tcBorders>
            <w:vAlign w:val="bottom"/>
          </w:tcPr>
          <w:p w:rsidR="00431E2B" w:rsidRPr="0030735A" w:rsidRDefault="00431E2B" w:rsidP="00431E2B">
            <w:pPr>
              <w:pStyle w:val="Tabletext"/>
              <w:jc w:val="right"/>
            </w:pPr>
            <w:r w:rsidRPr="0030735A">
              <w:t>4,50%</w:t>
            </w:r>
          </w:p>
        </w:tc>
      </w:tr>
      <w:tr w:rsidR="00431E2B" w:rsidRPr="0030735A" w:rsidTr="0091704A">
        <w:tc>
          <w:tcPr>
            <w:tcW w:w="2542" w:type="dxa"/>
            <w:vMerge w:val="restart"/>
            <w:tcBorders>
              <w:top w:val="nil"/>
              <w:bottom w:val="nil"/>
            </w:tcBorders>
            <w:shd w:val="clear" w:color="auto" w:fill="auto"/>
            <w:hideMark/>
          </w:tcPr>
          <w:p w:rsidR="00431E2B" w:rsidRPr="0030735A" w:rsidRDefault="00431E2B" w:rsidP="00431E2B">
            <w:pPr>
              <w:pStyle w:val="Tabletext"/>
            </w:pPr>
            <w:r w:rsidRPr="0030735A">
              <w:t>Повышение окладов</w:t>
            </w:r>
          </w:p>
        </w:tc>
        <w:tc>
          <w:tcPr>
            <w:tcW w:w="886" w:type="dxa"/>
            <w:tcBorders>
              <w:top w:val="nil"/>
              <w:bottom w:val="nil"/>
            </w:tcBorders>
            <w:shd w:val="clear" w:color="auto" w:fill="auto"/>
            <w:vAlign w:val="bottom"/>
          </w:tcPr>
          <w:p w:rsidR="00431E2B" w:rsidRPr="0030735A" w:rsidRDefault="00431E2B" w:rsidP="00431E2B">
            <w:pPr>
              <w:pStyle w:val="Tabletext"/>
              <w:jc w:val="right"/>
            </w:pPr>
            <w:r w:rsidRPr="0030735A">
              <w:t>2,50%</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3,80%</w:t>
            </w:r>
          </w:p>
        </w:tc>
        <w:tc>
          <w:tcPr>
            <w:tcW w:w="886" w:type="dxa"/>
            <w:tcBorders>
              <w:top w:val="nil"/>
              <w:bottom w:val="nil"/>
            </w:tcBorders>
            <w:shd w:val="clear" w:color="auto" w:fill="auto"/>
            <w:vAlign w:val="bottom"/>
          </w:tcPr>
          <w:p w:rsidR="00431E2B" w:rsidRPr="0030735A" w:rsidRDefault="00431E2B" w:rsidP="00431E2B">
            <w:pPr>
              <w:pStyle w:val="Tabletext"/>
              <w:jc w:val="right"/>
            </w:pPr>
            <w:r w:rsidRPr="0030735A">
              <w:t>3,58%</w:t>
            </w:r>
            <w:r w:rsidR="0092795A" w:rsidRPr="0030735A">
              <w:t xml:space="preserve"> </w:t>
            </w:r>
            <w:r w:rsidRPr="0030735A">
              <w:t>P</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3,58%</w:t>
            </w:r>
            <w:r w:rsidR="0092795A" w:rsidRPr="0030735A">
              <w:t xml:space="preserve"> </w:t>
            </w:r>
            <w:r w:rsidRPr="0030735A">
              <w:t>P</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3,86%</w:t>
            </w:r>
            <w:r w:rsidR="0092795A" w:rsidRPr="0030735A">
              <w:t xml:space="preserve"> </w:t>
            </w:r>
            <w:r w:rsidRPr="0030735A">
              <w:t>P</w:t>
            </w:r>
          </w:p>
        </w:tc>
        <w:tc>
          <w:tcPr>
            <w:tcW w:w="886" w:type="dxa"/>
            <w:tcBorders>
              <w:top w:val="nil"/>
              <w:bottom w:val="nil"/>
            </w:tcBorders>
            <w:shd w:val="clear" w:color="auto" w:fill="auto"/>
            <w:vAlign w:val="bottom"/>
          </w:tcPr>
          <w:p w:rsidR="00431E2B" w:rsidRPr="0030735A" w:rsidRDefault="00431E2B" w:rsidP="00431E2B">
            <w:pPr>
              <w:pStyle w:val="Tabletext"/>
              <w:jc w:val="right"/>
            </w:pPr>
            <w:r w:rsidRPr="0030735A">
              <w:t>3,50%</w:t>
            </w:r>
          </w:p>
        </w:tc>
        <w:tc>
          <w:tcPr>
            <w:tcW w:w="887" w:type="dxa"/>
            <w:tcBorders>
              <w:top w:val="nil"/>
              <w:bottom w:val="nil"/>
            </w:tcBorders>
            <w:shd w:val="clear" w:color="auto" w:fill="auto"/>
            <w:vAlign w:val="bottom"/>
          </w:tcPr>
          <w:p w:rsidR="00431E2B" w:rsidRPr="0030735A" w:rsidRDefault="00431E2B" w:rsidP="00431E2B">
            <w:pPr>
              <w:pStyle w:val="Tabletext"/>
              <w:jc w:val="right"/>
            </w:pPr>
            <w:r w:rsidRPr="0030735A">
              <w:t>3,50%</w:t>
            </w:r>
          </w:p>
        </w:tc>
        <w:tc>
          <w:tcPr>
            <w:tcW w:w="887" w:type="dxa"/>
            <w:tcBorders>
              <w:top w:val="nil"/>
              <w:bottom w:val="nil"/>
            </w:tcBorders>
            <w:vAlign w:val="bottom"/>
          </w:tcPr>
          <w:p w:rsidR="00431E2B" w:rsidRPr="0030735A" w:rsidRDefault="00431E2B" w:rsidP="00431E2B">
            <w:pPr>
              <w:pStyle w:val="Tabletext"/>
              <w:jc w:val="right"/>
            </w:pPr>
            <w:r w:rsidRPr="0030735A">
              <w:t>3,50%</w:t>
            </w:r>
          </w:p>
        </w:tc>
      </w:tr>
      <w:tr w:rsidR="00431E2B" w:rsidRPr="0030735A" w:rsidTr="0091704A">
        <w:tc>
          <w:tcPr>
            <w:tcW w:w="2542" w:type="dxa"/>
            <w:vMerge/>
            <w:tcBorders>
              <w:top w:val="nil"/>
            </w:tcBorders>
            <w:vAlign w:val="center"/>
            <w:hideMark/>
          </w:tcPr>
          <w:p w:rsidR="00431E2B" w:rsidRPr="0030735A" w:rsidRDefault="00431E2B" w:rsidP="00431E2B">
            <w:pPr>
              <w:pStyle w:val="Tabletext"/>
              <w:rPr>
                <w:color w:val="000000"/>
              </w:rPr>
            </w:pPr>
          </w:p>
        </w:tc>
        <w:tc>
          <w:tcPr>
            <w:tcW w:w="886" w:type="dxa"/>
            <w:tcBorders>
              <w:top w:val="nil"/>
            </w:tcBorders>
            <w:shd w:val="clear" w:color="auto" w:fill="auto"/>
            <w:noWrap/>
            <w:vAlign w:val="bottom"/>
          </w:tcPr>
          <w:p w:rsidR="00431E2B" w:rsidRPr="0030735A" w:rsidRDefault="00431E2B" w:rsidP="00431E2B">
            <w:pPr>
              <w:pStyle w:val="Tabletext"/>
              <w:jc w:val="right"/>
            </w:pPr>
          </w:p>
        </w:tc>
        <w:tc>
          <w:tcPr>
            <w:tcW w:w="887" w:type="dxa"/>
            <w:tcBorders>
              <w:top w:val="nil"/>
            </w:tcBorders>
            <w:shd w:val="clear" w:color="auto" w:fill="auto"/>
            <w:noWrap/>
            <w:vAlign w:val="bottom"/>
          </w:tcPr>
          <w:p w:rsidR="00431E2B" w:rsidRPr="0030735A" w:rsidRDefault="00431E2B" w:rsidP="00431E2B">
            <w:pPr>
              <w:pStyle w:val="Tabletext"/>
              <w:jc w:val="right"/>
            </w:pPr>
          </w:p>
        </w:tc>
        <w:tc>
          <w:tcPr>
            <w:tcW w:w="886" w:type="dxa"/>
            <w:tcBorders>
              <w:top w:val="nil"/>
            </w:tcBorders>
            <w:shd w:val="clear" w:color="auto" w:fill="auto"/>
            <w:vAlign w:val="bottom"/>
          </w:tcPr>
          <w:p w:rsidR="00431E2B" w:rsidRPr="0030735A" w:rsidRDefault="00431E2B" w:rsidP="00431E2B">
            <w:pPr>
              <w:pStyle w:val="Tabletext"/>
              <w:jc w:val="right"/>
            </w:pPr>
            <w:r w:rsidRPr="0030735A">
              <w:t>3,48%</w:t>
            </w:r>
            <w:r w:rsidR="0092795A" w:rsidRPr="0030735A">
              <w:t xml:space="preserve"> </w:t>
            </w:r>
            <w:r w:rsidRPr="0030735A">
              <w:t>G</w:t>
            </w:r>
          </w:p>
        </w:tc>
        <w:tc>
          <w:tcPr>
            <w:tcW w:w="887" w:type="dxa"/>
            <w:tcBorders>
              <w:top w:val="nil"/>
            </w:tcBorders>
            <w:shd w:val="clear" w:color="auto" w:fill="auto"/>
            <w:vAlign w:val="bottom"/>
          </w:tcPr>
          <w:p w:rsidR="00431E2B" w:rsidRPr="0030735A" w:rsidRDefault="00431E2B" w:rsidP="00431E2B">
            <w:pPr>
              <w:pStyle w:val="Tabletext"/>
              <w:jc w:val="right"/>
            </w:pPr>
            <w:r w:rsidRPr="0030735A">
              <w:t>3,48%</w:t>
            </w:r>
            <w:r w:rsidR="0092795A" w:rsidRPr="0030735A">
              <w:t xml:space="preserve"> </w:t>
            </w:r>
            <w:r w:rsidRPr="0030735A">
              <w:t>G</w:t>
            </w:r>
          </w:p>
        </w:tc>
        <w:tc>
          <w:tcPr>
            <w:tcW w:w="887" w:type="dxa"/>
            <w:tcBorders>
              <w:top w:val="nil"/>
            </w:tcBorders>
            <w:shd w:val="clear" w:color="auto" w:fill="auto"/>
            <w:vAlign w:val="bottom"/>
          </w:tcPr>
          <w:p w:rsidR="00431E2B" w:rsidRPr="0030735A" w:rsidRDefault="00431E2B" w:rsidP="00431E2B">
            <w:pPr>
              <w:pStyle w:val="Tabletext"/>
              <w:jc w:val="right"/>
            </w:pPr>
            <w:r w:rsidRPr="0030735A">
              <w:t>3,32%</w:t>
            </w:r>
            <w:r w:rsidR="0092795A" w:rsidRPr="0030735A">
              <w:t xml:space="preserve"> </w:t>
            </w:r>
            <w:r w:rsidRPr="0030735A">
              <w:t>G</w:t>
            </w:r>
          </w:p>
        </w:tc>
        <w:tc>
          <w:tcPr>
            <w:tcW w:w="886" w:type="dxa"/>
            <w:tcBorders>
              <w:top w:val="nil"/>
            </w:tcBorders>
            <w:shd w:val="clear" w:color="auto" w:fill="auto"/>
            <w:vAlign w:val="bottom"/>
          </w:tcPr>
          <w:p w:rsidR="00431E2B" w:rsidRPr="0030735A" w:rsidRDefault="00431E2B" w:rsidP="00431E2B">
            <w:pPr>
              <w:pStyle w:val="Tabletext"/>
              <w:jc w:val="right"/>
            </w:pPr>
          </w:p>
        </w:tc>
        <w:tc>
          <w:tcPr>
            <w:tcW w:w="887" w:type="dxa"/>
            <w:tcBorders>
              <w:top w:val="nil"/>
            </w:tcBorders>
            <w:shd w:val="clear" w:color="auto" w:fill="auto"/>
            <w:noWrap/>
            <w:vAlign w:val="bottom"/>
          </w:tcPr>
          <w:p w:rsidR="00431E2B" w:rsidRPr="0030735A" w:rsidRDefault="00431E2B" w:rsidP="00431E2B">
            <w:pPr>
              <w:pStyle w:val="Tabletext"/>
              <w:jc w:val="right"/>
            </w:pPr>
          </w:p>
        </w:tc>
        <w:tc>
          <w:tcPr>
            <w:tcW w:w="887" w:type="dxa"/>
            <w:tcBorders>
              <w:top w:val="nil"/>
            </w:tcBorders>
          </w:tcPr>
          <w:p w:rsidR="00431E2B" w:rsidRPr="0030735A" w:rsidRDefault="00431E2B" w:rsidP="00431E2B">
            <w:pPr>
              <w:pStyle w:val="Tabletext"/>
              <w:jc w:val="right"/>
            </w:pPr>
          </w:p>
        </w:tc>
      </w:tr>
    </w:tbl>
    <w:p w:rsidR="00431E2B" w:rsidRPr="0030735A" w:rsidRDefault="00431E2B" w:rsidP="00CF5652">
      <w:pPr>
        <w:spacing w:before="240"/>
      </w:pPr>
      <w:r w:rsidRPr="0030735A">
        <w:t>2.6</w:t>
      </w:r>
      <w:r w:rsidRPr="0030735A">
        <w:tab/>
      </w:r>
      <w:r w:rsidR="00CF5652" w:rsidRPr="0030735A">
        <w:t>Динамика обязательств по АСХИ с 2011 года, а также их воздействие на чистые активы показаны в приведенной ниже таблице</w:t>
      </w:r>
      <w:r w:rsidRPr="0030735A">
        <w:t>.</w:t>
      </w:r>
    </w:p>
    <w:p w:rsidR="00CF5652" w:rsidRPr="0030735A" w:rsidRDefault="00CF5652" w:rsidP="00CF5652">
      <w:pPr>
        <w:pStyle w:val="Headingb"/>
        <w:spacing w:after="120"/>
      </w:pPr>
      <w:r w:rsidRPr="0030735A">
        <w:t>Изменение чистых активов МСЭ, обусловленное признанием обязательств по АСХИ в соответствии со стандартом IPSAS 39</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013"/>
        <w:gridCol w:w="1014"/>
        <w:gridCol w:w="1014"/>
        <w:gridCol w:w="1014"/>
        <w:gridCol w:w="1014"/>
        <w:gridCol w:w="1014"/>
        <w:gridCol w:w="1014"/>
      </w:tblGrid>
      <w:tr w:rsidR="00CF5652" w:rsidRPr="0030735A" w:rsidTr="0030735A">
        <w:tc>
          <w:tcPr>
            <w:tcW w:w="2538" w:type="dxa"/>
            <w:tcBorders>
              <w:bottom w:val="single" w:sz="4" w:space="0" w:color="auto"/>
            </w:tcBorders>
            <w:shd w:val="clear" w:color="auto" w:fill="auto"/>
            <w:noWrap/>
            <w:tcMar>
              <w:left w:w="108" w:type="dxa"/>
              <w:right w:w="108" w:type="dxa"/>
            </w:tcMar>
            <w:vAlign w:val="center"/>
            <w:hideMark/>
          </w:tcPr>
          <w:p w:rsidR="00CF5652" w:rsidRPr="0030735A" w:rsidRDefault="00CF5652" w:rsidP="0030735A">
            <w:pPr>
              <w:pStyle w:val="Tabletext"/>
              <w:rPr>
                <w:rFonts w:asciiTheme="minorHAnsi" w:hAnsiTheme="minorHAnsi"/>
                <w:b/>
              </w:rPr>
            </w:pPr>
            <w:r w:rsidRPr="0030735A">
              <w:rPr>
                <w:rFonts w:asciiTheme="minorHAnsi" w:hAnsiTheme="minorHAnsi"/>
                <w:b/>
              </w:rPr>
              <w:t>Тыс. шв. фр.</w:t>
            </w:r>
          </w:p>
        </w:tc>
        <w:tc>
          <w:tcPr>
            <w:tcW w:w="1013" w:type="dxa"/>
            <w:tcBorders>
              <w:bottom w:val="single" w:sz="4" w:space="0" w:color="auto"/>
            </w:tcBorders>
            <w:shd w:val="clear" w:color="auto" w:fill="auto"/>
            <w:noWrap/>
            <w:tcMar>
              <w:left w:w="108" w:type="dxa"/>
              <w:right w:w="108" w:type="dxa"/>
            </w:tcMar>
            <w:hideMark/>
          </w:tcPr>
          <w:p w:rsidR="00CF5652" w:rsidRPr="0030735A" w:rsidRDefault="00CF5652" w:rsidP="00CF5652">
            <w:pPr>
              <w:pStyle w:val="Tabletext"/>
              <w:jc w:val="center"/>
              <w:rPr>
                <w:rFonts w:asciiTheme="minorHAnsi" w:hAnsiTheme="minorHAnsi"/>
                <w:b/>
              </w:rPr>
            </w:pPr>
            <w:r w:rsidRPr="0030735A">
              <w:rPr>
                <w:rFonts w:asciiTheme="minorHAnsi" w:hAnsiTheme="minorHAnsi"/>
                <w:b/>
              </w:rPr>
              <w:t>Декабрь 2011 г.</w:t>
            </w:r>
          </w:p>
        </w:tc>
        <w:tc>
          <w:tcPr>
            <w:tcW w:w="1014" w:type="dxa"/>
            <w:tcBorders>
              <w:bottom w:val="single" w:sz="4" w:space="0" w:color="auto"/>
            </w:tcBorders>
            <w:shd w:val="clear" w:color="auto" w:fill="auto"/>
            <w:noWrap/>
            <w:tcMar>
              <w:left w:w="108" w:type="dxa"/>
              <w:right w:w="108" w:type="dxa"/>
            </w:tcMar>
            <w:hideMark/>
          </w:tcPr>
          <w:p w:rsidR="00CF5652" w:rsidRPr="0030735A" w:rsidRDefault="00CF5652" w:rsidP="00CF5652">
            <w:pPr>
              <w:pStyle w:val="Tabletext"/>
              <w:jc w:val="center"/>
              <w:rPr>
                <w:rFonts w:asciiTheme="minorHAnsi" w:hAnsiTheme="minorHAnsi"/>
                <w:b/>
              </w:rPr>
            </w:pPr>
            <w:r w:rsidRPr="0030735A">
              <w:rPr>
                <w:rFonts w:asciiTheme="minorHAnsi" w:hAnsiTheme="minorHAnsi"/>
                <w:b/>
              </w:rPr>
              <w:t>Декабрь 2012 г.</w:t>
            </w:r>
          </w:p>
        </w:tc>
        <w:tc>
          <w:tcPr>
            <w:tcW w:w="1014" w:type="dxa"/>
            <w:tcBorders>
              <w:bottom w:val="single" w:sz="4" w:space="0" w:color="auto"/>
            </w:tcBorders>
            <w:shd w:val="clear" w:color="auto" w:fill="auto"/>
            <w:noWrap/>
            <w:tcMar>
              <w:left w:w="108" w:type="dxa"/>
              <w:right w:w="108" w:type="dxa"/>
            </w:tcMar>
            <w:hideMark/>
          </w:tcPr>
          <w:p w:rsidR="00CF5652" w:rsidRPr="0030735A" w:rsidRDefault="00CF5652" w:rsidP="00CF5652">
            <w:pPr>
              <w:pStyle w:val="Tabletext"/>
              <w:jc w:val="center"/>
              <w:rPr>
                <w:rFonts w:asciiTheme="minorHAnsi" w:hAnsiTheme="minorHAnsi"/>
                <w:b/>
              </w:rPr>
            </w:pPr>
            <w:r w:rsidRPr="0030735A">
              <w:rPr>
                <w:rFonts w:asciiTheme="minorHAnsi" w:hAnsiTheme="minorHAnsi"/>
                <w:b/>
              </w:rPr>
              <w:t>Декабрь 2013 г.</w:t>
            </w:r>
          </w:p>
        </w:tc>
        <w:tc>
          <w:tcPr>
            <w:tcW w:w="1014" w:type="dxa"/>
            <w:tcBorders>
              <w:bottom w:val="single" w:sz="4" w:space="0" w:color="auto"/>
            </w:tcBorders>
            <w:shd w:val="clear" w:color="auto" w:fill="auto"/>
            <w:noWrap/>
            <w:tcMar>
              <w:left w:w="108" w:type="dxa"/>
              <w:right w:w="108" w:type="dxa"/>
            </w:tcMar>
            <w:hideMark/>
          </w:tcPr>
          <w:p w:rsidR="00CF5652" w:rsidRPr="0030735A" w:rsidRDefault="00CF5652" w:rsidP="00CF5652">
            <w:pPr>
              <w:pStyle w:val="Tabletext"/>
              <w:jc w:val="center"/>
              <w:rPr>
                <w:rFonts w:asciiTheme="minorHAnsi" w:hAnsiTheme="minorHAnsi"/>
                <w:b/>
              </w:rPr>
            </w:pPr>
            <w:r w:rsidRPr="0030735A">
              <w:rPr>
                <w:rFonts w:asciiTheme="minorHAnsi" w:hAnsiTheme="minorHAnsi"/>
                <w:b/>
              </w:rPr>
              <w:t>Декабрь 2014 г.</w:t>
            </w:r>
          </w:p>
        </w:tc>
        <w:tc>
          <w:tcPr>
            <w:tcW w:w="1014" w:type="dxa"/>
            <w:tcBorders>
              <w:bottom w:val="single" w:sz="4" w:space="0" w:color="auto"/>
            </w:tcBorders>
            <w:shd w:val="clear" w:color="auto" w:fill="auto"/>
            <w:noWrap/>
            <w:tcMar>
              <w:left w:w="108" w:type="dxa"/>
              <w:right w:w="108" w:type="dxa"/>
            </w:tcMar>
            <w:hideMark/>
          </w:tcPr>
          <w:p w:rsidR="00CF5652" w:rsidRPr="0030735A" w:rsidRDefault="00CF5652" w:rsidP="00CF5652">
            <w:pPr>
              <w:pStyle w:val="Tabletext"/>
              <w:jc w:val="center"/>
              <w:rPr>
                <w:rFonts w:asciiTheme="minorHAnsi" w:hAnsiTheme="minorHAnsi"/>
                <w:b/>
              </w:rPr>
            </w:pPr>
            <w:r w:rsidRPr="0030735A">
              <w:rPr>
                <w:rFonts w:asciiTheme="minorHAnsi" w:hAnsiTheme="minorHAnsi"/>
                <w:b/>
              </w:rPr>
              <w:t>Декабрь 2015 г.</w:t>
            </w:r>
          </w:p>
        </w:tc>
        <w:tc>
          <w:tcPr>
            <w:tcW w:w="1014" w:type="dxa"/>
            <w:tcBorders>
              <w:bottom w:val="single" w:sz="4" w:space="0" w:color="auto"/>
            </w:tcBorders>
            <w:shd w:val="clear" w:color="auto" w:fill="auto"/>
            <w:noWrap/>
            <w:tcMar>
              <w:left w:w="108" w:type="dxa"/>
              <w:right w:w="108" w:type="dxa"/>
            </w:tcMar>
            <w:hideMark/>
          </w:tcPr>
          <w:p w:rsidR="00CF5652" w:rsidRPr="0030735A" w:rsidRDefault="00CF5652" w:rsidP="00CF5652">
            <w:pPr>
              <w:pStyle w:val="Tabletext"/>
              <w:jc w:val="center"/>
              <w:rPr>
                <w:rFonts w:asciiTheme="minorHAnsi" w:hAnsiTheme="minorHAnsi"/>
                <w:b/>
              </w:rPr>
            </w:pPr>
            <w:r w:rsidRPr="0030735A">
              <w:rPr>
                <w:rFonts w:asciiTheme="minorHAnsi" w:hAnsiTheme="minorHAnsi"/>
                <w:b/>
              </w:rPr>
              <w:t>Декабрь 2016 г.</w:t>
            </w:r>
          </w:p>
        </w:tc>
        <w:tc>
          <w:tcPr>
            <w:tcW w:w="1014" w:type="dxa"/>
            <w:tcBorders>
              <w:bottom w:val="single" w:sz="4" w:space="0" w:color="auto"/>
            </w:tcBorders>
            <w:shd w:val="clear" w:color="auto" w:fill="auto"/>
            <w:noWrap/>
            <w:tcMar>
              <w:left w:w="108" w:type="dxa"/>
              <w:right w:w="108" w:type="dxa"/>
            </w:tcMar>
            <w:hideMark/>
          </w:tcPr>
          <w:p w:rsidR="00CF5652" w:rsidRPr="0030735A" w:rsidRDefault="00CF5652" w:rsidP="00F239A9">
            <w:pPr>
              <w:pStyle w:val="Tabletext"/>
              <w:jc w:val="center"/>
              <w:rPr>
                <w:rFonts w:asciiTheme="minorHAnsi" w:hAnsiTheme="minorHAnsi"/>
                <w:b/>
              </w:rPr>
            </w:pPr>
            <w:r w:rsidRPr="0030735A">
              <w:rPr>
                <w:rFonts w:asciiTheme="minorHAnsi" w:hAnsiTheme="minorHAnsi"/>
                <w:b/>
              </w:rPr>
              <w:t>Декабрь 2017 г.</w:t>
            </w:r>
          </w:p>
        </w:tc>
      </w:tr>
      <w:tr w:rsidR="0092795A" w:rsidRPr="0030735A" w:rsidTr="0030735A">
        <w:tc>
          <w:tcPr>
            <w:tcW w:w="2538" w:type="dxa"/>
            <w:tcBorders>
              <w:bottom w:val="nil"/>
            </w:tcBorders>
            <w:shd w:val="clear" w:color="auto" w:fill="auto"/>
            <w:tcMar>
              <w:left w:w="108" w:type="dxa"/>
              <w:right w:w="108" w:type="dxa"/>
            </w:tcMar>
            <w:hideMark/>
          </w:tcPr>
          <w:p w:rsidR="0092795A" w:rsidRPr="0030735A" w:rsidRDefault="0092795A" w:rsidP="0092795A">
            <w:pPr>
              <w:pStyle w:val="Tabletext"/>
              <w:rPr>
                <w:rFonts w:asciiTheme="minorHAnsi" w:hAnsiTheme="minorHAnsi"/>
              </w:rPr>
            </w:pPr>
            <w:r w:rsidRPr="0030735A">
              <w:rPr>
                <w:rFonts w:asciiTheme="minorHAnsi" w:hAnsiTheme="minorHAnsi"/>
              </w:rPr>
              <w:t>Приведенная стоимость нефинансируемых обязательств</w:t>
            </w:r>
          </w:p>
        </w:tc>
        <w:tc>
          <w:tcPr>
            <w:tcW w:w="1013" w:type="dxa"/>
            <w:tcBorders>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−278 684</w:t>
            </w:r>
          </w:p>
        </w:tc>
        <w:tc>
          <w:tcPr>
            <w:tcW w:w="1014" w:type="dxa"/>
            <w:tcBorders>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−335 206</w:t>
            </w:r>
          </w:p>
        </w:tc>
        <w:tc>
          <w:tcPr>
            <w:tcW w:w="1014" w:type="dxa"/>
            <w:tcBorders>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−314 127</w:t>
            </w:r>
          </w:p>
        </w:tc>
        <w:tc>
          <w:tcPr>
            <w:tcW w:w="1014" w:type="dxa"/>
            <w:tcBorders>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−512 661</w:t>
            </w:r>
          </w:p>
        </w:tc>
        <w:tc>
          <w:tcPr>
            <w:tcW w:w="1014" w:type="dxa"/>
            <w:tcBorders>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−472 801</w:t>
            </w:r>
          </w:p>
        </w:tc>
        <w:tc>
          <w:tcPr>
            <w:tcW w:w="1014" w:type="dxa"/>
            <w:tcBorders>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−551 911</w:t>
            </w:r>
          </w:p>
        </w:tc>
        <w:tc>
          <w:tcPr>
            <w:tcW w:w="1014" w:type="dxa"/>
            <w:tcBorders>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−617 250</w:t>
            </w:r>
          </w:p>
        </w:tc>
      </w:tr>
      <w:tr w:rsidR="0092795A" w:rsidRPr="0030735A" w:rsidTr="0030735A">
        <w:tc>
          <w:tcPr>
            <w:tcW w:w="2538" w:type="dxa"/>
            <w:tcBorders>
              <w:top w:val="nil"/>
              <w:bottom w:val="nil"/>
            </w:tcBorders>
            <w:shd w:val="clear" w:color="auto" w:fill="auto"/>
            <w:noWrap/>
            <w:tcMar>
              <w:left w:w="108" w:type="dxa"/>
              <w:right w:w="108" w:type="dxa"/>
            </w:tcMar>
            <w:hideMark/>
          </w:tcPr>
          <w:p w:rsidR="0092795A" w:rsidRPr="0030735A" w:rsidRDefault="0092795A" w:rsidP="0092795A">
            <w:pPr>
              <w:pStyle w:val="Tabletext"/>
              <w:rPr>
                <w:rFonts w:asciiTheme="minorHAnsi" w:hAnsiTheme="minorHAnsi"/>
              </w:rPr>
            </w:pPr>
            <w:r w:rsidRPr="0030735A">
              <w:rPr>
                <w:rFonts w:asciiTheme="minorHAnsi" w:hAnsiTheme="minorHAnsi"/>
              </w:rPr>
              <w:t>Воздействие на чистые активы</w:t>
            </w:r>
          </w:p>
        </w:tc>
        <w:tc>
          <w:tcPr>
            <w:tcW w:w="1013" w:type="dxa"/>
            <w:tcBorders>
              <w:top w:val="nil"/>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−66 204</w:t>
            </w:r>
          </w:p>
        </w:tc>
        <w:tc>
          <w:tcPr>
            <w:tcW w:w="1014" w:type="dxa"/>
            <w:tcBorders>
              <w:top w:val="nil"/>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−45 851</w:t>
            </w:r>
          </w:p>
        </w:tc>
        <w:tc>
          <w:tcPr>
            <w:tcW w:w="1014" w:type="dxa"/>
            <w:tcBorders>
              <w:top w:val="nil"/>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26 498</w:t>
            </w:r>
          </w:p>
        </w:tc>
        <w:tc>
          <w:tcPr>
            <w:tcW w:w="1014" w:type="dxa"/>
            <w:tcBorders>
              <w:top w:val="nil"/>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−187 445</w:t>
            </w:r>
          </w:p>
        </w:tc>
        <w:tc>
          <w:tcPr>
            <w:tcW w:w="1014" w:type="dxa"/>
            <w:tcBorders>
              <w:top w:val="nil"/>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55 572</w:t>
            </w:r>
          </w:p>
        </w:tc>
        <w:tc>
          <w:tcPr>
            <w:tcW w:w="1014" w:type="dxa"/>
            <w:tcBorders>
              <w:top w:val="nil"/>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−65 443</w:t>
            </w:r>
          </w:p>
        </w:tc>
        <w:tc>
          <w:tcPr>
            <w:tcW w:w="1014" w:type="dxa"/>
            <w:tcBorders>
              <w:top w:val="nil"/>
              <w:bottom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−47 125</w:t>
            </w:r>
          </w:p>
        </w:tc>
      </w:tr>
      <w:tr w:rsidR="0092795A" w:rsidRPr="0030735A" w:rsidTr="0030735A">
        <w:tc>
          <w:tcPr>
            <w:tcW w:w="2538" w:type="dxa"/>
            <w:tcBorders>
              <w:top w:val="nil"/>
            </w:tcBorders>
            <w:shd w:val="clear" w:color="auto" w:fill="auto"/>
            <w:noWrap/>
            <w:tcMar>
              <w:left w:w="108" w:type="dxa"/>
              <w:right w:w="108" w:type="dxa"/>
            </w:tcMar>
            <w:hideMark/>
          </w:tcPr>
          <w:p w:rsidR="0092795A" w:rsidRPr="0030735A" w:rsidRDefault="0092795A" w:rsidP="0092795A">
            <w:pPr>
              <w:pStyle w:val="Tabletext"/>
              <w:rPr>
                <w:rFonts w:asciiTheme="minorHAnsi" w:hAnsiTheme="minorHAnsi"/>
              </w:rPr>
            </w:pPr>
            <w:r w:rsidRPr="0030735A">
              <w:rPr>
                <w:rFonts w:asciiTheme="minorHAnsi" w:hAnsiTheme="minorHAnsi"/>
              </w:rPr>
              <w:t>Накопленные обязательства по АСХИ в чистых активах</w:t>
            </w:r>
          </w:p>
        </w:tc>
        <w:tc>
          <w:tcPr>
            <w:tcW w:w="1013" w:type="dxa"/>
            <w:tcBorders>
              <w:top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−105 910</w:t>
            </w:r>
          </w:p>
        </w:tc>
        <w:tc>
          <w:tcPr>
            <w:tcW w:w="1014" w:type="dxa"/>
            <w:tcBorders>
              <w:top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−151 761</w:t>
            </w:r>
          </w:p>
        </w:tc>
        <w:tc>
          <w:tcPr>
            <w:tcW w:w="1014" w:type="dxa"/>
            <w:tcBorders>
              <w:top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−125 263</w:t>
            </w:r>
          </w:p>
        </w:tc>
        <w:tc>
          <w:tcPr>
            <w:tcW w:w="1014" w:type="dxa"/>
            <w:tcBorders>
              <w:top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−312 708</w:t>
            </w:r>
          </w:p>
        </w:tc>
        <w:tc>
          <w:tcPr>
            <w:tcW w:w="1014" w:type="dxa"/>
            <w:tcBorders>
              <w:top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−257 136</w:t>
            </w:r>
          </w:p>
        </w:tc>
        <w:tc>
          <w:tcPr>
            <w:tcW w:w="1014" w:type="dxa"/>
            <w:tcBorders>
              <w:top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−322 579</w:t>
            </w:r>
          </w:p>
        </w:tc>
        <w:tc>
          <w:tcPr>
            <w:tcW w:w="1014" w:type="dxa"/>
            <w:tcBorders>
              <w:top w:val="nil"/>
            </w:tcBorders>
            <w:shd w:val="clear" w:color="auto" w:fill="auto"/>
            <w:noWrap/>
            <w:tcMar>
              <w:left w:w="108" w:type="dxa"/>
              <w:right w:w="108" w:type="dxa"/>
            </w:tcMar>
            <w:vAlign w:val="bottom"/>
          </w:tcPr>
          <w:p w:rsidR="0092795A" w:rsidRPr="0030735A" w:rsidRDefault="0092795A" w:rsidP="0092795A">
            <w:pPr>
              <w:pStyle w:val="Tabletext"/>
              <w:jc w:val="right"/>
            </w:pPr>
            <w:r w:rsidRPr="0030735A">
              <w:t>−369 704</w:t>
            </w:r>
          </w:p>
        </w:tc>
      </w:tr>
    </w:tbl>
    <w:p w:rsidR="00B138ED" w:rsidRPr="0030735A" w:rsidRDefault="00B138ED" w:rsidP="00B138ED">
      <w:pPr>
        <w:pStyle w:val="Heading1"/>
      </w:pPr>
      <w:r w:rsidRPr="0030735A">
        <w:lastRenderedPageBreak/>
        <w:t>3</w:t>
      </w:r>
      <w:r w:rsidRPr="0030735A">
        <w:tab/>
        <w:t>Принятые меры</w:t>
      </w:r>
    </w:p>
    <w:p w:rsidR="00B138ED" w:rsidRPr="0030735A" w:rsidRDefault="00B138ED" w:rsidP="00D235A0">
      <w:pPr>
        <w:rPr>
          <w:rFonts w:cs="Calibri"/>
          <w:b/>
        </w:rPr>
      </w:pPr>
      <w:r w:rsidRPr="0030735A">
        <w:t>3.1</w:t>
      </w:r>
      <w:r w:rsidRPr="0030735A">
        <w:tab/>
        <w:t xml:space="preserve">Начиная с 2010 года финансирование актуарных обязательств по АСХИ </w:t>
      </w:r>
      <w:r w:rsidR="00D235A0" w:rsidRPr="0030735A">
        <w:t>представляет собой проблему, в связи с которой</w:t>
      </w:r>
      <w:r w:rsidRPr="0030735A">
        <w:t xml:space="preserve"> были приняты меры для обеспечения финансирования медицинского страхования на распределительной основе, а также финансирования обязательств по АСХИ на долгосрочной основе.</w:t>
      </w:r>
    </w:p>
    <w:p w:rsidR="00B138ED" w:rsidRPr="0030735A" w:rsidRDefault="00B138ED" w:rsidP="00B138ED">
      <w:pPr>
        <w:pStyle w:val="Headingi"/>
        <w:rPr>
          <w:b/>
          <w:bCs/>
        </w:rPr>
      </w:pPr>
      <w:r w:rsidRPr="0030735A">
        <w:rPr>
          <w:b/>
          <w:bCs/>
        </w:rPr>
        <w:t>Увеличение взносов</w:t>
      </w:r>
    </w:p>
    <w:p w:rsidR="00B138ED" w:rsidRPr="0030735A" w:rsidRDefault="00B138ED" w:rsidP="00D235A0">
      <w:r w:rsidRPr="0030735A">
        <w:t>3.2</w:t>
      </w:r>
      <w:r w:rsidRPr="0030735A">
        <w:tab/>
      </w:r>
      <w:r w:rsidR="00D235A0" w:rsidRPr="0030735A">
        <w:t>С</w:t>
      </w:r>
      <w:r w:rsidR="00086738" w:rsidRPr="0030735A">
        <w:t xml:space="preserve"> 2014</w:t>
      </w:r>
      <w:r w:rsidR="00D235A0" w:rsidRPr="0030735A">
        <w:t> года доля взноса МСЭ увеличена до</w:t>
      </w:r>
      <w:r w:rsidR="00086738" w:rsidRPr="0030735A">
        <w:t xml:space="preserve"> 3,91</w:t>
      </w:r>
      <w:r w:rsidR="00D235A0" w:rsidRPr="0030735A">
        <w:t xml:space="preserve"> процента, </w:t>
      </w:r>
      <w:r w:rsidR="00D235A0" w:rsidRPr="0030735A">
        <w:rPr>
          <w:szCs w:val="22"/>
        </w:rPr>
        <w:t>для того чтобы уравновесить взносы и выплаты по заявкам на возмещение медицинских расходов</w:t>
      </w:r>
      <w:r w:rsidR="00086738" w:rsidRPr="0030735A">
        <w:t>.</w:t>
      </w:r>
      <w:r w:rsidRPr="0030735A">
        <w:t xml:space="preserve"> Однако данного увеличения недостаточно для финансирования обязательств. В долгосрочной перспективе эта доля должна быть пересмотрена и</w:t>
      </w:r>
      <w:r w:rsidR="00A459A0" w:rsidRPr="0030735A">
        <w:t xml:space="preserve"> </w:t>
      </w:r>
      <w:r w:rsidRPr="0030735A">
        <w:t xml:space="preserve">увеличена главным образом для того, чтобы не допустить дефицита средств в плане и позволить создать резервы для обеспечения финансирования на распределительной основе. </w:t>
      </w:r>
    </w:p>
    <w:p w:rsidR="00B138ED" w:rsidRPr="0030735A" w:rsidRDefault="00B138ED" w:rsidP="00B138ED">
      <w:r w:rsidRPr="0030735A">
        <w:t>3.3</w:t>
      </w:r>
      <w:r w:rsidRPr="0030735A">
        <w:tab/>
        <w:t>Данное увеличение финансируется застрахованными работающими сотрудниками и пенсионерами, а также МСЭ.</w:t>
      </w:r>
    </w:p>
    <w:p w:rsidR="00B138ED" w:rsidRPr="0030735A" w:rsidRDefault="00B138ED" w:rsidP="00B138ED">
      <w:r w:rsidRPr="0030735A">
        <w:t>3.4</w:t>
      </w:r>
      <w:r w:rsidRPr="0030735A">
        <w:tab/>
        <w:t>В соответствии с ПКМС МСЭ осуществляет сбор этих взносов и выплачивает компании Cigna/Vanbreda ежегодные фиксированные премии. Любые суммы превышения взносов над премиями переводятся в гарантийный фонд ПКМС в целях финансирования будущих дефицитов.</w:t>
      </w:r>
    </w:p>
    <w:p w:rsidR="00C96566" w:rsidRPr="0030735A" w:rsidRDefault="00C96566" w:rsidP="00C96566">
      <w:pPr>
        <w:pStyle w:val="Headingi"/>
        <w:rPr>
          <w:b/>
          <w:bCs/>
        </w:rPr>
      </w:pPr>
      <w:r w:rsidRPr="0030735A">
        <w:rPr>
          <w:b/>
          <w:bCs/>
        </w:rPr>
        <w:t>Создание гарантийного фонда ПКМС</w:t>
      </w:r>
    </w:p>
    <w:p w:rsidR="00C96566" w:rsidRPr="0030735A" w:rsidRDefault="00C96566" w:rsidP="00C96566">
      <w:r w:rsidRPr="0030735A">
        <w:t>3.5</w:t>
      </w:r>
      <w:r w:rsidRPr="0030735A">
        <w:tab/>
        <w:t>В 2017 году сумма превышения взносов членов ПКМС и взносов МСЭ над премиями, выплачиваемыми компании Cigna/Vanbreda, была переведена в гарантийный фонд ПКМС. Данный фонд будет предназначен для финансирования системы на распределительной основе.</w:t>
      </w:r>
    </w:p>
    <w:p w:rsidR="00C96566" w:rsidRPr="0030735A" w:rsidRDefault="00C96566" w:rsidP="00C96566">
      <w:r w:rsidRPr="0030735A">
        <w:t>3.6</w:t>
      </w:r>
      <w:r w:rsidRPr="0030735A">
        <w:tab/>
        <w:t>Сальдо гарантийного фонда ПКМС на конец 2017 года составляет 13,8 млн. швейцарских франков.</w:t>
      </w:r>
    </w:p>
    <w:p w:rsidR="00C96566" w:rsidRPr="0030735A" w:rsidRDefault="00C96566" w:rsidP="00C96566">
      <w:pPr>
        <w:pStyle w:val="Headingi"/>
        <w:rPr>
          <w:b/>
          <w:bCs/>
        </w:rPr>
      </w:pPr>
      <w:r w:rsidRPr="0030735A">
        <w:rPr>
          <w:b/>
          <w:bCs/>
        </w:rPr>
        <w:t>Создание фондов для долгосрочного финансирования актуарных обязательств по АСХИ</w:t>
      </w:r>
    </w:p>
    <w:p w:rsidR="00C96566" w:rsidRPr="0030735A" w:rsidRDefault="00C96566" w:rsidP="00162A32">
      <w:r w:rsidRPr="0030735A">
        <w:t>3.7</w:t>
      </w:r>
      <w:r w:rsidRPr="0030735A">
        <w:tab/>
      </w:r>
      <w:r w:rsidR="00A459A0" w:rsidRPr="0030735A">
        <w:t>Совет 2013 года принял решение о создании фонда АСХИ в размере 4 млн. швейцарских франков, подлежащих снятию с Резервного счета, для того чтобы приступить к финансированию обязательств по АСХИ</w:t>
      </w:r>
      <w:r w:rsidRPr="0030735A">
        <w:t xml:space="preserve">. </w:t>
      </w:r>
      <w:r w:rsidR="00D235A0" w:rsidRPr="0030735A">
        <w:t xml:space="preserve">Начиная с этой даты в фонд АСХИ было также всего выплачено </w:t>
      </w:r>
      <w:r w:rsidRPr="0030735A">
        <w:t>4</w:t>
      </w:r>
      <w:r w:rsidR="000D20A3" w:rsidRPr="0030735A">
        <w:t>,</w:t>
      </w:r>
      <w:r w:rsidRPr="0030735A">
        <w:t>5 </w:t>
      </w:r>
      <w:r w:rsidR="0030735A" w:rsidRPr="0030735A">
        <w:t>млн. </w:t>
      </w:r>
      <w:r w:rsidR="00D235A0" w:rsidRPr="0030735A">
        <w:t>швейцарских франков</w:t>
      </w:r>
      <w:r w:rsidRPr="0030735A">
        <w:t xml:space="preserve">. </w:t>
      </w:r>
      <w:r w:rsidR="00162A32" w:rsidRPr="0030735A">
        <w:t>На</w:t>
      </w:r>
      <w:r w:rsidRPr="0030735A">
        <w:t xml:space="preserve"> 31</w:t>
      </w:r>
      <w:r w:rsidR="00162A32" w:rsidRPr="0030735A">
        <w:t> декабря</w:t>
      </w:r>
      <w:r w:rsidRPr="0030735A">
        <w:t xml:space="preserve"> 2017</w:t>
      </w:r>
      <w:r w:rsidR="00162A32" w:rsidRPr="0030735A">
        <w:t xml:space="preserve"> года после итогового ассигнования в размере 1 млн. швейцарских франков в фонде АСХИ числилось </w:t>
      </w:r>
      <w:r w:rsidRPr="0030735A">
        <w:t>9</w:t>
      </w:r>
      <w:r w:rsidR="00A459A0" w:rsidRPr="0030735A">
        <w:t>,</w:t>
      </w:r>
      <w:r w:rsidRPr="0030735A">
        <w:t>5</w:t>
      </w:r>
      <w:r w:rsidR="00162A32" w:rsidRPr="0030735A">
        <w:t> млн. швейцарских франков</w:t>
      </w:r>
      <w:r w:rsidRPr="0030735A">
        <w:t>.</w:t>
      </w:r>
    </w:p>
    <w:p w:rsidR="00C96566" w:rsidRPr="0030735A" w:rsidRDefault="00C96566" w:rsidP="00A459A0">
      <w:r w:rsidRPr="0030735A">
        <w:t>3.8</w:t>
      </w:r>
      <w:r w:rsidRPr="0030735A">
        <w:tab/>
      </w:r>
      <w:r w:rsidR="00A459A0" w:rsidRPr="0030735A">
        <w:t>Величина обязательств по АСХИ и существующие бюджетные ограничения не позволяют в настоящее время ускорить финансирование этих обязательств. Динамика обязательств по АСХИ будет и далее тщательно контролироваться</w:t>
      </w:r>
      <w:r w:rsidRPr="0030735A">
        <w:t>.</w:t>
      </w:r>
    </w:p>
    <w:p w:rsidR="00C96566" w:rsidRPr="0030735A" w:rsidRDefault="00162A32" w:rsidP="00162A32">
      <w:pPr>
        <w:pStyle w:val="Headingi"/>
        <w:rPr>
          <w:b/>
          <w:bCs/>
        </w:rPr>
      </w:pPr>
      <w:r w:rsidRPr="0030735A">
        <w:rPr>
          <w:b/>
          <w:bCs/>
        </w:rPr>
        <w:t>Последующие меры по сдерживанию затрат</w:t>
      </w:r>
    </w:p>
    <w:p w:rsidR="00C96566" w:rsidRPr="0030735A" w:rsidRDefault="00C96566" w:rsidP="00F50F9C">
      <w:r w:rsidRPr="0030735A">
        <w:t>3.9</w:t>
      </w:r>
      <w:r w:rsidRPr="0030735A">
        <w:tab/>
      </w:r>
      <w:r w:rsidR="00162A32" w:rsidRPr="0030735A">
        <w:t>Для мониторинга системы медицинского страхования был создан комитет по управлению</w:t>
      </w:r>
      <w:r w:rsidRPr="0030735A">
        <w:t xml:space="preserve">. </w:t>
      </w:r>
      <w:r w:rsidR="00162A32" w:rsidRPr="0030735A">
        <w:t>В</w:t>
      </w:r>
      <w:r w:rsidR="00F50F9C" w:rsidRPr="0030735A">
        <w:t> </w:t>
      </w:r>
      <w:r w:rsidR="00162A32" w:rsidRPr="0030735A">
        <w:t>его состав входят представители действующего персонала, пенсионеров, Совета персонала и Генерального секретариата</w:t>
      </w:r>
      <w:r w:rsidRPr="0030735A">
        <w:t xml:space="preserve">. </w:t>
      </w:r>
      <w:r w:rsidR="00F50F9C" w:rsidRPr="0030735A">
        <w:t xml:space="preserve">Функции комитета заключаются в основном в управлении системой путем анализа и, при необходимости, представлении Генеральному секретарю МСЭ рекомендаций </w:t>
      </w:r>
      <w:r w:rsidR="00F50F9C" w:rsidRPr="0030735A">
        <w:rPr>
          <w:color w:val="000000"/>
        </w:rPr>
        <w:t>относительно пересмотра премий, франшизы и пособий, связанных с системой, в свете финансовой ситуации системы и потребностей застрахованных лиц</w:t>
      </w:r>
      <w:r w:rsidRPr="0030735A">
        <w:t>.</w:t>
      </w:r>
    </w:p>
    <w:p w:rsidR="00C96566" w:rsidRPr="0030735A" w:rsidRDefault="00C96566" w:rsidP="001273ED">
      <w:r w:rsidRPr="0030735A">
        <w:t>3.10</w:t>
      </w:r>
      <w:r w:rsidRPr="0030735A">
        <w:tab/>
      </w:r>
      <w:r w:rsidR="00F50F9C" w:rsidRPr="0030735A">
        <w:t>В соответствии с Рекомендацией</w:t>
      </w:r>
      <w:r w:rsidRPr="0030735A">
        <w:t xml:space="preserve"> 3/2014 </w:t>
      </w:r>
      <w:r w:rsidR="00F50F9C" w:rsidRPr="0030735A">
        <w:t>Внешнего аудитора проводится полное актуарное исследование системы медицинского страхования</w:t>
      </w:r>
      <w:r w:rsidRPr="0030735A">
        <w:t xml:space="preserve">. </w:t>
      </w:r>
      <w:r w:rsidR="00F50F9C" w:rsidRPr="0030735A">
        <w:t>Осуществляется оценка различных сценариев</w:t>
      </w:r>
      <w:r w:rsidR="001273ED" w:rsidRPr="0030735A">
        <w:t>, сочетающих изменения премий и системы финансирования</w:t>
      </w:r>
      <w:r w:rsidRPr="0030735A">
        <w:t xml:space="preserve">. </w:t>
      </w:r>
      <w:r w:rsidR="001273ED" w:rsidRPr="0030735A">
        <w:t>Цель исследования – поиск альтернатив для повышения долгосрочной устойчивости плана</w:t>
      </w:r>
      <w:r w:rsidRPr="0030735A">
        <w:t xml:space="preserve">. </w:t>
      </w:r>
      <w:r w:rsidR="001273ED" w:rsidRPr="0030735A">
        <w:t>Результаты иссл</w:t>
      </w:r>
      <w:r w:rsidR="0030735A" w:rsidRPr="0030735A">
        <w:t>едования станут известны в этом </w:t>
      </w:r>
      <w:r w:rsidR="001273ED" w:rsidRPr="0030735A">
        <w:t>году</w:t>
      </w:r>
      <w:r w:rsidRPr="0030735A">
        <w:t>.</w:t>
      </w:r>
    </w:p>
    <w:p w:rsidR="00C96566" w:rsidRPr="0030735A" w:rsidRDefault="00C96566" w:rsidP="001273ED">
      <w:pPr>
        <w:pStyle w:val="Heading1"/>
      </w:pPr>
      <w:r w:rsidRPr="0030735A">
        <w:lastRenderedPageBreak/>
        <w:t>4</w:t>
      </w:r>
      <w:r w:rsidRPr="0030735A">
        <w:tab/>
      </w:r>
      <w:r w:rsidR="001273ED" w:rsidRPr="0030735A">
        <w:t>Заключение</w:t>
      </w:r>
    </w:p>
    <w:p w:rsidR="00C96566" w:rsidRPr="0030735A" w:rsidRDefault="00C96566" w:rsidP="00613AE7">
      <w:r w:rsidRPr="0030735A">
        <w:t>4.1</w:t>
      </w:r>
      <w:r w:rsidRPr="0030735A">
        <w:tab/>
      </w:r>
      <w:r w:rsidR="00A459A0" w:rsidRPr="0030735A">
        <w:t>Проблема финансирования обязательств по АСХИ характерна для многих организаций системы ООН. Комитет высокого уровня по вопросам управления (КВУУ) Координационного Совета руководителей системы ООН (КСР) определил необходимость в общем подходе к финансированию растущих обязательств по АСХИ</w:t>
      </w:r>
      <w:r w:rsidRPr="0030735A">
        <w:t xml:space="preserve">. </w:t>
      </w:r>
      <w:r w:rsidR="001273ED" w:rsidRPr="0030735A">
        <w:t xml:space="preserve">МСЭ является членом </w:t>
      </w:r>
      <w:r w:rsidR="00613AE7" w:rsidRPr="0030735A">
        <w:t>Р</w:t>
      </w:r>
      <w:r w:rsidR="001273ED" w:rsidRPr="0030735A">
        <w:t>абочей группы по АСХИ, где продолжается оценка</w:t>
      </w:r>
      <w:r w:rsidR="00F81243" w:rsidRPr="0030735A">
        <w:t xml:space="preserve"> возможности создания общей системы АСХИ для всех организаций</w:t>
      </w:r>
      <w:r w:rsidRPr="0030735A">
        <w:t xml:space="preserve">. </w:t>
      </w:r>
      <w:r w:rsidR="00F81243" w:rsidRPr="0030735A">
        <w:t xml:space="preserve">Тем временем </w:t>
      </w:r>
      <w:r w:rsidR="00A459A0" w:rsidRPr="0030735A">
        <w:t xml:space="preserve">МСЭ </w:t>
      </w:r>
      <w:r w:rsidR="00F81243" w:rsidRPr="0030735A">
        <w:t xml:space="preserve">продолжит уделять основное внимание сдерживанию затрат с новым поставщиком услуг и </w:t>
      </w:r>
      <w:r w:rsidR="00A459A0" w:rsidRPr="0030735A">
        <w:t>предложил увеличить свою долю взносов и долю взносов членов ПКМС в бюджете 201</w:t>
      </w:r>
      <w:r w:rsidR="000D20A3" w:rsidRPr="0030735A">
        <w:t>8−</w:t>
      </w:r>
      <w:r w:rsidR="00A459A0" w:rsidRPr="0030735A">
        <w:t>2019 годов, для того чтобы обеспечить финансирование медицинского страхования на распределительной основе. Кроме того, МСЭ, по возможности, продолжит финансирование резерва АСХИ, исходя из превышения доходов над расходами бюджета</w:t>
      </w:r>
      <w:r w:rsidRPr="0030735A">
        <w:t>.</w:t>
      </w:r>
    </w:p>
    <w:p w:rsidR="0030735A" w:rsidRDefault="0030735A" w:rsidP="0030735A">
      <w:pPr>
        <w:spacing w:before="720"/>
        <w:jc w:val="center"/>
      </w:pPr>
      <w:r>
        <w:t>______________</w:t>
      </w:r>
    </w:p>
    <w:sectPr w:rsidR="0030735A" w:rsidSect="00B63DC2">
      <w:headerReference w:type="default" r:id="rId10"/>
      <w:footerReference w:type="default" r:id="rId11"/>
      <w:footerReference w:type="first" r:id="rId12"/>
      <w:pgSz w:w="11907" w:h="16834"/>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CE" w:rsidRDefault="006833CE">
      <w:r>
        <w:separator/>
      </w:r>
    </w:p>
  </w:endnote>
  <w:endnote w:type="continuationSeparator" w:id="0">
    <w:p w:rsidR="006833CE" w:rsidRDefault="0068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E56027" w:rsidRDefault="0030735A" w:rsidP="00E56027">
    <w:pPr>
      <w:pStyle w:val="Footer"/>
      <w:rPr>
        <w:lang w:val="fr-CH"/>
      </w:rPr>
    </w:pPr>
    <w:fldSimple w:instr=" FILENAME \p  \* MERGEFORMAT ">
      <w:r w:rsidRPr="0030735A">
        <w:rPr>
          <w:lang w:val="fr-CH"/>
        </w:rPr>
        <w:t>P</w:t>
      </w:r>
      <w:r>
        <w:t>:\RUS\SG\CONSEIL\C18\000\046R.docx</w:t>
      </w:r>
    </w:fldSimple>
    <w:r w:rsidR="00E56027" w:rsidRPr="009177AA">
      <w:rPr>
        <w:lang w:val="fr-CH"/>
      </w:rPr>
      <w:t xml:space="preserve"> (</w:t>
    </w:r>
    <w:r w:rsidR="00E56027" w:rsidRPr="005034EC">
      <w:rPr>
        <w:lang w:val="fr-CH"/>
      </w:rPr>
      <w:t>429728</w:t>
    </w:r>
    <w:r w:rsidR="00E56027" w:rsidRPr="009177AA">
      <w:rPr>
        <w:lang w:val="fr-CH"/>
      </w:rPr>
      <w:t>)</w:t>
    </w:r>
    <w:r w:rsidR="00E56027" w:rsidRPr="009177AA">
      <w:rPr>
        <w:lang w:val="fr-CH"/>
      </w:rPr>
      <w:tab/>
    </w:r>
    <w:r w:rsidR="00E56027">
      <w:fldChar w:fldCharType="begin"/>
    </w:r>
    <w:r w:rsidR="00E56027">
      <w:instrText xml:space="preserve"> SAVEDATE \@ DD.MM.YY </w:instrText>
    </w:r>
    <w:r w:rsidR="00E56027">
      <w:fldChar w:fldCharType="separate"/>
    </w:r>
    <w:r w:rsidR="0084218E">
      <w:t>16.04.18</w:t>
    </w:r>
    <w:r w:rsidR="00E56027">
      <w:fldChar w:fldCharType="end"/>
    </w:r>
    <w:r w:rsidR="00E56027" w:rsidRPr="009177AA">
      <w:rPr>
        <w:lang w:val="fr-CH"/>
      </w:rPr>
      <w:tab/>
    </w:r>
    <w:r w:rsidR="00E56027">
      <w:fldChar w:fldCharType="begin"/>
    </w:r>
    <w:r w:rsidR="00E56027">
      <w:instrText xml:space="preserve"> PRINTDATE \@ DD.MM.YY </w:instrText>
    </w:r>
    <w:r w:rsidR="00E56027">
      <w:fldChar w:fldCharType="separate"/>
    </w:r>
    <w:r>
      <w:t>16.04.18</w:t>
    </w:r>
    <w:r w:rsidR="00E560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9177AA" w:rsidRDefault="0030735A" w:rsidP="00E56027">
    <w:pPr>
      <w:pStyle w:val="Footer"/>
      <w:rPr>
        <w:lang w:val="fr-CH"/>
      </w:rPr>
    </w:pPr>
    <w:fldSimple w:instr=" FILENAME \p  \* MERGEFORMAT ">
      <w:r w:rsidRPr="0030735A">
        <w:rPr>
          <w:lang w:val="fr-CH"/>
        </w:rPr>
        <w:t>P</w:t>
      </w:r>
      <w:r>
        <w:t>:\RUS\SG\CONSEIL\C18\000\046R.docx</w:t>
      </w:r>
    </w:fldSimple>
    <w:r w:rsidR="000E568E" w:rsidRPr="009177AA">
      <w:rPr>
        <w:lang w:val="fr-CH"/>
      </w:rPr>
      <w:t xml:space="preserve"> (</w:t>
    </w:r>
    <w:r w:rsidR="00E56027" w:rsidRPr="005034EC">
      <w:rPr>
        <w:lang w:val="fr-CH"/>
      </w:rPr>
      <w:t>429728</w:t>
    </w:r>
    <w:r w:rsidR="000E568E" w:rsidRPr="009177AA">
      <w:rPr>
        <w:lang w:val="fr-CH"/>
      </w:rPr>
      <w:t>)</w:t>
    </w:r>
    <w:r w:rsidR="000E568E" w:rsidRPr="009177AA">
      <w:rPr>
        <w:lang w:val="fr-CH"/>
      </w:rPr>
      <w:tab/>
    </w:r>
    <w:r w:rsidR="002D48C5">
      <w:fldChar w:fldCharType="begin"/>
    </w:r>
    <w:r w:rsidR="000E568E">
      <w:instrText xml:space="preserve"> SAVEDATE \@ DD.MM.YY </w:instrText>
    </w:r>
    <w:r w:rsidR="002D48C5">
      <w:fldChar w:fldCharType="separate"/>
    </w:r>
    <w:r w:rsidR="0084218E">
      <w:t>16.04.18</w:t>
    </w:r>
    <w:r w:rsidR="002D48C5">
      <w:fldChar w:fldCharType="end"/>
    </w:r>
    <w:r w:rsidR="000E568E" w:rsidRPr="009177AA">
      <w:rPr>
        <w:lang w:val="fr-CH"/>
      </w:rPr>
      <w:tab/>
    </w:r>
    <w:r w:rsidR="002D48C5">
      <w:fldChar w:fldCharType="begin"/>
    </w:r>
    <w:r w:rsidR="000E568E">
      <w:instrText xml:space="preserve"> PRINTDATE \@ DD.MM.YY </w:instrText>
    </w:r>
    <w:r w:rsidR="002D48C5">
      <w:fldChar w:fldCharType="separate"/>
    </w:r>
    <w:r>
      <w:t>16.04.18</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CE" w:rsidRDefault="006833CE">
      <w:r>
        <w:t>____________________</w:t>
      </w:r>
    </w:p>
  </w:footnote>
  <w:footnote w:type="continuationSeparator" w:id="0">
    <w:p w:rsidR="006833CE" w:rsidRDefault="0068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84218E">
      <w:rPr>
        <w:noProof/>
      </w:rPr>
      <w:t>2</w:t>
    </w:r>
    <w:r>
      <w:rPr>
        <w:noProof/>
      </w:rPr>
      <w:fldChar w:fldCharType="end"/>
    </w:r>
  </w:p>
  <w:p w:rsidR="000E568E" w:rsidRDefault="000E568E" w:rsidP="00B63DC2">
    <w:pPr>
      <w:pStyle w:val="Header"/>
    </w:pPr>
    <w:r>
      <w:t>C</w:t>
    </w:r>
    <w:r w:rsidR="003F099E">
      <w:t>1</w:t>
    </w:r>
    <w:r w:rsidR="00A01CF9">
      <w:t>8</w:t>
    </w:r>
    <w:r w:rsidR="00E56027">
      <w:t>/</w:t>
    </w:r>
    <w:r w:rsidR="00E56027">
      <w:rPr>
        <w:lang w:val="ru-RU"/>
      </w:rPr>
      <w:t>46</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35AD6E0B"/>
    <w:multiLevelType w:val="hybridMultilevel"/>
    <w:tmpl w:val="EAF8AA3E"/>
    <w:lvl w:ilvl="0" w:tplc="14A2C75C">
      <w:start w:val="1"/>
      <w:numFmt w:val="decimal"/>
      <w:lvlText w:val="%1."/>
      <w:lvlJc w:val="left"/>
      <w:pPr>
        <w:ind w:left="720" w:hanging="360"/>
      </w:pPr>
    </w:lvl>
    <w:lvl w:ilvl="1" w:tplc="B9543F4C" w:tentative="1">
      <w:start w:val="1"/>
      <w:numFmt w:val="lowerLetter"/>
      <w:lvlText w:val="%2."/>
      <w:lvlJc w:val="left"/>
      <w:pPr>
        <w:ind w:left="1440" w:hanging="360"/>
      </w:pPr>
    </w:lvl>
    <w:lvl w:ilvl="2" w:tplc="CDEC9724" w:tentative="1">
      <w:start w:val="1"/>
      <w:numFmt w:val="lowerRoman"/>
      <w:lvlText w:val="%3."/>
      <w:lvlJc w:val="right"/>
      <w:pPr>
        <w:ind w:left="2160" w:hanging="180"/>
      </w:pPr>
    </w:lvl>
    <w:lvl w:ilvl="3" w:tplc="CECE2A28" w:tentative="1">
      <w:start w:val="1"/>
      <w:numFmt w:val="decimal"/>
      <w:lvlText w:val="%4."/>
      <w:lvlJc w:val="left"/>
      <w:pPr>
        <w:ind w:left="2880" w:hanging="360"/>
      </w:pPr>
    </w:lvl>
    <w:lvl w:ilvl="4" w:tplc="A6906778" w:tentative="1">
      <w:start w:val="1"/>
      <w:numFmt w:val="lowerLetter"/>
      <w:lvlText w:val="%5."/>
      <w:lvlJc w:val="left"/>
      <w:pPr>
        <w:ind w:left="3600" w:hanging="360"/>
      </w:pPr>
    </w:lvl>
    <w:lvl w:ilvl="5" w:tplc="D48ECF22" w:tentative="1">
      <w:start w:val="1"/>
      <w:numFmt w:val="lowerRoman"/>
      <w:lvlText w:val="%6."/>
      <w:lvlJc w:val="right"/>
      <w:pPr>
        <w:ind w:left="4320" w:hanging="180"/>
      </w:pPr>
    </w:lvl>
    <w:lvl w:ilvl="6" w:tplc="FE6C325A" w:tentative="1">
      <w:start w:val="1"/>
      <w:numFmt w:val="decimal"/>
      <w:lvlText w:val="%7."/>
      <w:lvlJc w:val="left"/>
      <w:pPr>
        <w:ind w:left="5040" w:hanging="360"/>
      </w:pPr>
    </w:lvl>
    <w:lvl w:ilvl="7" w:tplc="241A715E" w:tentative="1">
      <w:start w:val="1"/>
      <w:numFmt w:val="lowerLetter"/>
      <w:lvlText w:val="%8."/>
      <w:lvlJc w:val="left"/>
      <w:pPr>
        <w:ind w:left="5760" w:hanging="360"/>
      </w:pPr>
    </w:lvl>
    <w:lvl w:ilvl="8" w:tplc="A3E29BA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E"/>
    <w:rsid w:val="00012983"/>
    <w:rsid w:val="0002183E"/>
    <w:rsid w:val="000569B4"/>
    <w:rsid w:val="00080E82"/>
    <w:rsid w:val="00086738"/>
    <w:rsid w:val="000D20A3"/>
    <w:rsid w:val="000E568E"/>
    <w:rsid w:val="00105435"/>
    <w:rsid w:val="00120B2C"/>
    <w:rsid w:val="001273ED"/>
    <w:rsid w:val="0014734F"/>
    <w:rsid w:val="0015710D"/>
    <w:rsid w:val="00162A32"/>
    <w:rsid w:val="00163A32"/>
    <w:rsid w:val="00192B41"/>
    <w:rsid w:val="001B7B09"/>
    <w:rsid w:val="001E6719"/>
    <w:rsid w:val="001F1EC6"/>
    <w:rsid w:val="00225368"/>
    <w:rsid w:val="00227FF0"/>
    <w:rsid w:val="00281804"/>
    <w:rsid w:val="00291EB6"/>
    <w:rsid w:val="002D2F57"/>
    <w:rsid w:val="002D48C5"/>
    <w:rsid w:val="0030735A"/>
    <w:rsid w:val="00343D55"/>
    <w:rsid w:val="003E67C7"/>
    <w:rsid w:val="003F099E"/>
    <w:rsid w:val="003F235E"/>
    <w:rsid w:val="004023E0"/>
    <w:rsid w:val="00403DD8"/>
    <w:rsid w:val="00431E2B"/>
    <w:rsid w:val="0045686C"/>
    <w:rsid w:val="004918C4"/>
    <w:rsid w:val="00497703"/>
    <w:rsid w:val="004A0374"/>
    <w:rsid w:val="004A1497"/>
    <w:rsid w:val="004A45B5"/>
    <w:rsid w:val="004D0129"/>
    <w:rsid w:val="004D63CD"/>
    <w:rsid w:val="005034EC"/>
    <w:rsid w:val="00554045"/>
    <w:rsid w:val="00583944"/>
    <w:rsid w:val="005A64D5"/>
    <w:rsid w:val="005C18F4"/>
    <w:rsid w:val="00601994"/>
    <w:rsid w:val="00613AE7"/>
    <w:rsid w:val="006833CE"/>
    <w:rsid w:val="006E2D42"/>
    <w:rsid w:val="006F1D02"/>
    <w:rsid w:val="00703676"/>
    <w:rsid w:val="00707304"/>
    <w:rsid w:val="00732269"/>
    <w:rsid w:val="007543E9"/>
    <w:rsid w:val="00785ABD"/>
    <w:rsid w:val="007A2DD4"/>
    <w:rsid w:val="007D38B5"/>
    <w:rsid w:val="007E7EA0"/>
    <w:rsid w:val="008031FB"/>
    <w:rsid w:val="00807255"/>
    <w:rsid w:val="0081023E"/>
    <w:rsid w:val="008173AA"/>
    <w:rsid w:val="00840A14"/>
    <w:rsid w:val="0084218E"/>
    <w:rsid w:val="00861368"/>
    <w:rsid w:val="008B62B4"/>
    <w:rsid w:val="008D2D7B"/>
    <w:rsid w:val="008E0737"/>
    <w:rsid w:val="008F7C2C"/>
    <w:rsid w:val="0091704A"/>
    <w:rsid w:val="009177AA"/>
    <w:rsid w:val="0092795A"/>
    <w:rsid w:val="00940E96"/>
    <w:rsid w:val="009B0BAE"/>
    <w:rsid w:val="009C1C89"/>
    <w:rsid w:val="009E6554"/>
    <w:rsid w:val="009F3448"/>
    <w:rsid w:val="00A01CF9"/>
    <w:rsid w:val="00A459A0"/>
    <w:rsid w:val="00A71773"/>
    <w:rsid w:val="00AE2C85"/>
    <w:rsid w:val="00B12A37"/>
    <w:rsid w:val="00B138ED"/>
    <w:rsid w:val="00B35E0D"/>
    <w:rsid w:val="00B63DC2"/>
    <w:rsid w:val="00B63EF2"/>
    <w:rsid w:val="00B647DF"/>
    <w:rsid w:val="00BA7D89"/>
    <w:rsid w:val="00BC0D39"/>
    <w:rsid w:val="00BC7BC0"/>
    <w:rsid w:val="00BC7C75"/>
    <w:rsid w:val="00BD57B7"/>
    <w:rsid w:val="00BE300D"/>
    <w:rsid w:val="00BE63E2"/>
    <w:rsid w:val="00C32FE8"/>
    <w:rsid w:val="00C453DC"/>
    <w:rsid w:val="00C53AF2"/>
    <w:rsid w:val="00C752DD"/>
    <w:rsid w:val="00C96566"/>
    <w:rsid w:val="00CD2009"/>
    <w:rsid w:val="00CF2179"/>
    <w:rsid w:val="00CF5652"/>
    <w:rsid w:val="00CF629C"/>
    <w:rsid w:val="00D00D0A"/>
    <w:rsid w:val="00D235A0"/>
    <w:rsid w:val="00D92EEA"/>
    <w:rsid w:val="00DA5D4E"/>
    <w:rsid w:val="00E176BA"/>
    <w:rsid w:val="00E423EC"/>
    <w:rsid w:val="00E55121"/>
    <w:rsid w:val="00E56027"/>
    <w:rsid w:val="00E65033"/>
    <w:rsid w:val="00EB4FCB"/>
    <w:rsid w:val="00EC6BC5"/>
    <w:rsid w:val="00ED7E2F"/>
    <w:rsid w:val="00F35898"/>
    <w:rsid w:val="00F37C1D"/>
    <w:rsid w:val="00F50F9C"/>
    <w:rsid w:val="00F5225B"/>
    <w:rsid w:val="00F81243"/>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F82E2D0-86E4-4C3C-BD67-765B4310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DC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B63DC2"/>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B63DC2"/>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6833CE"/>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B63D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B63DC2"/>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semiHidden/>
    <w:unhideWhenUsed/>
    <w:rsid w:val="009177A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77A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46/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council/Documents/fin-hr/ref-dec005.doc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PR_C18.dotx</Template>
  <TotalTime>12</TotalTime>
  <Pages>5</Pages>
  <Words>1653</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Maloletkova, Svetlana</dc:creator>
  <cp:keywords>C2018, C18</cp:keywords>
  <dc:description/>
  <cp:lastModifiedBy>Fedosova, Elena</cp:lastModifiedBy>
  <cp:revision>5</cp:revision>
  <cp:lastPrinted>2018-04-16T17:15:00Z</cp:lastPrinted>
  <dcterms:created xsi:type="dcterms:W3CDTF">2018-04-13T15:44:00Z</dcterms:created>
  <dcterms:modified xsi:type="dcterms:W3CDTF">2018-04-16T17:37:00Z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