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623AE3">
            <w:pPr>
              <w:spacing w:before="360" w:after="48" w:line="240" w:lineRule="atLeast"/>
              <w:rPr>
                <w:position w:val="6"/>
              </w:rPr>
            </w:pPr>
            <w:bookmarkStart w:id="0" w:name="dc06"/>
            <w:bookmarkEnd w:id="0"/>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EC2F5D">
            <w:pPr>
              <w:tabs>
                <w:tab w:val="left" w:pos="851"/>
              </w:tabs>
              <w:spacing w:before="0" w:line="240" w:lineRule="atLeast"/>
              <w:rPr>
                <w:b/>
              </w:rPr>
            </w:pPr>
            <w:bookmarkStart w:id="2" w:name="dmeeting" w:colFirst="0" w:colLast="0"/>
            <w:bookmarkStart w:id="3" w:name="dnum" w:colFirst="1" w:colLast="1"/>
            <w:r>
              <w:rPr>
                <w:b/>
              </w:rPr>
              <w:t xml:space="preserve">Agenda item: </w:t>
            </w:r>
            <w:r w:rsidR="00EC2F5D">
              <w:rPr>
                <w:b/>
              </w:rPr>
              <w:t>ADM 1</w:t>
            </w:r>
          </w:p>
        </w:tc>
        <w:tc>
          <w:tcPr>
            <w:tcW w:w="3120" w:type="dxa"/>
          </w:tcPr>
          <w:p w:rsidR="002A2188" w:rsidRPr="00E85629" w:rsidRDefault="002A2188" w:rsidP="00EC2F5D">
            <w:pPr>
              <w:tabs>
                <w:tab w:val="left" w:pos="851"/>
              </w:tabs>
              <w:spacing w:before="0" w:line="240" w:lineRule="atLeast"/>
              <w:rPr>
                <w:b/>
              </w:rPr>
            </w:pPr>
            <w:r>
              <w:rPr>
                <w:b/>
              </w:rPr>
              <w:t>Document C1</w:t>
            </w:r>
            <w:r w:rsidR="00623AE3">
              <w:rPr>
                <w:b/>
              </w:rPr>
              <w:t>8</w:t>
            </w:r>
            <w:r>
              <w:rPr>
                <w:b/>
              </w:rPr>
              <w:t>/</w:t>
            </w:r>
            <w:r w:rsidR="00EC2F5D">
              <w:rPr>
                <w:b/>
              </w:rPr>
              <w:t>45</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EC2F5D" w:rsidP="00623AE3">
            <w:pPr>
              <w:tabs>
                <w:tab w:val="left" w:pos="993"/>
              </w:tabs>
              <w:spacing w:before="0"/>
              <w:rPr>
                <w:b/>
              </w:rPr>
            </w:pPr>
            <w:r>
              <w:rPr>
                <w:b/>
              </w:rPr>
              <w:t>8 February</w:t>
            </w:r>
            <w:r w:rsidR="002A2188">
              <w:rPr>
                <w:b/>
              </w:rPr>
              <w:t xml:space="preserve"> 201</w:t>
            </w:r>
            <w:r w:rsidR="00623AE3">
              <w:rPr>
                <w:b/>
              </w:rPr>
              <w:t>8</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D04E39" w:rsidP="00464B6C">
            <w:pPr>
              <w:pStyle w:val="Source"/>
            </w:pPr>
            <w:bookmarkStart w:id="6" w:name="dsource" w:colFirst="0" w:colLast="0"/>
            <w:bookmarkEnd w:id="5"/>
            <w:r w:rsidRPr="00D04E39">
              <w:t>Report by the Secretary-General</w:t>
            </w:r>
          </w:p>
        </w:tc>
      </w:tr>
      <w:tr w:rsidR="002A2188" w:rsidRPr="00813E5E" w:rsidTr="00464B6C">
        <w:trPr>
          <w:cantSplit/>
        </w:trPr>
        <w:tc>
          <w:tcPr>
            <w:tcW w:w="10031" w:type="dxa"/>
            <w:gridSpan w:val="2"/>
          </w:tcPr>
          <w:p w:rsidR="002A2188" w:rsidRPr="00813E5E" w:rsidRDefault="00EC2F5D" w:rsidP="00464B6C">
            <w:pPr>
              <w:pStyle w:val="Title1"/>
            </w:pPr>
            <w:bookmarkStart w:id="7" w:name="dtitle1" w:colFirst="0" w:colLast="0"/>
            <w:bookmarkEnd w:id="6"/>
            <w:r w:rsidRPr="00EC2F5D">
              <w:t>EFFICIENCY MEASURES</w:t>
            </w:r>
          </w:p>
        </w:tc>
      </w:tr>
      <w:bookmarkEnd w:id="7"/>
    </w:tbl>
    <w:p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EC2F5D" w:rsidRPr="00CC77C9" w:rsidRDefault="00EC2F5D" w:rsidP="00EC2F5D">
            <w:pPr>
              <w:keepNext/>
              <w:keepLines/>
              <w:spacing w:after="120"/>
              <w:ind w:left="567" w:hanging="567"/>
              <w:outlineLvl w:val="0"/>
              <w:rPr>
                <w:b/>
                <w:szCs w:val="24"/>
                <w:lang w:val="en-US"/>
              </w:rPr>
            </w:pPr>
            <w:r w:rsidRPr="00CC77C9">
              <w:rPr>
                <w:b/>
                <w:szCs w:val="24"/>
                <w:lang w:val="en-US"/>
              </w:rPr>
              <w:t>Summary</w:t>
            </w:r>
          </w:p>
          <w:p w:rsidR="00EC2F5D" w:rsidRPr="006C284C" w:rsidRDefault="00EC2F5D" w:rsidP="00EC2F5D">
            <w:pPr>
              <w:tabs>
                <w:tab w:val="clear" w:pos="567"/>
                <w:tab w:val="clear" w:pos="1134"/>
                <w:tab w:val="clear" w:pos="1701"/>
                <w:tab w:val="clear" w:pos="2268"/>
                <w:tab w:val="clear" w:pos="2835"/>
              </w:tabs>
              <w:snapToGrid w:val="0"/>
              <w:spacing w:after="120"/>
              <w:ind w:right="45"/>
              <w:jc w:val="both"/>
              <w:rPr>
                <w:szCs w:val="24"/>
                <w:lang w:val="en-US"/>
              </w:rPr>
            </w:pPr>
            <w:r w:rsidRPr="006C284C">
              <w:rPr>
                <w:szCs w:val="24"/>
                <w:lang w:val="en-US"/>
              </w:rPr>
              <w:t xml:space="preserve">In conformity with paragraphs 1 and 2 of </w:t>
            </w:r>
            <w:r w:rsidRPr="00CB08F0">
              <w:rPr>
                <w:i/>
                <w:iCs/>
                <w:szCs w:val="24"/>
                <w:lang w:val="en-US"/>
              </w:rPr>
              <w:t>instructs the Secretary-General and the Directors of the Bureaux</w:t>
            </w:r>
            <w:r w:rsidRPr="006C284C">
              <w:rPr>
                <w:szCs w:val="24"/>
                <w:lang w:val="en-US"/>
              </w:rPr>
              <w:t xml:space="preserve"> of Decision 5 (Rev. Busan, 2014) which stipulate:</w:t>
            </w:r>
          </w:p>
          <w:p w:rsidR="00EC2F5D" w:rsidRPr="006C284C" w:rsidRDefault="00EC2F5D" w:rsidP="00EC2F5D">
            <w:pPr>
              <w:tabs>
                <w:tab w:val="clear" w:pos="567"/>
                <w:tab w:val="clear" w:pos="1134"/>
                <w:tab w:val="clear" w:pos="1701"/>
                <w:tab w:val="clear" w:pos="2268"/>
                <w:tab w:val="clear" w:pos="2835"/>
              </w:tabs>
              <w:snapToGrid w:val="0"/>
              <w:spacing w:after="120"/>
              <w:ind w:right="45"/>
              <w:jc w:val="both"/>
              <w:rPr>
                <w:szCs w:val="24"/>
                <w:lang w:val="en-US"/>
              </w:rPr>
            </w:pPr>
            <w:r w:rsidRPr="006C284C">
              <w:rPr>
                <w:szCs w:val="24"/>
                <w:lang w:val="en-US"/>
              </w:rPr>
              <w:t>“1</w:t>
            </w:r>
            <w:r w:rsidRPr="006C284C">
              <w:rPr>
                <w:szCs w:val="24"/>
                <w:lang w:val="en-US"/>
              </w:rPr>
              <w:tab/>
              <w:t>to provide to the Council, on an annual basis, a report outlining expenditure relating to each item in Annex 2 to this decision, and to propose appropriate measures to be undertaken to reduce expenditure in each area;</w:t>
            </w:r>
          </w:p>
          <w:p w:rsidR="00EC2F5D" w:rsidRPr="006C284C" w:rsidRDefault="00EC2F5D" w:rsidP="00EC2F5D">
            <w:pPr>
              <w:tabs>
                <w:tab w:val="clear" w:pos="567"/>
                <w:tab w:val="clear" w:pos="1134"/>
                <w:tab w:val="clear" w:pos="1701"/>
                <w:tab w:val="clear" w:pos="2268"/>
                <w:tab w:val="clear" w:pos="2835"/>
              </w:tabs>
              <w:snapToGrid w:val="0"/>
              <w:spacing w:after="120"/>
              <w:ind w:right="45"/>
              <w:jc w:val="both"/>
              <w:rPr>
                <w:szCs w:val="24"/>
                <w:lang w:val="en-US"/>
              </w:rPr>
            </w:pPr>
            <w:r w:rsidRPr="006C284C">
              <w:rPr>
                <w:szCs w:val="24"/>
                <w:lang w:val="en-US"/>
              </w:rPr>
              <w:t>2</w:t>
            </w:r>
            <w:r w:rsidRPr="006C284C">
              <w:rPr>
                <w:szCs w:val="24"/>
                <w:lang w:val="en-US"/>
              </w:rPr>
              <w:tab/>
              <w:t>to make every effort to achieve reductions through a culture of efficiency and economy and to include the savings actually achieved within the overall approved budgets in the above report to Council,”</w:t>
            </w:r>
          </w:p>
          <w:p w:rsidR="00EC2F5D" w:rsidRDefault="00EC2F5D" w:rsidP="00EC2F5D">
            <w:pPr>
              <w:keepNext/>
              <w:keepLines/>
              <w:tabs>
                <w:tab w:val="clear" w:pos="567"/>
                <w:tab w:val="clear" w:pos="1134"/>
                <w:tab w:val="clear" w:pos="1701"/>
                <w:tab w:val="clear" w:pos="2268"/>
                <w:tab w:val="clear" w:pos="2835"/>
              </w:tabs>
              <w:snapToGrid w:val="0"/>
              <w:spacing w:after="120"/>
              <w:jc w:val="both"/>
              <w:outlineLvl w:val="0"/>
              <w:rPr>
                <w:szCs w:val="24"/>
                <w:lang w:val="en-US"/>
              </w:rPr>
            </w:pPr>
            <w:proofErr w:type="gramStart"/>
            <w:r>
              <w:rPr>
                <w:szCs w:val="24"/>
                <w:lang w:val="en-US"/>
              </w:rPr>
              <w:t>t</w:t>
            </w:r>
            <w:r w:rsidRPr="006C284C">
              <w:rPr>
                <w:szCs w:val="24"/>
                <w:lang w:val="en-US"/>
              </w:rPr>
              <w:t>his</w:t>
            </w:r>
            <w:proofErr w:type="gramEnd"/>
            <w:r w:rsidRPr="006C284C">
              <w:rPr>
                <w:szCs w:val="24"/>
                <w:lang w:val="en-US"/>
              </w:rPr>
              <w:t xml:space="preserve"> document provides an update on the implementatio</w:t>
            </w:r>
            <w:r>
              <w:rPr>
                <w:szCs w:val="24"/>
                <w:lang w:val="en-US"/>
              </w:rPr>
              <w:t xml:space="preserve">n of the efficiency measures as </w:t>
            </w:r>
            <w:r w:rsidRPr="006C284C">
              <w:rPr>
                <w:szCs w:val="24"/>
                <w:lang w:val="en-US"/>
              </w:rPr>
              <w:t>outlined in Annex 2 to Decision 5 (Rev. Busan, 2014).</w:t>
            </w:r>
          </w:p>
          <w:p w:rsidR="00EC2F5D" w:rsidRPr="00CC77C9" w:rsidRDefault="00EC2F5D" w:rsidP="00EC2F5D">
            <w:pPr>
              <w:keepNext/>
              <w:keepLines/>
              <w:tabs>
                <w:tab w:val="clear" w:pos="567"/>
                <w:tab w:val="clear" w:pos="1134"/>
                <w:tab w:val="clear" w:pos="1701"/>
                <w:tab w:val="clear" w:pos="2268"/>
                <w:tab w:val="clear" w:pos="2835"/>
              </w:tabs>
              <w:snapToGrid w:val="0"/>
              <w:spacing w:after="120"/>
              <w:jc w:val="both"/>
              <w:outlineLvl w:val="0"/>
              <w:rPr>
                <w:b/>
                <w:szCs w:val="24"/>
                <w:lang w:val="en-US"/>
              </w:rPr>
            </w:pPr>
            <w:r w:rsidRPr="00CC77C9">
              <w:rPr>
                <w:b/>
                <w:szCs w:val="24"/>
                <w:lang w:val="en-US"/>
              </w:rPr>
              <w:t>Action required</w:t>
            </w:r>
          </w:p>
          <w:p w:rsidR="00EC2F5D" w:rsidRPr="00AB12A7" w:rsidRDefault="00EC2F5D" w:rsidP="00EB7E04">
            <w:pPr>
              <w:tabs>
                <w:tab w:val="left" w:pos="794"/>
                <w:tab w:val="left" w:pos="1191"/>
                <w:tab w:val="left" w:pos="1588"/>
                <w:tab w:val="left" w:pos="1985"/>
              </w:tabs>
              <w:spacing w:after="120"/>
              <w:ind w:right="48"/>
              <w:jc w:val="both"/>
              <w:rPr>
                <w:szCs w:val="24"/>
              </w:rPr>
            </w:pPr>
            <w:r w:rsidRPr="00AB12A7">
              <w:rPr>
                <w:szCs w:val="24"/>
              </w:rPr>
              <w:t xml:space="preserve">The Council is </w:t>
            </w:r>
            <w:bookmarkStart w:id="8" w:name="_GoBack"/>
            <w:r w:rsidRPr="00AB12A7">
              <w:rPr>
                <w:szCs w:val="24"/>
              </w:rPr>
              <w:t xml:space="preserve">requested </w:t>
            </w:r>
            <w:r w:rsidRPr="006C284C">
              <w:rPr>
                <w:b/>
                <w:bCs/>
                <w:szCs w:val="24"/>
              </w:rPr>
              <w:t>to endorse</w:t>
            </w:r>
            <w:r>
              <w:rPr>
                <w:szCs w:val="24"/>
              </w:rPr>
              <w:t xml:space="preserve"> </w:t>
            </w:r>
            <w:r w:rsidRPr="00AB12A7">
              <w:rPr>
                <w:szCs w:val="24"/>
              </w:rPr>
              <w:t xml:space="preserve">this </w:t>
            </w:r>
            <w:r w:rsidR="00EB7E04">
              <w:rPr>
                <w:szCs w:val="24"/>
              </w:rPr>
              <w:t>report</w:t>
            </w:r>
            <w:r w:rsidRPr="00AB12A7">
              <w:rPr>
                <w:szCs w:val="24"/>
              </w:rPr>
              <w:t>.</w:t>
            </w:r>
          </w:p>
          <w:bookmarkEnd w:id="8"/>
          <w:p w:rsidR="00EC2F5D" w:rsidRPr="00AB12A7" w:rsidRDefault="00EC2F5D" w:rsidP="00EC2F5D">
            <w:pPr>
              <w:tabs>
                <w:tab w:val="left" w:pos="794"/>
                <w:tab w:val="left" w:pos="1191"/>
                <w:tab w:val="left" w:pos="1588"/>
                <w:tab w:val="left" w:pos="1985"/>
              </w:tabs>
              <w:spacing w:after="120"/>
              <w:jc w:val="center"/>
              <w:rPr>
                <w:szCs w:val="24"/>
              </w:rPr>
            </w:pPr>
            <w:r w:rsidRPr="00AB12A7">
              <w:rPr>
                <w:szCs w:val="24"/>
              </w:rPr>
              <w:t>____________</w:t>
            </w:r>
          </w:p>
          <w:p w:rsidR="00EC2F5D" w:rsidRPr="00AB12A7" w:rsidRDefault="00EC2F5D" w:rsidP="00EC2F5D">
            <w:pPr>
              <w:keepNext/>
              <w:keepLines/>
              <w:spacing w:after="120"/>
              <w:ind w:left="567" w:hanging="567"/>
              <w:outlineLvl w:val="0"/>
              <w:rPr>
                <w:b/>
                <w:szCs w:val="24"/>
              </w:rPr>
            </w:pPr>
            <w:r w:rsidRPr="00AB12A7">
              <w:rPr>
                <w:b/>
                <w:szCs w:val="24"/>
              </w:rPr>
              <w:t>References</w:t>
            </w:r>
          </w:p>
          <w:p w:rsidR="002A2188" w:rsidRPr="00813E5E" w:rsidRDefault="008D2E43" w:rsidP="00EC2F5D">
            <w:pPr>
              <w:spacing w:after="120"/>
              <w:rPr>
                <w:i/>
                <w:iCs/>
              </w:rPr>
            </w:pPr>
            <w:hyperlink r:id="rId9" w:history="1">
              <w:r w:rsidR="00EC2F5D" w:rsidRPr="00AB12A7">
                <w:rPr>
                  <w:i/>
                  <w:iCs/>
                  <w:color w:val="0000FF"/>
                  <w:szCs w:val="24"/>
                  <w:u w:val="single"/>
                </w:rPr>
                <w:t>Decision 5 (Rev. Busan, 2014)</w:t>
              </w:r>
            </w:hyperlink>
          </w:p>
        </w:tc>
      </w:tr>
    </w:tbl>
    <w:p w:rsidR="00EC2F5D" w:rsidRPr="00CB38F5" w:rsidRDefault="00EC2F5D" w:rsidP="00EC2F5D">
      <w:pPr>
        <w:tabs>
          <w:tab w:val="clear" w:pos="567"/>
          <w:tab w:val="clear" w:pos="1134"/>
          <w:tab w:val="clear" w:pos="1701"/>
          <w:tab w:val="clear" w:pos="2268"/>
          <w:tab w:val="clear" w:pos="2835"/>
        </w:tabs>
        <w:snapToGrid w:val="0"/>
        <w:spacing w:before="840" w:after="120"/>
        <w:ind w:left="709" w:right="-45" w:hanging="709"/>
        <w:jc w:val="both"/>
        <w:rPr>
          <w:b/>
          <w:bCs/>
          <w:szCs w:val="24"/>
        </w:rPr>
      </w:pPr>
      <w:bookmarkStart w:id="9" w:name="dstart"/>
      <w:bookmarkStart w:id="10" w:name="dbreak"/>
      <w:bookmarkEnd w:id="9"/>
      <w:bookmarkEnd w:id="10"/>
      <w:r w:rsidRPr="00CB38F5">
        <w:rPr>
          <w:b/>
          <w:bCs/>
          <w:szCs w:val="24"/>
        </w:rPr>
        <w:t>A.</w:t>
      </w:r>
      <w:r w:rsidRPr="00CB38F5">
        <w:rPr>
          <w:b/>
          <w:bCs/>
          <w:szCs w:val="24"/>
        </w:rPr>
        <w:tab/>
        <w:t>Introduction</w:t>
      </w:r>
    </w:p>
    <w:p w:rsidR="00EC2F5D" w:rsidRPr="00CC77C9" w:rsidRDefault="00EC2F5D" w:rsidP="00EC2F5D">
      <w:pPr>
        <w:tabs>
          <w:tab w:val="clear" w:pos="567"/>
          <w:tab w:val="clear" w:pos="1134"/>
          <w:tab w:val="clear" w:pos="1701"/>
          <w:tab w:val="clear" w:pos="2268"/>
          <w:tab w:val="clear" w:pos="2835"/>
        </w:tabs>
        <w:snapToGrid w:val="0"/>
        <w:spacing w:after="120"/>
        <w:ind w:right="-45"/>
        <w:jc w:val="both"/>
        <w:rPr>
          <w:szCs w:val="24"/>
          <w:lang w:val="en-US"/>
        </w:rPr>
      </w:pPr>
      <w:r w:rsidRPr="00CC77C9">
        <w:rPr>
          <w:szCs w:val="24"/>
          <w:lang w:val="en-US"/>
        </w:rPr>
        <w:t>1</w:t>
      </w:r>
      <w:r w:rsidRPr="00CC77C9">
        <w:rPr>
          <w:szCs w:val="24"/>
          <w:lang w:val="en-US"/>
        </w:rPr>
        <w:tab/>
        <w:t xml:space="preserve">The purpose of this document is to provide updated information on the implementation of the </w:t>
      </w:r>
      <w:r>
        <w:rPr>
          <w:szCs w:val="24"/>
          <w:lang w:val="en-US"/>
        </w:rPr>
        <w:t xml:space="preserve">thirty </w:t>
      </w:r>
      <w:r w:rsidRPr="00CC77C9">
        <w:rPr>
          <w:szCs w:val="24"/>
          <w:lang w:val="en-US"/>
        </w:rPr>
        <w:t>efficiency measures as outlined in Annex 2 to Decision</w:t>
      </w:r>
      <w:r>
        <w:rPr>
          <w:szCs w:val="24"/>
          <w:lang w:val="en-US"/>
        </w:rPr>
        <w:t> </w:t>
      </w:r>
      <w:r w:rsidRPr="00CC77C9">
        <w:rPr>
          <w:szCs w:val="24"/>
          <w:lang w:val="en-US"/>
        </w:rPr>
        <w:t>5 (Rev. Busan, 2014).</w:t>
      </w:r>
    </w:p>
    <w:p w:rsidR="00EC2F5D" w:rsidRDefault="00EC2F5D" w:rsidP="00EC2F5D">
      <w:pPr>
        <w:tabs>
          <w:tab w:val="clear" w:pos="567"/>
          <w:tab w:val="clear" w:pos="1134"/>
          <w:tab w:val="clear" w:pos="1701"/>
          <w:tab w:val="clear" w:pos="2268"/>
          <w:tab w:val="clear" w:pos="2835"/>
        </w:tabs>
        <w:snapToGrid w:val="0"/>
        <w:spacing w:after="120"/>
        <w:ind w:right="-45"/>
        <w:jc w:val="both"/>
        <w:rPr>
          <w:szCs w:val="24"/>
          <w:lang w:val="en-US"/>
        </w:rPr>
      </w:pPr>
      <w:r w:rsidRPr="00CC77C9">
        <w:rPr>
          <w:szCs w:val="24"/>
          <w:lang w:val="en-US"/>
        </w:rPr>
        <w:t>2</w:t>
      </w:r>
      <w:r w:rsidRPr="00CC77C9">
        <w:rPr>
          <w:szCs w:val="24"/>
          <w:lang w:val="en-US"/>
        </w:rPr>
        <w:tab/>
        <w:t>The measures for implementation in the biennia 2014-2015 and 2016-2017 were reported to Council in Documents C15/45</w:t>
      </w:r>
      <w:r>
        <w:rPr>
          <w:szCs w:val="24"/>
          <w:lang w:val="en-US"/>
        </w:rPr>
        <w:t>,</w:t>
      </w:r>
      <w:r w:rsidRPr="00CC77C9">
        <w:rPr>
          <w:szCs w:val="24"/>
          <w:lang w:val="en-US"/>
        </w:rPr>
        <w:t xml:space="preserve"> C16/45</w:t>
      </w:r>
      <w:r>
        <w:rPr>
          <w:szCs w:val="24"/>
          <w:lang w:val="en-US"/>
        </w:rPr>
        <w:t xml:space="preserve"> and C17/45,</w:t>
      </w:r>
      <w:r w:rsidRPr="00CC77C9">
        <w:rPr>
          <w:szCs w:val="24"/>
          <w:lang w:val="en-US"/>
        </w:rPr>
        <w:t xml:space="preserve"> respectively. These measures resulted in </w:t>
      </w:r>
      <w:r>
        <w:rPr>
          <w:szCs w:val="24"/>
          <w:lang w:val="en-US"/>
        </w:rPr>
        <w:t xml:space="preserve">savings </w:t>
      </w:r>
      <w:r w:rsidRPr="00CC77C9">
        <w:rPr>
          <w:szCs w:val="24"/>
          <w:lang w:val="en-US"/>
        </w:rPr>
        <w:t>of CHF 24.4 million in 2014-2015 and are estimated to save a further CHF</w:t>
      </w:r>
      <w:r>
        <w:rPr>
          <w:szCs w:val="24"/>
          <w:lang w:val="en-US"/>
        </w:rPr>
        <w:t> </w:t>
      </w:r>
      <w:r w:rsidRPr="00CC77C9">
        <w:rPr>
          <w:szCs w:val="24"/>
          <w:lang w:val="en-US"/>
        </w:rPr>
        <w:t>1</w:t>
      </w:r>
      <w:r>
        <w:rPr>
          <w:szCs w:val="24"/>
          <w:lang w:val="en-US"/>
        </w:rPr>
        <w:t>7</w:t>
      </w:r>
      <w:r w:rsidRPr="00CC77C9">
        <w:rPr>
          <w:szCs w:val="24"/>
          <w:lang w:val="en-US"/>
        </w:rPr>
        <w:t> million in the biennium 2016-2017.</w:t>
      </w:r>
    </w:p>
    <w:p w:rsidR="00EC2F5D" w:rsidRPr="00CC77C9" w:rsidRDefault="00EC2F5D" w:rsidP="00EC2F5D">
      <w:pPr>
        <w:tabs>
          <w:tab w:val="clear" w:pos="567"/>
          <w:tab w:val="clear" w:pos="1134"/>
          <w:tab w:val="clear" w:pos="1701"/>
          <w:tab w:val="clear" w:pos="2268"/>
          <w:tab w:val="clear" w:pos="2835"/>
        </w:tabs>
        <w:snapToGrid w:val="0"/>
        <w:spacing w:after="120"/>
        <w:ind w:right="-45"/>
        <w:jc w:val="both"/>
        <w:rPr>
          <w:szCs w:val="24"/>
          <w:lang w:val="en-US"/>
        </w:rPr>
      </w:pPr>
      <w:r>
        <w:rPr>
          <w:szCs w:val="24"/>
          <w:lang w:val="en-US"/>
        </w:rPr>
        <w:t>3</w:t>
      </w:r>
      <w:r>
        <w:rPr>
          <w:szCs w:val="24"/>
          <w:lang w:val="en-US"/>
        </w:rPr>
        <w:tab/>
        <w:t>Council, at its 2017 session, requested that the achievements related to the implementation of the efficiency measures be presented in a table format.</w:t>
      </w:r>
    </w:p>
    <w:p w:rsidR="00EC2F5D" w:rsidRPr="00E71449" w:rsidRDefault="00EC2F5D" w:rsidP="00EC2F5D">
      <w:pPr>
        <w:tabs>
          <w:tab w:val="clear" w:pos="567"/>
          <w:tab w:val="clear" w:pos="1134"/>
          <w:tab w:val="clear" w:pos="1701"/>
          <w:tab w:val="clear" w:pos="2268"/>
          <w:tab w:val="clear" w:pos="2835"/>
        </w:tabs>
        <w:snapToGrid w:val="0"/>
        <w:spacing w:after="120"/>
        <w:jc w:val="both"/>
        <w:rPr>
          <w:color w:val="000000"/>
          <w:szCs w:val="24"/>
          <w:lang w:eastAsia="zh-CN"/>
        </w:rPr>
      </w:pPr>
      <w:r w:rsidRPr="00E71449">
        <w:rPr>
          <w:szCs w:val="24"/>
          <w:lang w:val="en-US"/>
        </w:rPr>
        <w:lastRenderedPageBreak/>
        <w:t>4</w:t>
      </w:r>
      <w:r w:rsidRPr="00E71449">
        <w:rPr>
          <w:szCs w:val="24"/>
          <w:lang w:val="en-US"/>
        </w:rPr>
        <w:tab/>
      </w:r>
      <w:r w:rsidRPr="00E71449">
        <w:rPr>
          <w:szCs w:val="24"/>
        </w:rPr>
        <w:t>Table 1 reflected on pages 3 to 7 presents these savings under each Annex 2 item, as requested, and also lists the additional</w:t>
      </w:r>
      <w:r>
        <w:rPr>
          <w:szCs w:val="24"/>
        </w:rPr>
        <w:t xml:space="preserve"> savings of CHF </w:t>
      </w:r>
      <w:r w:rsidRPr="00E71449">
        <w:rPr>
          <w:szCs w:val="24"/>
        </w:rPr>
        <w:t xml:space="preserve">13.3 million from the various efficiency measures to be taken in the biennium 2018-2019 as approved by Council-17 </w:t>
      </w:r>
      <w:r w:rsidRPr="00E71449">
        <w:rPr>
          <w:szCs w:val="24"/>
          <w:lang w:eastAsia="zh-CN"/>
        </w:rPr>
        <w:t>(mostly through the voluntary separation programme and 5% vacancy rate). The table only shows where significant saving</w:t>
      </w:r>
      <w:r>
        <w:rPr>
          <w:szCs w:val="24"/>
          <w:lang w:eastAsia="zh-CN"/>
        </w:rPr>
        <w:t>s</w:t>
      </w:r>
      <w:r w:rsidRPr="00E71449">
        <w:rPr>
          <w:szCs w:val="24"/>
          <w:lang w:eastAsia="zh-CN"/>
        </w:rPr>
        <w:t xml:space="preserve"> were </w:t>
      </w:r>
      <w:r w:rsidR="00574887" w:rsidRPr="00E71449">
        <w:rPr>
          <w:color w:val="000000"/>
          <w:szCs w:val="24"/>
          <w:lang w:eastAsia="zh-CN"/>
        </w:rPr>
        <w:t>achieved;</w:t>
      </w:r>
      <w:r w:rsidRPr="00E71449">
        <w:rPr>
          <w:color w:val="000000"/>
          <w:szCs w:val="24"/>
          <w:lang w:eastAsia="zh-CN"/>
        </w:rPr>
        <w:t xml:space="preserve"> however, saving</w:t>
      </w:r>
      <w:r>
        <w:rPr>
          <w:color w:val="000000"/>
          <w:szCs w:val="24"/>
          <w:lang w:eastAsia="zh-CN"/>
        </w:rPr>
        <w:t>s</w:t>
      </w:r>
      <w:r w:rsidRPr="00E71449">
        <w:rPr>
          <w:color w:val="000000"/>
          <w:szCs w:val="24"/>
          <w:lang w:eastAsia="zh-CN"/>
        </w:rPr>
        <w:t xml:space="preserve"> were achieved under most items.</w:t>
      </w:r>
    </w:p>
    <w:p w:rsidR="00EC2F5D" w:rsidRDefault="00EC2F5D" w:rsidP="00EC2F5D">
      <w:pPr>
        <w:tabs>
          <w:tab w:val="clear" w:pos="567"/>
          <w:tab w:val="clear" w:pos="1134"/>
          <w:tab w:val="clear" w:pos="1701"/>
          <w:tab w:val="clear" w:pos="2268"/>
          <w:tab w:val="clear" w:pos="2835"/>
        </w:tabs>
        <w:snapToGrid w:val="0"/>
        <w:spacing w:after="120"/>
        <w:jc w:val="both"/>
        <w:rPr>
          <w:color w:val="1F497D"/>
          <w:sz w:val="22"/>
          <w:szCs w:val="22"/>
          <w:lang w:eastAsia="zh-CN"/>
        </w:rPr>
      </w:pPr>
      <w:r>
        <w:rPr>
          <w:szCs w:val="24"/>
          <w:lang w:val="en-US"/>
        </w:rPr>
        <w:t>5</w:t>
      </w:r>
      <w:r w:rsidRPr="00665627">
        <w:rPr>
          <w:szCs w:val="24"/>
          <w:lang w:val="en-US"/>
        </w:rPr>
        <w:tab/>
      </w:r>
      <w:r w:rsidRPr="00665627">
        <w:t>These biennial saving</w:t>
      </w:r>
      <w:r>
        <w:t>s</w:t>
      </w:r>
      <w:r w:rsidRPr="00665627">
        <w:t xml:space="preserve"> are not necessarily net reductions from the previous biennium. </w:t>
      </w:r>
      <w:r>
        <w:t xml:space="preserve"> </w:t>
      </w:r>
      <w:r w:rsidRPr="00665627">
        <w:t>Some</w:t>
      </w:r>
      <w:r>
        <w:t xml:space="preserve"> are reductions from the initial submissions made by the Bureaux/Departments while some are related to the period stated and may not be recurrent.  Most of the reductions are offset by the cost increase in the next period.</w:t>
      </w:r>
    </w:p>
    <w:p w:rsidR="00EC2F5D" w:rsidRDefault="00EC2F5D" w:rsidP="00EC2F5D">
      <w:pPr>
        <w:tabs>
          <w:tab w:val="clear" w:pos="567"/>
          <w:tab w:val="clear" w:pos="1134"/>
          <w:tab w:val="clear" w:pos="1701"/>
          <w:tab w:val="clear" w:pos="2268"/>
          <w:tab w:val="clear" w:pos="2835"/>
        </w:tabs>
        <w:snapToGrid w:val="0"/>
        <w:spacing w:after="120"/>
        <w:ind w:right="-45"/>
        <w:jc w:val="both"/>
        <w:rPr>
          <w:szCs w:val="24"/>
          <w:lang w:val="en-US"/>
        </w:rPr>
      </w:pPr>
      <w:r>
        <w:rPr>
          <w:szCs w:val="24"/>
          <w:lang w:val="en-US"/>
        </w:rPr>
        <w:t>6</w:t>
      </w:r>
      <w:r w:rsidRPr="00CC77C9">
        <w:rPr>
          <w:szCs w:val="24"/>
          <w:lang w:val="en-US"/>
        </w:rPr>
        <w:tab/>
      </w:r>
      <w:r w:rsidRPr="0096463E">
        <w:rPr>
          <w:szCs w:val="24"/>
          <w:lang w:val="en-US"/>
        </w:rPr>
        <w:t xml:space="preserve">Annex 2 to </w:t>
      </w:r>
      <w:r>
        <w:rPr>
          <w:szCs w:val="24"/>
          <w:lang w:val="en-US"/>
        </w:rPr>
        <w:t xml:space="preserve">the </w:t>
      </w:r>
      <w:r w:rsidRPr="0096463E">
        <w:rPr>
          <w:szCs w:val="24"/>
          <w:lang w:val="en-US"/>
        </w:rPr>
        <w:t xml:space="preserve">current Decision 5 provides a list of </w:t>
      </w:r>
      <w:r>
        <w:rPr>
          <w:szCs w:val="24"/>
          <w:lang w:val="en-US"/>
        </w:rPr>
        <w:t xml:space="preserve">thirty </w:t>
      </w:r>
      <w:r w:rsidRPr="0096463E">
        <w:rPr>
          <w:szCs w:val="24"/>
          <w:lang w:val="en-US"/>
        </w:rPr>
        <w:t xml:space="preserve">measures for reducing expenses. </w:t>
      </w:r>
      <w:r>
        <w:rPr>
          <w:szCs w:val="24"/>
          <w:lang w:val="en-US"/>
        </w:rPr>
        <w:t xml:space="preserve"> </w:t>
      </w:r>
      <w:r w:rsidRPr="0096463E">
        <w:rPr>
          <w:szCs w:val="24"/>
          <w:lang w:val="en-US"/>
        </w:rPr>
        <w:t>All measures have been largely implemented leaving little room for any further savings to be achieved against these measures.</w:t>
      </w:r>
      <w:r>
        <w:rPr>
          <w:szCs w:val="24"/>
          <w:lang w:val="en-US"/>
        </w:rPr>
        <w:t xml:space="preserve"> </w:t>
      </w:r>
    </w:p>
    <w:p w:rsidR="00EC2F5D" w:rsidRDefault="00EC2F5D" w:rsidP="00EC2F5D">
      <w:pPr>
        <w:tabs>
          <w:tab w:val="clear" w:pos="567"/>
          <w:tab w:val="clear" w:pos="1134"/>
          <w:tab w:val="clear" w:pos="1701"/>
          <w:tab w:val="clear" w:pos="2268"/>
          <w:tab w:val="clear" w:pos="2835"/>
        </w:tabs>
        <w:snapToGrid w:val="0"/>
        <w:spacing w:after="120"/>
        <w:ind w:right="-45"/>
        <w:jc w:val="both"/>
        <w:rPr>
          <w:szCs w:val="24"/>
          <w:lang w:val="en-US"/>
        </w:rPr>
      </w:pPr>
      <w:r>
        <w:rPr>
          <w:szCs w:val="24"/>
          <w:lang w:val="en-US"/>
        </w:rPr>
        <w:t>7</w:t>
      </w:r>
      <w:r>
        <w:rPr>
          <w:szCs w:val="24"/>
          <w:lang w:val="en-US"/>
        </w:rPr>
        <w:tab/>
      </w:r>
      <w:r w:rsidRPr="0096463E">
        <w:rPr>
          <w:szCs w:val="24"/>
          <w:lang w:val="en-US"/>
        </w:rPr>
        <w:t>Potential for further savings might be found from further centralization of finance and administrative tasks (so far only within the General Secretariat), consolidation of events and reduction in missions.</w:t>
      </w:r>
    </w:p>
    <w:p w:rsidR="00EC2F5D" w:rsidRDefault="00EC2F5D" w:rsidP="00EC2F5D">
      <w:pPr>
        <w:tabs>
          <w:tab w:val="clear" w:pos="567"/>
          <w:tab w:val="clear" w:pos="1134"/>
          <w:tab w:val="clear" w:pos="1701"/>
          <w:tab w:val="clear" w:pos="2268"/>
          <w:tab w:val="clear" w:pos="2835"/>
        </w:tabs>
        <w:snapToGrid w:val="0"/>
        <w:spacing w:after="120"/>
        <w:ind w:right="-45"/>
        <w:jc w:val="both"/>
        <w:rPr>
          <w:szCs w:val="24"/>
          <w:lang w:val="en-US"/>
        </w:rPr>
      </w:pPr>
      <w:r>
        <w:rPr>
          <w:szCs w:val="24"/>
          <w:lang w:val="en-US"/>
        </w:rPr>
        <w:t>8</w:t>
      </w:r>
      <w:r>
        <w:rPr>
          <w:szCs w:val="24"/>
          <w:lang w:val="en-US"/>
        </w:rPr>
        <w:tab/>
      </w:r>
      <w:r w:rsidRPr="0096463E">
        <w:rPr>
          <w:szCs w:val="24"/>
          <w:lang w:val="en-US"/>
        </w:rPr>
        <w:t>New and innovative efficiency measures should be identified to help balance the future budgets and contribute to the optimization of the use of the Union’s finances.</w:t>
      </w:r>
    </w:p>
    <w:p w:rsidR="00EC2F5D" w:rsidRDefault="00EC2F5D" w:rsidP="00EC2F5D">
      <w:pPr>
        <w:tabs>
          <w:tab w:val="clear" w:pos="567"/>
          <w:tab w:val="clear" w:pos="1134"/>
          <w:tab w:val="clear" w:pos="1701"/>
          <w:tab w:val="clear" w:pos="2268"/>
          <w:tab w:val="clear" w:pos="2835"/>
        </w:tabs>
        <w:snapToGrid w:val="0"/>
        <w:spacing w:after="120"/>
        <w:ind w:right="-45"/>
        <w:jc w:val="both"/>
        <w:rPr>
          <w:szCs w:val="24"/>
          <w:lang w:val="en-US"/>
        </w:rPr>
      </w:pPr>
    </w:p>
    <w:p w:rsidR="00EC2F5D" w:rsidRDefault="00EC2F5D" w:rsidP="00EC2F5D">
      <w:pPr>
        <w:tabs>
          <w:tab w:val="clear" w:pos="567"/>
          <w:tab w:val="clear" w:pos="1134"/>
          <w:tab w:val="clear" w:pos="1701"/>
          <w:tab w:val="clear" w:pos="2268"/>
          <w:tab w:val="clear" w:pos="2835"/>
        </w:tabs>
        <w:snapToGrid w:val="0"/>
        <w:spacing w:after="120"/>
        <w:ind w:right="-45"/>
        <w:jc w:val="both"/>
        <w:rPr>
          <w:szCs w:val="24"/>
          <w:lang w:val="en-US"/>
        </w:rPr>
        <w:sectPr w:rsidR="00EC2F5D" w:rsidSect="00CD41AA">
          <w:headerReference w:type="default" r:id="rId10"/>
          <w:headerReference w:type="first" r:id="rId11"/>
          <w:footerReference w:type="first" r:id="rId12"/>
          <w:pgSz w:w="11907" w:h="16840" w:code="9"/>
          <w:pgMar w:top="1021" w:right="1134" w:bottom="1021" w:left="1134" w:header="567" w:footer="567" w:gutter="0"/>
          <w:cols w:space="720"/>
          <w:titlePg/>
          <w:docGrid w:linePitch="360"/>
        </w:sectPr>
      </w:pPr>
    </w:p>
    <w:p w:rsidR="00EC2F5D" w:rsidRDefault="00EC2F5D" w:rsidP="00EC2F5D">
      <w:pPr>
        <w:tabs>
          <w:tab w:val="clear" w:pos="567"/>
          <w:tab w:val="clear" w:pos="1134"/>
          <w:tab w:val="clear" w:pos="1701"/>
          <w:tab w:val="clear" w:pos="2268"/>
          <w:tab w:val="clear" w:pos="2835"/>
        </w:tabs>
        <w:overflowPunct/>
        <w:autoSpaceDE/>
        <w:autoSpaceDN/>
        <w:adjustRightInd/>
        <w:spacing w:before="0" w:after="240"/>
        <w:jc w:val="center"/>
        <w:textAlignment w:val="auto"/>
        <w:rPr>
          <w:szCs w:val="24"/>
          <w:lang w:val="en-US"/>
        </w:rPr>
      </w:pPr>
      <w:r w:rsidRPr="00283CC7">
        <w:rPr>
          <w:b/>
          <w:bCs/>
          <w:szCs w:val="24"/>
          <w:lang w:val="en-US"/>
        </w:rPr>
        <w:t>Table 1 - Efficiency measures</w:t>
      </w:r>
    </w:p>
    <w:tbl>
      <w:tblPr>
        <w:tblW w:w="13900" w:type="dxa"/>
        <w:tblLook w:val="04A0" w:firstRow="1" w:lastRow="0" w:firstColumn="1" w:lastColumn="0" w:noHBand="0" w:noVBand="1"/>
      </w:tblPr>
      <w:tblGrid>
        <w:gridCol w:w="620"/>
        <w:gridCol w:w="6480"/>
        <w:gridCol w:w="1864"/>
        <w:gridCol w:w="1863"/>
        <w:gridCol w:w="1863"/>
        <w:gridCol w:w="1210"/>
      </w:tblGrid>
      <w:tr w:rsidR="00EC2F5D" w:rsidRPr="00283CC7" w:rsidTr="002918F0">
        <w:trPr>
          <w:trHeight w:val="288"/>
        </w:trPr>
        <w:tc>
          <w:tcPr>
            <w:tcW w:w="620" w:type="dxa"/>
            <w:tcBorders>
              <w:top w:val="nil"/>
              <w:left w:val="nil"/>
              <w:bottom w:val="nil"/>
              <w:right w:val="nil"/>
            </w:tcBorders>
            <w:shd w:val="clear" w:color="auto" w:fill="8DB3E2" w:themeFill="text2" w:themeFillTint="66"/>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szCs w:val="24"/>
                <w:lang w:eastAsia="zh-CN"/>
              </w:rPr>
            </w:pPr>
          </w:p>
        </w:tc>
        <w:tc>
          <w:tcPr>
            <w:tcW w:w="6480" w:type="dxa"/>
            <w:tcBorders>
              <w:top w:val="nil"/>
              <w:left w:val="nil"/>
              <w:bottom w:val="nil"/>
              <w:right w:val="nil"/>
            </w:tcBorders>
            <w:shd w:val="clear" w:color="auto" w:fill="8DB3E2" w:themeFill="text2" w:themeFillTint="66"/>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6800" w:type="dxa"/>
            <w:gridSpan w:val="4"/>
            <w:tcBorders>
              <w:top w:val="nil"/>
              <w:left w:val="nil"/>
              <w:bottom w:val="nil"/>
              <w:right w:val="nil"/>
            </w:tcBorders>
            <w:shd w:val="clear" w:color="auto" w:fill="8DB3E2" w:themeFill="text2" w:themeFillTint="66"/>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jc w:val="center"/>
              <w:textAlignment w:val="auto"/>
              <w:rPr>
                <w:i/>
                <w:iCs/>
                <w:color w:val="000000"/>
                <w:sz w:val="18"/>
                <w:szCs w:val="18"/>
                <w:lang w:eastAsia="zh-CN"/>
              </w:rPr>
            </w:pPr>
            <w:r w:rsidRPr="00283CC7">
              <w:rPr>
                <w:i/>
                <w:iCs/>
                <w:color w:val="000000"/>
                <w:sz w:val="18"/>
                <w:szCs w:val="18"/>
                <w:lang w:eastAsia="zh-CN"/>
              </w:rPr>
              <w:t>KCHF</w:t>
            </w:r>
          </w:p>
        </w:tc>
      </w:tr>
      <w:tr w:rsidR="00EC2F5D" w:rsidRPr="00283CC7" w:rsidTr="002918F0">
        <w:trPr>
          <w:trHeight w:val="288"/>
        </w:trPr>
        <w:tc>
          <w:tcPr>
            <w:tcW w:w="7100" w:type="dxa"/>
            <w:gridSpan w:val="2"/>
            <w:tcBorders>
              <w:top w:val="nil"/>
              <w:left w:val="nil"/>
              <w:bottom w:val="nil"/>
              <w:right w:val="nil"/>
            </w:tcBorders>
            <w:shd w:val="clear" w:color="auto" w:fill="8DB3E2" w:themeFill="text2" w:themeFillTint="66"/>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eastAsia="zh-CN"/>
              </w:rPr>
            </w:pPr>
            <w:r w:rsidRPr="00283CC7">
              <w:rPr>
                <w:color w:val="000000"/>
                <w:sz w:val="22"/>
                <w:szCs w:val="22"/>
                <w:lang w:eastAsia="zh-CN"/>
              </w:rPr>
              <w:t>Efficiency measures</w:t>
            </w:r>
            <w:r>
              <w:rPr>
                <w:color w:val="000000"/>
                <w:sz w:val="22"/>
                <w:szCs w:val="22"/>
                <w:lang w:eastAsia="zh-CN"/>
              </w:rPr>
              <w:t xml:space="preserve"> (PP14 Decision 5 – Annex 2)</w:t>
            </w:r>
          </w:p>
        </w:tc>
        <w:tc>
          <w:tcPr>
            <w:tcW w:w="1864" w:type="dxa"/>
            <w:tcBorders>
              <w:top w:val="nil"/>
              <w:left w:val="dotted" w:sz="4" w:space="0" w:color="auto"/>
              <w:bottom w:val="nil"/>
              <w:right w:val="dotted" w:sz="4" w:space="0" w:color="auto"/>
            </w:tcBorders>
            <w:shd w:val="clear" w:color="auto" w:fill="8DB3E2" w:themeFill="text2" w:themeFillTint="66"/>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eastAsia="zh-CN"/>
              </w:rPr>
            </w:pPr>
            <w:r w:rsidRPr="00283CC7">
              <w:rPr>
                <w:color w:val="000000"/>
                <w:sz w:val="22"/>
                <w:szCs w:val="22"/>
                <w:lang w:eastAsia="zh-CN"/>
              </w:rPr>
              <w:t>2014-2015</w:t>
            </w:r>
          </w:p>
        </w:tc>
        <w:tc>
          <w:tcPr>
            <w:tcW w:w="1863" w:type="dxa"/>
            <w:tcBorders>
              <w:top w:val="nil"/>
              <w:left w:val="nil"/>
              <w:bottom w:val="nil"/>
              <w:right w:val="nil"/>
            </w:tcBorders>
            <w:shd w:val="clear" w:color="auto" w:fill="8DB3E2" w:themeFill="text2" w:themeFillTint="66"/>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eastAsia="zh-CN"/>
              </w:rPr>
            </w:pPr>
            <w:r w:rsidRPr="00283CC7">
              <w:rPr>
                <w:color w:val="000000"/>
                <w:sz w:val="22"/>
                <w:szCs w:val="22"/>
                <w:lang w:eastAsia="zh-CN"/>
              </w:rPr>
              <w:t>2016-2017</w:t>
            </w:r>
          </w:p>
        </w:tc>
        <w:tc>
          <w:tcPr>
            <w:tcW w:w="1863" w:type="dxa"/>
            <w:tcBorders>
              <w:top w:val="nil"/>
              <w:left w:val="dotted" w:sz="4" w:space="0" w:color="auto"/>
              <w:bottom w:val="nil"/>
              <w:right w:val="dotted" w:sz="4" w:space="0" w:color="auto"/>
            </w:tcBorders>
            <w:shd w:val="clear" w:color="auto" w:fill="8DB3E2" w:themeFill="text2" w:themeFillTint="66"/>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eastAsia="zh-CN"/>
              </w:rPr>
            </w:pPr>
            <w:r w:rsidRPr="00283CC7">
              <w:rPr>
                <w:color w:val="000000"/>
                <w:sz w:val="22"/>
                <w:szCs w:val="22"/>
                <w:lang w:eastAsia="zh-CN"/>
              </w:rPr>
              <w:t>2018-2019</w:t>
            </w:r>
          </w:p>
        </w:tc>
        <w:tc>
          <w:tcPr>
            <w:tcW w:w="1210" w:type="dxa"/>
            <w:tcBorders>
              <w:top w:val="nil"/>
              <w:left w:val="nil"/>
              <w:bottom w:val="nil"/>
              <w:right w:val="dotted" w:sz="4" w:space="0" w:color="auto"/>
            </w:tcBorders>
            <w:shd w:val="clear" w:color="auto" w:fill="8DB3E2" w:themeFill="text2" w:themeFillTint="66"/>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eastAsia="zh-CN"/>
              </w:rPr>
            </w:pPr>
            <w:r w:rsidRPr="00283CC7">
              <w:rPr>
                <w:color w:val="000000"/>
                <w:sz w:val="22"/>
                <w:szCs w:val="22"/>
                <w:lang w:eastAsia="zh-CN"/>
              </w:rPr>
              <w:t>Total</w:t>
            </w:r>
          </w:p>
        </w:tc>
      </w:tr>
      <w:tr w:rsidR="00EC2F5D" w:rsidRPr="00283CC7" w:rsidTr="002918F0">
        <w:trPr>
          <w:trHeight w:val="1152"/>
        </w:trPr>
        <w:tc>
          <w:tcPr>
            <w:tcW w:w="620" w:type="dxa"/>
            <w:tcBorders>
              <w:top w:val="single" w:sz="4" w:space="0" w:color="auto"/>
              <w:left w:val="nil"/>
              <w:bottom w:val="single" w:sz="4" w:space="0" w:color="auto"/>
              <w:right w:val="nil"/>
            </w:tcBorders>
            <w:shd w:val="clear" w:color="000000" w:fill="DDEBF7"/>
            <w:noWrap/>
            <w:vAlign w:val="center"/>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1</w:t>
            </w:r>
          </w:p>
        </w:tc>
        <w:tc>
          <w:tcPr>
            <w:tcW w:w="6480" w:type="dxa"/>
            <w:tcBorders>
              <w:top w:val="single" w:sz="4" w:space="0" w:color="auto"/>
              <w:left w:val="nil"/>
              <w:bottom w:val="single" w:sz="4" w:space="0" w:color="auto"/>
              <w:right w:val="nil"/>
            </w:tcBorders>
            <w:shd w:val="clear" w:color="000000" w:fill="DDEBF7"/>
            <w:vAlign w:val="center"/>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Identification and elimination of duplication (and overlap of functions, activities, workshops, seminars), and centralization of finance and administrative tasks, in order to avoid inefficiencies and to gain from a specialized workforce</w:t>
            </w:r>
            <w:r>
              <w:rPr>
                <w:color w:val="000000"/>
                <w:sz w:val="22"/>
                <w:szCs w:val="22"/>
                <w:lang w:eastAsia="zh-CN"/>
              </w:rPr>
              <w:t>.</w:t>
            </w:r>
          </w:p>
        </w:tc>
        <w:tc>
          <w:tcPr>
            <w:tcW w:w="1864"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1,529</w:t>
            </w:r>
          </w:p>
        </w:tc>
        <w:tc>
          <w:tcPr>
            <w:tcW w:w="1863" w:type="dxa"/>
            <w:tcBorders>
              <w:top w:val="single" w:sz="4" w:space="0" w:color="auto"/>
              <w:left w:val="nil"/>
              <w:bottom w:val="single" w:sz="4" w:space="0" w:color="auto"/>
              <w:right w:val="nil"/>
            </w:tcBorders>
            <w:shd w:val="clear" w:color="000000" w:fill="DDEBF7"/>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1,926</w:t>
            </w:r>
          </w:p>
        </w:tc>
        <w:tc>
          <w:tcPr>
            <w:tcW w:w="1863"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 </w:t>
            </w:r>
          </w:p>
        </w:tc>
        <w:tc>
          <w:tcPr>
            <w:tcW w:w="1210" w:type="dxa"/>
            <w:tcBorders>
              <w:top w:val="single" w:sz="4" w:space="0" w:color="auto"/>
              <w:left w:val="nil"/>
              <w:bottom w:val="single" w:sz="4" w:space="0" w:color="auto"/>
              <w:right w:val="dotted" w:sz="4" w:space="0" w:color="auto"/>
            </w:tcBorders>
            <w:shd w:val="clear" w:color="000000" w:fill="DDEBF7"/>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3,455</w:t>
            </w:r>
          </w:p>
        </w:tc>
      </w:tr>
      <w:tr w:rsidR="00EC2F5D" w:rsidRPr="00283CC7" w:rsidTr="002918F0">
        <w:trPr>
          <w:trHeight w:val="1440"/>
        </w:trPr>
        <w:tc>
          <w:tcPr>
            <w:tcW w:w="620" w:type="dxa"/>
            <w:tcBorders>
              <w:top w:val="nil"/>
              <w:left w:val="nil"/>
              <w:bottom w:val="nil"/>
              <w:right w:val="nil"/>
            </w:tcBorders>
            <w:shd w:val="clear" w:color="000000" w:fill="C6E0B4"/>
            <w:noWrap/>
            <w:vAlign w:val="center"/>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2</w:t>
            </w:r>
          </w:p>
        </w:tc>
        <w:tc>
          <w:tcPr>
            <w:tcW w:w="6480" w:type="dxa"/>
            <w:tcBorders>
              <w:top w:val="nil"/>
              <w:left w:val="nil"/>
              <w:bottom w:val="nil"/>
              <w:right w:val="nil"/>
            </w:tcBorders>
            <w:shd w:val="clear" w:color="000000" w:fill="C6E0B4"/>
            <w:vAlign w:val="center"/>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Coordination and harmonization of all seminars and workshops by a centralized intersectoral task force or department in order to avoid duplication of topics, to optimize management, logistics, coordination and secretariat support and to benefit from synergy between the Sectors and a holistic approach to the subjects covered</w:t>
            </w:r>
            <w:r>
              <w:rPr>
                <w:color w:val="000000"/>
                <w:sz w:val="22"/>
                <w:szCs w:val="22"/>
                <w:lang w:eastAsia="zh-CN"/>
              </w:rPr>
              <w:t>.</w:t>
            </w:r>
          </w:p>
        </w:tc>
        <w:tc>
          <w:tcPr>
            <w:tcW w:w="1864" w:type="dxa"/>
            <w:tcBorders>
              <w:top w:val="nil"/>
              <w:left w:val="dotted" w:sz="4" w:space="0" w:color="auto"/>
              <w:bottom w:val="nil"/>
              <w:right w:val="dotted" w:sz="4" w:space="0" w:color="auto"/>
            </w:tcBorders>
            <w:shd w:val="clear" w:color="000000" w:fill="C6E0B4"/>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p>
        </w:tc>
        <w:tc>
          <w:tcPr>
            <w:tcW w:w="1863" w:type="dxa"/>
            <w:tcBorders>
              <w:top w:val="nil"/>
              <w:left w:val="nil"/>
              <w:bottom w:val="nil"/>
              <w:right w:val="nil"/>
            </w:tcBorders>
            <w:shd w:val="clear" w:color="000000" w:fill="C6E0B4"/>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Pr>
                <w:color w:val="000000"/>
                <w:sz w:val="22"/>
                <w:szCs w:val="22"/>
                <w:lang w:eastAsia="zh-CN"/>
              </w:rPr>
              <w:t>205</w:t>
            </w:r>
          </w:p>
        </w:tc>
        <w:tc>
          <w:tcPr>
            <w:tcW w:w="1863" w:type="dxa"/>
            <w:tcBorders>
              <w:top w:val="nil"/>
              <w:left w:val="dotted" w:sz="4" w:space="0" w:color="auto"/>
              <w:bottom w:val="nil"/>
              <w:right w:val="dotted" w:sz="4" w:space="0" w:color="auto"/>
            </w:tcBorders>
            <w:shd w:val="clear" w:color="000000" w:fill="C6E0B4"/>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 </w:t>
            </w:r>
          </w:p>
        </w:tc>
        <w:tc>
          <w:tcPr>
            <w:tcW w:w="1210" w:type="dxa"/>
            <w:tcBorders>
              <w:top w:val="nil"/>
              <w:left w:val="nil"/>
              <w:bottom w:val="nil"/>
              <w:right w:val="dotted" w:sz="4" w:space="0" w:color="auto"/>
            </w:tcBorders>
            <w:shd w:val="clear" w:color="000000" w:fill="C6E0B4"/>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Pr>
                <w:color w:val="000000"/>
                <w:sz w:val="22"/>
                <w:szCs w:val="22"/>
                <w:lang w:eastAsia="zh-CN"/>
              </w:rPr>
              <w:t>205</w:t>
            </w:r>
          </w:p>
        </w:tc>
      </w:tr>
      <w:tr w:rsidR="00EC2F5D" w:rsidRPr="00283CC7" w:rsidTr="002918F0">
        <w:trPr>
          <w:trHeight w:val="1440"/>
        </w:trPr>
        <w:tc>
          <w:tcPr>
            <w:tcW w:w="620" w:type="dxa"/>
            <w:tcBorders>
              <w:top w:val="single" w:sz="4" w:space="0" w:color="auto"/>
              <w:left w:val="nil"/>
              <w:bottom w:val="single" w:sz="4" w:space="0" w:color="auto"/>
              <w:right w:val="nil"/>
            </w:tcBorders>
            <w:shd w:val="clear" w:color="000000" w:fill="DDEBF7"/>
            <w:noWrap/>
            <w:vAlign w:val="center"/>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3</w:t>
            </w:r>
          </w:p>
        </w:tc>
        <w:tc>
          <w:tcPr>
            <w:tcW w:w="6480" w:type="dxa"/>
            <w:tcBorders>
              <w:top w:val="single" w:sz="4" w:space="0" w:color="auto"/>
              <w:left w:val="nil"/>
              <w:bottom w:val="single" w:sz="4" w:space="0" w:color="auto"/>
              <w:right w:val="nil"/>
            </w:tcBorders>
            <w:shd w:val="clear" w:color="000000" w:fill="DDEBF7"/>
            <w:vAlign w:val="center"/>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Full involvement of regional offices in the planning and organization of seminars/workshops/meetings/conferences, including their preparatory meetings outside Geneva, in order to gain from the utilization of local expertise and local contact networks and to save on travel costs</w:t>
            </w:r>
            <w:r>
              <w:rPr>
                <w:color w:val="000000"/>
                <w:sz w:val="22"/>
                <w:szCs w:val="22"/>
                <w:lang w:eastAsia="zh-CN"/>
              </w:rPr>
              <w:t>.</w:t>
            </w:r>
          </w:p>
        </w:tc>
        <w:tc>
          <w:tcPr>
            <w:tcW w:w="1864"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p>
        </w:tc>
        <w:tc>
          <w:tcPr>
            <w:tcW w:w="1863" w:type="dxa"/>
            <w:tcBorders>
              <w:top w:val="single" w:sz="4" w:space="0" w:color="auto"/>
              <w:left w:val="nil"/>
              <w:bottom w:val="single" w:sz="4" w:space="0" w:color="auto"/>
              <w:right w:val="nil"/>
            </w:tcBorders>
            <w:shd w:val="clear" w:color="000000" w:fill="DDEBF7"/>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 </w:t>
            </w:r>
          </w:p>
        </w:tc>
        <w:tc>
          <w:tcPr>
            <w:tcW w:w="1863"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 </w:t>
            </w:r>
          </w:p>
        </w:tc>
        <w:tc>
          <w:tcPr>
            <w:tcW w:w="1210" w:type="dxa"/>
            <w:tcBorders>
              <w:top w:val="single" w:sz="4" w:space="0" w:color="auto"/>
              <w:left w:val="nil"/>
              <w:bottom w:val="single" w:sz="4" w:space="0" w:color="auto"/>
              <w:right w:val="dotted" w:sz="4" w:space="0" w:color="auto"/>
            </w:tcBorders>
            <w:shd w:val="clear" w:color="000000" w:fill="DDEBF7"/>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p>
        </w:tc>
      </w:tr>
      <w:tr w:rsidR="00EC2F5D" w:rsidRPr="00283CC7" w:rsidTr="002918F0">
        <w:trPr>
          <w:trHeight w:val="864"/>
        </w:trPr>
        <w:tc>
          <w:tcPr>
            <w:tcW w:w="620" w:type="dxa"/>
            <w:tcBorders>
              <w:top w:val="nil"/>
              <w:left w:val="nil"/>
              <w:bottom w:val="nil"/>
              <w:right w:val="nil"/>
            </w:tcBorders>
            <w:shd w:val="clear" w:color="000000" w:fill="C6E0B4"/>
            <w:noWrap/>
            <w:vAlign w:val="center"/>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4</w:t>
            </w:r>
          </w:p>
        </w:tc>
        <w:tc>
          <w:tcPr>
            <w:tcW w:w="6480" w:type="dxa"/>
            <w:tcBorders>
              <w:top w:val="nil"/>
              <w:left w:val="nil"/>
              <w:bottom w:val="nil"/>
              <w:right w:val="nil"/>
            </w:tcBorders>
            <w:shd w:val="clear" w:color="000000" w:fill="C6E0B4"/>
            <w:vAlign w:val="center"/>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Maximum coordination with regional organizations with a view to organizing collocated events/meetings/conferences, sharing the expenses and minimizing the costs of participation</w:t>
            </w:r>
            <w:r>
              <w:rPr>
                <w:color w:val="000000"/>
                <w:sz w:val="22"/>
                <w:szCs w:val="22"/>
                <w:lang w:eastAsia="zh-CN"/>
              </w:rPr>
              <w:t>.</w:t>
            </w:r>
          </w:p>
        </w:tc>
        <w:tc>
          <w:tcPr>
            <w:tcW w:w="1864" w:type="dxa"/>
            <w:tcBorders>
              <w:top w:val="nil"/>
              <w:left w:val="dotted" w:sz="4" w:space="0" w:color="auto"/>
              <w:bottom w:val="nil"/>
              <w:right w:val="dotted" w:sz="4" w:space="0" w:color="auto"/>
            </w:tcBorders>
            <w:shd w:val="clear" w:color="000000" w:fill="C6E0B4"/>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30</w:t>
            </w:r>
          </w:p>
        </w:tc>
        <w:tc>
          <w:tcPr>
            <w:tcW w:w="1863" w:type="dxa"/>
            <w:tcBorders>
              <w:top w:val="nil"/>
              <w:left w:val="nil"/>
              <w:bottom w:val="nil"/>
              <w:right w:val="nil"/>
            </w:tcBorders>
            <w:shd w:val="clear" w:color="000000" w:fill="C6E0B4"/>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 </w:t>
            </w:r>
          </w:p>
        </w:tc>
        <w:tc>
          <w:tcPr>
            <w:tcW w:w="1863" w:type="dxa"/>
            <w:tcBorders>
              <w:top w:val="nil"/>
              <w:left w:val="dotted" w:sz="4" w:space="0" w:color="auto"/>
              <w:bottom w:val="nil"/>
              <w:right w:val="dotted" w:sz="4" w:space="0" w:color="auto"/>
            </w:tcBorders>
            <w:shd w:val="clear" w:color="000000" w:fill="C6E0B4"/>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 </w:t>
            </w:r>
          </w:p>
        </w:tc>
        <w:tc>
          <w:tcPr>
            <w:tcW w:w="1210" w:type="dxa"/>
            <w:tcBorders>
              <w:top w:val="nil"/>
              <w:left w:val="nil"/>
              <w:bottom w:val="nil"/>
              <w:right w:val="dotted" w:sz="4" w:space="0" w:color="auto"/>
            </w:tcBorders>
            <w:shd w:val="clear" w:color="000000" w:fill="C6E0B4"/>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30</w:t>
            </w:r>
          </w:p>
        </w:tc>
      </w:tr>
      <w:tr w:rsidR="00EC2F5D" w:rsidRPr="00283CC7" w:rsidTr="002918F0">
        <w:trPr>
          <w:trHeight w:val="1152"/>
        </w:trPr>
        <w:tc>
          <w:tcPr>
            <w:tcW w:w="620" w:type="dxa"/>
            <w:tcBorders>
              <w:top w:val="single" w:sz="4" w:space="0" w:color="auto"/>
              <w:left w:val="nil"/>
              <w:bottom w:val="single" w:sz="4" w:space="0" w:color="auto"/>
              <w:right w:val="nil"/>
            </w:tcBorders>
            <w:shd w:val="clear" w:color="000000" w:fill="DDEBF7"/>
            <w:noWrap/>
            <w:vAlign w:val="center"/>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5</w:t>
            </w:r>
          </w:p>
        </w:tc>
        <w:tc>
          <w:tcPr>
            <w:tcW w:w="6480" w:type="dxa"/>
            <w:tcBorders>
              <w:top w:val="single" w:sz="4" w:space="0" w:color="auto"/>
              <w:left w:val="nil"/>
              <w:bottom w:val="single" w:sz="4" w:space="0" w:color="auto"/>
              <w:right w:val="nil"/>
            </w:tcBorders>
            <w:shd w:val="clear" w:color="000000" w:fill="DDEBF7"/>
            <w:vAlign w:val="center"/>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Savings from attrition, redeployment of staff and review and possible reduction of grades of vacant posts, in particular in non-sensitive parts of the General Secretariat and the three Bureaux, in order to reach optimal levels of productivity, efficiency, and effectiveness</w:t>
            </w:r>
            <w:r>
              <w:rPr>
                <w:color w:val="000000"/>
                <w:sz w:val="22"/>
                <w:szCs w:val="22"/>
                <w:lang w:eastAsia="zh-CN"/>
              </w:rPr>
              <w:t>.</w:t>
            </w:r>
          </w:p>
        </w:tc>
        <w:tc>
          <w:tcPr>
            <w:tcW w:w="1864"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12,012</w:t>
            </w:r>
          </w:p>
        </w:tc>
        <w:tc>
          <w:tcPr>
            <w:tcW w:w="1863" w:type="dxa"/>
            <w:tcBorders>
              <w:top w:val="single" w:sz="4" w:space="0" w:color="auto"/>
              <w:left w:val="nil"/>
              <w:bottom w:val="single" w:sz="4" w:space="0" w:color="auto"/>
              <w:right w:val="nil"/>
            </w:tcBorders>
            <w:shd w:val="clear" w:color="000000" w:fill="DDEBF7"/>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10,518</w:t>
            </w:r>
          </w:p>
        </w:tc>
        <w:tc>
          <w:tcPr>
            <w:tcW w:w="1863"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11,289</w:t>
            </w:r>
          </w:p>
        </w:tc>
        <w:tc>
          <w:tcPr>
            <w:tcW w:w="1210" w:type="dxa"/>
            <w:tcBorders>
              <w:top w:val="single" w:sz="4" w:space="0" w:color="auto"/>
              <w:left w:val="nil"/>
              <w:bottom w:val="single" w:sz="4" w:space="0" w:color="auto"/>
              <w:right w:val="dotted" w:sz="4" w:space="0" w:color="auto"/>
            </w:tcBorders>
            <w:shd w:val="clear" w:color="000000" w:fill="DDEBF7"/>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33,819</w:t>
            </w:r>
          </w:p>
        </w:tc>
      </w:tr>
      <w:tr w:rsidR="00EC2F5D" w:rsidRPr="00283CC7" w:rsidTr="002918F0">
        <w:trPr>
          <w:trHeight w:val="864"/>
        </w:trPr>
        <w:tc>
          <w:tcPr>
            <w:tcW w:w="620" w:type="dxa"/>
            <w:tcBorders>
              <w:top w:val="nil"/>
              <w:left w:val="nil"/>
              <w:bottom w:val="nil"/>
              <w:right w:val="nil"/>
            </w:tcBorders>
            <w:shd w:val="clear" w:color="000000" w:fill="C6E0B4"/>
            <w:noWrap/>
            <w:vAlign w:val="center"/>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6</w:t>
            </w:r>
          </w:p>
        </w:tc>
        <w:tc>
          <w:tcPr>
            <w:tcW w:w="6480" w:type="dxa"/>
            <w:tcBorders>
              <w:top w:val="nil"/>
              <w:left w:val="nil"/>
              <w:bottom w:val="nil"/>
              <w:right w:val="nil"/>
            </w:tcBorders>
            <w:shd w:val="clear" w:color="000000" w:fill="C6E0B4"/>
            <w:vAlign w:val="center"/>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Prioritize staff redeployment for the implementation of new or additional activities. New hiring should be the last option, while taking into account gender balance and geographical distribution</w:t>
            </w:r>
            <w:r>
              <w:rPr>
                <w:color w:val="000000"/>
                <w:sz w:val="22"/>
                <w:szCs w:val="22"/>
                <w:lang w:eastAsia="zh-CN"/>
              </w:rPr>
              <w:t>.</w:t>
            </w:r>
          </w:p>
        </w:tc>
        <w:tc>
          <w:tcPr>
            <w:tcW w:w="1864" w:type="dxa"/>
            <w:tcBorders>
              <w:top w:val="nil"/>
              <w:left w:val="dotted" w:sz="4" w:space="0" w:color="auto"/>
              <w:bottom w:val="nil"/>
              <w:right w:val="dotted" w:sz="4" w:space="0" w:color="auto"/>
            </w:tcBorders>
            <w:shd w:val="clear" w:color="000000" w:fill="C6E0B4"/>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1,259</w:t>
            </w:r>
          </w:p>
        </w:tc>
        <w:tc>
          <w:tcPr>
            <w:tcW w:w="1863" w:type="dxa"/>
            <w:tcBorders>
              <w:top w:val="nil"/>
              <w:left w:val="nil"/>
              <w:bottom w:val="nil"/>
              <w:right w:val="nil"/>
            </w:tcBorders>
            <w:shd w:val="clear" w:color="000000" w:fill="C6E0B4"/>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356</w:t>
            </w:r>
          </w:p>
        </w:tc>
        <w:tc>
          <w:tcPr>
            <w:tcW w:w="1863" w:type="dxa"/>
            <w:tcBorders>
              <w:top w:val="nil"/>
              <w:left w:val="dotted" w:sz="4" w:space="0" w:color="auto"/>
              <w:bottom w:val="nil"/>
              <w:right w:val="dotted" w:sz="4" w:space="0" w:color="auto"/>
            </w:tcBorders>
            <w:shd w:val="clear" w:color="000000" w:fill="C6E0B4"/>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 </w:t>
            </w:r>
          </w:p>
        </w:tc>
        <w:tc>
          <w:tcPr>
            <w:tcW w:w="1210" w:type="dxa"/>
            <w:tcBorders>
              <w:top w:val="nil"/>
              <w:left w:val="nil"/>
              <w:bottom w:val="nil"/>
              <w:right w:val="dotted" w:sz="4" w:space="0" w:color="auto"/>
            </w:tcBorders>
            <w:shd w:val="clear" w:color="000000" w:fill="C6E0B4"/>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1,615</w:t>
            </w:r>
          </w:p>
        </w:tc>
      </w:tr>
    </w:tbl>
    <w:p w:rsidR="00EC2F5D" w:rsidRDefault="00EC2F5D" w:rsidP="00EC2F5D">
      <w:pPr>
        <w:tabs>
          <w:tab w:val="clear" w:pos="567"/>
          <w:tab w:val="clear" w:pos="1134"/>
          <w:tab w:val="clear" w:pos="1701"/>
          <w:tab w:val="clear" w:pos="2268"/>
          <w:tab w:val="clear" w:pos="2835"/>
        </w:tabs>
        <w:overflowPunct/>
        <w:autoSpaceDE/>
        <w:autoSpaceDN/>
        <w:adjustRightInd/>
        <w:spacing w:before="0"/>
        <w:textAlignment w:val="auto"/>
        <w:rPr>
          <w:szCs w:val="24"/>
          <w:lang w:val="en-US"/>
        </w:rPr>
      </w:pPr>
      <w:r>
        <w:rPr>
          <w:szCs w:val="24"/>
          <w:lang w:val="en-US"/>
        </w:rPr>
        <w:br w:type="page"/>
      </w:r>
    </w:p>
    <w:tbl>
      <w:tblPr>
        <w:tblW w:w="13901" w:type="dxa"/>
        <w:tblLook w:val="04A0" w:firstRow="1" w:lastRow="0" w:firstColumn="1" w:lastColumn="0" w:noHBand="0" w:noVBand="1"/>
      </w:tblPr>
      <w:tblGrid>
        <w:gridCol w:w="620"/>
        <w:gridCol w:w="6480"/>
        <w:gridCol w:w="1700"/>
        <w:gridCol w:w="1700"/>
        <w:gridCol w:w="1700"/>
        <w:gridCol w:w="1701"/>
      </w:tblGrid>
      <w:tr w:rsidR="00EC2F5D" w:rsidRPr="00283CC7" w:rsidTr="002918F0">
        <w:trPr>
          <w:trHeight w:val="288"/>
        </w:trPr>
        <w:tc>
          <w:tcPr>
            <w:tcW w:w="620" w:type="dxa"/>
            <w:tcBorders>
              <w:top w:val="nil"/>
              <w:left w:val="nil"/>
              <w:bottom w:val="nil"/>
              <w:right w:val="nil"/>
            </w:tcBorders>
            <w:shd w:val="clear" w:color="auto" w:fill="8DB3E2" w:themeFill="text2" w:themeFillTint="66"/>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szCs w:val="24"/>
                <w:lang w:eastAsia="zh-CN"/>
              </w:rPr>
            </w:pPr>
          </w:p>
        </w:tc>
        <w:tc>
          <w:tcPr>
            <w:tcW w:w="6480" w:type="dxa"/>
            <w:tcBorders>
              <w:top w:val="nil"/>
              <w:left w:val="nil"/>
              <w:bottom w:val="nil"/>
              <w:right w:val="nil"/>
            </w:tcBorders>
            <w:shd w:val="clear" w:color="auto" w:fill="8DB3E2" w:themeFill="text2" w:themeFillTint="66"/>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6801" w:type="dxa"/>
            <w:gridSpan w:val="4"/>
            <w:tcBorders>
              <w:top w:val="nil"/>
              <w:left w:val="nil"/>
              <w:bottom w:val="nil"/>
              <w:right w:val="nil"/>
            </w:tcBorders>
            <w:shd w:val="clear" w:color="auto" w:fill="8DB3E2" w:themeFill="text2" w:themeFillTint="66"/>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jc w:val="center"/>
              <w:textAlignment w:val="auto"/>
              <w:rPr>
                <w:i/>
                <w:iCs/>
                <w:color w:val="000000"/>
                <w:sz w:val="18"/>
                <w:szCs w:val="18"/>
                <w:lang w:eastAsia="zh-CN"/>
              </w:rPr>
            </w:pPr>
            <w:r w:rsidRPr="00283CC7">
              <w:rPr>
                <w:i/>
                <w:iCs/>
                <w:color w:val="000000"/>
                <w:sz w:val="18"/>
                <w:szCs w:val="18"/>
                <w:lang w:eastAsia="zh-CN"/>
              </w:rPr>
              <w:t>KCHF</w:t>
            </w:r>
          </w:p>
        </w:tc>
      </w:tr>
      <w:tr w:rsidR="00EC2F5D" w:rsidTr="002918F0">
        <w:trPr>
          <w:trHeight w:val="272"/>
        </w:trPr>
        <w:tc>
          <w:tcPr>
            <w:tcW w:w="620" w:type="dxa"/>
            <w:tcBorders>
              <w:top w:val="nil"/>
              <w:left w:val="nil"/>
              <w:bottom w:val="nil"/>
              <w:right w:val="nil"/>
            </w:tcBorders>
            <w:shd w:val="clear" w:color="auto" w:fill="8DB3E2" w:themeFill="text2" w:themeFillTint="66"/>
            <w:noWrap/>
            <w:vAlign w:val="center"/>
          </w:tcPr>
          <w:p w:rsidR="00EC2F5D" w:rsidRDefault="00EC2F5D" w:rsidP="002918F0">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eastAsia="zh-CN"/>
              </w:rPr>
            </w:pPr>
          </w:p>
        </w:tc>
        <w:tc>
          <w:tcPr>
            <w:tcW w:w="6480" w:type="dxa"/>
            <w:tcBorders>
              <w:top w:val="nil"/>
              <w:left w:val="nil"/>
              <w:bottom w:val="nil"/>
              <w:right w:val="nil"/>
            </w:tcBorders>
            <w:shd w:val="clear" w:color="auto" w:fill="8DB3E2" w:themeFill="text2" w:themeFillTint="66"/>
            <w:vAlign w:val="center"/>
          </w:tcPr>
          <w:p w:rsidR="00EC2F5D" w:rsidRDefault="00EC2F5D" w:rsidP="002918F0">
            <w:pPr>
              <w:jc w:val="center"/>
              <w:rPr>
                <w:color w:val="000000"/>
                <w:sz w:val="22"/>
                <w:szCs w:val="22"/>
              </w:rPr>
            </w:pPr>
            <w:r w:rsidRPr="00283CC7">
              <w:rPr>
                <w:color w:val="000000"/>
                <w:sz w:val="22"/>
                <w:szCs w:val="22"/>
                <w:lang w:eastAsia="zh-CN"/>
              </w:rPr>
              <w:t>Efficiency measures</w:t>
            </w:r>
            <w:r>
              <w:rPr>
                <w:color w:val="000000"/>
                <w:sz w:val="22"/>
                <w:szCs w:val="22"/>
                <w:lang w:eastAsia="zh-CN"/>
              </w:rPr>
              <w:t xml:space="preserve"> (PP14 Decision 5 – Annex 2)</w:t>
            </w:r>
          </w:p>
        </w:tc>
        <w:tc>
          <w:tcPr>
            <w:tcW w:w="1700" w:type="dxa"/>
            <w:tcBorders>
              <w:top w:val="nil"/>
              <w:left w:val="dotted" w:sz="4" w:space="0" w:color="auto"/>
              <w:bottom w:val="nil"/>
              <w:right w:val="dotted" w:sz="4" w:space="0" w:color="auto"/>
            </w:tcBorders>
            <w:shd w:val="clear" w:color="auto" w:fill="8DB3E2" w:themeFill="text2" w:themeFillTint="66"/>
            <w:noWrap/>
            <w:vAlign w:val="bottom"/>
          </w:tcPr>
          <w:p w:rsidR="00EC2F5D" w:rsidRDefault="00EC2F5D" w:rsidP="002918F0">
            <w:pPr>
              <w:jc w:val="center"/>
              <w:rPr>
                <w:color w:val="000000"/>
                <w:sz w:val="22"/>
                <w:szCs w:val="22"/>
              </w:rPr>
            </w:pPr>
            <w:r w:rsidRPr="00283CC7">
              <w:rPr>
                <w:color w:val="000000"/>
                <w:sz w:val="22"/>
                <w:szCs w:val="22"/>
                <w:lang w:eastAsia="zh-CN"/>
              </w:rPr>
              <w:t>2014-2015</w:t>
            </w:r>
          </w:p>
        </w:tc>
        <w:tc>
          <w:tcPr>
            <w:tcW w:w="1700" w:type="dxa"/>
            <w:tcBorders>
              <w:top w:val="nil"/>
              <w:left w:val="nil"/>
              <w:bottom w:val="nil"/>
              <w:right w:val="nil"/>
            </w:tcBorders>
            <w:shd w:val="clear" w:color="auto" w:fill="8DB3E2" w:themeFill="text2" w:themeFillTint="66"/>
            <w:noWrap/>
            <w:vAlign w:val="bottom"/>
          </w:tcPr>
          <w:p w:rsidR="00EC2F5D" w:rsidRDefault="00EC2F5D" w:rsidP="002918F0">
            <w:pPr>
              <w:jc w:val="center"/>
              <w:rPr>
                <w:color w:val="000000"/>
                <w:sz w:val="22"/>
                <w:szCs w:val="22"/>
              </w:rPr>
            </w:pPr>
            <w:r w:rsidRPr="00283CC7">
              <w:rPr>
                <w:color w:val="000000"/>
                <w:sz w:val="22"/>
                <w:szCs w:val="22"/>
                <w:lang w:eastAsia="zh-CN"/>
              </w:rPr>
              <w:t>2016-2017</w:t>
            </w:r>
          </w:p>
        </w:tc>
        <w:tc>
          <w:tcPr>
            <w:tcW w:w="1700" w:type="dxa"/>
            <w:tcBorders>
              <w:top w:val="nil"/>
              <w:left w:val="dotted" w:sz="4" w:space="0" w:color="auto"/>
              <w:bottom w:val="nil"/>
              <w:right w:val="dotted" w:sz="4" w:space="0" w:color="auto"/>
            </w:tcBorders>
            <w:shd w:val="clear" w:color="auto" w:fill="8DB3E2" w:themeFill="text2" w:themeFillTint="66"/>
            <w:noWrap/>
            <w:vAlign w:val="bottom"/>
          </w:tcPr>
          <w:p w:rsidR="00EC2F5D" w:rsidRDefault="00EC2F5D" w:rsidP="002918F0">
            <w:pPr>
              <w:jc w:val="center"/>
              <w:rPr>
                <w:color w:val="000000"/>
                <w:sz w:val="22"/>
                <w:szCs w:val="22"/>
              </w:rPr>
            </w:pPr>
            <w:r w:rsidRPr="00283CC7">
              <w:rPr>
                <w:color w:val="000000"/>
                <w:sz w:val="22"/>
                <w:szCs w:val="22"/>
                <w:lang w:eastAsia="zh-CN"/>
              </w:rPr>
              <w:t>2018-2019</w:t>
            </w:r>
          </w:p>
        </w:tc>
        <w:tc>
          <w:tcPr>
            <w:tcW w:w="1701" w:type="dxa"/>
            <w:tcBorders>
              <w:top w:val="nil"/>
              <w:left w:val="nil"/>
              <w:bottom w:val="nil"/>
              <w:right w:val="dotted" w:sz="4" w:space="0" w:color="auto"/>
            </w:tcBorders>
            <w:shd w:val="clear" w:color="auto" w:fill="8DB3E2" w:themeFill="text2" w:themeFillTint="66"/>
            <w:noWrap/>
            <w:vAlign w:val="bottom"/>
          </w:tcPr>
          <w:p w:rsidR="00EC2F5D" w:rsidRDefault="00EC2F5D" w:rsidP="002918F0">
            <w:pPr>
              <w:jc w:val="center"/>
              <w:rPr>
                <w:color w:val="000000"/>
                <w:sz w:val="22"/>
                <w:szCs w:val="22"/>
              </w:rPr>
            </w:pPr>
            <w:r w:rsidRPr="00283CC7">
              <w:rPr>
                <w:color w:val="000000"/>
                <w:sz w:val="22"/>
                <w:szCs w:val="22"/>
                <w:lang w:eastAsia="zh-CN"/>
              </w:rPr>
              <w:t>Total</w:t>
            </w:r>
          </w:p>
        </w:tc>
      </w:tr>
      <w:tr w:rsidR="00EC2F5D" w:rsidTr="002918F0">
        <w:trPr>
          <w:trHeight w:val="864"/>
        </w:trPr>
        <w:tc>
          <w:tcPr>
            <w:tcW w:w="620" w:type="dxa"/>
            <w:tcBorders>
              <w:top w:val="single" w:sz="4" w:space="0" w:color="auto"/>
              <w:left w:val="nil"/>
              <w:bottom w:val="single" w:sz="4" w:space="0" w:color="auto"/>
              <w:right w:val="nil"/>
            </w:tcBorders>
            <w:shd w:val="clear" w:color="000000" w:fill="DDEBF7"/>
            <w:noWrap/>
            <w:vAlign w:val="center"/>
            <w:hideMark/>
          </w:tcPr>
          <w:p w:rsidR="00EC2F5D" w:rsidRDefault="00EC2F5D" w:rsidP="002918F0">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Pr>
                <w:color w:val="000000"/>
                <w:sz w:val="22"/>
                <w:szCs w:val="22"/>
              </w:rPr>
              <w:t>7</w:t>
            </w:r>
          </w:p>
        </w:tc>
        <w:tc>
          <w:tcPr>
            <w:tcW w:w="6480" w:type="dxa"/>
            <w:tcBorders>
              <w:top w:val="single" w:sz="4" w:space="0" w:color="auto"/>
              <w:left w:val="nil"/>
              <w:bottom w:val="single" w:sz="4" w:space="0" w:color="auto"/>
              <w:right w:val="nil"/>
            </w:tcBorders>
            <w:shd w:val="clear" w:color="000000" w:fill="DDEBF7"/>
            <w:vAlign w:val="center"/>
            <w:hideMark/>
          </w:tcPr>
          <w:p w:rsidR="00EC2F5D" w:rsidRDefault="00EC2F5D" w:rsidP="002918F0">
            <w:pPr>
              <w:rPr>
                <w:color w:val="000000"/>
                <w:sz w:val="22"/>
                <w:szCs w:val="22"/>
              </w:rPr>
            </w:pPr>
            <w:r>
              <w:rPr>
                <w:color w:val="000000"/>
                <w:sz w:val="22"/>
                <w:szCs w:val="22"/>
              </w:rPr>
              <w:t>The use of consultants should only occur when the relevant skills or experience cannot be found among existing staff and after confirmation of this requirement in writing by senior management.</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EC2F5D" w:rsidRDefault="00EC2F5D" w:rsidP="002918F0">
            <w:pPr>
              <w:jc w:val="right"/>
              <w:rPr>
                <w:color w:val="000000"/>
                <w:sz w:val="22"/>
                <w:szCs w:val="22"/>
              </w:rPr>
            </w:pPr>
            <w:r>
              <w:rPr>
                <w:color w:val="000000"/>
                <w:sz w:val="22"/>
                <w:szCs w:val="22"/>
              </w:rPr>
              <w:t>40</w:t>
            </w:r>
          </w:p>
        </w:tc>
        <w:tc>
          <w:tcPr>
            <w:tcW w:w="1700" w:type="dxa"/>
            <w:tcBorders>
              <w:top w:val="single" w:sz="4" w:space="0" w:color="auto"/>
              <w:left w:val="nil"/>
              <w:bottom w:val="single" w:sz="4" w:space="0" w:color="auto"/>
              <w:right w:val="nil"/>
            </w:tcBorders>
            <w:shd w:val="clear" w:color="000000" w:fill="DDEBF7"/>
            <w:noWrap/>
            <w:vAlign w:val="bottom"/>
            <w:hideMark/>
          </w:tcPr>
          <w:p w:rsidR="00EC2F5D" w:rsidRDefault="00EC2F5D" w:rsidP="002918F0">
            <w:pPr>
              <w:jc w:val="right"/>
              <w:rPr>
                <w:color w:val="000000"/>
                <w:sz w:val="22"/>
                <w:szCs w:val="22"/>
              </w:rPr>
            </w:pPr>
            <w:r>
              <w:rPr>
                <w:color w:val="000000"/>
                <w:sz w:val="22"/>
                <w:szCs w:val="22"/>
              </w:rPr>
              <w:t>267</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EC2F5D" w:rsidRDefault="00EC2F5D" w:rsidP="002918F0">
            <w:pPr>
              <w:rPr>
                <w:color w:val="000000"/>
                <w:sz w:val="22"/>
                <w:szCs w:val="22"/>
              </w:rPr>
            </w:pPr>
            <w:r>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EC2F5D" w:rsidRDefault="00EC2F5D" w:rsidP="002918F0">
            <w:pPr>
              <w:jc w:val="right"/>
              <w:rPr>
                <w:color w:val="000000"/>
                <w:sz w:val="22"/>
                <w:szCs w:val="22"/>
              </w:rPr>
            </w:pPr>
            <w:r>
              <w:rPr>
                <w:color w:val="000000"/>
                <w:sz w:val="22"/>
                <w:szCs w:val="22"/>
              </w:rPr>
              <w:t>307</w:t>
            </w:r>
          </w:p>
        </w:tc>
      </w:tr>
      <w:tr w:rsidR="00EC2F5D" w:rsidTr="002918F0">
        <w:trPr>
          <w:trHeight w:val="1152"/>
        </w:trPr>
        <w:tc>
          <w:tcPr>
            <w:tcW w:w="620" w:type="dxa"/>
            <w:tcBorders>
              <w:top w:val="nil"/>
              <w:left w:val="nil"/>
              <w:bottom w:val="nil"/>
              <w:right w:val="nil"/>
            </w:tcBorders>
            <w:shd w:val="clear" w:color="000000" w:fill="C6E0B4"/>
            <w:noWrap/>
            <w:vAlign w:val="center"/>
            <w:hideMark/>
          </w:tcPr>
          <w:p w:rsidR="00EC2F5D" w:rsidRDefault="00EC2F5D" w:rsidP="002918F0">
            <w:pPr>
              <w:rPr>
                <w:color w:val="000000"/>
                <w:sz w:val="22"/>
                <w:szCs w:val="22"/>
              </w:rPr>
            </w:pPr>
            <w:r>
              <w:rPr>
                <w:color w:val="000000"/>
                <w:sz w:val="22"/>
                <w:szCs w:val="22"/>
              </w:rPr>
              <w:t>8</w:t>
            </w:r>
          </w:p>
        </w:tc>
        <w:tc>
          <w:tcPr>
            <w:tcW w:w="6480" w:type="dxa"/>
            <w:tcBorders>
              <w:top w:val="nil"/>
              <w:left w:val="nil"/>
              <w:bottom w:val="nil"/>
              <w:right w:val="nil"/>
            </w:tcBorders>
            <w:shd w:val="clear" w:color="000000" w:fill="C6E0B4"/>
            <w:vAlign w:val="center"/>
            <w:hideMark/>
          </w:tcPr>
          <w:p w:rsidR="00EC2F5D" w:rsidRDefault="00EC2F5D" w:rsidP="002918F0">
            <w:pPr>
              <w:rPr>
                <w:color w:val="000000"/>
                <w:sz w:val="22"/>
                <w:szCs w:val="22"/>
              </w:rPr>
            </w:pPr>
            <w:r>
              <w:rPr>
                <w:color w:val="000000"/>
                <w:sz w:val="22"/>
                <w:szCs w:val="22"/>
              </w:rPr>
              <w:t>Upgrading the capacity-building policy to qualify the staff, including staff in regional offices, for multi-sector proficiency, in order to improve staff mobility and their flexibility for redeployment to new or additional activities.</w:t>
            </w:r>
          </w:p>
        </w:tc>
        <w:tc>
          <w:tcPr>
            <w:tcW w:w="1700" w:type="dxa"/>
            <w:tcBorders>
              <w:top w:val="nil"/>
              <w:left w:val="dotted" w:sz="4" w:space="0" w:color="auto"/>
              <w:bottom w:val="nil"/>
              <w:right w:val="dotted" w:sz="4" w:space="0" w:color="auto"/>
            </w:tcBorders>
            <w:shd w:val="clear" w:color="000000" w:fill="C6E0B4"/>
            <w:noWrap/>
            <w:vAlign w:val="bottom"/>
            <w:hideMark/>
          </w:tcPr>
          <w:p w:rsidR="00EC2F5D" w:rsidRDefault="00EC2F5D" w:rsidP="002918F0">
            <w:pPr>
              <w:jc w:val="right"/>
              <w:rPr>
                <w:color w:val="000000"/>
                <w:sz w:val="22"/>
                <w:szCs w:val="22"/>
              </w:rPr>
            </w:pPr>
            <w:r>
              <w:rPr>
                <w:color w:val="000000"/>
                <w:sz w:val="22"/>
                <w:szCs w:val="22"/>
              </w:rPr>
              <w:t>30</w:t>
            </w:r>
          </w:p>
        </w:tc>
        <w:tc>
          <w:tcPr>
            <w:tcW w:w="1700" w:type="dxa"/>
            <w:tcBorders>
              <w:top w:val="nil"/>
              <w:left w:val="nil"/>
              <w:bottom w:val="nil"/>
              <w:right w:val="nil"/>
            </w:tcBorders>
            <w:shd w:val="clear" w:color="000000" w:fill="C6E0B4"/>
            <w:noWrap/>
            <w:vAlign w:val="bottom"/>
            <w:hideMark/>
          </w:tcPr>
          <w:p w:rsidR="00EC2F5D" w:rsidRDefault="00EC2F5D" w:rsidP="002918F0">
            <w:pPr>
              <w:rPr>
                <w:color w:val="000000"/>
                <w:sz w:val="22"/>
                <w:szCs w:val="22"/>
              </w:rPr>
            </w:pPr>
            <w:r>
              <w:rPr>
                <w:color w:val="000000"/>
                <w:sz w:val="22"/>
                <w:szCs w:val="22"/>
              </w:rPr>
              <w:t> </w:t>
            </w:r>
          </w:p>
        </w:tc>
        <w:tc>
          <w:tcPr>
            <w:tcW w:w="1700" w:type="dxa"/>
            <w:tcBorders>
              <w:top w:val="nil"/>
              <w:left w:val="dotted" w:sz="4" w:space="0" w:color="auto"/>
              <w:bottom w:val="nil"/>
              <w:right w:val="dotted" w:sz="4" w:space="0" w:color="auto"/>
            </w:tcBorders>
            <w:shd w:val="clear" w:color="000000" w:fill="C6E0B4"/>
            <w:noWrap/>
            <w:vAlign w:val="bottom"/>
            <w:hideMark/>
          </w:tcPr>
          <w:p w:rsidR="00EC2F5D" w:rsidRDefault="00EC2F5D" w:rsidP="002918F0">
            <w:pPr>
              <w:rPr>
                <w:color w:val="000000"/>
                <w:sz w:val="22"/>
                <w:szCs w:val="22"/>
              </w:rPr>
            </w:pPr>
            <w:r>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rsidR="00EC2F5D" w:rsidRDefault="00EC2F5D" w:rsidP="002918F0">
            <w:pPr>
              <w:jc w:val="right"/>
              <w:rPr>
                <w:color w:val="000000"/>
                <w:sz w:val="22"/>
                <w:szCs w:val="22"/>
              </w:rPr>
            </w:pPr>
            <w:r>
              <w:rPr>
                <w:color w:val="000000"/>
                <w:sz w:val="22"/>
                <w:szCs w:val="22"/>
              </w:rPr>
              <w:t>30</w:t>
            </w:r>
          </w:p>
        </w:tc>
      </w:tr>
      <w:tr w:rsidR="00EC2F5D" w:rsidTr="002918F0">
        <w:trPr>
          <w:trHeight w:val="1152"/>
        </w:trPr>
        <w:tc>
          <w:tcPr>
            <w:tcW w:w="620" w:type="dxa"/>
            <w:tcBorders>
              <w:top w:val="single" w:sz="4" w:space="0" w:color="auto"/>
              <w:left w:val="nil"/>
              <w:bottom w:val="single" w:sz="4" w:space="0" w:color="auto"/>
              <w:right w:val="nil"/>
            </w:tcBorders>
            <w:shd w:val="clear" w:color="000000" w:fill="DDEBF7"/>
            <w:noWrap/>
            <w:vAlign w:val="center"/>
            <w:hideMark/>
          </w:tcPr>
          <w:p w:rsidR="00EC2F5D" w:rsidRDefault="00EC2F5D" w:rsidP="002918F0">
            <w:pPr>
              <w:rPr>
                <w:color w:val="000000"/>
                <w:sz w:val="22"/>
                <w:szCs w:val="22"/>
              </w:rPr>
            </w:pPr>
            <w:r>
              <w:rPr>
                <w:color w:val="000000"/>
                <w:sz w:val="22"/>
                <w:szCs w:val="22"/>
              </w:rPr>
              <w:t>9</w:t>
            </w:r>
          </w:p>
        </w:tc>
        <w:tc>
          <w:tcPr>
            <w:tcW w:w="6480" w:type="dxa"/>
            <w:tcBorders>
              <w:top w:val="single" w:sz="4" w:space="0" w:color="auto"/>
              <w:left w:val="nil"/>
              <w:bottom w:val="single" w:sz="4" w:space="0" w:color="auto"/>
              <w:right w:val="nil"/>
            </w:tcBorders>
            <w:shd w:val="clear" w:color="000000" w:fill="DDEBF7"/>
            <w:vAlign w:val="center"/>
            <w:hideMark/>
          </w:tcPr>
          <w:p w:rsidR="00EC2F5D" w:rsidRDefault="00EC2F5D" w:rsidP="002918F0">
            <w:pPr>
              <w:rPr>
                <w:color w:val="000000"/>
                <w:sz w:val="22"/>
                <w:szCs w:val="22"/>
              </w:rPr>
            </w:pPr>
            <w:r>
              <w:rPr>
                <w:color w:val="000000"/>
                <w:sz w:val="22"/>
                <w:szCs w:val="22"/>
              </w:rPr>
              <w:t>The General Secretariat and the three Sectors of the Union should reduce the cost of documentation of conferences and meetings by conducting paperless events/meetings/ conferences and fostering the adoption of ICTs as viable and most sustainable substitutes for paper.</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EC2F5D" w:rsidRDefault="00EC2F5D" w:rsidP="002918F0">
            <w:pPr>
              <w:jc w:val="right"/>
              <w:rPr>
                <w:color w:val="000000"/>
                <w:sz w:val="22"/>
                <w:szCs w:val="22"/>
              </w:rPr>
            </w:pPr>
            <w:r>
              <w:rPr>
                <w:color w:val="000000"/>
                <w:sz w:val="22"/>
                <w:szCs w:val="22"/>
              </w:rPr>
              <w:t>1,834</w:t>
            </w:r>
          </w:p>
        </w:tc>
        <w:tc>
          <w:tcPr>
            <w:tcW w:w="1700" w:type="dxa"/>
            <w:tcBorders>
              <w:top w:val="single" w:sz="4" w:space="0" w:color="auto"/>
              <w:left w:val="nil"/>
              <w:bottom w:val="single" w:sz="4" w:space="0" w:color="auto"/>
              <w:right w:val="nil"/>
            </w:tcBorders>
            <w:shd w:val="clear" w:color="000000" w:fill="DDEBF7"/>
            <w:noWrap/>
            <w:vAlign w:val="bottom"/>
            <w:hideMark/>
          </w:tcPr>
          <w:p w:rsidR="00EC2F5D" w:rsidRDefault="00EC2F5D" w:rsidP="002918F0">
            <w:pPr>
              <w:jc w:val="right"/>
              <w:rPr>
                <w:color w:val="000000"/>
                <w:sz w:val="22"/>
                <w:szCs w:val="22"/>
              </w:rPr>
            </w:pPr>
            <w:r>
              <w:rPr>
                <w:color w:val="000000"/>
                <w:sz w:val="22"/>
                <w:szCs w:val="22"/>
              </w:rPr>
              <w:t>235</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EC2F5D" w:rsidRDefault="00EC2F5D" w:rsidP="002918F0">
            <w:pPr>
              <w:jc w:val="right"/>
              <w:rPr>
                <w:color w:val="000000"/>
                <w:sz w:val="22"/>
                <w:szCs w:val="22"/>
              </w:rPr>
            </w:pPr>
            <w:r>
              <w:rPr>
                <w:color w:val="000000"/>
                <w:sz w:val="22"/>
                <w:szCs w:val="22"/>
              </w:rPr>
              <w:t>1,765</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EC2F5D" w:rsidRDefault="00EC2F5D" w:rsidP="002918F0">
            <w:pPr>
              <w:jc w:val="right"/>
              <w:rPr>
                <w:color w:val="000000"/>
                <w:sz w:val="22"/>
                <w:szCs w:val="22"/>
              </w:rPr>
            </w:pPr>
            <w:r>
              <w:rPr>
                <w:color w:val="000000"/>
                <w:sz w:val="22"/>
                <w:szCs w:val="22"/>
              </w:rPr>
              <w:t>3,834</w:t>
            </w:r>
          </w:p>
        </w:tc>
      </w:tr>
      <w:tr w:rsidR="00EC2F5D" w:rsidTr="002918F0">
        <w:trPr>
          <w:trHeight w:val="576"/>
        </w:trPr>
        <w:tc>
          <w:tcPr>
            <w:tcW w:w="620" w:type="dxa"/>
            <w:tcBorders>
              <w:top w:val="nil"/>
              <w:left w:val="nil"/>
              <w:bottom w:val="nil"/>
              <w:right w:val="nil"/>
            </w:tcBorders>
            <w:shd w:val="clear" w:color="000000" w:fill="C6E0B4"/>
            <w:noWrap/>
            <w:vAlign w:val="center"/>
            <w:hideMark/>
          </w:tcPr>
          <w:p w:rsidR="00EC2F5D" w:rsidRDefault="00EC2F5D" w:rsidP="002918F0">
            <w:pPr>
              <w:rPr>
                <w:color w:val="000000"/>
                <w:sz w:val="22"/>
                <w:szCs w:val="22"/>
              </w:rPr>
            </w:pPr>
            <w:r>
              <w:rPr>
                <w:color w:val="000000"/>
                <w:sz w:val="22"/>
                <w:szCs w:val="22"/>
              </w:rPr>
              <w:t>10</w:t>
            </w:r>
          </w:p>
        </w:tc>
        <w:tc>
          <w:tcPr>
            <w:tcW w:w="6480" w:type="dxa"/>
            <w:tcBorders>
              <w:top w:val="nil"/>
              <w:left w:val="nil"/>
              <w:bottom w:val="nil"/>
              <w:right w:val="nil"/>
            </w:tcBorders>
            <w:shd w:val="clear" w:color="000000" w:fill="C6E0B4"/>
            <w:vAlign w:val="center"/>
            <w:hideMark/>
          </w:tcPr>
          <w:p w:rsidR="00EC2F5D" w:rsidRDefault="00EC2F5D" w:rsidP="002918F0">
            <w:pPr>
              <w:rPr>
                <w:color w:val="000000"/>
                <w:sz w:val="22"/>
                <w:szCs w:val="22"/>
              </w:rPr>
            </w:pPr>
            <w:r>
              <w:rPr>
                <w:color w:val="000000"/>
                <w:sz w:val="22"/>
                <w:szCs w:val="22"/>
              </w:rPr>
              <w:t>Reducing to the absolute minimum necessary the printing and distribution of ITU promotional/non-revenue generating publications.</w:t>
            </w:r>
          </w:p>
        </w:tc>
        <w:tc>
          <w:tcPr>
            <w:tcW w:w="1700" w:type="dxa"/>
            <w:tcBorders>
              <w:top w:val="nil"/>
              <w:left w:val="dotted" w:sz="4" w:space="0" w:color="auto"/>
              <w:bottom w:val="nil"/>
              <w:right w:val="dotted" w:sz="4" w:space="0" w:color="auto"/>
            </w:tcBorders>
            <w:shd w:val="clear" w:color="000000" w:fill="C6E0B4"/>
            <w:noWrap/>
            <w:vAlign w:val="bottom"/>
            <w:hideMark/>
          </w:tcPr>
          <w:p w:rsidR="00EC2F5D" w:rsidRDefault="00EC2F5D" w:rsidP="002918F0">
            <w:pPr>
              <w:jc w:val="right"/>
              <w:rPr>
                <w:color w:val="000000"/>
                <w:sz w:val="22"/>
                <w:szCs w:val="22"/>
              </w:rPr>
            </w:pPr>
            <w:r>
              <w:rPr>
                <w:color w:val="000000"/>
                <w:sz w:val="22"/>
                <w:szCs w:val="22"/>
              </w:rPr>
              <w:t>309</w:t>
            </w:r>
          </w:p>
        </w:tc>
        <w:tc>
          <w:tcPr>
            <w:tcW w:w="1700" w:type="dxa"/>
            <w:tcBorders>
              <w:top w:val="nil"/>
              <w:left w:val="nil"/>
              <w:bottom w:val="nil"/>
              <w:right w:val="nil"/>
            </w:tcBorders>
            <w:shd w:val="clear" w:color="000000" w:fill="C6E0B4"/>
            <w:noWrap/>
            <w:vAlign w:val="bottom"/>
            <w:hideMark/>
          </w:tcPr>
          <w:p w:rsidR="00EC2F5D" w:rsidRDefault="00EC2F5D" w:rsidP="002918F0">
            <w:pPr>
              <w:jc w:val="right"/>
              <w:rPr>
                <w:color w:val="000000"/>
                <w:sz w:val="22"/>
                <w:szCs w:val="22"/>
              </w:rPr>
            </w:pPr>
            <w:r>
              <w:rPr>
                <w:color w:val="000000"/>
                <w:sz w:val="22"/>
                <w:szCs w:val="22"/>
              </w:rPr>
              <w:t>538</w:t>
            </w:r>
          </w:p>
        </w:tc>
        <w:tc>
          <w:tcPr>
            <w:tcW w:w="1700" w:type="dxa"/>
            <w:tcBorders>
              <w:top w:val="nil"/>
              <w:left w:val="dotted" w:sz="4" w:space="0" w:color="auto"/>
              <w:bottom w:val="nil"/>
              <w:right w:val="dotted" w:sz="4" w:space="0" w:color="auto"/>
            </w:tcBorders>
            <w:shd w:val="clear" w:color="000000" w:fill="C6E0B4"/>
            <w:noWrap/>
            <w:vAlign w:val="bottom"/>
            <w:hideMark/>
          </w:tcPr>
          <w:p w:rsidR="00EC2F5D" w:rsidRDefault="00EC2F5D" w:rsidP="002918F0">
            <w:pPr>
              <w:rPr>
                <w:color w:val="000000"/>
                <w:sz w:val="22"/>
                <w:szCs w:val="22"/>
              </w:rPr>
            </w:pPr>
            <w:r>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rsidR="00EC2F5D" w:rsidRDefault="00EC2F5D" w:rsidP="002918F0">
            <w:pPr>
              <w:jc w:val="right"/>
              <w:rPr>
                <w:color w:val="000000"/>
                <w:sz w:val="22"/>
                <w:szCs w:val="22"/>
              </w:rPr>
            </w:pPr>
            <w:r>
              <w:rPr>
                <w:color w:val="000000"/>
                <w:sz w:val="22"/>
                <w:szCs w:val="22"/>
              </w:rPr>
              <w:t>847</w:t>
            </w:r>
          </w:p>
        </w:tc>
      </w:tr>
      <w:tr w:rsidR="00EC2F5D" w:rsidTr="002918F0">
        <w:trPr>
          <w:trHeight w:val="1152"/>
        </w:trPr>
        <w:tc>
          <w:tcPr>
            <w:tcW w:w="620" w:type="dxa"/>
            <w:tcBorders>
              <w:top w:val="single" w:sz="4" w:space="0" w:color="auto"/>
              <w:left w:val="nil"/>
              <w:bottom w:val="single" w:sz="4" w:space="0" w:color="auto"/>
              <w:right w:val="nil"/>
            </w:tcBorders>
            <w:shd w:val="clear" w:color="000000" w:fill="DDEBF7"/>
            <w:noWrap/>
            <w:vAlign w:val="center"/>
            <w:hideMark/>
          </w:tcPr>
          <w:p w:rsidR="00EC2F5D" w:rsidRDefault="00EC2F5D" w:rsidP="002918F0">
            <w:pPr>
              <w:rPr>
                <w:color w:val="000000"/>
                <w:sz w:val="22"/>
                <w:szCs w:val="22"/>
              </w:rPr>
            </w:pPr>
            <w:r>
              <w:rPr>
                <w:color w:val="000000"/>
                <w:sz w:val="22"/>
                <w:szCs w:val="22"/>
              </w:rPr>
              <w:t>11</w:t>
            </w:r>
          </w:p>
        </w:tc>
        <w:tc>
          <w:tcPr>
            <w:tcW w:w="6480" w:type="dxa"/>
            <w:tcBorders>
              <w:top w:val="single" w:sz="4" w:space="0" w:color="auto"/>
              <w:left w:val="nil"/>
              <w:bottom w:val="single" w:sz="4" w:space="0" w:color="auto"/>
              <w:right w:val="nil"/>
            </w:tcBorders>
            <w:shd w:val="clear" w:color="000000" w:fill="DDEBF7"/>
            <w:vAlign w:val="center"/>
            <w:hideMark/>
          </w:tcPr>
          <w:p w:rsidR="00EC2F5D" w:rsidRDefault="00EC2F5D" w:rsidP="002918F0">
            <w:pPr>
              <w:rPr>
                <w:color w:val="000000"/>
                <w:sz w:val="22"/>
                <w:szCs w:val="22"/>
              </w:rPr>
            </w:pPr>
            <w:r>
              <w:rPr>
                <w:color w:val="000000"/>
                <w:sz w:val="22"/>
                <w:szCs w:val="22"/>
              </w:rPr>
              <w:t>Implementation of initiatives towards making ITU a completely paperless organization, such as providing Sector reports only online, adopting digital signatures, digital media and digital advertising and promotion, among others.</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EC2F5D" w:rsidRDefault="00EC2F5D" w:rsidP="002918F0">
            <w:pPr>
              <w:rPr>
                <w:color w:val="000000"/>
                <w:sz w:val="22"/>
                <w:szCs w:val="22"/>
              </w:rPr>
            </w:pPr>
            <w:r>
              <w:rPr>
                <w:color w:val="000000"/>
                <w:sz w:val="22"/>
                <w:szCs w:val="22"/>
              </w:rPr>
              <w:t> </w:t>
            </w:r>
          </w:p>
        </w:tc>
        <w:tc>
          <w:tcPr>
            <w:tcW w:w="1700" w:type="dxa"/>
            <w:tcBorders>
              <w:top w:val="single" w:sz="4" w:space="0" w:color="auto"/>
              <w:left w:val="nil"/>
              <w:bottom w:val="single" w:sz="4" w:space="0" w:color="auto"/>
              <w:right w:val="nil"/>
            </w:tcBorders>
            <w:shd w:val="clear" w:color="000000" w:fill="DDEBF7"/>
            <w:noWrap/>
            <w:vAlign w:val="bottom"/>
            <w:hideMark/>
          </w:tcPr>
          <w:p w:rsidR="00EC2F5D" w:rsidRDefault="00EC2F5D" w:rsidP="002918F0">
            <w:pPr>
              <w:jc w:val="right"/>
              <w:rPr>
                <w:color w:val="000000"/>
                <w:sz w:val="22"/>
                <w:szCs w:val="22"/>
              </w:rPr>
            </w:pPr>
            <w:r>
              <w:rPr>
                <w:color w:val="000000"/>
                <w:sz w:val="22"/>
                <w:szCs w:val="22"/>
              </w:rPr>
              <w:t>600</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EC2F5D" w:rsidRDefault="00EC2F5D" w:rsidP="002918F0">
            <w:pPr>
              <w:rPr>
                <w:color w:val="000000"/>
                <w:sz w:val="22"/>
                <w:szCs w:val="22"/>
              </w:rPr>
            </w:pPr>
            <w:r>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EC2F5D" w:rsidRDefault="00EC2F5D" w:rsidP="002918F0">
            <w:pPr>
              <w:jc w:val="right"/>
              <w:rPr>
                <w:color w:val="000000"/>
                <w:sz w:val="22"/>
                <w:szCs w:val="22"/>
              </w:rPr>
            </w:pPr>
            <w:r>
              <w:rPr>
                <w:color w:val="000000"/>
                <w:sz w:val="22"/>
                <w:szCs w:val="22"/>
              </w:rPr>
              <w:t>600</w:t>
            </w:r>
          </w:p>
        </w:tc>
      </w:tr>
      <w:tr w:rsidR="00EC2F5D" w:rsidTr="002918F0">
        <w:trPr>
          <w:trHeight w:val="864"/>
        </w:trPr>
        <w:tc>
          <w:tcPr>
            <w:tcW w:w="620" w:type="dxa"/>
            <w:tcBorders>
              <w:top w:val="nil"/>
              <w:left w:val="nil"/>
              <w:bottom w:val="nil"/>
              <w:right w:val="nil"/>
            </w:tcBorders>
            <w:shd w:val="clear" w:color="000000" w:fill="C6E0B4"/>
            <w:noWrap/>
            <w:vAlign w:val="center"/>
            <w:hideMark/>
          </w:tcPr>
          <w:p w:rsidR="00EC2F5D" w:rsidRDefault="00EC2F5D" w:rsidP="002918F0">
            <w:pPr>
              <w:rPr>
                <w:color w:val="000000"/>
                <w:sz w:val="22"/>
                <w:szCs w:val="22"/>
              </w:rPr>
            </w:pPr>
            <w:r>
              <w:rPr>
                <w:color w:val="000000"/>
                <w:sz w:val="22"/>
                <w:szCs w:val="22"/>
              </w:rPr>
              <w:t>12</w:t>
            </w:r>
          </w:p>
        </w:tc>
        <w:tc>
          <w:tcPr>
            <w:tcW w:w="6480" w:type="dxa"/>
            <w:tcBorders>
              <w:top w:val="nil"/>
              <w:left w:val="nil"/>
              <w:bottom w:val="nil"/>
              <w:right w:val="nil"/>
            </w:tcBorders>
            <w:shd w:val="clear" w:color="000000" w:fill="C6E0B4"/>
            <w:vAlign w:val="center"/>
            <w:hideMark/>
          </w:tcPr>
          <w:p w:rsidR="00EC2F5D" w:rsidRDefault="00EC2F5D" w:rsidP="002918F0">
            <w:pPr>
              <w:rPr>
                <w:color w:val="000000"/>
                <w:sz w:val="22"/>
                <w:szCs w:val="22"/>
              </w:rPr>
            </w:pPr>
            <w:r>
              <w:rPr>
                <w:color w:val="000000"/>
                <w:sz w:val="22"/>
                <w:szCs w:val="22"/>
              </w:rPr>
              <w:t>Consideration of savings in languages (translation, interpretation) for study group meetings and publications, without prejudice to the goals of Resolution 154 (Rev. Busan, 2014).</w:t>
            </w:r>
          </w:p>
        </w:tc>
        <w:tc>
          <w:tcPr>
            <w:tcW w:w="1700" w:type="dxa"/>
            <w:tcBorders>
              <w:top w:val="nil"/>
              <w:left w:val="dotted" w:sz="4" w:space="0" w:color="auto"/>
              <w:bottom w:val="nil"/>
              <w:right w:val="dotted" w:sz="4" w:space="0" w:color="auto"/>
            </w:tcBorders>
            <w:shd w:val="clear" w:color="000000" w:fill="C6E0B4"/>
            <w:noWrap/>
            <w:vAlign w:val="bottom"/>
            <w:hideMark/>
          </w:tcPr>
          <w:p w:rsidR="00EC2F5D" w:rsidRDefault="00EC2F5D" w:rsidP="002918F0">
            <w:pPr>
              <w:jc w:val="right"/>
              <w:rPr>
                <w:color w:val="000000"/>
                <w:sz w:val="22"/>
                <w:szCs w:val="22"/>
              </w:rPr>
            </w:pPr>
            <w:r>
              <w:rPr>
                <w:color w:val="000000"/>
                <w:sz w:val="22"/>
                <w:szCs w:val="22"/>
              </w:rPr>
              <w:t>340</w:t>
            </w:r>
          </w:p>
        </w:tc>
        <w:tc>
          <w:tcPr>
            <w:tcW w:w="1700" w:type="dxa"/>
            <w:tcBorders>
              <w:top w:val="nil"/>
              <w:left w:val="nil"/>
              <w:bottom w:val="nil"/>
              <w:right w:val="nil"/>
            </w:tcBorders>
            <w:shd w:val="clear" w:color="000000" w:fill="C6E0B4"/>
            <w:noWrap/>
            <w:vAlign w:val="bottom"/>
            <w:hideMark/>
          </w:tcPr>
          <w:p w:rsidR="00EC2F5D" w:rsidRDefault="00EC2F5D" w:rsidP="002918F0">
            <w:pPr>
              <w:jc w:val="right"/>
              <w:rPr>
                <w:color w:val="000000"/>
                <w:sz w:val="22"/>
                <w:szCs w:val="22"/>
              </w:rPr>
            </w:pPr>
            <w:r>
              <w:rPr>
                <w:color w:val="000000"/>
                <w:sz w:val="22"/>
                <w:szCs w:val="22"/>
              </w:rPr>
              <w:t>147</w:t>
            </w:r>
          </w:p>
        </w:tc>
        <w:tc>
          <w:tcPr>
            <w:tcW w:w="1700" w:type="dxa"/>
            <w:tcBorders>
              <w:top w:val="nil"/>
              <w:left w:val="dotted" w:sz="4" w:space="0" w:color="auto"/>
              <w:bottom w:val="nil"/>
              <w:right w:val="dotted" w:sz="4" w:space="0" w:color="auto"/>
            </w:tcBorders>
            <w:shd w:val="clear" w:color="000000" w:fill="C6E0B4"/>
            <w:noWrap/>
            <w:vAlign w:val="bottom"/>
            <w:hideMark/>
          </w:tcPr>
          <w:p w:rsidR="00EC2F5D" w:rsidRDefault="00EC2F5D" w:rsidP="002918F0">
            <w:pPr>
              <w:rPr>
                <w:color w:val="000000"/>
                <w:sz w:val="22"/>
                <w:szCs w:val="22"/>
              </w:rPr>
            </w:pPr>
            <w:r>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rsidR="00EC2F5D" w:rsidRDefault="00EC2F5D" w:rsidP="002918F0">
            <w:pPr>
              <w:jc w:val="right"/>
              <w:rPr>
                <w:color w:val="000000"/>
                <w:sz w:val="22"/>
                <w:szCs w:val="22"/>
              </w:rPr>
            </w:pPr>
            <w:r>
              <w:rPr>
                <w:color w:val="000000"/>
                <w:sz w:val="22"/>
                <w:szCs w:val="22"/>
              </w:rPr>
              <w:t>487</w:t>
            </w:r>
          </w:p>
        </w:tc>
      </w:tr>
      <w:tr w:rsidR="00EC2F5D" w:rsidTr="002918F0">
        <w:trPr>
          <w:trHeight w:val="1152"/>
        </w:trPr>
        <w:tc>
          <w:tcPr>
            <w:tcW w:w="620" w:type="dxa"/>
            <w:tcBorders>
              <w:top w:val="single" w:sz="4" w:space="0" w:color="auto"/>
              <w:left w:val="nil"/>
              <w:bottom w:val="single" w:sz="4" w:space="0" w:color="auto"/>
              <w:right w:val="nil"/>
            </w:tcBorders>
            <w:shd w:val="clear" w:color="000000" w:fill="DDEBF7"/>
            <w:noWrap/>
            <w:vAlign w:val="center"/>
            <w:hideMark/>
          </w:tcPr>
          <w:p w:rsidR="00EC2F5D" w:rsidRDefault="00EC2F5D" w:rsidP="002918F0">
            <w:pPr>
              <w:rPr>
                <w:color w:val="000000"/>
                <w:sz w:val="22"/>
                <w:szCs w:val="22"/>
              </w:rPr>
            </w:pPr>
            <w:r>
              <w:rPr>
                <w:color w:val="000000"/>
                <w:sz w:val="22"/>
                <w:szCs w:val="22"/>
              </w:rPr>
              <w:t>13</w:t>
            </w:r>
          </w:p>
        </w:tc>
        <w:tc>
          <w:tcPr>
            <w:tcW w:w="6480" w:type="dxa"/>
            <w:tcBorders>
              <w:top w:val="single" w:sz="4" w:space="0" w:color="auto"/>
              <w:left w:val="nil"/>
              <w:bottom w:val="single" w:sz="4" w:space="0" w:color="auto"/>
              <w:right w:val="nil"/>
            </w:tcBorders>
            <w:shd w:val="clear" w:color="000000" w:fill="DDEBF7"/>
            <w:vAlign w:val="center"/>
            <w:hideMark/>
          </w:tcPr>
          <w:p w:rsidR="00EC2F5D" w:rsidRDefault="00EC2F5D" w:rsidP="002918F0">
            <w:pPr>
              <w:rPr>
                <w:color w:val="000000"/>
                <w:sz w:val="22"/>
                <w:szCs w:val="22"/>
              </w:rPr>
            </w:pPr>
            <w:r>
              <w:rPr>
                <w:color w:val="000000"/>
                <w:sz w:val="22"/>
                <w:szCs w:val="22"/>
              </w:rPr>
              <w:t>Evaluation and use of alternative translation procedures that could reduce the cost of translations while maintaining or improving their current quality and the accuracy of telecommunication/ICT terminology.</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EC2F5D" w:rsidRDefault="00EC2F5D" w:rsidP="002918F0">
            <w:pPr>
              <w:jc w:val="right"/>
              <w:rPr>
                <w:color w:val="000000"/>
                <w:sz w:val="22"/>
                <w:szCs w:val="22"/>
              </w:rPr>
            </w:pPr>
            <w:r>
              <w:rPr>
                <w:color w:val="000000"/>
                <w:sz w:val="22"/>
                <w:szCs w:val="22"/>
              </w:rPr>
              <w:t>2,820</w:t>
            </w:r>
          </w:p>
        </w:tc>
        <w:tc>
          <w:tcPr>
            <w:tcW w:w="1700" w:type="dxa"/>
            <w:tcBorders>
              <w:top w:val="single" w:sz="4" w:space="0" w:color="auto"/>
              <w:left w:val="nil"/>
              <w:bottom w:val="single" w:sz="4" w:space="0" w:color="auto"/>
              <w:right w:val="nil"/>
            </w:tcBorders>
            <w:shd w:val="clear" w:color="000000" w:fill="DDEBF7"/>
            <w:noWrap/>
            <w:vAlign w:val="bottom"/>
            <w:hideMark/>
          </w:tcPr>
          <w:p w:rsidR="00EC2F5D" w:rsidRDefault="00EC2F5D" w:rsidP="002918F0">
            <w:pPr>
              <w:rPr>
                <w:color w:val="000000"/>
                <w:sz w:val="22"/>
                <w:szCs w:val="22"/>
              </w:rPr>
            </w:pPr>
            <w:r>
              <w:rPr>
                <w:color w:val="000000"/>
                <w:sz w:val="22"/>
                <w:szCs w:val="22"/>
              </w:rPr>
              <w:t> </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EC2F5D" w:rsidRDefault="00EC2F5D" w:rsidP="002918F0">
            <w:pPr>
              <w:rPr>
                <w:color w:val="000000"/>
                <w:sz w:val="22"/>
                <w:szCs w:val="22"/>
              </w:rPr>
            </w:pPr>
            <w:r>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EC2F5D" w:rsidRDefault="00EC2F5D" w:rsidP="002918F0">
            <w:pPr>
              <w:jc w:val="right"/>
              <w:rPr>
                <w:color w:val="000000"/>
                <w:sz w:val="22"/>
                <w:szCs w:val="22"/>
              </w:rPr>
            </w:pPr>
            <w:r>
              <w:rPr>
                <w:color w:val="000000"/>
                <w:sz w:val="22"/>
                <w:szCs w:val="22"/>
              </w:rPr>
              <w:t>2,820</w:t>
            </w:r>
          </w:p>
        </w:tc>
      </w:tr>
    </w:tbl>
    <w:p w:rsidR="00EC2F5D" w:rsidRDefault="00EC2F5D" w:rsidP="00EC2F5D">
      <w:pPr>
        <w:tabs>
          <w:tab w:val="clear" w:pos="567"/>
          <w:tab w:val="clear" w:pos="1134"/>
          <w:tab w:val="clear" w:pos="1701"/>
          <w:tab w:val="clear" w:pos="2268"/>
          <w:tab w:val="clear" w:pos="2835"/>
        </w:tabs>
        <w:overflowPunct/>
        <w:autoSpaceDE/>
        <w:autoSpaceDN/>
        <w:adjustRightInd/>
        <w:spacing w:before="0"/>
        <w:textAlignment w:val="auto"/>
        <w:rPr>
          <w:szCs w:val="24"/>
          <w:lang w:val="en-US"/>
        </w:rPr>
      </w:pPr>
      <w:r>
        <w:rPr>
          <w:szCs w:val="24"/>
          <w:lang w:val="en-US"/>
        </w:rPr>
        <w:br w:type="page"/>
      </w:r>
    </w:p>
    <w:tbl>
      <w:tblPr>
        <w:tblW w:w="13901" w:type="dxa"/>
        <w:tblLook w:val="04A0" w:firstRow="1" w:lastRow="0" w:firstColumn="1" w:lastColumn="0" w:noHBand="0" w:noVBand="1"/>
      </w:tblPr>
      <w:tblGrid>
        <w:gridCol w:w="620"/>
        <w:gridCol w:w="6480"/>
        <w:gridCol w:w="1700"/>
        <w:gridCol w:w="1700"/>
        <w:gridCol w:w="1700"/>
        <w:gridCol w:w="1701"/>
      </w:tblGrid>
      <w:tr w:rsidR="00EC2F5D" w:rsidRPr="00283CC7" w:rsidTr="002918F0">
        <w:trPr>
          <w:trHeight w:val="288"/>
        </w:trPr>
        <w:tc>
          <w:tcPr>
            <w:tcW w:w="620" w:type="dxa"/>
            <w:tcBorders>
              <w:top w:val="nil"/>
              <w:left w:val="nil"/>
              <w:bottom w:val="nil"/>
              <w:right w:val="nil"/>
            </w:tcBorders>
            <w:shd w:val="clear" w:color="auto" w:fill="8DB3E2" w:themeFill="text2" w:themeFillTint="66"/>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szCs w:val="24"/>
                <w:lang w:eastAsia="zh-CN"/>
              </w:rPr>
            </w:pPr>
          </w:p>
        </w:tc>
        <w:tc>
          <w:tcPr>
            <w:tcW w:w="6480" w:type="dxa"/>
            <w:tcBorders>
              <w:top w:val="nil"/>
              <w:left w:val="nil"/>
              <w:bottom w:val="nil"/>
              <w:right w:val="nil"/>
            </w:tcBorders>
            <w:shd w:val="clear" w:color="auto" w:fill="8DB3E2" w:themeFill="text2" w:themeFillTint="66"/>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6801" w:type="dxa"/>
            <w:gridSpan w:val="4"/>
            <w:tcBorders>
              <w:top w:val="nil"/>
              <w:left w:val="nil"/>
              <w:bottom w:val="nil"/>
              <w:right w:val="nil"/>
            </w:tcBorders>
            <w:shd w:val="clear" w:color="auto" w:fill="8DB3E2" w:themeFill="text2" w:themeFillTint="66"/>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jc w:val="center"/>
              <w:textAlignment w:val="auto"/>
              <w:rPr>
                <w:i/>
                <w:iCs/>
                <w:color w:val="000000"/>
                <w:sz w:val="18"/>
                <w:szCs w:val="18"/>
                <w:lang w:eastAsia="zh-CN"/>
              </w:rPr>
            </w:pPr>
            <w:r w:rsidRPr="00283CC7">
              <w:rPr>
                <w:i/>
                <w:iCs/>
                <w:color w:val="000000"/>
                <w:sz w:val="18"/>
                <w:szCs w:val="18"/>
                <w:lang w:eastAsia="zh-CN"/>
              </w:rPr>
              <w:t>KCHF</w:t>
            </w:r>
          </w:p>
        </w:tc>
      </w:tr>
      <w:tr w:rsidR="00EC2F5D" w:rsidTr="002918F0">
        <w:trPr>
          <w:trHeight w:val="272"/>
        </w:trPr>
        <w:tc>
          <w:tcPr>
            <w:tcW w:w="620" w:type="dxa"/>
            <w:tcBorders>
              <w:top w:val="nil"/>
              <w:left w:val="nil"/>
              <w:bottom w:val="nil"/>
              <w:right w:val="nil"/>
            </w:tcBorders>
            <w:shd w:val="clear" w:color="auto" w:fill="8DB3E2" w:themeFill="text2" w:themeFillTint="66"/>
            <w:noWrap/>
            <w:vAlign w:val="center"/>
          </w:tcPr>
          <w:p w:rsidR="00EC2F5D" w:rsidRDefault="00EC2F5D" w:rsidP="002918F0">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eastAsia="zh-CN"/>
              </w:rPr>
            </w:pPr>
          </w:p>
        </w:tc>
        <w:tc>
          <w:tcPr>
            <w:tcW w:w="6480" w:type="dxa"/>
            <w:tcBorders>
              <w:top w:val="nil"/>
              <w:left w:val="nil"/>
              <w:bottom w:val="nil"/>
              <w:right w:val="nil"/>
            </w:tcBorders>
            <w:shd w:val="clear" w:color="auto" w:fill="8DB3E2" w:themeFill="text2" w:themeFillTint="66"/>
            <w:vAlign w:val="center"/>
          </w:tcPr>
          <w:p w:rsidR="00EC2F5D" w:rsidRDefault="00EC2F5D" w:rsidP="002918F0">
            <w:pPr>
              <w:jc w:val="center"/>
              <w:rPr>
                <w:color w:val="000000"/>
                <w:sz w:val="22"/>
                <w:szCs w:val="22"/>
              </w:rPr>
            </w:pPr>
            <w:r w:rsidRPr="00283CC7">
              <w:rPr>
                <w:color w:val="000000"/>
                <w:sz w:val="22"/>
                <w:szCs w:val="22"/>
                <w:lang w:eastAsia="zh-CN"/>
              </w:rPr>
              <w:t>Efficiency measures</w:t>
            </w:r>
            <w:r>
              <w:rPr>
                <w:color w:val="000000"/>
                <w:sz w:val="22"/>
                <w:szCs w:val="22"/>
                <w:lang w:eastAsia="zh-CN"/>
              </w:rPr>
              <w:t xml:space="preserve"> (PP14 Decision 5 – Annex 2)</w:t>
            </w:r>
          </w:p>
        </w:tc>
        <w:tc>
          <w:tcPr>
            <w:tcW w:w="1700" w:type="dxa"/>
            <w:tcBorders>
              <w:top w:val="nil"/>
              <w:left w:val="dotted" w:sz="4" w:space="0" w:color="auto"/>
              <w:bottom w:val="nil"/>
              <w:right w:val="dotted" w:sz="4" w:space="0" w:color="auto"/>
            </w:tcBorders>
            <w:shd w:val="clear" w:color="auto" w:fill="8DB3E2" w:themeFill="text2" w:themeFillTint="66"/>
            <w:noWrap/>
            <w:vAlign w:val="bottom"/>
          </w:tcPr>
          <w:p w:rsidR="00EC2F5D" w:rsidRDefault="00EC2F5D" w:rsidP="002918F0">
            <w:pPr>
              <w:jc w:val="center"/>
              <w:rPr>
                <w:color w:val="000000"/>
                <w:sz w:val="22"/>
                <w:szCs w:val="22"/>
              </w:rPr>
            </w:pPr>
            <w:r w:rsidRPr="00283CC7">
              <w:rPr>
                <w:color w:val="000000"/>
                <w:sz w:val="22"/>
                <w:szCs w:val="22"/>
                <w:lang w:eastAsia="zh-CN"/>
              </w:rPr>
              <w:t>2014-2015</w:t>
            </w:r>
          </w:p>
        </w:tc>
        <w:tc>
          <w:tcPr>
            <w:tcW w:w="1700" w:type="dxa"/>
            <w:tcBorders>
              <w:top w:val="nil"/>
              <w:left w:val="nil"/>
              <w:bottom w:val="nil"/>
              <w:right w:val="nil"/>
            </w:tcBorders>
            <w:shd w:val="clear" w:color="auto" w:fill="8DB3E2" w:themeFill="text2" w:themeFillTint="66"/>
            <w:noWrap/>
            <w:vAlign w:val="bottom"/>
          </w:tcPr>
          <w:p w:rsidR="00EC2F5D" w:rsidRDefault="00EC2F5D" w:rsidP="002918F0">
            <w:pPr>
              <w:jc w:val="center"/>
              <w:rPr>
                <w:color w:val="000000"/>
                <w:sz w:val="22"/>
                <w:szCs w:val="22"/>
              </w:rPr>
            </w:pPr>
            <w:r w:rsidRPr="00283CC7">
              <w:rPr>
                <w:color w:val="000000"/>
                <w:sz w:val="22"/>
                <w:szCs w:val="22"/>
                <w:lang w:eastAsia="zh-CN"/>
              </w:rPr>
              <w:t>2016-2017</w:t>
            </w:r>
          </w:p>
        </w:tc>
        <w:tc>
          <w:tcPr>
            <w:tcW w:w="1700" w:type="dxa"/>
            <w:tcBorders>
              <w:top w:val="nil"/>
              <w:left w:val="dotted" w:sz="4" w:space="0" w:color="auto"/>
              <w:bottom w:val="nil"/>
              <w:right w:val="dotted" w:sz="4" w:space="0" w:color="auto"/>
            </w:tcBorders>
            <w:shd w:val="clear" w:color="auto" w:fill="8DB3E2" w:themeFill="text2" w:themeFillTint="66"/>
            <w:noWrap/>
            <w:vAlign w:val="bottom"/>
          </w:tcPr>
          <w:p w:rsidR="00EC2F5D" w:rsidRDefault="00EC2F5D" w:rsidP="002918F0">
            <w:pPr>
              <w:jc w:val="center"/>
              <w:rPr>
                <w:color w:val="000000"/>
                <w:sz w:val="22"/>
                <w:szCs w:val="22"/>
              </w:rPr>
            </w:pPr>
            <w:r w:rsidRPr="00283CC7">
              <w:rPr>
                <w:color w:val="000000"/>
                <w:sz w:val="22"/>
                <w:szCs w:val="22"/>
                <w:lang w:eastAsia="zh-CN"/>
              </w:rPr>
              <w:t>2018-2019</w:t>
            </w:r>
          </w:p>
        </w:tc>
        <w:tc>
          <w:tcPr>
            <w:tcW w:w="1701" w:type="dxa"/>
            <w:tcBorders>
              <w:top w:val="nil"/>
              <w:left w:val="nil"/>
              <w:bottom w:val="nil"/>
              <w:right w:val="dotted" w:sz="4" w:space="0" w:color="auto"/>
            </w:tcBorders>
            <w:shd w:val="clear" w:color="auto" w:fill="8DB3E2" w:themeFill="text2" w:themeFillTint="66"/>
            <w:noWrap/>
            <w:vAlign w:val="bottom"/>
          </w:tcPr>
          <w:p w:rsidR="00EC2F5D" w:rsidRDefault="00EC2F5D" w:rsidP="002918F0">
            <w:pPr>
              <w:jc w:val="center"/>
              <w:rPr>
                <w:color w:val="000000"/>
                <w:sz w:val="22"/>
                <w:szCs w:val="22"/>
              </w:rPr>
            </w:pPr>
            <w:r w:rsidRPr="00283CC7">
              <w:rPr>
                <w:color w:val="000000"/>
                <w:sz w:val="22"/>
                <w:szCs w:val="22"/>
                <w:lang w:eastAsia="zh-CN"/>
              </w:rPr>
              <w:t>Total</w:t>
            </w:r>
          </w:p>
        </w:tc>
      </w:tr>
      <w:tr w:rsidR="00EC2F5D" w:rsidTr="002918F0">
        <w:trPr>
          <w:trHeight w:val="864"/>
        </w:trPr>
        <w:tc>
          <w:tcPr>
            <w:tcW w:w="620" w:type="dxa"/>
            <w:tcBorders>
              <w:top w:val="nil"/>
              <w:left w:val="nil"/>
              <w:bottom w:val="nil"/>
              <w:right w:val="nil"/>
            </w:tcBorders>
            <w:shd w:val="clear" w:color="000000" w:fill="C6E0B4"/>
            <w:noWrap/>
            <w:vAlign w:val="center"/>
            <w:hideMark/>
          </w:tcPr>
          <w:p w:rsidR="00EC2F5D" w:rsidRDefault="00EC2F5D" w:rsidP="002918F0">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Pr>
                <w:color w:val="000000"/>
                <w:sz w:val="22"/>
                <w:szCs w:val="22"/>
              </w:rPr>
              <w:t>14</w:t>
            </w:r>
          </w:p>
        </w:tc>
        <w:tc>
          <w:tcPr>
            <w:tcW w:w="6480" w:type="dxa"/>
            <w:tcBorders>
              <w:top w:val="nil"/>
              <w:left w:val="nil"/>
              <w:bottom w:val="nil"/>
              <w:right w:val="nil"/>
            </w:tcBorders>
            <w:shd w:val="clear" w:color="000000" w:fill="C6E0B4"/>
            <w:vAlign w:val="center"/>
            <w:hideMark/>
          </w:tcPr>
          <w:p w:rsidR="00EC2F5D" w:rsidRDefault="00EC2F5D" w:rsidP="002918F0">
            <w:pPr>
              <w:rPr>
                <w:color w:val="000000"/>
                <w:sz w:val="22"/>
                <w:szCs w:val="22"/>
              </w:rPr>
            </w:pPr>
            <w:r>
              <w:rPr>
                <w:color w:val="000000"/>
                <w:sz w:val="22"/>
                <w:szCs w:val="22"/>
              </w:rPr>
              <w:t>Implementation of WSIS activities through the redeployment of staff responsible for such activities within the existing resources and, as appropriate, through cost recovery and voluntary contributions.</w:t>
            </w:r>
          </w:p>
        </w:tc>
        <w:tc>
          <w:tcPr>
            <w:tcW w:w="1700" w:type="dxa"/>
            <w:tcBorders>
              <w:top w:val="nil"/>
              <w:left w:val="dotted" w:sz="4" w:space="0" w:color="auto"/>
              <w:bottom w:val="nil"/>
              <w:right w:val="dotted" w:sz="4" w:space="0" w:color="auto"/>
            </w:tcBorders>
            <w:shd w:val="clear" w:color="000000" w:fill="C6E0B4"/>
            <w:noWrap/>
            <w:vAlign w:val="bottom"/>
            <w:hideMark/>
          </w:tcPr>
          <w:p w:rsidR="00EC2F5D" w:rsidRDefault="00EC2F5D" w:rsidP="002918F0">
            <w:pPr>
              <w:rPr>
                <w:color w:val="000000"/>
                <w:sz w:val="22"/>
                <w:szCs w:val="22"/>
              </w:rPr>
            </w:pPr>
            <w:r>
              <w:rPr>
                <w:color w:val="000000"/>
                <w:sz w:val="22"/>
                <w:szCs w:val="22"/>
              </w:rPr>
              <w:t> </w:t>
            </w:r>
          </w:p>
        </w:tc>
        <w:tc>
          <w:tcPr>
            <w:tcW w:w="1700" w:type="dxa"/>
            <w:tcBorders>
              <w:top w:val="nil"/>
              <w:left w:val="nil"/>
              <w:bottom w:val="nil"/>
              <w:right w:val="nil"/>
            </w:tcBorders>
            <w:shd w:val="clear" w:color="000000" w:fill="C6E0B4"/>
            <w:noWrap/>
            <w:vAlign w:val="bottom"/>
            <w:hideMark/>
          </w:tcPr>
          <w:p w:rsidR="00EC2F5D" w:rsidRDefault="00EC2F5D" w:rsidP="002918F0">
            <w:pPr>
              <w:rPr>
                <w:color w:val="000000"/>
                <w:sz w:val="22"/>
                <w:szCs w:val="22"/>
              </w:rPr>
            </w:pPr>
            <w:r>
              <w:rPr>
                <w:color w:val="000000"/>
                <w:sz w:val="22"/>
                <w:szCs w:val="22"/>
              </w:rPr>
              <w:t> </w:t>
            </w:r>
          </w:p>
        </w:tc>
        <w:tc>
          <w:tcPr>
            <w:tcW w:w="1700" w:type="dxa"/>
            <w:tcBorders>
              <w:top w:val="nil"/>
              <w:left w:val="dotted" w:sz="4" w:space="0" w:color="auto"/>
              <w:bottom w:val="nil"/>
              <w:right w:val="dotted" w:sz="4" w:space="0" w:color="auto"/>
            </w:tcBorders>
            <w:shd w:val="clear" w:color="000000" w:fill="C6E0B4"/>
            <w:noWrap/>
            <w:vAlign w:val="bottom"/>
            <w:hideMark/>
          </w:tcPr>
          <w:p w:rsidR="00EC2F5D" w:rsidRDefault="00EC2F5D" w:rsidP="002918F0">
            <w:pPr>
              <w:rPr>
                <w:color w:val="000000"/>
                <w:sz w:val="22"/>
                <w:szCs w:val="22"/>
              </w:rPr>
            </w:pPr>
            <w:r>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rsidR="00EC2F5D" w:rsidRDefault="00EC2F5D" w:rsidP="002918F0">
            <w:pPr>
              <w:rPr>
                <w:color w:val="000000"/>
                <w:sz w:val="22"/>
                <w:szCs w:val="22"/>
              </w:rPr>
            </w:pPr>
            <w:r>
              <w:rPr>
                <w:color w:val="000000"/>
                <w:sz w:val="22"/>
                <w:szCs w:val="22"/>
              </w:rPr>
              <w:t> </w:t>
            </w:r>
          </w:p>
        </w:tc>
      </w:tr>
      <w:tr w:rsidR="00EC2F5D" w:rsidTr="002918F0">
        <w:trPr>
          <w:trHeight w:val="576"/>
        </w:trPr>
        <w:tc>
          <w:tcPr>
            <w:tcW w:w="620" w:type="dxa"/>
            <w:tcBorders>
              <w:top w:val="single" w:sz="4" w:space="0" w:color="auto"/>
              <w:left w:val="nil"/>
              <w:bottom w:val="single" w:sz="4" w:space="0" w:color="auto"/>
              <w:right w:val="nil"/>
            </w:tcBorders>
            <w:shd w:val="clear" w:color="000000" w:fill="DDEBF7"/>
            <w:noWrap/>
            <w:vAlign w:val="center"/>
            <w:hideMark/>
          </w:tcPr>
          <w:p w:rsidR="00EC2F5D" w:rsidRDefault="00EC2F5D" w:rsidP="002918F0">
            <w:pPr>
              <w:rPr>
                <w:color w:val="000000"/>
                <w:sz w:val="22"/>
                <w:szCs w:val="22"/>
              </w:rPr>
            </w:pPr>
            <w:r>
              <w:rPr>
                <w:color w:val="000000"/>
                <w:sz w:val="22"/>
                <w:szCs w:val="22"/>
              </w:rPr>
              <w:t>15</w:t>
            </w:r>
          </w:p>
        </w:tc>
        <w:tc>
          <w:tcPr>
            <w:tcW w:w="6480" w:type="dxa"/>
            <w:tcBorders>
              <w:top w:val="single" w:sz="4" w:space="0" w:color="auto"/>
              <w:left w:val="nil"/>
              <w:bottom w:val="single" w:sz="4" w:space="0" w:color="auto"/>
              <w:right w:val="nil"/>
            </w:tcBorders>
            <w:shd w:val="clear" w:color="000000" w:fill="DDEBF7"/>
            <w:vAlign w:val="center"/>
            <w:hideMark/>
          </w:tcPr>
          <w:p w:rsidR="00EC2F5D" w:rsidRDefault="00EC2F5D" w:rsidP="002918F0">
            <w:pPr>
              <w:rPr>
                <w:color w:val="000000"/>
                <w:sz w:val="22"/>
                <w:szCs w:val="22"/>
              </w:rPr>
            </w:pPr>
            <w:r>
              <w:rPr>
                <w:color w:val="000000"/>
                <w:sz w:val="22"/>
                <w:szCs w:val="22"/>
              </w:rPr>
              <w:t>Reviewing the number of study group meetings and their duration with a view to reducing their costs and those of other relevant groups.</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EC2F5D" w:rsidRDefault="00EC2F5D" w:rsidP="002918F0">
            <w:pPr>
              <w:rPr>
                <w:color w:val="000000"/>
                <w:sz w:val="22"/>
                <w:szCs w:val="22"/>
              </w:rPr>
            </w:pPr>
            <w:r>
              <w:rPr>
                <w:color w:val="000000"/>
                <w:sz w:val="22"/>
                <w:szCs w:val="22"/>
              </w:rPr>
              <w:t> </w:t>
            </w:r>
          </w:p>
        </w:tc>
        <w:tc>
          <w:tcPr>
            <w:tcW w:w="1700" w:type="dxa"/>
            <w:tcBorders>
              <w:top w:val="single" w:sz="4" w:space="0" w:color="auto"/>
              <w:left w:val="nil"/>
              <w:bottom w:val="single" w:sz="4" w:space="0" w:color="auto"/>
              <w:right w:val="nil"/>
            </w:tcBorders>
            <w:shd w:val="clear" w:color="000000" w:fill="DDEBF7"/>
            <w:noWrap/>
            <w:vAlign w:val="bottom"/>
            <w:hideMark/>
          </w:tcPr>
          <w:p w:rsidR="00EC2F5D" w:rsidRDefault="00EC2F5D" w:rsidP="002918F0">
            <w:pPr>
              <w:rPr>
                <w:color w:val="000000"/>
                <w:sz w:val="22"/>
                <w:szCs w:val="22"/>
              </w:rPr>
            </w:pPr>
            <w:r>
              <w:rPr>
                <w:color w:val="000000"/>
                <w:sz w:val="22"/>
                <w:szCs w:val="22"/>
              </w:rPr>
              <w:t> </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EC2F5D" w:rsidRDefault="00EC2F5D" w:rsidP="002918F0">
            <w:pPr>
              <w:rPr>
                <w:color w:val="000000"/>
                <w:sz w:val="22"/>
                <w:szCs w:val="22"/>
              </w:rPr>
            </w:pPr>
            <w:r>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EC2F5D" w:rsidRDefault="00EC2F5D" w:rsidP="002918F0">
            <w:pPr>
              <w:rPr>
                <w:color w:val="000000"/>
                <w:sz w:val="22"/>
                <w:szCs w:val="22"/>
              </w:rPr>
            </w:pPr>
            <w:r>
              <w:rPr>
                <w:color w:val="000000"/>
                <w:sz w:val="22"/>
                <w:szCs w:val="22"/>
              </w:rPr>
              <w:t> </w:t>
            </w:r>
          </w:p>
        </w:tc>
      </w:tr>
      <w:tr w:rsidR="00EC2F5D" w:rsidTr="002918F0">
        <w:trPr>
          <w:trHeight w:val="576"/>
        </w:trPr>
        <w:tc>
          <w:tcPr>
            <w:tcW w:w="620" w:type="dxa"/>
            <w:tcBorders>
              <w:top w:val="nil"/>
              <w:left w:val="nil"/>
              <w:bottom w:val="nil"/>
              <w:right w:val="nil"/>
            </w:tcBorders>
            <w:shd w:val="clear" w:color="000000" w:fill="C6E0B4"/>
            <w:noWrap/>
            <w:vAlign w:val="center"/>
            <w:hideMark/>
          </w:tcPr>
          <w:p w:rsidR="00EC2F5D" w:rsidRDefault="00EC2F5D" w:rsidP="002918F0">
            <w:pPr>
              <w:rPr>
                <w:color w:val="000000"/>
                <w:sz w:val="22"/>
                <w:szCs w:val="22"/>
              </w:rPr>
            </w:pPr>
            <w:r>
              <w:rPr>
                <w:color w:val="000000"/>
                <w:sz w:val="22"/>
                <w:szCs w:val="22"/>
              </w:rPr>
              <w:t>16</w:t>
            </w:r>
          </w:p>
        </w:tc>
        <w:tc>
          <w:tcPr>
            <w:tcW w:w="6480" w:type="dxa"/>
            <w:tcBorders>
              <w:top w:val="nil"/>
              <w:left w:val="nil"/>
              <w:bottom w:val="nil"/>
              <w:right w:val="nil"/>
            </w:tcBorders>
            <w:shd w:val="clear" w:color="000000" w:fill="C6E0B4"/>
            <w:vAlign w:val="center"/>
            <w:hideMark/>
          </w:tcPr>
          <w:p w:rsidR="00EC2F5D" w:rsidRDefault="00EC2F5D" w:rsidP="002918F0">
            <w:pPr>
              <w:rPr>
                <w:color w:val="000000"/>
                <w:sz w:val="22"/>
                <w:szCs w:val="22"/>
              </w:rPr>
            </w:pPr>
            <w:r>
              <w:rPr>
                <w:color w:val="000000"/>
                <w:sz w:val="22"/>
                <w:szCs w:val="22"/>
              </w:rPr>
              <w:t>Evaluation of regional groups established by ITU study groups in order to avoid duplication and overlap.</w:t>
            </w:r>
          </w:p>
        </w:tc>
        <w:tc>
          <w:tcPr>
            <w:tcW w:w="1700" w:type="dxa"/>
            <w:tcBorders>
              <w:top w:val="nil"/>
              <w:left w:val="dotted" w:sz="4" w:space="0" w:color="auto"/>
              <w:bottom w:val="nil"/>
              <w:right w:val="dotted" w:sz="4" w:space="0" w:color="auto"/>
            </w:tcBorders>
            <w:shd w:val="clear" w:color="000000" w:fill="C6E0B4"/>
            <w:noWrap/>
            <w:vAlign w:val="bottom"/>
            <w:hideMark/>
          </w:tcPr>
          <w:p w:rsidR="00EC2F5D" w:rsidRDefault="00EC2F5D" w:rsidP="002918F0">
            <w:pPr>
              <w:rPr>
                <w:color w:val="000000"/>
                <w:sz w:val="22"/>
                <w:szCs w:val="22"/>
              </w:rPr>
            </w:pPr>
            <w:r>
              <w:rPr>
                <w:color w:val="000000"/>
                <w:sz w:val="22"/>
                <w:szCs w:val="22"/>
              </w:rPr>
              <w:t> </w:t>
            </w:r>
          </w:p>
        </w:tc>
        <w:tc>
          <w:tcPr>
            <w:tcW w:w="1700" w:type="dxa"/>
            <w:tcBorders>
              <w:top w:val="nil"/>
              <w:left w:val="nil"/>
              <w:bottom w:val="nil"/>
              <w:right w:val="nil"/>
            </w:tcBorders>
            <w:shd w:val="clear" w:color="000000" w:fill="C6E0B4"/>
            <w:noWrap/>
            <w:vAlign w:val="bottom"/>
            <w:hideMark/>
          </w:tcPr>
          <w:p w:rsidR="00EC2F5D" w:rsidRDefault="00EC2F5D" w:rsidP="002918F0">
            <w:pPr>
              <w:rPr>
                <w:color w:val="000000"/>
                <w:sz w:val="22"/>
                <w:szCs w:val="22"/>
              </w:rPr>
            </w:pPr>
            <w:r>
              <w:rPr>
                <w:color w:val="000000"/>
                <w:sz w:val="22"/>
                <w:szCs w:val="22"/>
              </w:rPr>
              <w:t> </w:t>
            </w:r>
          </w:p>
        </w:tc>
        <w:tc>
          <w:tcPr>
            <w:tcW w:w="1700" w:type="dxa"/>
            <w:tcBorders>
              <w:top w:val="nil"/>
              <w:left w:val="dotted" w:sz="4" w:space="0" w:color="auto"/>
              <w:bottom w:val="nil"/>
              <w:right w:val="dotted" w:sz="4" w:space="0" w:color="auto"/>
            </w:tcBorders>
            <w:shd w:val="clear" w:color="000000" w:fill="C6E0B4"/>
            <w:noWrap/>
            <w:vAlign w:val="bottom"/>
            <w:hideMark/>
          </w:tcPr>
          <w:p w:rsidR="00EC2F5D" w:rsidRDefault="00EC2F5D" w:rsidP="002918F0">
            <w:pPr>
              <w:rPr>
                <w:color w:val="000000"/>
                <w:sz w:val="22"/>
                <w:szCs w:val="22"/>
              </w:rPr>
            </w:pPr>
            <w:r>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rsidR="00EC2F5D" w:rsidRDefault="00EC2F5D" w:rsidP="002918F0">
            <w:pPr>
              <w:rPr>
                <w:color w:val="000000"/>
                <w:sz w:val="22"/>
                <w:szCs w:val="22"/>
              </w:rPr>
            </w:pPr>
            <w:r>
              <w:rPr>
                <w:color w:val="000000"/>
                <w:sz w:val="22"/>
                <w:szCs w:val="22"/>
              </w:rPr>
              <w:t> </w:t>
            </w:r>
          </w:p>
        </w:tc>
      </w:tr>
      <w:tr w:rsidR="00EC2F5D" w:rsidTr="002918F0">
        <w:trPr>
          <w:trHeight w:val="576"/>
        </w:trPr>
        <w:tc>
          <w:tcPr>
            <w:tcW w:w="620" w:type="dxa"/>
            <w:tcBorders>
              <w:top w:val="single" w:sz="4" w:space="0" w:color="auto"/>
              <w:left w:val="nil"/>
              <w:bottom w:val="single" w:sz="4" w:space="0" w:color="auto"/>
              <w:right w:val="nil"/>
            </w:tcBorders>
            <w:shd w:val="clear" w:color="000000" w:fill="DDEBF7"/>
            <w:noWrap/>
            <w:vAlign w:val="center"/>
            <w:hideMark/>
          </w:tcPr>
          <w:p w:rsidR="00EC2F5D" w:rsidRDefault="00EC2F5D" w:rsidP="002918F0">
            <w:pPr>
              <w:rPr>
                <w:color w:val="000000"/>
                <w:sz w:val="22"/>
                <w:szCs w:val="22"/>
              </w:rPr>
            </w:pPr>
            <w:r>
              <w:rPr>
                <w:color w:val="000000"/>
                <w:sz w:val="22"/>
                <w:szCs w:val="22"/>
              </w:rPr>
              <w:t>17</w:t>
            </w:r>
          </w:p>
        </w:tc>
        <w:tc>
          <w:tcPr>
            <w:tcW w:w="6480" w:type="dxa"/>
            <w:tcBorders>
              <w:top w:val="single" w:sz="4" w:space="0" w:color="auto"/>
              <w:left w:val="nil"/>
              <w:bottom w:val="single" w:sz="4" w:space="0" w:color="auto"/>
              <w:right w:val="nil"/>
            </w:tcBorders>
            <w:shd w:val="clear" w:color="000000" w:fill="DDEBF7"/>
            <w:vAlign w:val="center"/>
            <w:hideMark/>
          </w:tcPr>
          <w:p w:rsidR="00EC2F5D" w:rsidRDefault="00EC2F5D" w:rsidP="002918F0">
            <w:pPr>
              <w:rPr>
                <w:color w:val="000000"/>
                <w:sz w:val="22"/>
                <w:szCs w:val="22"/>
              </w:rPr>
            </w:pPr>
            <w:r>
              <w:rPr>
                <w:color w:val="000000"/>
                <w:sz w:val="22"/>
                <w:szCs w:val="22"/>
              </w:rPr>
              <w:t>Limitation of the number of days of meetings for the advisory groups to three days per year maximum with interpretation.</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EC2F5D" w:rsidRDefault="00EC2F5D" w:rsidP="002918F0">
            <w:pPr>
              <w:jc w:val="right"/>
              <w:rPr>
                <w:color w:val="000000"/>
                <w:sz w:val="22"/>
                <w:szCs w:val="22"/>
              </w:rPr>
            </w:pPr>
            <w:r>
              <w:rPr>
                <w:color w:val="000000"/>
                <w:sz w:val="22"/>
                <w:szCs w:val="22"/>
              </w:rPr>
              <w:t>176</w:t>
            </w:r>
          </w:p>
        </w:tc>
        <w:tc>
          <w:tcPr>
            <w:tcW w:w="1700" w:type="dxa"/>
            <w:tcBorders>
              <w:top w:val="single" w:sz="4" w:space="0" w:color="auto"/>
              <w:left w:val="nil"/>
              <w:bottom w:val="single" w:sz="4" w:space="0" w:color="auto"/>
              <w:right w:val="nil"/>
            </w:tcBorders>
            <w:shd w:val="clear" w:color="000000" w:fill="DDEBF7"/>
            <w:noWrap/>
            <w:vAlign w:val="bottom"/>
            <w:hideMark/>
          </w:tcPr>
          <w:p w:rsidR="00EC2F5D" w:rsidRDefault="00EC2F5D" w:rsidP="002918F0">
            <w:pPr>
              <w:rPr>
                <w:color w:val="000000"/>
                <w:sz w:val="22"/>
                <w:szCs w:val="22"/>
              </w:rPr>
            </w:pPr>
            <w:r>
              <w:rPr>
                <w:color w:val="000000"/>
                <w:sz w:val="22"/>
                <w:szCs w:val="22"/>
              </w:rPr>
              <w:t> </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EC2F5D" w:rsidRDefault="00EC2F5D" w:rsidP="002918F0">
            <w:pPr>
              <w:rPr>
                <w:color w:val="000000"/>
                <w:sz w:val="22"/>
                <w:szCs w:val="22"/>
              </w:rPr>
            </w:pPr>
            <w:r>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EC2F5D" w:rsidRDefault="00EC2F5D" w:rsidP="002918F0">
            <w:pPr>
              <w:jc w:val="right"/>
              <w:rPr>
                <w:color w:val="000000"/>
                <w:sz w:val="22"/>
                <w:szCs w:val="22"/>
              </w:rPr>
            </w:pPr>
            <w:r>
              <w:rPr>
                <w:color w:val="000000"/>
                <w:sz w:val="22"/>
                <w:szCs w:val="22"/>
              </w:rPr>
              <w:t>176</w:t>
            </w:r>
          </w:p>
        </w:tc>
      </w:tr>
      <w:tr w:rsidR="00EC2F5D" w:rsidTr="002918F0">
        <w:trPr>
          <w:trHeight w:val="576"/>
        </w:trPr>
        <w:tc>
          <w:tcPr>
            <w:tcW w:w="620" w:type="dxa"/>
            <w:tcBorders>
              <w:top w:val="nil"/>
              <w:left w:val="nil"/>
              <w:bottom w:val="nil"/>
              <w:right w:val="nil"/>
            </w:tcBorders>
            <w:shd w:val="clear" w:color="000000" w:fill="C6E0B4"/>
            <w:noWrap/>
            <w:vAlign w:val="center"/>
            <w:hideMark/>
          </w:tcPr>
          <w:p w:rsidR="00EC2F5D" w:rsidRDefault="00EC2F5D" w:rsidP="002918F0">
            <w:pPr>
              <w:rPr>
                <w:color w:val="000000"/>
                <w:sz w:val="22"/>
                <w:szCs w:val="22"/>
              </w:rPr>
            </w:pPr>
            <w:r>
              <w:rPr>
                <w:color w:val="000000"/>
                <w:sz w:val="22"/>
                <w:szCs w:val="22"/>
              </w:rPr>
              <w:t>18</w:t>
            </w:r>
          </w:p>
        </w:tc>
        <w:tc>
          <w:tcPr>
            <w:tcW w:w="6480" w:type="dxa"/>
            <w:tcBorders>
              <w:top w:val="nil"/>
              <w:left w:val="nil"/>
              <w:bottom w:val="nil"/>
              <w:right w:val="nil"/>
            </w:tcBorders>
            <w:shd w:val="clear" w:color="000000" w:fill="C6E0B4"/>
            <w:vAlign w:val="center"/>
            <w:hideMark/>
          </w:tcPr>
          <w:p w:rsidR="00EC2F5D" w:rsidRDefault="00EC2F5D" w:rsidP="002918F0">
            <w:pPr>
              <w:rPr>
                <w:color w:val="000000"/>
                <w:sz w:val="22"/>
                <w:szCs w:val="22"/>
              </w:rPr>
            </w:pPr>
            <w:r>
              <w:rPr>
                <w:color w:val="000000"/>
                <w:sz w:val="22"/>
                <w:szCs w:val="22"/>
              </w:rPr>
              <w:t>Reduction in the number and duration of physical meetings of the Council Working Groups, where possible.</w:t>
            </w:r>
          </w:p>
        </w:tc>
        <w:tc>
          <w:tcPr>
            <w:tcW w:w="1700" w:type="dxa"/>
            <w:tcBorders>
              <w:top w:val="nil"/>
              <w:left w:val="dotted" w:sz="4" w:space="0" w:color="auto"/>
              <w:bottom w:val="nil"/>
              <w:right w:val="dotted" w:sz="4" w:space="0" w:color="auto"/>
            </w:tcBorders>
            <w:shd w:val="clear" w:color="000000" w:fill="C6E0B4"/>
            <w:noWrap/>
            <w:vAlign w:val="bottom"/>
            <w:hideMark/>
          </w:tcPr>
          <w:p w:rsidR="00EC2F5D" w:rsidRDefault="00EC2F5D" w:rsidP="002918F0">
            <w:pPr>
              <w:rPr>
                <w:color w:val="000000"/>
                <w:sz w:val="22"/>
                <w:szCs w:val="22"/>
              </w:rPr>
            </w:pPr>
            <w:r>
              <w:rPr>
                <w:color w:val="000000"/>
                <w:sz w:val="22"/>
                <w:szCs w:val="22"/>
              </w:rPr>
              <w:t> </w:t>
            </w:r>
          </w:p>
        </w:tc>
        <w:tc>
          <w:tcPr>
            <w:tcW w:w="1700" w:type="dxa"/>
            <w:tcBorders>
              <w:top w:val="nil"/>
              <w:left w:val="nil"/>
              <w:bottom w:val="nil"/>
              <w:right w:val="nil"/>
            </w:tcBorders>
            <w:shd w:val="clear" w:color="000000" w:fill="C6E0B4"/>
            <w:noWrap/>
            <w:vAlign w:val="bottom"/>
            <w:hideMark/>
          </w:tcPr>
          <w:p w:rsidR="00EC2F5D" w:rsidRDefault="00EC2F5D" w:rsidP="002918F0">
            <w:pPr>
              <w:rPr>
                <w:color w:val="000000"/>
                <w:sz w:val="22"/>
                <w:szCs w:val="22"/>
              </w:rPr>
            </w:pPr>
            <w:r>
              <w:rPr>
                <w:color w:val="000000"/>
                <w:sz w:val="22"/>
                <w:szCs w:val="22"/>
              </w:rPr>
              <w:t> </w:t>
            </w:r>
          </w:p>
        </w:tc>
        <w:tc>
          <w:tcPr>
            <w:tcW w:w="1700" w:type="dxa"/>
            <w:tcBorders>
              <w:top w:val="nil"/>
              <w:left w:val="dotted" w:sz="4" w:space="0" w:color="auto"/>
              <w:bottom w:val="nil"/>
              <w:right w:val="dotted" w:sz="4" w:space="0" w:color="auto"/>
            </w:tcBorders>
            <w:shd w:val="clear" w:color="000000" w:fill="C6E0B4"/>
            <w:noWrap/>
            <w:vAlign w:val="bottom"/>
            <w:hideMark/>
          </w:tcPr>
          <w:p w:rsidR="00EC2F5D" w:rsidRDefault="00EC2F5D" w:rsidP="002918F0">
            <w:pPr>
              <w:rPr>
                <w:color w:val="000000"/>
                <w:sz w:val="22"/>
                <w:szCs w:val="22"/>
              </w:rPr>
            </w:pPr>
            <w:r>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rsidR="00EC2F5D" w:rsidRDefault="00EC2F5D" w:rsidP="002918F0">
            <w:pPr>
              <w:rPr>
                <w:color w:val="000000"/>
                <w:sz w:val="22"/>
                <w:szCs w:val="22"/>
              </w:rPr>
            </w:pPr>
            <w:r>
              <w:rPr>
                <w:color w:val="000000"/>
                <w:sz w:val="22"/>
                <w:szCs w:val="22"/>
              </w:rPr>
              <w:t> </w:t>
            </w:r>
          </w:p>
        </w:tc>
      </w:tr>
      <w:tr w:rsidR="00EC2F5D" w:rsidTr="002918F0">
        <w:trPr>
          <w:trHeight w:val="1152"/>
        </w:trPr>
        <w:tc>
          <w:tcPr>
            <w:tcW w:w="620" w:type="dxa"/>
            <w:tcBorders>
              <w:top w:val="single" w:sz="4" w:space="0" w:color="auto"/>
              <w:left w:val="nil"/>
              <w:bottom w:val="single" w:sz="4" w:space="0" w:color="auto"/>
              <w:right w:val="nil"/>
            </w:tcBorders>
            <w:shd w:val="clear" w:color="000000" w:fill="DDEBF7"/>
            <w:noWrap/>
            <w:vAlign w:val="center"/>
            <w:hideMark/>
          </w:tcPr>
          <w:p w:rsidR="00EC2F5D" w:rsidRDefault="00EC2F5D" w:rsidP="002918F0">
            <w:pPr>
              <w:rPr>
                <w:color w:val="000000"/>
                <w:sz w:val="22"/>
                <w:szCs w:val="22"/>
              </w:rPr>
            </w:pPr>
            <w:r>
              <w:rPr>
                <w:color w:val="000000"/>
                <w:sz w:val="22"/>
                <w:szCs w:val="22"/>
              </w:rPr>
              <w:t>19</w:t>
            </w:r>
          </w:p>
        </w:tc>
        <w:tc>
          <w:tcPr>
            <w:tcW w:w="6480" w:type="dxa"/>
            <w:tcBorders>
              <w:top w:val="single" w:sz="4" w:space="0" w:color="auto"/>
              <w:left w:val="nil"/>
              <w:bottom w:val="single" w:sz="4" w:space="0" w:color="auto"/>
              <w:right w:val="nil"/>
            </w:tcBorders>
            <w:shd w:val="clear" w:color="000000" w:fill="DDEBF7"/>
            <w:vAlign w:val="center"/>
            <w:hideMark/>
          </w:tcPr>
          <w:p w:rsidR="00EC2F5D" w:rsidRDefault="00EC2F5D" w:rsidP="002918F0">
            <w:pPr>
              <w:rPr>
                <w:color w:val="000000"/>
                <w:sz w:val="22"/>
                <w:szCs w:val="22"/>
              </w:rPr>
            </w:pPr>
            <w:r>
              <w:rPr>
                <w:color w:val="000000"/>
                <w:sz w:val="22"/>
                <w:szCs w:val="22"/>
              </w:rPr>
              <w:t>Reduction in the number of Council Working Groups to the absolute minimum necessary by combining them into a smaller number of groups, terminating their activities if no further development occurred on their scope of activities.</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EC2F5D" w:rsidRDefault="00EC2F5D" w:rsidP="002918F0">
            <w:pPr>
              <w:rPr>
                <w:color w:val="000000"/>
                <w:sz w:val="22"/>
                <w:szCs w:val="22"/>
              </w:rPr>
            </w:pPr>
            <w:r>
              <w:rPr>
                <w:color w:val="000000"/>
                <w:sz w:val="22"/>
                <w:szCs w:val="22"/>
              </w:rPr>
              <w:t> </w:t>
            </w:r>
          </w:p>
        </w:tc>
        <w:tc>
          <w:tcPr>
            <w:tcW w:w="1700" w:type="dxa"/>
            <w:tcBorders>
              <w:top w:val="single" w:sz="4" w:space="0" w:color="auto"/>
              <w:left w:val="nil"/>
              <w:bottom w:val="single" w:sz="4" w:space="0" w:color="auto"/>
              <w:right w:val="nil"/>
            </w:tcBorders>
            <w:shd w:val="clear" w:color="000000" w:fill="DDEBF7"/>
            <w:noWrap/>
            <w:vAlign w:val="bottom"/>
            <w:hideMark/>
          </w:tcPr>
          <w:p w:rsidR="00EC2F5D" w:rsidRDefault="00EC2F5D" w:rsidP="002918F0">
            <w:pPr>
              <w:rPr>
                <w:color w:val="000000"/>
                <w:sz w:val="22"/>
                <w:szCs w:val="22"/>
              </w:rPr>
            </w:pPr>
            <w:r>
              <w:rPr>
                <w:color w:val="000000"/>
                <w:sz w:val="22"/>
                <w:szCs w:val="22"/>
              </w:rPr>
              <w:t> </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EC2F5D" w:rsidRDefault="00EC2F5D" w:rsidP="002918F0">
            <w:pPr>
              <w:rPr>
                <w:color w:val="000000"/>
                <w:sz w:val="22"/>
                <w:szCs w:val="22"/>
              </w:rPr>
            </w:pPr>
            <w:r>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EC2F5D" w:rsidRDefault="00EC2F5D" w:rsidP="002918F0">
            <w:pPr>
              <w:rPr>
                <w:color w:val="000000"/>
                <w:sz w:val="22"/>
                <w:szCs w:val="22"/>
              </w:rPr>
            </w:pPr>
            <w:r>
              <w:rPr>
                <w:color w:val="000000"/>
                <w:sz w:val="22"/>
                <w:szCs w:val="22"/>
              </w:rPr>
              <w:t> </w:t>
            </w:r>
          </w:p>
        </w:tc>
      </w:tr>
      <w:tr w:rsidR="00EC2F5D" w:rsidTr="002918F0">
        <w:trPr>
          <w:trHeight w:val="864"/>
        </w:trPr>
        <w:tc>
          <w:tcPr>
            <w:tcW w:w="620" w:type="dxa"/>
            <w:tcBorders>
              <w:top w:val="nil"/>
              <w:left w:val="nil"/>
              <w:bottom w:val="nil"/>
              <w:right w:val="nil"/>
            </w:tcBorders>
            <w:shd w:val="clear" w:color="000000" w:fill="C6E0B4"/>
            <w:noWrap/>
            <w:vAlign w:val="center"/>
            <w:hideMark/>
          </w:tcPr>
          <w:p w:rsidR="00EC2F5D" w:rsidRDefault="00EC2F5D" w:rsidP="002918F0">
            <w:pPr>
              <w:rPr>
                <w:color w:val="000000"/>
                <w:sz w:val="22"/>
                <w:szCs w:val="22"/>
              </w:rPr>
            </w:pPr>
            <w:r>
              <w:rPr>
                <w:color w:val="000000"/>
                <w:sz w:val="22"/>
                <w:szCs w:val="22"/>
              </w:rPr>
              <w:t>20</w:t>
            </w:r>
          </w:p>
        </w:tc>
        <w:tc>
          <w:tcPr>
            <w:tcW w:w="6480" w:type="dxa"/>
            <w:tcBorders>
              <w:top w:val="nil"/>
              <w:left w:val="nil"/>
              <w:bottom w:val="nil"/>
              <w:right w:val="nil"/>
            </w:tcBorders>
            <w:shd w:val="clear" w:color="000000" w:fill="C6E0B4"/>
            <w:vAlign w:val="center"/>
            <w:hideMark/>
          </w:tcPr>
          <w:p w:rsidR="00EC2F5D" w:rsidRDefault="00EC2F5D" w:rsidP="002918F0">
            <w:pPr>
              <w:rPr>
                <w:color w:val="000000"/>
                <w:sz w:val="22"/>
                <w:szCs w:val="22"/>
              </w:rPr>
            </w:pPr>
            <w:r>
              <w:rPr>
                <w:color w:val="000000"/>
                <w:sz w:val="22"/>
                <w:szCs w:val="22"/>
              </w:rPr>
              <w:t>Regular assessment of the level of achievement of the strategic goals, objectives and outputs with a view to increasing efficiency by the reallocation of budget, when necessary.</w:t>
            </w:r>
          </w:p>
        </w:tc>
        <w:tc>
          <w:tcPr>
            <w:tcW w:w="1700" w:type="dxa"/>
            <w:tcBorders>
              <w:top w:val="nil"/>
              <w:left w:val="dotted" w:sz="4" w:space="0" w:color="auto"/>
              <w:bottom w:val="nil"/>
              <w:right w:val="dotted" w:sz="4" w:space="0" w:color="auto"/>
            </w:tcBorders>
            <w:shd w:val="clear" w:color="000000" w:fill="C6E0B4"/>
            <w:noWrap/>
            <w:vAlign w:val="bottom"/>
            <w:hideMark/>
          </w:tcPr>
          <w:p w:rsidR="00EC2F5D" w:rsidRDefault="00EC2F5D" w:rsidP="002918F0">
            <w:pPr>
              <w:rPr>
                <w:color w:val="000000"/>
                <w:sz w:val="22"/>
                <w:szCs w:val="22"/>
              </w:rPr>
            </w:pPr>
            <w:r>
              <w:rPr>
                <w:color w:val="000000"/>
                <w:sz w:val="22"/>
                <w:szCs w:val="22"/>
              </w:rPr>
              <w:t> </w:t>
            </w:r>
          </w:p>
        </w:tc>
        <w:tc>
          <w:tcPr>
            <w:tcW w:w="1700" w:type="dxa"/>
            <w:tcBorders>
              <w:top w:val="nil"/>
              <w:left w:val="nil"/>
              <w:bottom w:val="nil"/>
              <w:right w:val="nil"/>
            </w:tcBorders>
            <w:shd w:val="clear" w:color="000000" w:fill="C6E0B4"/>
            <w:noWrap/>
            <w:vAlign w:val="bottom"/>
            <w:hideMark/>
          </w:tcPr>
          <w:p w:rsidR="00EC2F5D" w:rsidRDefault="00EC2F5D" w:rsidP="002918F0">
            <w:pPr>
              <w:rPr>
                <w:color w:val="000000"/>
                <w:sz w:val="22"/>
                <w:szCs w:val="22"/>
              </w:rPr>
            </w:pPr>
            <w:r>
              <w:rPr>
                <w:color w:val="000000"/>
                <w:sz w:val="22"/>
                <w:szCs w:val="22"/>
              </w:rPr>
              <w:t> </w:t>
            </w:r>
          </w:p>
        </w:tc>
        <w:tc>
          <w:tcPr>
            <w:tcW w:w="1700" w:type="dxa"/>
            <w:tcBorders>
              <w:top w:val="nil"/>
              <w:left w:val="dotted" w:sz="4" w:space="0" w:color="auto"/>
              <w:bottom w:val="nil"/>
              <w:right w:val="dotted" w:sz="4" w:space="0" w:color="auto"/>
            </w:tcBorders>
            <w:shd w:val="clear" w:color="000000" w:fill="C6E0B4"/>
            <w:noWrap/>
            <w:vAlign w:val="bottom"/>
            <w:hideMark/>
          </w:tcPr>
          <w:p w:rsidR="00EC2F5D" w:rsidRDefault="00EC2F5D" w:rsidP="002918F0">
            <w:pPr>
              <w:rPr>
                <w:color w:val="000000"/>
                <w:sz w:val="22"/>
                <w:szCs w:val="22"/>
              </w:rPr>
            </w:pPr>
            <w:r>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rsidR="00EC2F5D" w:rsidRDefault="00EC2F5D" w:rsidP="002918F0">
            <w:pPr>
              <w:rPr>
                <w:color w:val="000000"/>
                <w:sz w:val="22"/>
                <w:szCs w:val="22"/>
              </w:rPr>
            </w:pPr>
            <w:r>
              <w:rPr>
                <w:color w:val="000000"/>
                <w:sz w:val="22"/>
                <w:szCs w:val="22"/>
              </w:rPr>
              <w:t> </w:t>
            </w:r>
          </w:p>
        </w:tc>
      </w:tr>
      <w:tr w:rsidR="00EC2F5D" w:rsidTr="002918F0">
        <w:trPr>
          <w:trHeight w:val="1152"/>
        </w:trPr>
        <w:tc>
          <w:tcPr>
            <w:tcW w:w="620" w:type="dxa"/>
            <w:tcBorders>
              <w:top w:val="single" w:sz="4" w:space="0" w:color="auto"/>
              <w:left w:val="nil"/>
              <w:bottom w:val="single" w:sz="4" w:space="0" w:color="auto"/>
              <w:right w:val="nil"/>
            </w:tcBorders>
            <w:shd w:val="clear" w:color="000000" w:fill="DDEBF7"/>
            <w:noWrap/>
            <w:vAlign w:val="center"/>
            <w:hideMark/>
          </w:tcPr>
          <w:p w:rsidR="00EC2F5D" w:rsidRDefault="00EC2F5D" w:rsidP="002918F0">
            <w:pPr>
              <w:rPr>
                <w:color w:val="000000"/>
                <w:sz w:val="22"/>
                <w:szCs w:val="22"/>
              </w:rPr>
            </w:pPr>
            <w:r>
              <w:rPr>
                <w:color w:val="000000"/>
                <w:sz w:val="22"/>
                <w:szCs w:val="22"/>
              </w:rPr>
              <w:t>21</w:t>
            </w:r>
          </w:p>
        </w:tc>
        <w:tc>
          <w:tcPr>
            <w:tcW w:w="6480" w:type="dxa"/>
            <w:tcBorders>
              <w:top w:val="single" w:sz="4" w:space="0" w:color="auto"/>
              <w:left w:val="nil"/>
              <w:bottom w:val="single" w:sz="4" w:space="0" w:color="auto"/>
              <w:right w:val="nil"/>
            </w:tcBorders>
            <w:shd w:val="clear" w:color="000000" w:fill="DDEBF7"/>
            <w:vAlign w:val="center"/>
            <w:hideMark/>
          </w:tcPr>
          <w:p w:rsidR="00EC2F5D" w:rsidRDefault="00EC2F5D" w:rsidP="002918F0">
            <w:pPr>
              <w:rPr>
                <w:color w:val="000000"/>
                <w:sz w:val="22"/>
                <w:szCs w:val="22"/>
              </w:rPr>
            </w:pPr>
            <w:r>
              <w:rPr>
                <w:color w:val="000000"/>
                <w:sz w:val="22"/>
                <w:szCs w:val="22"/>
              </w:rPr>
              <w:t>For new activities or those having additional financial resource implications, a “value-added” assessment shall be made in order to justify how the proposed activities differ from current and/or similar activities and to avoid overlap and duplication.</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EC2F5D" w:rsidRDefault="00EC2F5D" w:rsidP="002918F0">
            <w:pPr>
              <w:rPr>
                <w:color w:val="000000"/>
                <w:sz w:val="22"/>
                <w:szCs w:val="22"/>
              </w:rPr>
            </w:pPr>
            <w:r>
              <w:rPr>
                <w:color w:val="000000"/>
                <w:sz w:val="22"/>
                <w:szCs w:val="22"/>
              </w:rPr>
              <w:t> </w:t>
            </w:r>
          </w:p>
        </w:tc>
        <w:tc>
          <w:tcPr>
            <w:tcW w:w="1700" w:type="dxa"/>
            <w:tcBorders>
              <w:top w:val="single" w:sz="4" w:space="0" w:color="auto"/>
              <w:left w:val="nil"/>
              <w:bottom w:val="single" w:sz="4" w:space="0" w:color="auto"/>
              <w:right w:val="nil"/>
            </w:tcBorders>
            <w:shd w:val="clear" w:color="000000" w:fill="DDEBF7"/>
            <w:noWrap/>
            <w:vAlign w:val="bottom"/>
            <w:hideMark/>
          </w:tcPr>
          <w:p w:rsidR="00EC2F5D" w:rsidRDefault="00EC2F5D" w:rsidP="002918F0">
            <w:pPr>
              <w:rPr>
                <w:color w:val="000000"/>
                <w:sz w:val="22"/>
                <w:szCs w:val="22"/>
              </w:rPr>
            </w:pPr>
            <w:r>
              <w:rPr>
                <w:color w:val="000000"/>
                <w:sz w:val="22"/>
                <w:szCs w:val="22"/>
              </w:rPr>
              <w:t> </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EC2F5D" w:rsidRDefault="00EC2F5D" w:rsidP="002918F0">
            <w:pPr>
              <w:rPr>
                <w:color w:val="000000"/>
                <w:sz w:val="22"/>
                <w:szCs w:val="22"/>
              </w:rPr>
            </w:pPr>
            <w:r>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EC2F5D" w:rsidRDefault="00EC2F5D" w:rsidP="002918F0">
            <w:pPr>
              <w:rPr>
                <w:color w:val="000000"/>
                <w:sz w:val="22"/>
                <w:szCs w:val="22"/>
              </w:rPr>
            </w:pPr>
            <w:r>
              <w:rPr>
                <w:color w:val="000000"/>
                <w:sz w:val="22"/>
                <w:szCs w:val="22"/>
              </w:rPr>
              <w:t> </w:t>
            </w:r>
          </w:p>
        </w:tc>
      </w:tr>
    </w:tbl>
    <w:p w:rsidR="00EC2F5D" w:rsidRDefault="00EC2F5D" w:rsidP="00EC2F5D">
      <w:pPr>
        <w:tabs>
          <w:tab w:val="clear" w:pos="567"/>
          <w:tab w:val="clear" w:pos="1134"/>
          <w:tab w:val="clear" w:pos="1701"/>
          <w:tab w:val="clear" w:pos="2268"/>
          <w:tab w:val="clear" w:pos="2835"/>
        </w:tabs>
        <w:overflowPunct/>
        <w:autoSpaceDE/>
        <w:autoSpaceDN/>
        <w:adjustRightInd/>
        <w:spacing w:before="0"/>
        <w:textAlignment w:val="auto"/>
        <w:rPr>
          <w:szCs w:val="24"/>
        </w:rPr>
      </w:pPr>
      <w:r>
        <w:rPr>
          <w:szCs w:val="24"/>
        </w:rPr>
        <w:br w:type="page"/>
      </w:r>
    </w:p>
    <w:tbl>
      <w:tblPr>
        <w:tblW w:w="13901" w:type="dxa"/>
        <w:tblLook w:val="04A0" w:firstRow="1" w:lastRow="0" w:firstColumn="1" w:lastColumn="0" w:noHBand="0" w:noVBand="1"/>
      </w:tblPr>
      <w:tblGrid>
        <w:gridCol w:w="620"/>
        <w:gridCol w:w="6480"/>
        <w:gridCol w:w="1700"/>
        <w:gridCol w:w="1700"/>
        <w:gridCol w:w="1700"/>
        <w:gridCol w:w="1701"/>
      </w:tblGrid>
      <w:tr w:rsidR="00EC2F5D" w:rsidRPr="00283CC7" w:rsidTr="002918F0">
        <w:trPr>
          <w:trHeight w:val="288"/>
        </w:trPr>
        <w:tc>
          <w:tcPr>
            <w:tcW w:w="620" w:type="dxa"/>
            <w:tcBorders>
              <w:top w:val="nil"/>
              <w:left w:val="nil"/>
              <w:bottom w:val="nil"/>
              <w:right w:val="nil"/>
            </w:tcBorders>
            <w:shd w:val="clear" w:color="auto" w:fill="8DB3E2" w:themeFill="text2" w:themeFillTint="66"/>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szCs w:val="24"/>
                <w:lang w:eastAsia="zh-CN"/>
              </w:rPr>
            </w:pPr>
          </w:p>
        </w:tc>
        <w:tc>
          <w:tcPr>
            <w:tcW w:w="6480" w:type="dxa"/>
            <w:tcBorders>
              <w:top w:val="nil"/>
              <w:left w:val="nil"/>
              <w:bottom w:val="nil"/>
              <w:right w:val="nil"/>
            </w:tcBorders>
            <w:shd w:val="clear" w:color="auto" w:fill="8DB3E2" w:themeFill="text2" w:themeFillTint="66"/>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6801" w:type="dxa"/>
            <w:gridSpan w:val="4"/>
            <w:tcBorders>
              <w:top w:val="nil"/>
              <w:left w:val="nil"/>
              <w:bottom w:val="nil"/>
              <w:right w:val="nil"/>
            </w:tcBorders>
            <w:shd w:val="clear" w:color="auto" w:fill="8DB3E2" w:themeFill="text2" w:themeFillTint="66"/>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jc w:val="center"/>
              <w:textAlignment w:val="auto"/>
              <w:rPr>
                <w:i/>
                <w:iCs/>
                <w:color w:val="000000"/>
                <w:sz w:val="18"/>
                <w:szCs w:val="18"/>
                <w:lang w:eastAsia="zh-CN"/>
              </w:rPr>
            </w:pPr>
            <w:r w:rsidRPr="00283CC7">
              <w:rPr>
                <w:i/>
                <w:iCs/>
                <w:color w:val="000000"/>
                <w:sz w:val="18"/>
                <w:szCs w:val="18"/>
                <w:lang w:eastAsia="zh-CN"/>
              </w:rPr>
              <w:t>KCHF</w:t>
            </w:r>
          </w:p>
        </w:tc>
      </w:tr>
      <w:tr w:rsidR="00EC2F5D" w:rsidTr="002918F0">
        <w:trPr>
          <w:trHeight w:val="272"/>
        </w:trPr>
        <w:tc>
          <w:tcPr>
            <w:tcW w:w="620" w:type="dxa"/>
            <w:tcBorders>
              <w:top w:val="nil"/>
              <w:left w:val="nil"/>
              <w:bottom w:val="nil"/>
              <w:right w:val="nil"/>
            </w:tcBorders>
            <w:shd w:val="clear" w:color="auto" w:fill="8DB3E2" w:themeFill="text2" w:themeFillTint="66"/>
            <w:noWrap/>
            <w:vAlign w:val="center"/>
          </w:tcPr>
          <w:p w:rsidR="00EC2F5D" w:rsidRDefault="00EC2F5D" w:rsidP="002918F0">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eastAsia="zh-CN"/>
              </w:rPr>
            </w:pPr>
          </w:p>
        </w:tc>
        <w:tc>
          <w:tcPr>
            <w:tcW w:w="6480" w:type="dxa"/>
            <w:tcBorders>
              <w:top w:val="nil"/>
              <w:left w:val="nil"/>
              <w:bottom w:val="nil"/>
              <w:right w:val="nil"/>
            </w:tcBorders>
            <w:shd w:val="clear" w:color="auto" w:fill="8DB3E2" w:themeFill="text2" w:themeFillTint="66"/>
            <w:vAlign w:val="center"/>
          </w:tcPr>
          <w:p w:rsidR="00EC2F5D" w:rsidRDefault="00EC2F5D" w:rsidP="002918F0">
            <w:pPr>
              <w:jc w:val="center"/>
              <w:rPr>
                <w:color w:val="000000"/>
                <w:sz w:val="22"/>
                <w:szCs w:val="22"/>
              </w:rPr>
            </w:pPr>
            <w:r w:rsidRPr="00283CC7">
              <w:rPr>
                <w:color w:val="000000"/>
                <w:sz w:val="22"/>
                <w:szCs w:val="22"/>
                <w:lang w:eastAsia="zh-CN"/>
              </w:rPr>
              <w:t>Efficiency measures</w:t>
            </w:r>
            <w:r>
              <w:rPr>
                <w:color w:val="000000"/>
                <w:sz w:val="22"/>
                <w:szCs w:val="22"/>
                <w:lang w:eastAsia="zh-CN"/>
              </w:rPr>
              <w:t xml:space="preserve"> (PP14 Decision 5 – Annex 2)</w:t>
            </w:r>
          </w:p>
        </w:tc>
        <w:tc>
          <w:tcPr>
            <w:tcW w:w="1700" w:type="dxa"/>
            <w:tcBorders>
              <w:top w:val="nil"/>
              <w:left w:val="dotted" w:sz="4" w:space="0" w:color="auto"/>
              <w:bottom w:val="nil"/>
              <w:right w:val="dotted" w:sz="4" w:space="0" w:color="auto"/>
            </w:tcBorders>
            <w:shd w:val="clear" w:color="auto" w:fill="8DB3E2" w:themeFill="text2" w:themeFillTint="66"/>
            <w:noWrap/>
            <w:vAlign w:val="bottom"/>
          </w:tcPr>
          <w:p w:rsidR="00EC2F5D" w:rsidRDefault="00EC2F5D" w:rsidP="002918F0">
            <w:pPr>
              <w:jc w:val="center"/>
              <w:rPr>
                <w:color w:val="000000"/>
                <w:sz w:val="22"/>
                <w:szCs w:val="22"/>
              </w:rPr>
            </w:pPr>
            <w:r w:rsidRPr="00283CC7">
              <w:rPr>
                <w:color w:val="000000"/>
                <w:sz w:val="22"/>
                <w:szCs w:val="22"/>
                <w:lang w:eastAsia="zh-CN"/>
              </w:rPr>
              <w:t>2014-2015</w:t>
            </w:r>
          </w:p>
        </w:tc>
        <w:tc>
          <w:tcPr>
            <w:tcW w:w="1700" w:type="dxa"/>
            <w:tcBorders>
              <w:top w:val="nil"/>
              <w:left w:val="nil"/>
              <w:bottom w:val="nil"/>
              <w:right w:val="nil"/>
            </w:tcBorders>
            <w:shd w:val="clear" w:color="auto" w:fill="8DB3E2" w:themeFill="text2" w:themeFillTint="66"/>
            <w:noWrap/>
            <w:vAlign w:val="bottom"/>
          </w:tcPr>
          <w:p w:rsidR="00EC2F5D" w:rsidRDefault="00EC2F5D" w:rsidP="002918F0">
            <w:pPr>
              <w:jc w:val="center"/>
              <w:rPr>
                <w:color w:val="000000"/>
                <w:sz w:val="22"/>
                <w:szCs w:val="22"/>
              </w:rPr>
            </w:pPr>
            <w:r w:rsidRPr="00283CC7">
              <w:rPr>
                <w:color w:val="000000"/>
                <w:sz w:val="22"/>
                <w:szCs w:val="22"/>
                <w:lang w:eastAsia="zh-CN"/>
              </w:rPr>
              <w:t>2016-2017</w:t>
            </w:r>
          </w:p>
        </w:tc>
        <w:tc>
          <w:tcPr>
            <w:tcW w:w="1700" w:type="dxa"/>
            <w:tcBorders>
              <w:top w:val="nil"/>
              <w:left w:val="dotted" w:sz="4" w:space="0" w:color="auto"/>
              <w:bottom w:val="nil"/>
              <w:right w:val="dotted" w:sz="4" w:space="0" w:color="auto"/>
            </w:tcBorders>
            <w:shd w:val="clear" w:color="auto" w:fill="8DB3E2" w:themeFill="text2" w:themeFillTint="66"/>
            <w:noWrap/>
            <w:vAlign w:val="bottom"/>
          </w:tcPr>
          <w:p w:rsidR="00EC2F5D" w:rsidRDefault="00EC2F5D" w:rsidP="002918F0">
            <w:pPr>
              <w:jc w:val="center"/>
              <w:rPr>
                <w:color w:val="000000"/>
                <w:sz w:val="22"/>
                <w:szCs w:val="22"/>
              </w:rPr>
            </w:pPr>
            <w:r w:rsidRPr="00283CC7">
              <w:rPr>
                <w:color w:val="000000"/>
                <w:sz w:val="22"/>
                <w:szCs w:val="22"/>
                <w:lang w:eastAsia="zh-CN"/>
              </w:rPr>
              <w:t>2018-2019</w:t>
            </w:r>
          </w:p>
        </w:tc>
        <w:tc>
          <w:tcPr>
            <w:tcW w:w="1701" w:type="dxa"/>
            <w:tcBorders>
              <w:top w:val="nil"/>
              <w:left w:val="nil"/>
              <w:bottom w:val="nil"/>
              <w:right w:val="dotted" w:sz="4" w:space="0" w:color="auto"/>
            </w:tcBorders>
            <w:shd w:val="clear" w:color="auto" w:fill="8DB3E2" w:themeFill="text2" w:themeFillTint="66"/>
            <w:noWrap/>
            <w:vAlign w:val="bottom"/>
          </w:tcPr>
          <w:p w:rsidR="00EC2F5D" w:rsidRDefault="00EC2F5D" w:rsidP="002918F0">
            <w:pPr>
              <w:jc w:val="center"/>
              <w:rPr>
                <w:color w:val="000000"/>
                <w:sz w:val="22"/>
                <w:szCs w:val="22"/>
              </w:rPr>
            </w:pPr>
            <w:r w:rsidRPr="00283CC7">
              <w:rPr>
                <w:color w:val="000000"/>
                <w:sz w:val="22"/>
                <w:szCs w:val="22"/>
                <w:lang w:eastAsia="zh-CN"/>
              </w:rPr>
              <w:t>Total</w:t>
            </w:r>
          </w:p>
        </w:tc>
      </w:tr>
      <w:tr w:rsidR="00EC2F5D" w:rsidTr="002918F0">
        <w:trPr>
          <w:trHeight w:val="1440"/>
        </w:trPr>
        <w:tc>
          <w:tcPr>
            <w:tcW w:w="620" w:type="dxa"/>
            <w:tcBorders>
              <w:top w:val="nil"/>
              <w:left w:val="nil"/>
              <w:bottom w:val="nil"/>
              <w:right w:val="nil"/>
            </w:tcBorders>
            <w:shd w:val="clear" w:color="000000" w:fill="C6E0B4"/>
            <w:noWrap/>
            <w:vAlign w:val="center"/>
            <w:hideMark/>
          </w:tcPr>
          <w:p w:rsidR="00EC2F5D" w:rsidRDefault="00EC2F5D" w:rsidP="002918F0">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Pr>
                <w:color w:val="000000"/>
                <w:sz w:val="22"/>
                <w:szCs w:val="22"/>
              </w:rPr>
              <w:t>22</w:t>
            </w:r>
          </w:p>
        </w:tc>
        <w:tc>
          <w:tcPr>
            <w:tcW w:w="6480" w:type="dxa"/>
            <w:tcBorders>
              <w:top w:val="nil"/>
              <w:left w:val="nil"/>
              <w:bottom w:val="nil"/>
              <w:right w:val="nil"/>
            </w:tcBorders>
            <w:shd w:val="clear" w:color="000000" w:fill="C6E0B4"/>
            <w:vAlign w:val="center"/>
            <w:hideMark/>
          </w:tcPr>
          <w:p w:rsidR="00EC2F5D" w:rsidRDefault="00EC2F5D" w:rsidP="002918F0">
            <w:pPr>
              <w:rPr>
                <w:color w:val="000000"/>
                <w:sz w:val="22"/>
                <w:szCs w:val="22"/>
              </w:rPr>
            </w:pPr>
            <w:r>
              <w:rPr>
                <w:color w:val="000000"/>
                <w:sz w:val="22"/>
                <w:szCs w:val="22"/>
              </w:rPr>
              <w:t>Sound consideration of the size, location and resources allocated to regional initiatives, outputs and assistance to members, to the regional presence both in the regions and at headquarters, as well as those resulting from the outcome of WTDC and the Dubai Action Plan, and financed directly as activities from the Sector budget.</w:t>
            </w:r>
          </w:p>
        </w:tc>
        <w:tc>
          <w:tcPr>
            <w:tcW w:w="1700" w:type="dxa"/>
            <w:tcBorders>
              <w:top w:val="nil"/>
              <w:left w:val="dotted" w:sz="4" w:space="0" w:color="auto"/>
              <w:bottom w:val="nil"/>
              <w:right w:val="dotted" w:sz="4" w:space="0" w:color="auto"/>
            </w:tcBorders>
            <w:shd w:val="clear" w:color="000000" w:fill="C6E0B4"/>
            <w:noWrap/>
            <w:vAlign w:val="bottom"/>
            <w:hideMark/>
          </w:tcPr>
          <w:p w:rsidR="00EC2F5D" w:rsidRDefault="00EC2F5D" w:rsidP="002918F0">
            <w:pPr>
              <w:jc w:val="right"/>
              <w:rPr>
                <w:color w:val="000000"/>
                <w:sz w:val="22"/>
                <w:szCs w:val="22"/>
              </w:rPr>
            </w:pPr>
            <w:r>
              <w:rPr>
                <w:color w:val="000000"/>
                <w:sz w:val="22"/>
                <w:szCs w:val="22"/>
              </w:rPr>
              <w:t>572</w:t>
            </w:r>
          </w:p>
        </w:tc>
        <w:tc>
          <w:tcPr>
            <w:tcW w:w="1700" w:type="dxa"/>
            <w:tcBorders>
              <w:top w:val="nil"/>
              <w:left w:val="nil"/>
              <w:bottom w:val="nil"/>
              <w:right w:val="nil"/>
            </w:tcBorders>
            <w:shd w:val="clear" w:color="000000" w:fill="C6E0B4"/>
            <w:noWrap/>
            <w:vAlign w:val="bottom"/>
            <w:hideMark/>
          </w:tcPr>
          <w:p w:rsidR="00EC2F5D" w:rsidRDefault="00EC2F5D" w:rsidP="002918F0">
            <w:pPr>
              <w:jc w:val="right"/>
              <w:rPr>
                <w:color w:val="000000"/>
                <w:sz w:val="22"/>
                <w:szCs w:val="22"/>
              </w:rPr>
            </w:pPr>
            <w:r>
              <w:rPr>
                <w:color w:val="000000"/>
                <w:sz w:val="22"/>
                <w:szCs w:val="22"/>
              </w:rPr>
              <w:t>1,100</w:t>
            </w:r>
          </w:p>
        </w:tc>
        <w:tc>
          <w:tcPr>
            <w:tcW w:w="1700" w:type="dxa"/>
            <w:tcBorders>
              <w:top w:val="nil"/>
              <w:left w:val="dotted" w:sz="4" w:space="0" w:color="auto"/>
              <w:bottom w:val="nil"/>
              <w:right w:val="dotted" w:sz="4" w:space="0" w:color="auto"/>
            </w:tcBorders>
            <w:shd w:val="clear" w:color="000000" w:fill="C6E0B4"/>
            <w:noWrap/>
            <w:vAlign w:val="bottom"/>
            <w:hideMark/>
          </w:tcPr>
          <w:p w:rsidR="00EC2F5D" w:rsidRDefault="00EC2F5D" w:rsidP="002918F0">
            <w:pPr>
              <w:rPr>
                <w:color w:val="000000"/>
                <w:sz w:val="22"/>
                <w:szCs w:val="22"/>
              </w:rPr>
            </w:pPr>
            <w:r>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rsidR="00EC2F5D" w:rsidRDefault="00EC2F5D" w:rsidP="002918F0">
            <w:pPr>
              <w:jc w:val="right"/>
              <w:rPr>
                <w:color w:val="000000"/>
                <w:sz w:val="22"/>
                <w:szCs w:val="22"/>
              </w:rPr>
            </w:pPr>
            <w:r>
              <w:rPr>
                <w:color w:val="000000"/>
                <w:sz w:val="22"/>
                <w:szCs w:val="22"/>
              </w:rPr>
              <w:t>1,672</w:t>
            </w:r>
          </w:p>
        </w:tc>
      </w:tr>
      <w:tr w:rsidR="00EC2F5D" w:rsidTr="002918F0">
        <w:trPr>
          <w:trHeight w:val="3168"/>
        </w:trPr>
        <w:tc>
          <w:tcPr>
            <w:tcW w:w="620" w:type="dxa"/>
            <w:tcBorders>
              <w:top w:val="single" w:sz="4" w:space="0" w:color="auto"/>
              <w:left w:val="nil"/>
              <w:bottom w:val="single" w:sz="4" w:space="0" w:color="auto"/>
              <w:right w:val="nil"/>
            </w:tcBorders>
            <w:shd w:val="clear" w:color="000000" w:fill="DDEBF7"/>
            <w:noWrap/>
            <w:vAlign w:val="center"/>
            <w:hideMark/>
          </w:tcPr>
          <w:p w:rsidR="00EC2F5D" w:rsidRDefault="00EC2F5D" w:rsidP="002918F0">
            <w:pPr>
              <w:rPr>
                <w:color w:val="000000"/>
                <w:sz w:val="22"/>
                <w:szCs w:val="22"/>
              </w:rPr>
            </w:pPr>
            <w:r>
              <w:rPr>
                <w:color w:val="000000"/>
                <w:sz w:val="22"/>
                <w:szCs w:val="22"/>
              </w:rPr>
              <w:t>23</w:t>
            </w:r>
          </w:p>
        </w:tc>
        <w:tc>
          <w:tcPr>
            <w:tcW w:w="6480" w:type="dxa"/>
            <w:tcBorders>
              <w:top w:val="single" w:sz="4" w:space="0" w:color="auto"/>
              <w:left w:val="nil"/>
              <w:bottom w:val="single" w:sz="4" w:space="0" w:color="auto"/>
              <w:right w:val="nil"/>
            </w:tcBorders>
            <w:shd w:val="clear" w:color="000000" w:fill="DDEBF7"/>
            <w:vAlign w:val="center"/>
            <w:hideMark/>
          </w:tcPr>
          <w:p w:rsidR="00EC2F5D" w:rsidRDefault="00EC2F5D" w:rsidP="002918F0">
            <w:pPr>
              <w:rPr>
                <w:color w:val="000000"/>
                <w:sz w:val="22"/>
                <w:szCs w:val="22"/>
              </w:rPr>
            </w:pPr>
            <w:r>
              <w:rPr>
                <w:color w:val="000000"/>
                <w:sz w:val="22"/>
                <w:szCs w:val="22"/>
              </w:rPr>
              <w:t>Reduction in the cost of travel on duty, by developing and implementing criteria in order to reduce travel costs. The criteria should consider and aim at minimizing business travel, increasing the minimum number of hours requirement for flying business class, increasing the notice for travel towards 30 days, reducing the extra daily subsistence allowance (DSA) as far as possible, prioritizing the allocation of staff from the regional and area offices, by limiting time on mission as well as through joint representation in meetings, rationalizing the number of staff sent on mission from various departments/divisions of the General Secretariat and the three Bureaux.</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EC2F5D" w:rsidRDefault="00EC2F5D" w:rsidP="002918F0">
            <w:pPr>
              <w:jc w:val="right"/>
              <w:rPr>
                <w:color w:val="000000"/>
                <w:sz w:val="22"/>
                <w:szCs w:val="22"/>
              </w:rPr>
            </w:pPr>
            <w:r>
              <w:rPr>
                <w:color w:val="000000"/>
                <w:sz w:val="22"/>
                <w:szCs w:val="22"/>
              </w:rPr>
              <w:t>1,472</w:t>
            </w:r>
          </w:p>
        </w:tc>
        <w:tc>
          <w:tcPr>
            <w:tcW w:w="1700" w:type="dxa"/>
            <w:tcBorders>
              <w:top w:val="single" w:sz="4" w:space="0" w:color="auto"/>
              <w:left w:val="nil"/>
              <w:bottom w:val="single" w:sz="4" w:space="0" w:color="auto"/>
              <w:right w:val="nil"/>
            </w:tcBorders>
            <w:shd w:val="clear" w:color="000000" w:fill="DDEBF7"/>
            <w:noWrap/>
            <w:vAlign w:val="bottom"/>
            <w:hideMark/>
          </w:tcPr>
          <w:p w:rsidR="00EC2F5D" w:rsidRDefault="00EC2F5D" w:rsidP="002918F0">
            <w:pPr>
              <w:jc w:val="right"/>
              <w:rPr>
                <w:color w:val="000000"/>
                <w:sz w:val="22"/>
                <w:szCs w:val="22"/>
              </w:rPr>
            </w:pPr>
            <w:r>
              <w:rPr>
                <w:color w:val="000000"/>
                <w:sz w:val="22"/>
                <w:szCs w:val="22"/>
              </w:rPr>
              <w:t>920</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EC2F5D" w:rsidRDefault="00EC2F5D" w:rsidP="002918F0">
            <w:pPr>
              <w:rPr>
                <w:color w:val="000000"/>
                <w:sz w:val="22"/>
                <w:szCs w:val="22"/>
              </w:rPr>
            </w:pPr>
            <w:r>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EC2F5D" w:rsidRDefault="00EC2F5D" w:rsidP="002918F0">
            <w:pPr>
              <w:jc w:val="right"/>
              <w:rPr>
                <w:color w:val="000000"/>
                <w:sz w:val="22"/>
                <w:szCs w:val="22"/>
              </w:rPr>
            </w:pPr>
            <w:r>
              <w:rPr>
                <w:color w:val="000000"/>
                <w:sz w:val="22"/>
                <w:szCs w:val="22"/>
              </w:rPr>
              <w:t>2,392</w:t>
            </w:r>
          </w:p>
        </w:tc>
      </w:tr>
      <w:tr w:rsidR="00EC2F5D" w:rsidTr="002918F0">
        <w:trPr>
          <w:trHeight w:val="864"/>
        </w:trPr>
        <w:tc>
          <w:tcPr>
            <w:tcW w:w="620" w:type="dxa"/>
            <w:tcBorders>
              <w:top w:val="nil"/>
              <w:left w:val="nil"/>
              <w:bottom w:val="nil"/>
              <w:right w:val="nil"/>
            </w:tcBorders>
            <w:shd w:val="clear" w:color="000000" w:fill="C6E0B4"/>
            <w:noWrap/>
            <w:vAlign w:val="center"/>
            <w:hideMark/>
          </w:tcPr>
          <w:p w:rsidR="00EC2F5D" w:rsidRDefault="00EC2F5D" w:rsidP="002918F0">
            <w:pPr>
              <w:rPr>
                <w:color w:val="000000"/>
                <w:sz w:val="22"/>
                <w:szCs w:val="22"/>
              </w:rPr>
            </w:pPr>
            <w:r>
              <w:rPr>
                <w:color w:val="000000"/>
                <w:sz w:val="22"/>
                <w:szCs w:val="22"/>
              </w:rPr>
              <w:t>24</w:t>
            </w:r>
          </w:p>
        </w:tc>
        <w:tc>
          <w:tcPr>
            <w:tcW w:w="6480" w:type="dxa"/>
            <w:tcBorders>
              <w:top w:val="nil"/>
              <w:left w:val="nil"/>
              <w:bottom w:val="nil"/>
              <w:right w:val="nil"/>
            </w:tcBorders>
            <w:shd w:val="clear" w:color="000000" w:fill="C6E0B4"/>
            <w:vAlign w:val="center"/>
            <w:hideMark/>
          </w:tcPr>
          <w:p w:rsidR="00EC2F5D" w:rsidRDefault="00EC2F5D" w:rsidP="002918F0">
            <w:pPr>
              <w:rPr>
                <w:color w:val="000000"/>
                <w:sz w:val="22"/>
                <w:szCs w:val="22"/>
              </w:rPr>
            </w:pPr>
            <w:r>
              <w:rPr>
                <w:color w:val="000000"/>
                <w:sz w:val="22"/>
                <w:szCs w:val="22"/>
              </w:rPr>
              <w:t>Reduction and/or elimination of travel to meetings for which the proceedings are webcast and captioned, including remote presentation of documents and contributions to these meetings.</w:t>
            </w:r>
          </w:p>
        </w:tc>
        <w:tc>
          <w:tcPr>
            <w:tcW w:w="1700" w:type="dxa"/>
            <w:tcBorders>
              <w:top w:val="nil"/>
              <w:left w:val="dotted" w:sz="4" w:space="0" w:color="auto"/>
              <w:bottom w:val="nil"/>
              <w:right w:val="dotted" w:sz="4" w:space="0" w:color="auto"/>
            </w:tcBorders>
            <w:shd w:val="clear" w:color="000000" w:fill="C6E0B4"/>
            <w:noWrap/>
            <w:vAlign w:val="bottom"/>
            <w:hideMark/>
          </w:tcPr>
          <w:p w:rsidR="00EC2F5D" w:rsidRDefault="00EC2F5D" w:rsidP="002918F0">
            <w:pPr>
              <w:jc w:val="right"/>
              <w:rPr>
                <w:color w:val="000000"/>
                <w:sz w:val="22"/>
                <w:szCs w:val="22"/>
              </w:rPr>
            </w:pPr>
          </w:p>
        </w:tc>
        <w:tc>
          <w:tcPr>
            <w:tcW w:w="1700" w:type="dxa"/>
            <w:tcBorders>
              <w:top w:val="nil"/>
              <w:left w:val="nil"/>
              <w:bottom w:val="nil"/>
              <w:right w:val="nil"/>
            </w:tcBorders>
            <w:shd w:val="clear" w:color="000000" w:fill="C6E0B4"/>
            <w:noWrap/>
            <w:vAlign w:val="bottom"/>
            <w:hideMark/>
          </w:tcPr>
          <w:p w:rsidR="00EC2F5D" w:rsidRDefault="00EC2F5D" w:rsidP="002918F0">
            <w:pPr>
              <w:rPr>
                <w:color w:val="000000"/>
                <w:sz w:val="22"/>
                <w:szCs w:val="22"/>
              </w:rPr>
            </w:pPr>
            <w:r>
              <w:rPr>
                <w:color w:val="000000"/>
                <w:sz w:val="22"/>
                <w:szCs w:val="22"/>
              </w:rPr>
              <w:t> </w:t>
            </w:r>
          </w:p>
        </w:tc>
        <w:tc>
          <w:tcPr>
            <w:tcW w:w="1700" w:type="dxa"/>
            <w:tcBorders>
              <w:top w:val="nil"/>
              <w:left w:val="dotted" w:sz="4" w:space="0" w:color="auto"/>
              <w:bottom w:val="nil"/>
              <w:right w:val="dotted" w:sz="4" w:space="0" w:color="auto"/>
            </w:tcBorders>
            <w:shd w:val="clear" w:color="000000" w:fill="C6E0B4"/>
            <w:noWrap/>
            <w:vAlign w:val="bottom"/>
            <w:hideMark/>
          </w:tcPr>
          <w:p w:rsidR="00EC2F5D" w:rsidRDefault="00EC2F5D" w:rsidP="002918F0">
            <w:pPr>
              <w:rPr>
                <w:color w:val="000000"/>
                <w:sz w:val="22"/>
                <w:szCs w:val="22"/>
              </w:rPr>
            </w:pPr>
            <w:r>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rsidR="00EC2F5D" w:rsidRDefault="00EC2F5D" w:rsidP="002918F0">
            <w:pPr>
              <w:jc w:val="right"/>
              <w:rPr>
                <w:color w:val="000000"/>
                <w:sz w:val="22"/>
                <w:szCs w:val="22"/>
              </w:rPr>
            </w:pPr>
          </w:p>
        </w:tc>
      </w:tr>
      <w:tr w:rsidR="00EC2F5D" w:rsidTr="002918F0">
        <w:trPr>
          <w:trHeight w:val="576"/>
        </w:trPr>
        <w:tc>
          <w:tcPr>
            <w:tcW w:w="620" w:type="dxa"/>
            <w:tcBorders>
              <w:top w:val="single" w:sz="4" w:space="0" w:color="auto"/>
              <w:left w:val="nil"/>
              <w:bottom w:val="single" w:sz="4" w:space="0" w:color="auto"/>
              <w:right w:val="nil"/>
            </w:tcBorders>
            <w:shd w:val="clear" w:color="000000" w:fill="DDEBF7"/>
            <w:noWrap/>
            <w:vAlign w:val="center"/>
            <w:hideMark/>
          </w:tcPr>
          <w:p w:rsidR="00EC2F5D" w:rsidRDefault="00EC2F5D" w:rsidP="002918F0">
            <w:pPr>
              <w:rPr>
                <w:color w:val="000000"/>
                <w:sz w:val="22"/>
                <w:szCs w:val="22"/>
              </w:rPr>
            </w:pPr>
            <w:r>
              <w:rPr>
                <w:color w:val="000000"/>
                <w:sz w:val="22"/>
                <w:szCs w:val="22"/>
              </w:rPr>
              <w:t>25</w:t>
            </w:r>
          </w:p>
        </w:tc>
        <w:tc>
          <w:tcPr>
            <w:tcW w:w="6480" w:type="dxa"/>
            <w:tcBorders>
              <w:top w:val="single" w:sz="4" w:space="0" w:color="auto"/>
              <w:left w:val="nil"/>
              <w:bottom w:val="single" w:sz="4" w:space="0" w:color="auto"/>
              <w:right w:val="nil"/>
            </w:tcBorders>
            <w:shd w:val="clear" w:color="000000" w:fill="DDEBF7"/>
            <w:vAlign w:val="center"/>
            <w:hideMark/>
          </w:tcPr>
          <w:p w:rsidR="00EC2F5D" w:rsidRDefault="00EC2F5D" w:rsidP="002918F0">
            <w:pPr>
              <w:rPr>
                <w:color w:val="000000"/>
                <w:sz w:val="22"/>
                <w:szCs w:val="22"/>
              </w:rPr>
            </w:pPr>
            <w:r>
              <w:rPr>
                <w:color w:val="000000"/>
                <w:sz w:val="22"/>
                <w:szCs w:val="22"/>
              </w:rPr>
              <w:t>Improving and prioritizing internal electronic working methods in order to reduce travel to/from regional offices to Geneva.</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EC2F5D" w:rsidRDefault="00EC2F5D" w:rsidP="002918F0">
            <w:pPr>
              <w:rPr>
                <w:color w:val="000000"/>
                <w:sz w:val="22"/>
                <w:szCs w:val="22"/>
              </w:rPr>
            </w:pPr>
            <w:r>
              <w:rPr>
                <w:color w:val="000000"/>
                <w:sz w:val="22"/>
                <w:szCs w:val="22"/>
              </w:rPr>
              <w:t> </w:t>
            </w:r>
          </w:p>
        </w:tc>
        <w:tc>
          <w:tcPr>
            <w:tcW w:w="1700" w:type="dxa"/>
            <w:tcBorders>
              <w:top w:val="single" w:sz="4" w:space="0" w:color="auto"/>
              <w:left w:val="nil"/>
              <w:bottom w:val="single" w:sz="4" w:space="0" w:color="auto"/>
              <w:right w:val="nil"/>
            </w:tcBorders>
            <w:shd w:val="clear" w:color="000000" w:fill="DDEBF7"/>
            <w:noWrap/>
            <w:vAlign w:val="bottom"/>
            <w:hideMark/>
          </w:tcPr>
          <w:p w:rsidR="00EC2F5D" w:rsidRDefault="00EC2F5D" w:rsidP="002918F0">
            <w:pPr>
              <w:rPr>
                <w:color w:val="000000"/>
                <w:sz w:val="22"/>
                <w:szCs w:val="22"/>
              </w:rPr>
            </w:pPr>
            <w:r>
              <w:rPr>
                <w:color w:val="000000"/>
                <w:sz w:val="22"/>
                <w:szCs w:val="22"/>
              </w:rPr>
              <w:t> </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EC2F5D" w:rsidRDefault="00EC2F5D" w:rsidP="002918F0">
            <w:pPr>
              <w:rPr>
                <w:color w:val="000000"/>
                <w:sz w:val="22"/>
                <w:szCs w:val="22"/>
              </w:rPr>
            </w:pPr>
            <w:r>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EC2F5D" w:rsidRDefault="00EC2F5D" w:rsidP="002918F0">
            <w:pPr>
              <w:rPr>
                <w:color w:val="000000"/>
                <w:sz w:val="22"/>
                <w:szCs w:val="22"/>
              </w:rPr>
            </w:pPr>
            <w:r>
              <w:rPr>
                <w:color w:val="000000"/>
                <w:sz w:val="22"/>
                <w:szCs w:val="22"/>
              </w:rPr>
              <w:t> </w:t>
            </w:r>
          </w:p>
        </w:tc>
      </w:tr>
      <w:tr w:rsidR="00EC2F5D" w:rsidTr="002918F0">
        <w:trPr>
          <w:trHeight w:val="1440"/>
        </w:trPr>
        <w:tc>
          <w:tcPr>
            <w:tcW w:w="620" w:type="dxa"/>
            <w:tcBorders>
              <w:top w:val="nil"/>
              <w:left w:val="nil"/>
              <w:bottom w:val="nil"/>
              <w:right w:val="nil"/>
            </w:tcBorders>
            <w:shd w:val="clear" w:color="000000" w:fill="C6E0B4"/>
            <w:noWrap/>
            <w:vAlign w:val="center"/>
            <w:hideMark/>
          </w:tcPr>
          <w:p w:rsidR="00EC2F5D" w:rsidRDefault="00EC2F5D" w:rsidP="002918F0">
            <w:pPr>
              <w:rPr>
                <w:color w:val="000000"/>
                <w:sz w:val="22"/>
                <w:szCs w:val="22"/>
              </w:rPr>
            </w:pPr>
            <w:r>
              <w:rPr>
                <w:color w:val="000000"/>
                <w:sz w:val="22"/>
                <w:szCs w:val="22"/>
              </w:rPr>
              <w:t>26</w:t>
            </w:r>
          </w:p>
        </w:tc>
        <w:tc>
          <w:tcPr>
            <w:tcW w:w="6480" w:type="dxa"/>
            <w:tcBorders>
              <w:top w:val="nil"/>
              <w:left w:val="nil"/>
              <w:bottom w:val="nil"/>
              <w:right w:val="nil"/>
            </w:tcBorders>
            <w:shd w:val="clear" w:color="000000" w:fill="C6E0B4"/>
            <w:vAlign w:val="center"/>
            <w:hideMark/>
          </w:tcPr>
          <w:p w:rsidR="00EC2F5D" w:rsidRDefault="00EC2F5D" w:rsidP="002918F0">
            <w:pPr>
              <w:rPr>
                <w:color w:val="000000"/>
                <w:sz w:val="22"/>
                <w:szCs w:val="22"/>
              </w:rPr>
            </w:pPr>
            <w:r>
              <w:rPr>
                <w:color w:val="000000"/>
                <w:sz w:val="22"/>
                <w:szCs w:val="22"/>
              </w:rPr>
              <w:t>Taking into account No. 145 of the Convention, a full range of electronic working methods needs to be explored to possibly reduce the costs, number and duration of the Radio Regulations Board meetings in the future, e.g. reduction of the number of meetings in one calendar year from four to three.</w:t>
            </w:r>
          </w:p>
        </w:tc>
        <w:tc>
          <w:tcPr>
            <w:tcW w:w="1700" w:type="dxa"/>
            <w:tcBorders>
              <w:top w:val="nil"/>
              <w:left w:val="dotted" w:sz="4" w:space="0" w:color="auto"/>
              <w:bottom w:val="nil"/>
              <w:right w:val="dotted" w:sz="4" w:space="0" w:color="auto"/>
            </w:tcBorders>
            <w:shd w:val="clear" w:color="000000" w:fill="C6E0B4"/>
            <w:noWrap/>
            <w:vAlign w:val="bottom"/>
            <w:hideMark/>
          </w:tcPr>
          <w:p w:rsidR="00EC2F5D" w:rsidRDefault="00EC2F5D" w:rsidP="002918F0">
            <w:pPr>
              <w:jc w:val="right"/>
              <w:rPr>
                <w:color w:val="000000"/>
                <w:sz w:val="22"/>
                <w:szCs w:val="22"/>
              </w:rPr>
            </w:pPr>
            <w:r>
              <w:rPr>
                <w:color w:val="000000"/>
                <w:sz w:val="22"/>
                <w:szCs w:val="22"/>
              </w:rPr>
              <w:t>237</w:t>
            </w:r>
          </w:p>
        </w:tc>
        <w:tc>
          <w:tcPr>
            <w:tcW w:w="1700" w:type="dxa"/>
            <w:tcBorders>
              <w:top w:val="nil"/>
              <w:left w:val="nil"/>
              <w:bottom w:val="nil"/>
              <w:right w:val="nil"/>
            </w:tcBorders>
            <w:shd w:val="clear" w:color="000000" w:fill="C6E0B4"/>
            <w:noWrap/>
            <w:vAlign w:val="bottom"/>
            <w:hideMark/>
          </w:tcPr>
          <w:p w:rsidR="00EC2F5D" w:rsidRDefault="00EC2F5D" w:rsidP="002918F0">
            <w:pPr>
              <w:rPr>
                <w:color w:val="000000"/>
                <w:sz w:val="22"/>
                <w:szCs w:val="22"/>
              </w:rPr>
            </w:pPr>
            <w:r>
              <w:rPr>
                <w:color w:val="000000"/>
                <w:sz w:val="22"/>
                <w:szCs w:val="22"/>
              </w:rPr>
              <w:t> </w:t>
            </w:r>
          </w:p>
        </w:tc>
        <w:tc>
          <w:tcPr>
            <w:tcW w:w="1700" w:type="dxa"/>
            <w:tcBorders>
              <w:top w:val="nil"/>
              <w:left w:val="dotted" w:sz="4" w:space="0" w:color="auto"/>
              <w:bottom w:val="nil"/>
              <w:right w:val="dotted" w:sz="4" w:space="0" w:color="auto"/>
            </w:tcBorders>
            <w:shd w:val="clear" w:color="000000" w:fill="C6E0B4"/>
            <w:noWrap/>
            <w:vAlign w:val="bottom"/>
            <w:hideMark/>
          </w:tcPr>
          <w:p w:rsidR="00EC2F5D" w:rsidRDefault="00EC2F5D" w:rsidP="002918F0">
            <w:pPr>
              <w:rPr>
                <w:color w:val="000000"/>
                <w:sz w:val="22"/>
                <w:szCs w:val="22"/>
              </w:rPr>
            </w:pPr>
            <w:r>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rsidR="00EC2F5D" w:rsidRDefault="00EC2F5D" w:rsidP="002918F0">
            <w:pPr>
              <w:jc w:val="right"/>
              <w:rPr>
                <w:color w:val="000000"/>
                <w:sz w:val="22"/>
                <w:szCs w:val="22"/>
              </w:rPr>
            </w:pPr>
            <w:r>
              <w:rPr>
                <w:color w:val="000000"/>
                <w:sz w:val="22"/>
                <w:szCs w:val="22"/>
              </w:rPr>
              <w:t>237</w:t>
            </w:r>
          </w:p>
        </w:tc>
      </w:tr>
    </w:tbl>
    <w:p w:rsidR="00EC2F5D" w:rsidRDefault="00EC2F5D" w:rsidP="00EC2F5D">
      <w:pPr>
        <w:tabs>
          <w:tab w:val="clear" w:pos="567"/>
          <w:tab w:val="clear" w:pos="1134"/>
          <w:tab w:val="clear" w:pos="1701"/>
          <w:tab w:val="clear" w:pos="2268"/>
          <w:tab w:val="clear" w:pos="2835"/>
        </w:tabs>
        <w:overflowPunct/>
        <w:autoSpaceDE/>
        <w:autoSpaceDN/>
        <w:adjustRightInd/>
        <w:spacing w:before="0"/>
        <w:textAlignment w:val="auto"/>
        <w:rPr>
          <w:szCs w:val="24"/>
        </w:rPr>
      </w:pPr>
      <w:r>
        <w:rPr>
          <w:szCs w:val="24"/>
        </w:rPr>
        <w:br w:type="page"/>
      </w:r>
    </w:p>
    <w:tbl>
      <w:tblPr>
        <w:tblW w:w="13901" w:type="dxa"/>
        <w:tblLook w:val="04A0" w:firstRow="1" w:lastRow="0" w:firstColumn="1" w:lastColumn="0" w:noHBand="0" w:noVBand="1"/>
      </w:tblPr>
      <w:tblGrid>
        <w:gridCol w:w="620"/>
        <w:gridCol w:w="6480"/>
        <w:gridCol w:w="1700"/>
        <w:gridCol w:w="1700"/>
        <w:gridCol w:w="1700"/>
        <w:gridCol w:w="1701"/>
      </w:tblGrid>
      <w:tr w:rsidR="00EC2F5D" w:rsidRPr="00283CC7" w:rsidTr="002918F0">
        <w:trPr>
          <w:trHeight w:val="288"/>
        </w:trPr>
        <w:tc>
          <w:tcPr>
            <w:tcW w:w="620" w:type="dxa"/>
            <w:tcBorders>
              <w:top w:val="nil"/>
              <w:left w:val="nil"/>
              <w:bottom w:val="nil"/>
              <w:right w:val="nil"/>
            </w:tcBorders>
            <w:shd w:val="clear" w:color="auto" w:fill="8DB3E2" w:themeFill="text2" w:themeFillTint="66"/>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szCs w:val="24"/>
                <w:lang w:eastAsia="zh-CN"/>
              </w:rPr>
            </w:pPr>
          </w:p>
        </w:tc>
        <w:tc>
          <w:tcPr>
            <w:tcW w:w="6480" w:type="dxa"/>
            <w:tcBorders>
              <w:top w:val="nil"/>
              <w:left w:val="nil"/>
              <w:bottom w:val="nil"/>
              <w:right w:val="nil"/>
            </w:tcBorders>
            <w:shd w:val="clear" w:color="auto" w:fill="8DB3E2" w:themeFill="text2" w:themeFillTint="66"/>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6801" w:type="dxa"/>
            <w:gridSpan w:val="4"/>
            <w:tcBorders>
              <w:top w:val="nil"/>
              <w:left w:val="nil"/>
              <w:bottom w:val="nil"/>
              <w:right w:val="nil"/>
            </w:tcBorders>
            <w:shd w:val="clear" w:color="auto" w:fill="8DB3E2" w:themeFill="text2" w:themeFillTint="66"/>
            <w:noWrap/>
            <w:vAlign w:val="bottom"/>
            <w:hideMark/>
          </w:tcPr>
          <w:p w:rsidR="00EC2F5D" w:rsidRPr="00283CC7" w:rsidRDefault="00EC2F5D" w:rsidP="002918F0">
            <w:pPr>
              <w:tabs>
                <w:tab w:val="clear" w:pos="567"/>
                <w:tab w:val="clear" w:pos="1134"/>
                <w:tab w:val="clear" w:pos="1701"/>
                <w:tab w:val="clear" w:pos="2268"/>
                <w:tab w:val="clear" w:pos="2835"/>
              </w:tabs>
              <w:overflowPunct/>
              <w:autoSpaceDE/>
              <w:autoSpaceDN/>
              <w:adjustRightInd/>
              <w:spacing w:before="0"/>
              <w:jc w:val="center"/>
              <w:textAlignment w:val="auto"/>
              <w:rPr>
                <w:i/>
                <w:iCs/>
                <w:color w:val="000000"/>
                <w:sz w:val="18"/>
                <w:szCs w:val="18"/>
                <w:lang w:eastAsia="zh-CN"/>
              </w:rPr>
            </w:pPr>
            <w:r w:rsidRPr="00283CC7">
              <w:rPr>
                <w:i/>
                <w:iCs/>
                <w:color w:val="000000"/>
                <w:sz w:val="18"/>
                <w:szCs w:val="18"/>
                <w:lang w:eastAsia="zh-CN"/>
              </w:rPr>
              <w:t>KCHF</w:t>
            </w:r>
          </w:p>
        </w:tc>
      </w:tr>
      <w:tr w:rsidR="00EC2F5D" w:rsidTr="002918F0">
        <w:trPr>
          <w:trHeight w:val="272"/>
        </w:trPr>
        <w:tc>
          <w:tcPr>
            <w:tcW w:w="620" w:type="dxa"/>
            <w:tcBorders>
              <w:top w:val="nil"/>
              <w:left w:val="nil"/>
              <w:bottom w:val="nil"/>
              <w:right w:val="nil"/>
            </w:tcBorders>
            <w:shd w:val="clear" w:color="auto" w:fill="8DB3E2" w:themeFill="text2" w:themeFillTint="66"/>
            <w:noWrap/>
            <w:vAlign w:val="center"/>
          </w:tcPr>
          <w:p w:rsidR="00EC2F5D" w:rsidRDefault="00EC2F5D" w:rsidP="002918F0">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eastAsia="zh-CN"/>
              </w:rPr>
            </w:pPr>
          </w:p>
        </w:tc>
        <w:tc>
          <w:tcPr>
            <w:tcW w:w="6480" w:type="dxa"/>
            <w:tcBorders>
              <w:top w:val="nil"/>
              <w:left w:val="nil"/>
              <w:bottom w:val="nil"/>
              <w:right w:val="nil"/>
            </w:tcBorders>
            <w:shd w:val="clear" w:color="auto" w:fill="8DB3E2" w:themeFill="text2" w:themeFillTint="66"/>
            <w:vAlign w:val="center"/>
          </w:tcPr>
          <w:p w:rsidR="00EC2F5D" w:rsidRDefault="00EC2F5D" w:rsidP="002918F0">
            <w:pPr>
              <w:jc w:val="center"/>
              <w:rPr>
                <w:color w:val="000000"/>
                <w:sz w:val="22"/>
                <w:szCs w:val="22"/>
              </w:rPr>
            </w:pPr>
            <w:r w:rsidRPr="00283CC7">
              <w:rPr>
                <w:color w:val="000000"/>
                <w:sz w:val="22"/>
                <w:szCs w:val="22"/>
                <w:lang w:eastAsia="zh-CN"/>
              </w:rPr>
              <w:t>Efficiency measures</w:t>
            </w:r>
            <w:r>
              <w:rPr>
                <w:color w:val="000000"/>
                <w:sz w:val="22"/>
                <w:szCs w:val="22"/>
                <w:lang w:eastAsia="zh-CN"/>
              </w:rPr>
              <w:t xml:space="preserve"> (PP14 Decision 5 – Annex 2)</w:t>
            </w:r>
          </w:p>
        </w:tc>
        <w:tc>
          <w:tcPr>
            <w:tcW w:w="1700" w:type="dxa"/>
            <w:tcBorders>
              <w:top w:val="nil"/>
              <w:left w:val="dotted" w:sz="4" w:space="0" w:color="auto"/>
              <w:bottom w:val="nil"/>
              <w:right w:val="dotted" w:sz="4" w:space="0" w:color="auto"/>
            </w:tcBorders>
            <w:shd w:val="clear" w:color="auto" w:fill="8DB3E2" w:themeFill="text2" w:themeFillTint="66"/>
            <w:noWrap/>
            <w:vAlign w:val="bottom"/>
          </w:tcPr>
          <w:p w:rsidR="00EC2F5D" w:rsidRDefault="00EC2F5D" w:rsidP="002918F0">
            <w:pPr>
              <w:jc w:val="center"/>
              <w:rPr>
                <w:color w:val="000000"/>
                <w:sz w:val="22"/>
                <w:szCs w:val="22"/>
              </w:rPr>
            </w:pPr>
            <w:r w:rsidRPr="00283CC7">
              <w:rPr>
                <w:color w:val="000000"/>
                <w:sz w:val="22"/>
                <w:szCs w:val="22"/>
                <w:lang w:eastAsia="zh-CN"/>
              </w:rPr>
              <w:t>2014-2015</w:t>
            </w:r>
          </w:p>
        </w:tc>
        <w:tc>
          <w:tcPr>
            <w:tcW w:w="1700" w:type="dxa"/>
            <w:tcBorders>
              <w:top w:val="nil"/>
              <w:left w:val="nil"/>
              <w:bottom w:val="nil"/>
              <w:right w:val="nil"/>
            </w:tcBorders>
            <w:shd w:val="clear" w:color="auto" w:fill="8DB3E2" w:themeFill="text2" w:themeFillTint="66"/>
            <w:noWrap/>
            <w:vAlign w:val="bottom"/>
          </w:tcPr>
          <w:p w:rsidR="00EC2F5D" w:rsidRDefault="00EC2F5D" w:rsidP="002918F0">
            <w:pPr>
              <w:jc w:val="center"/>
              <w:rPr>
                <w:color w:val="000000"/>
                <w:sz w:val="22"/>
                <w:szCs w:val="22"/>
              </w:rPr>
            </w:pPr>
            <w:r w:rsidRPr="00283CC7">
              <w:rPr>
                <w:color w:val="000000"/>
                <w:sz w:val="22"/>
                <w:szCs w:val="22"/>
                <w:lang w:eastAsia="zh-CN"/>
              </w:rPr>
              <w:t>2016-2017</w:t>
            </w:r>
          </w:p>
        </w:tc>
        <w:tc>
          <w:tcPr>
            <w:tcW w:w="1700" w:type="dxa"/>
            <w:tcBorders>
              <w:top w:val="nil"/>
              <w:left w:val="dotted" w:sz="4" w:space="0" w:color="auto"/>
              <w:bottom w:val="nil"/>
              <w:right w:val="dotted" w:sz="4" w:space="0" w:color="auto"/>
            </w:tcBorders>
            <w:shd w:val="clear" w:color="auto" w:fill="8DB3E2" w:themeFill="text2" w:themeFillTint="66"/>
            <w:noWrap/>
            <w:vAlign w:val="bottom"/>
          </w:tcPr>
          <w:p w:rsidR="00EC2F5D" w:rsidRDefault="00EC2F5D" w:rsidP="002918F0">
            <w:pPr>
              <w:jc w:val="center"/>
              <w:rPr>
                <w:color w:val="000000"/>
                <w:sz w:val="22"/>
                <w:szCs w:val="22"/>
              </w:rPr>
            </w:pPr>
            <w:r w:rsidRPr="00283CC7">
              <w:rPr>
                <w:color w:val="000000"/>
                <w:sz w:val="22"/>
                <w:szCs w:val="22"/>
                <w:lang w:eastAsia="zh-CN"/>
              </w:rPr>
              <w:t>2018-2019</w:t>
            </w:r>
          </w:p>
        </w:tc>
        <w:tc>
          <w:tcPr>
            <w:tcW w:w="1701" w:type="dxa"/>
            <w:tcBorders>
              <w:top w:val="nil"/>
              <w:left w:val="nil"/>
              <w:bottom w:val="nil"/>
              <w:right w:val="dotted" w:sz="4" w:space="0" w:color="auto"/>
            </w:tcBorders>
            <w:shd w:val="clear" w:color="auto" w:fill="8DB3E2" w:themeFill="text2" w:themeFillTint="66"/>
            <w:noWrap/>
            <w:vAlign w:val="bottom"/>
          </w:tcPr>
          <w:p w:rsidR="00EC2F5D" w:rsidRDefault="00EC2F5D" w:rsidP="002918F0">
            <w:pPr>
              <w:jc w:val="center"/>
              <w:rPr>
                <w:color w:val="000000"/>
                <w:sz w:val="22"/>
                <w:szCs w:val="22"/>
              </w:rPr>
            </w:pPr>
            <w:r w:rsidRPr="00283CC7">
              <w:rPr>
                <w:color w:val="000000"/>
                <w:sz w:val="22"/>
                <w:szCs w:val="22"/>
                <w:lang w:eastAsia="zh-CN"/>
              </w:rPr>
              <w:t>Total</w:t>
            </w:r>
          </w:p>
        </w:tc>
      </w:tr>
      <w:tr w:rsidR="00EC2F5D" w:rsidTr="002918F0">
        <w:trPr>
          <w:trHeight w:val="864"/>
        </w:trPr>
        <w:tc>
          <w:tcPr>
            <w:tcW w:w="620" w:type="dxa"/>
            <w:tcBorders>
              <w:top w:val="single" w:sz="4" w:space="0" w:color="auto"/>
              <w:left w:val="nil"/>
              <w:bottom w:val="single" w:sz="4" w:space="0" w:color="auto"/>
              <w:right w:val="nil"/>
            </w:tcBorders>
            <w:shd w:val="clear" w:color="000000" w:fill="DDEBF7"/>
            <w:noWrap/>
            <w:vAlign w:val="center"/>
            <w:hideMark/>
          </w:tcPr>
          <w:p w:rsidR="00EC2F5D" w:rsidRDefault="00EC2F5D" w:rsidP="002918F0">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Pr>
                <w:color w:val="000000"/>
                <w:sz w:val="22"/>
                <w:szCs w:val="22"/>
              </w:rPr>
              <w:t>27</w:t>
            </w:r>
          </w:p>
        </w:tc>
        <w:tc>
          <w:tcPr>
            <w:tcW w:w="6480" w:type="dxa"/>
            <w:tcBorders>
              <w:top w:val="single" w:sz="4" w:space="0" w:color="auto"/>
              <w:left w:val="nil"/>
              <w:bottom w:val="single" w:sz="4" w:space="0" w:color="auto"/>
              <w:right w:val="nil"/>
            </w:tcBorders>
            <w:shd w:val="clear" w:color="000000" w:fill="DDEBF7"/>
            <w:vAlign w:val="center"/>
            <w:hideMark/>
          </w:tcPr>
          <w:p w:rsidR="00EC2F5D" w:rsidRDefault="00EC2F5D" w:rsidP="002918F0">
            <w:pPr>
              <w:rPr>
                <w:color w:val="000000"/>
                <w:sz w:val="22"/>
                <w:szCs w:val="22"/>
              </w:rPr>
            </w:pPr>
            <w:r>
              <w:rPr>
                <w:color w:val="000000"/>
                <w:sz w:val="22"/>
                <w:szCs w:val="22"/>
              </w:rPr>
              <w:t>Introduce incentive programmes, such as efficiency taxes, innovation funds and other methods in order to address innovative cross-cutting means of improving the Union's productivity.</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EC2F5D" w:rsidRDefault="00EC2F5D" w:rsidP="002918F0">
            <w:pPr>
              <w:rPr>
                <w:color w:val="000000"/>
                <w:sz w:val="22"/>
                <w:szCs w:val="22"/>
              </w:rPr>
            </w:pPr>
            <w:r>
              <w:rPr>
                <w:color w:val="000000"/>
                <w:sz w:val="22"/>
                <w:szCs w:val="22"/>
              </w:rPr>
              <w:t> </w:t>
            </w:r>
          </w:p>
        </w:tc>
        <w:tc>
          <w:tcPr>
            <w:tcW w:w="1700" w:type="dxa"/>
            <w:tcBorders>
              <w:top w:val="single" w:sz="4" w:space="0" w:color="auto"/>
              <w:left w:val="nil"/>
              <w:bottom w:val="single" w:sz="4" w:space="0" w:color="auto"/>
              <w:right w:val="nil"/>
            </w:tcBorders>
            <w:shd w:val="clear" w:color="000000" w:fill="DDEBF7"/>
            <w:noWrap/>
            <w:vAlign w:val="bottom"/>
            <w:hideMark/>
          </w:tcPr>
          <w:p w:rsidR="00EC2F5D" w:rsidRDefault="00EC2F5D" w:rsidP="002918F0">
            <w:pPr>
              <w:rPr>
                <w:color w:val="000000"/>
                <w:sz w:val="22"/>
                <w:szCs w:val="22"/>
              </w:rPr>
            </w:pPr>
            <w:r>
              <w:rPr>
                <w:color w:val="000000"/>
                <w:sz w:val="22"/>
                <w:szCs w:val="22"/>
              </w:rPr>
              <w:t> </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EC2F5D" w:rsidRDefault="00EC2F5D" w:rsidP="002918F0">
            <w:pPr>
              <w:rPr>
                <w:color w:val="000000"/>
                <w:sz w:val="22"/>
                <w:szCs w:val="22"/>
              </w:rPr>
            </w:pPr>
            <w:r>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EC2F5D" w:rsidRDefault="00EC2F5D" w:rsidP="002918F0">
            <w:pPr>
              <w:rPr>
                <w:color w:val="000000"/>
                <w:sz w:val="22"/>
                <w:szCs w:val="22"/>
              </w:rPr>
            </w:pPr>
            <w:r>
              <w:rPr>
                <w:color w:val="000000"/>
                <w:sz w:val="22"/>
                <w:szCs w:val="22"/>
              </w:rPr>
              <w:t> </w:t>
            </w:r>
          </w:p>
        </w:tc>
      </w:tr>
      <w:tr w:rsidR="00EC2F5D" w:rsidTr="002918F0">
        <w:trPr>
          <w:trHeight w:val="864"/>
        </w:trPr>
        <w:tc>
          <w:tcPr>
            <w:tcW w:w="620" w:type="dxa"/>
            <w:tcBorders>
              <w:top w:val="nil"/>
              <w:left w:val="nil"/>
              <w:bottom w:val="nil"/>
              <w:right w:val="nil"/>
            </w:tcBorders>
            <w:shd w:val="clear" w:color="000000" w:fill="C6E0B4"/>
            <w:noWrap/>
            <w:vAlign w:val="center"/>
            <w:hideMark/>
          </w:tcPr>
          <w:p w:rsidR="00EC2F5D" w:rsidRDefault="00EC2F5D" w:rsidP="002918F0">
            <w:pPr>
              <w:rPr>
                <w:color w:val="000000"/>
                <w:sz w:val="22"/>
                <w:szCs w:val="22"/>
              </w:rPr>
            </w:pPr>
            <w:r>
              <w:rPr>
                <w:color w:val="000000"/>
                <w:sz w:val="22"/>
                <w:szCs w:val="22"/>
              </w:rPr>
              <w:t>28</w:t>
            </w:r>
          </w:p>
        </w:tc>
        <w:tc>
          <w:tcPr>
            <w:tcW w:w="6480" w:type="dxa"/>
            <w:tcBorders>
              <w:top w:val="nil"/>
              <w:left w:val="nil"/>
              <w:bottom w:val="nil"/>
              <w:right w:val="nil"/>
            </w:tcBorders>
            <w:shd w:val="clear" w:color="000000" w:fill="C6E0B4"/>
            <w:vAlign w:val="center"/>
            <w:hideMark/>
          </w:tcPr>
          <w:p w:rsidR="00EC2F5D" w:rsidRDefault="00EC2F5D" w:rsidP="002918F0">
            <w:pPr>
              <w:rPr>
                <w:color w:val="000000"/>
                <w:sz w:val="22"/>
                <w:szCs w:val="22"/>
              </w:rPr>
            </w:pPr>
            <w:r>
              <w:rPr>
                <w:color w:val="000000"/>
                <w:sz w:val="22"/>
                <w:szCs w:val="22"/>
              </w:rPr>
              <w:t>Discontinue to the greatest extent possible communications by fax and traditional postal mail between the Union and Member States and replace it with modern electronic communication methods.</w:t>
            </w:r>
          </w:p>
        </w:tc>
        <w:tc>
          <w:tcPr>
            <w:tcW w:w="1700" w:type="dxa"/>
            <w:tcBorders>
              <w:top w:val="nil"/>
              <w:left w:val="dotted" w:sz="4" w:space="0" w:color="auto"/>
              <w:bottom w:val="nil"/>
              <w:right w:val="dotted" w:sz="4" w:space="0" w:color="auto"/>
            </w:tcBorders>
            <w:shd w:val="clear" w:color="000000" w:fill="C6E0B4"/>
            <w:noWrap/>
            <w:vAlign w:val="bottom"/>
            <w:hideMark/>
          </w:tcPr>
          <w:p w:rsidR="00EC2F5D" w:rsidRDefault="00EC2F5D" w:rsidP="002918F0">
            <w:pPr>
              <w:jc w:val="right"/>
              <w:rPr>
                <w:color w:val="000000"/>
                <w:sz w:val="22"/>
                <w:szCs w:val="22"/>
              </w:rPr>
            </w:pPr>
          </w:p>
        </w:tc>
        <w:tc>
          <w:tcPr>
            <w:tcW w:w="1700" w:type="dxa"/>
            <w:tcBorders>
              <w:top w:val="nil"/>
              <w:left w:val="nil"/>
              <w:bottom w:val="nil"/>
              <w:right w:val="nil"/>
            </w:tcBorders>
            <w:shd w:val="clear" w:color="000000" w:fill="C6E0B4"/>
            <w:noWrap/>
            <w:vAlign w:val="bottom"/>
            <w:hideMark/>
          </w:tcPr>
          <w:p w:rsidR="00EC2F5D" w:rsidRDefault="00EC2F5D" w:rsidP="002918F0">
            <w:pPr>
              <w:jc w:val="right"/>
              <w:rPr>
                <w:color w:val="000000"/>
                <w:sz w:val="22"/>
                <w:szCs w:val="22"/>
              </w:rPr>
            </w:pPr>
            <w:r>
              <w:rPr>
                <w:color w:val="000000"/>
                <w:sz w:val="22"/>
                <w:szCs w:val="22"/>
              </w:rPr>
              <w:t> 10</w:t>
            </w:r>
          </w:p>
        </w:tc>
        <w:tc>
          <w:tcPr>
            <w:tcW w:w="1700" w:type="dxa"/>
            <w:tcBorders>
              <w:top w:val="nil"/>
              <w:left w:val="dotted" w:sz="4" w:space="0" w:color="auto"/>
              <w:bottom w:val="nil"/>
              <w:right w:val="dotted" w:sz="4" w:space="0" w:color="auto"/>
            </w:tcBorders>
            <w:shd w:val="clear" w:color="000000" w:fill="C6E0B4"/>
            <w:noWrap/>
            <w:vAlign w:val="bottom"/>
            <w:hideMark/>
          </w:tcPr>
          <w:p w:rsidR="00EC2F5D" w:rsidRDefault="00EC2F5D" w:rsidP="002918F0">
            <w:pPr>
              <w:rPr>
                <w:color w:val="000000"/>
                <w:sz w:val="22"/>
                <w:szCs w:val="22"/>
              </w:rPr>
            </w:pPr>
            <w:r>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rsidR="00EC2F5D" w:rsidRDefault="00EC2F5D" w:rsidP="002918F0">
            <w:pPr>
              <w:jc w:val="right"/>
              <w:rPr>
                <w:color w:val="000000"/>
                <w:sz w:val="22"/>
                <w:szCs w:val="22"/>
              </w:rPr>
            </w:pPr>
            <w:r>
              <w:rPr>
                <w:color w:val="000000"/>
                <w:sz w:val="22"/>
                <w:szCs w:val="22"/>
              </w:rPr>
              <w:t>10</w:t>
            </w:r>
          </w:p>
        </w:tc>
      </w:tr>
      <w:tr w:rsidR="00EC2F5D" w:rsidTr="002918F0">
        <w:trPr>
          <w:trHeight w:val="576"/>
        </w:trPr>
        <w:tc>
          <w:tcPr>
            <w:tcW w:w="620" w:type="dxa"/>
            <w:tcBorders>
              <w:top w:val="single" w:sz="4" w:space="0" w:color="auto"/>
              <w:left w:val="nil"/>
              <w:bottom w:val="single" w:sz="4" w:space="0" w:color="auto"/>
              <w:right w:val="nil"/>
            </w:tcBorders>
            <w:shd w:val="clear" w:color="000000" w:fill="DDEBF7"/>
            <w:noWrap/>
            <w:vAlign w:val="center"/>
            <w:hideMark/>
          </w:tcPr>
          <w:p w:rsidR="00EC2F5D" w:rsidRDefault="00EC2F5D" w:rsidP="002918F0">
            <w:pPr>
              <w:rPr>
                <w:color w:val="000000"/>
                <w:sz w:val="22"/>
                <w:szCs w:val="22"/>
              </w:rPr>
            </w:pPr>
            <w:r>
              <w:rPr>
                <w:color w:val="000000"/>
                <w:sz w:val="22"/>
                <w:szCs w:val="22"/>
              </w:rPr>
              <w:t>29</w:t>
            </w:r>
          </w:p>
        </w:tc>
        <w:tc>
          <w:tcPr>
            <w:tcW w:w="6480" w:type="dxa"/>
            <w:tcBorders>
              <w:top w:val="single" w:sz="4" w:space="0" w:color="auto"/>
              <w:left w:val="nil"/>
              <w:bottom w:val="single" w:sz="4" w:space="0" w:color="auto"/>
              <w:right w:val="nil"/>
            </w:tcBorders>
            <w:shd w:val="clear" w:color="000000" w:fill="DDEBF7"/>
            <w:vAlign w:val="center"/>
            <w:hideMark/>
          </w:tcPr>
          <w:p w:rsidR="00EC2F5D" w:rsidRDefault="00EC2F5D" w:rsidP="002918F0">
            <w:pPr>
              <w:rPr>
                <w:color w:val="000000"/>
                <w:sz w:val="22"/>
                <w:szCs w:val="22"/>
              </w:rPr>
            </w:pPr>
            <w:r>
              <w:rPr>
                <w:color w:val="000000"/>
                <w:sz w:val="22"/>
                <w:szCs w:val="22"/>
              </w:rPr>
              <w:t>Appeal to the Member States to reduce the number of issues to be considered by WRCs to the minimum necessary.</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EC2F5D" w:rsidRDefault="00EC2F5D" w:rsidP="002918F0">
            <w:pPr>
              <w:rPr>
                <w:color w:val="000000"/>
                <w:sz w:val="22"/>
                <w:szCs w:val="22"/>
              </w:rPr>
            </w:pPr>
            <w:r>
              <w:rPr>
                <w:color w:val="000000"/>
                <w:sz w:val="22"/>
                <w:szCs w:val="22"/>
              </w:rPr>
              <w:t> </w:t>
            </w:r>
          </w:p>
        </w:tc>
        <w:tc>
          <w:tcPr>
            <w:tcW w:w="1700" w:type="dxa"/>
            <w:tcBorders>
              <w:top w:val="single" w:sz="4" w:space="0" w:color="auto"/>
              <w:left w:val="nil"/>
              <w:bottom w:val="single" w:sz="4" w:space="0" w:color="auto"/>
              <w:right w:val="nil"/>
            </w:tcBorders>
            <w:shd w:val="clear" w:color="000000" w:fill="DDEBF7"/>
            <w:noWrap/>
            <w:vAlign w:val="bottom"/>
            <w:hideMark/>
          </w:tcPr>
          <w:p w:rsidR="00EC2F5D" w:rsidRDefault="00EC2F5D" w:rsidP="002918F0">
            <w:pPr>
              <w:rPr>
                <w:color w:val="000000"/>
                <w:sz w:val="22"/>
                <w:szCs w:val="22"/>
              </w:rPr>
            </w:pPr>
            <w:r>
              <w:rPr>
                <w:color w:val="000000"/>
                <w:sz w:val="22"/>
                <w:szCs w:val="22"/>
              </w:rPr>
              <w:t> </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EC2F5D" w:rsidRDefault="00EC2F5D" w:rsidP="002918F0">
            <w:pPr>
              <w:rPr>
                <w:color w:val="000000"/>
                <w:sz w:val="22"/>
                <w:szCs w:val="22"/>
              </w:rPr>
            </w:pPr>
            <w:r>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EC2F5D" w:rsidRDefault="00EC2F5D" w:rsidP="002918F0">
            <w:pPr>
              <w:rPr>
                <w:color w:val="000000"/>
                <w:sz w:val="22"/>
                <w:szCs w:val="22"/>
              </w:rPr>
            </w:pPr>
            <w:r>
              <w:rPr>
                <w:color w:val="000000"/>
                <w:sz w:val="22"/>
                <w:szCs w:val="22"/>
              </w:rPr>
              <w:t> </w:t>
            </w:r>
          </w:p>
        </w:tc>
      </w:tr>
      <w:tr w:rsidR="00EC2F5D" w:rsidTr="002918F0">
        <w:trPr>
          <w:trHeight w:val="288"/>
        </w:trPr>
        <w:tc>
          <w:tcPr>
            <w:tcW w:w="620" w:type="dxa"/>
            <w:tcBorders>
              <w:top w:val="nil"/>
              <w:left w:val="nil"/>
              <w:bottom w:val="nil"/>
              <w:right w:val="nil"/>
            </w:tcBorders>
            <w:shd w:val="clear" w:color="000000" w:fill="C6E0B4"/>
            <w:noWrap/>
            <w:vAlign w:val="center"/>
            <w:hideMark/>
          </w:tcPr>
          <w:p w:rsidR="00EC2F5D" w:rsidRDefault="00EC2F5D" w:rsidP="002918F0">
            <w:pPr>
              <w:rPr>
                <w:color w:val="000000"/>
                <w:sz w:val="22"/>
                <w:szCs w:val="22"/>
              </w:rPr>
            </w:pPr>
            <w:r>
              <w:rPr>
                <w:color w:val="000000"/>
                <w:sz w:val="22"/>
                <w:szCs w:val="22"/>
              </w:rPr>
              <w:t>30</w:t>
            </w:r>
          </w:p>
        </w:tc>
        <w:tc>
          <w:tcPr>
            <w:tcW w:w="6480" w:type="dxa"/>
            <w:tcBorders>
              <w:top w:val="nil"/>
              <w:left w:val="nil"/>
              <w:bottom w:val="nil"/>
              <w:right w:val="nil"/>
            </w:tcBorders>
            <w:shd w:val="clear" w:color="000000" w:fill="C6E0B4"/>
            <w:vAlign w:val="center"/>
            <w:hideMark/>
          </w:tcPr>
          <w:p w:rsidR="00EC2F5D" w:rsidRDefault="00EC2F5D" w:rsidP="002918F0">
            <w:pPr>
              <w:rPr>
                <w:color w:val="000000"/>
                <w:sz w:val="22"/>
                <w:szCs w:val="22"/>
              </w:rPr>
            </w:pPr>
            <w:r>
              <w:rPr>
                <w:color w:val="000000"/>
                <w:sz w:val="22"/>
                <w:szCs w:val="22"/>
              </w:rPr>
              <w:t>Any additional measures adopted by the Council.</w:t>
            </w:r>
          </w:p>
        </w:tc>
        <w:tc>
          <w:tcPr>
            <w:tcW w:w="1700" w:type="dxa"/>
            <w:tcBorders>
              <w:top w:val="nil"/>
              <w:left w:val="dotted" w:sz="4" w:space="0" w:color="auto"/>
              <w:bottom w:val="nil"/>
              <w:right w:val="dotted" w:sz="4" w:space="0" w:color="auto"/>
            </w:tcBorders>
            <w:shd w:val="clear" w:color="000000" w:fill="C6E0B4"/>
            <w:noWrap/>
            <w:vAlign w:val="bottom"/>
            <w:hideMark/>
          </w:tcPr>
          <w:p w:rsidR="00EC2F5D" w:rsidRDefault="00EC2F5D" w:rsidP="002918F0">
            <w:pPr>
              <w:rPr>
                <w:color w:val="000000"/>
                <w:sz w:val="22"/>
                <w:szCs w:val="22"/>
              </w:rPr>
            </w:pPr>
            <w:r>
              <w:rPr>
                <w:color w:val="000000"/>
                <w:sz w:val="22"/>
                <w:szCs w:val="22"/>
              </w:rPr>
              <w:t> </w:t>
            </w:r>
          </w:p>
        </w:tc>
        <w:tc>
          <w:tcPr>
            <w:tcW w:w="1700" w:type="dxa"/>
            <w:tcBorders>
              <w:top w:val="nil"/>
              <w:left w:val="nil"/>
              <w:bottom w:val="nil"/>
              <w:right w:val="nil"/>
            </w:tcBorders>
            <w:shd w:val="clear" w:color="000000" w:fill="C6E0B4"/>
            <w:noWrap/>
            <w:vAlign w:val="bottom"/>
            <w:hideMark/>
          </w:tcPr>
          <w:p w:rsidR="00EC2F5D" w:rsidRDefault="00EC2F5D" w:rsidP="002918F0">
            <w:pPr>
              <w:rPr>
                <w:color w:val="000000"/>
                <w:sz w:val="22"/>
                <w:szCs w:val="22"/>
              </w:rPr>
            </w:pPr>
            <w:r>
              <w:rPr>
                <w:color w:val="000000"/>
                <w:sz w:val="22"/>
                <w:szCs w:val="22"/>
              </w:rPr>
              <w:t> </w:t>
            </w:r>
          </w:p>
        </w:tc>
        <w:tc>
          <w:tcPr>
            <w:tcW w:w="1700" w:type="dxa"/>
            <w:tcBorders>
              <w:top w:val="nil"/>
              <w:left w:val="dotted" w:sz="4" w:space="0" w:color="auto"/>
              <w:bottom w:val="nil"/>
              <w:right w:val="dotted" w:sz="4" w:space="0" w:color="auto"/>
            </w:tcBorders>
            <w:shd w:val="clear" w:color="000000" w:fill="C6E0B4"/>
            <w:noWrap/>
            <w:vAlign w:val="bottom"/>
            <w:hideMark/>
          </w:tcPr>
          <w:p w:rsidR="00EC2F5D" w:rsidRDefault="00EC2F5D" w:rsidP="002918F0">
            <w:pPr>
              <w:rPr>
                <w:color w:val="000000"/>
                <w:sz w:val="22"/>
                <w:szCs w:val="22"/>
              </w:rPr>
            </w:pPr>
            <w:r>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rsidR="00EC2F5D" w:rsidRDefault="00EC2F5D" w:rsidP="002918F0">
            <w:pPr>
              <w:rPr>
                <w:color w:val="000000"/>
                <w:sz w:val="22"/>
                <w:szCs w:val="22"/>
              </w:rPr>
            </w:pPr>
            <w:r>
              <w:rPr>
                <w:color w:val="000000"/>
                <w:sz w:val="22"/>
                <w:szCs w:val="22"/>
              </w:rPr>
              <w:t> </w:t>
            </w:r>
          </w:p>
        </w:tc>
      </w:tr>
      <w:tr w:rsidR="00EC2F5D" w:rsidTr="002918F0">
        <w:trPr>
          <w:trHeight w:val="288"/>
        </w:trPr>
        <w:tc>
          <w:tcPr>
            <w:tcW w:w="620" w:type="dxa"/>
            <w:tcBorders>
              <w:top w:val="single" w:sz="4" w:space="0" w:color="auto"/>
              <w:left w:val="nil"/>
              <w:bottom w:val="single" w:sz="4" w:space="0" w:color="auto"/>
              <w:right w:val="nil"/>
            </w:tcBorders>
            <w:shd w:val="clear" w:color="000000" w:fill="DDEBF7"/>
            <w:noWrap/>
            <w:vAlign w:val="center"/>
            <w:hideMark/>
          </w:tcPr>
          <w:p w:rsidR="00EC2F5D" w:rsidRDefault="00EC2F5D" w:rsidP="002918F0">
            <w:pPr>
              <w:rPr>
                <w:color w:val="000000"/>
                <w:sz w:val="22"/>
                <w:szCs w:val="22"/>
              </w:rPr>
            </w:pPr>
            <w:r>
              <w:rPr>
                <w:color w:val="000000"/>
                <w:sz w:val="22"/>
                <w:szCs w:val="22"/>
              </w:rPr>
              <w:t>31</w:t>
            </w:r>
          </w:p>
        </w:tc>
        <w:tc>
          <w:tcPr>
            <w:tcW w:w="6480" w:type="dxa"/>
            <w:tcBorders>
              <w:top w:val="single" w:sz="4" w:space="0" w:color="auto"/>
              <w:left w:val="nil"/>
              <w:bottom w:val="single" w:sz="4" w:space="0" w:color="auto"/>
              <w:right w:val="nil"/>
            </w:tcBorders>
            <w:shd w:val="clear" w:color="000000" w:fill="DDEBF7"/>
            <w:noWrap/>
            <w:vAlign w:val="center"/>
            <w:hideMark/>
          </w:tcPr>
          <w:p w:rsidR="00EC2F5D" w:rsidRDefault="00EC2F5D" w:rsidP="002918F0">
            <w:pPr>
              <w:rPr>
                <w:color w:val="000000"/>
                <w:sz w:val="22"/>
                <w:szCs w:val="22"/>
              </w:rPr>
            </w:pPr>
            <w:r>
              <w:rPr>
                <w:color w:val="000000"/>
                <w:sz w:val="22"/>
                <w:szCs w:val="22"/>
              </w:rPr>
              <w:t>Other measures taken by ITU Management.</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EC2F5D" w:rsidRDefault="00EC2F5D" w:rsidP="002918F0">
            <w:pPr>
              <w:jc w:val="right"/>
              <w:rPr>
                <w:color w:val="000000"/>
                <w:sz w:val="22"/>
                <w:szCs w:val="22"/>
              </w:rPr>
            </w:pPr>
            <w:r>
              <w:rPr>
                <w:color w:val="000000"/>
                <w:sz w:val="22"/>
                <w:szCs w:val="22"/>
              </w:rPr>
              <w:t>1,787</w:t>
            </w:r>
          </w:p>
        </w:tc>
        <w:tc>
          <w:tcPr>
            <w:tcW w:w="1700" w:type="dxa"/>
            <w:tcBorders>
              <w:top w:val="single" w:sz="4" w:space="0" w:color="auto"/>
              <w:left w:val="nil"/>
              <w:bottom w:val="single" w:sz="4" w:space="0" w:color="auto"/>
              <w:right w:val="nil"/>
            </w:tcBorders>
            <w:shd w:val="clear" w:color="000000" w:fill="DDEBF7"/>
            <w:noWrap/>
            <w:vAlign w:val="bottom"/>
            <w:hideMark/>
          </w:tcPr>
          <w:p w:rsidR="00EC2F5D" w:rsidRDefault="00EC2F5D" w:rsidP="002918F0">
            <w:pPr>
              <w:jc w:val="right"/>
              <w:rPr>
                <w:color w:val="000000"/>
                <w:sz w:val="22"/>
                <w:szCs w:val="22"/>
              </w:rPr>
            </w:pPr>
            <w:r>
              <w:rPr>
                <w:color w:val="000000"/>
                <w:sz w:val="22"/>
                <w:szCs w:val="22"/>
              </w:rPr>
              <w:t>224</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rsidR="00EC2F5D" w:rsidRDefault="00EC2F5D" w:rsidP="002918F0">
            <w:pPr>
              <w:jc w:val="right"/>
              <w:rPr>
                <w:color w:val="000000"/>
                <w:sz w:val="22"/>
                <w:szCs w:val="22"/>
              </w:rPr>
            </w:pPr>
            <w:r>
              <w:rPr>
                <w:color w:val="000000"/>
                <w:sz w:val="22"/>
                <w:szCs w:val="22"/>
              </w:rPr>
              <w:t>250</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rsidR="00EC2F5D" w:rsidRDefault="00EC2F5D" w:rsidP="002918F0">
            <w:pPr>
              <w:jc w:val="right"/>
              <w:rPr>
                <w:color w:val="000000"/>
                <w:sz w:val="22"/>
                <w:szCs w:val="22"/>
              </w:rPr>
            </w:pPr>
            <w:r>
              <w:rPr>
                <w:color w:val="000000"/>
                <w:sz w:val="22"/>
                <w:szCs w:val="22"/>
              </w:rPr>
              <w:t>2,261</w:t>
            </w:r>
          </w:p>
        </w:tc>
      </w:tr>
      <w:tr w:rsidR="00EC2F5D" w:rsidTr="002918F0">
        <w:trPr>
          <w:trHeight w:val="288"/>
        </w:trPr>
        <w:tc>
          <w:tcPr>
            <w:tcW w:w="620" w:type="dxa"/>
            <w:tcBorders>
              <w:top w:val="nil"/>
              <w:left w:val="nil"/>
              <w:bottom w:val="nil"/>
              <w:right w:val="nil"/>
            </w:tcBorders>
            <w:shd w:val="clear" w:color="auto" w:fill="auto"/>
            <w:noWrap/>
            <w:vAlign w:val="center"/>
            <w:hideMark/>
          </w:tcPr>
          <w:p w:rsidR="00EC2F5D" w:rsidRDefault="00EC2F5D" w:rsidP="002918F0">
            <w:pPr>
              <w:jc w:val="right"/>
              <w:rPr>
                <w:color w:val="000000"/>
                <w:sz w:val="22"/>
                <w:szCs w:val="22"/>
              </w:rPr>
            </w:pPr>
          </w:p>
        </w:tc>
        <w:tc>
          <w:tcPr>
            <w:tcW w:w="6480" w:type="dxa"/>
            <w:tcBorders>
              <w:top w:val="nil"/>
              <w:left w:val="nil"/>
              <w:bottom w:val="nil"/>
              <w:right w:val="nil"/>
            </w:tcBorders>
            <w:shd w:val="clear" w:color="auto" w:fill="auto"/>
            <w:noWrap/>
            <w:vAlign w:val="center"/>
            <w:hideMark/>
          </w:tcPr>
          <w:p w:rsidR="00EC2F5D" w:rsidRDefault="00EC2F5D" w:rsidP="002918F0">
            <w:pPr>
              <w:rPr>
                <w:sz w:val="20"/>
              </w:rPr>
            </w:pPr>
          </w:p>
        </w:tc>
        <w:tc>
          <w:tcPr>
            <w:tcW w:w="1700" w:type="dxa"/>
            <w:tcBorders>
              <w:top w:val="nil"/>
              <w:left w:val="nil"/>
              <w:bottom w:val="single" w:sz="4" w:space="0" w:color="auto"/>
              <w:right w:val="nil"/>
            </w:tcBorders>
            <w:shd w:val="clear" w:color="auto" w:fill="auto"/>
            <w:noWrap/>
            <w:vAlign w:val="bottom"/>
            <w:hideMark/>
          </w:tcPr>
          <w:p w:rsidR="00EC2F5D" w:rsidRDefault="00EC2F5D" w:rsidP="002918F0">
            <w:pPr>
              <w:rPr>
                <w:color w:val="000000"/>
                <w:sz w:val="22"/>
                <w:szCs w:val="22"/>
              </w:rPr>
            </w:pPr>
            <w:r>
              <w:rPr>
                <w:color w:val="000000"/>
                <w:sz w:val="22"/>
                <w:szCs w:val="22"/>
              </w:rPr>
              <w:t> </w:t>
            </w:r>
          </w:p>
        </w:tc>
        <w:tc>
          <w:tcPr>
            <w:tcW w:w="1700" w:type="dxa"/>
            <w:tcBorders>
              <w:top w:val="nil"/>
              <w:left w:val="nil"/>
              <w:bottom w:val="single" w:sz="4" w:space="0" w:color="auto"/>
              <w:right w:val="nil"/>
            </w:tcBorders>
            <w:shd w:val="clear" w:color="auto" w:fill="auto"/>
            <w:noWrap/>
            <w:vAlign w:val="bottom"/>
            <w:hideMark/>
          </w:tcPr>
          <w:p w:rsidR="00EC2F5D" w:rsidRDefault="00EC2F5D" w:rsidP="002918F0">
            <w:pPr>
              <w:rPr>
                <w:color w:val="000000"/>
                <w:sz w:val="22"/>
                <w:szCs w:val="22"/>
              </w:rPr>
            </w:pPr>
            <w:r>
              <w:rPr>
                <w:color w:val="000000"/>
                <w:sz w:val="22"/>
                <w:szCs w:val="22"/>
              </w:rPr>
              <w:t> </w:t>
            </w:r>
          </w:p>
        </w:tc>
        <w:tc>
          <w:tcPr>
            <w:tcW w:w="1700" w:type="dxa"/>
            <w:tcBorders>
              <w:top w:val="nil"/>
              <w:left w:val="nil"/>
              <w:bottom w:val="single" w:sz="4" w:space="0" w:color="auto"/>
              <w:right w:val="nil"/>
            </w:tcBorders>
            <w:shd w:val="clear" w:color="auto" w:fill="auto"/>
            <w:noWrap/>
            <w:vAlign w:val="bottom"/>
            <w:hideMark/>
          </w:tcPr>
          <w:p w:rsidR="00EC2F5D" w:rsidRDefault="00EC2F5D" w:rsidP="002918F0">
            <w:pPr>
              <w:rPr>
                <w:color w:val="000000"/>
                <w:sz w:val="22"/>
                <w:szCs w:val="22"/>
              </w:rPr>
            </w:pPr>
            <w:r>
              <w:rPr>
                <w:color w:val="000000"/>
                <w:sz w:val="22"/>
                <w:szCs w:val="22"/>
              </w:rPr>
              <w:t> </w:t>
            </w:r>
          </w:p>
        </w:tc>
        <w:tc>
          <w:tcPr>
            <w:tcW w:w="1701" w:type="dxa"/>
            <w:tcBorders>
              <w:top w:val="nil"/>
              <w:left w:val="nil"/>
              <w:bottom w:val="single" w:sz="4" w:space="0" w:color="auto"/>
              <w:right w:val="nil"/>
            </w:tcBorders>
            <w:shd w:val="clear" w:color="auto" w:fill="auto"/>
            <w:noWrap/>
            <w:vAlign w:val="bottom"/>
            <w:hideMark/>
          </w:tcPr>
          <w:p w:rsidR="00EC2F5D" w:rsidRDefault="00EC2F5D" w:rsidP="002918F0">
            <w:pPr>
              <w:rPr>
                <w:color w:val="000000"/>
                <w:sz w:val="22"/>
                <w:szCs w:val="22"/>
              </w:rPr>
            </w:pPr>
            <w:r>
              <w:rPr>
                <w:color w:val="000000"/>
                <w:sz w:val="22"/>
                <w:szCs w:val="22"/>
              </w:rPr>
              <w:t> </w:t>
            </w:r>
          </w:p>
        </w:tc>
      </w:tr>
      <w:tr w:rsidR="00EC2F5D" w:rsidTr="002918F0">
        <w:trPr>
          <w:trHeight w:val="312"/>
        </w:trPr>
        <w:tc>
          <w:tcPr>
            <w:tcW w:w="620" w:type="dxa"/>
            <w:tcBorders>
              <w:top w:val="single" w:sz="4" w:space="0" w:color="auto"/>
              <w:left w:val="nil"/>
              <w:bottom w:val="single" w:sz="4" w:space="0" w:color="auto"/>
              <w:right w:val="nil"/>
            </w:tcBorders>
            <w:shd w:val="clear" w:color="000000" w:fill="9BC2E6"/>
            <w:noWrap/>
            <w:vAlign w:val="center"/>
            <w:hideMark/>
          </w:tcPr>
          <w:p w:rsidR="00EC2F5D" w:rsidRDefault="00EC2F5D" w:rsidP="002918F0">
            <w:pPr>
              <w:rPr>
                <w:b/>
                <w:bCs/>
                <w:color w:val="000000"/>
                <w:szCs w:val="24"/>
              </w:rPr>
            </w:pPr>
            <w:r>
              <w:rPr>
                <w:b/>
                <w:bCs/>
                <w:color w:val="000000"/>
              </w:rPr>
              <w:t> </w:t>
            </w:r>
          </w:p>
        </w:tc>
        <w:tc>
          <w:tcPr>
            <w:tcW w:w="6480" w:type="dxa"/>
            <w:tcBorders>
              <w:top w:val="single" w:sz="4" w:space="0" w:color="auto"/>
              <w:left w:val="nil"/>
              <w:bottom w:val="single" w:sz="4" w:space="0" w:color="auto"/>
              <w:right w:val="nil"/>
            </w:tcBorders>
            <w:shd w:val="clear" w:color="000000" w:fill="9BC2E6"/>
            <w:noWrap/>
            <w:vAlign w:val="center"/>
            <w:hideMark/>
          </w:tcPr>
          <w:p w:rsidR="00EC2F5D" w:rsidRDefault="00EC2F5D" w:rsidP="002918F0">
            <w:pPr>
              <w:rPr>
                <w:b/>
                <w:bCs/>
                <w:color w:val="000000"/>
              </w:rPr>
            </w:pPr>
            <w:r>
              <w:rPr>
                <w:b/>
                <w:bCs/>
                <w:color w:val="000000"/>
              </w:rPr>
              <w:t>Total</w:t>
            </w:r>
          </w:p>
        </w:tc>
        <w:tc>
          <w:tcPr>
            <w:tcW w:w="1700" w:type="dxa"/>
            <w:tcBorders>
              <w:top w:val="nil"/>
              <w:left w:val="dotted" w:sz="4" w:space="0" w:color="auto"/>
              <w:bottom w:val="single" w:sz="4" w:space="0" w:color="auto"/>
              <w:right w:val="dotted" w:sz="4" w:space="0" w:color="auto"/>
            </w:tcBorders>
            <w:shd w:val="clear" w:color="000000" w:fill="9BC2E6"/>
            <w:noWrap/>
            <w:vAlign w:val="bottom"/>
            <w:hideMark/>
          </w:tcPr>
          <w:p w:rsidR="00EC2F5D" w:rsidRDefault="00EC2F5D" w:rsidP="002918F0">
            <w:pPr>
              <w:jc w:val="right"/>
              <w:rPr>
                <w:b/>
                <w:bCs/>
                <w:color w:val="000000"/>
              </w:rPr>
            </w:pPr>
            <w:r>
              <w:rPr>
                <w:b/>
                <w:bCs/>
                <w:color w:val="000000"/>
              </w:rPr>
              <w:t>24,447</w:t>
            </w:r>
          </w:p>
        </w:tc>
        <w:tc>
          <w:tcPr>
            <w:tcW w:w="1700" w:type="dxa"/>
            <w:tcBorders>
              <w:top w:val="nil"/>
              <w:left w:val="nil"/>
              <w:bottom w:val="single" w:sz="4" w:space="0" w:color="auto"/>
              <w:right w:val="nil"/>
            </w:tcBorders>
            <w:shd w:val="clear" w:color="000000" w:fill="9BC2E6"/>
            <w:noWrap/>
            <w:vAlign w:val="bottom"/>
            <w:hideMark/>
          </w:tcPr>
          <w:p w:rsidR="00EC2F5D" w:rsidRDefault="00EC2F5D" w:rsidP="002918F0">
            <w:pPr>
              <w:jc w:val="right"/>
              <w:rPr>
                <w:b/>
                <w:bCs/>
                <w:color w:val="000000"/>
              </w:rPr>
            </w:pPr>
            <w:r>
              <w:rPr>
                <w:b/>
                <w:bCs/>
                <w:color w:val="000000"/>
              </w:rPr>
              <w:t>17,046</w:t>
            </w:r>
          </w:p>
        </w:tc>
        <w:tc>
          <w:tcPr>
            <w:tcW w:w="1700" w:type="dxa"/>
            <w:tcBorders>
              <w:top w:val="nil"/>
              <w:left w:val="dotted" w:sz="4" w:space="0" w:color="auto"/>
              <w:bottom w:val="single" w:sz="4" w:space="0" w:color="auto"/>
              <w:right w:val="dotted" w:sz="4" w:space="0" w:color="auto"/>
            </w:tcBorders>
            <w:shd w:val="clear" w:color="000000" w:fill="9BC2E6"/>
            <w:noWrap/>
            <w:vAlign w:val="bottom"/>
            <w:hideMark/>
          </w:tcPr>
          <w:p w:rsidR="00EC2F5D" w:rsidRDefault="00EC2F5D" w:rsidP="002918F0">
            <w:pPr>
              <w:jc w:val="right"/>
              <w:rPr>
                <w:b/>
                <w:bCs/>
                <w:color w:val="000000"/>
              </w:rPr>
            </w:pPr>
            <w:r>
              <w:rPr>
                <w:b/>
                <w:bCs/>
                <w:color w:val="000000"/>
              </w:rPr>
              <w:t>13,304</w:t>
            </w:r>
          </w:p>
        </w:tc>
        <w:tc>
          <w:tcPr>
            <w:tcW w:w="1701" w:type="dxa"/>
            <w:tcBorders>
              <w:top w:val="nil"/>
              <w:left w:val="nil"/>
              <w:bottom w:val="single" w:sz="4" w:space="0" w:color="auto"/>
              <w:right w:val="dotted" w:sz="4" w:space="0" w:color="auto"/>
            </w:tcBorders>
            <w:shd w:val="clear" w:color="000000" w:fill="9BC2E6"/>
            <w:noWrap/>
            <w:vAlign w:val="bottom"/>
            <w:hideMark/>
          </w:tcPr>
          <w:p w:rsidR="00EC2F5D" w:rsidRDefault="00EC2F5D" w:rsidP="002918F0">
            <w:pPr>
              <w:jc w:val="right"/>
              <w:rPr>
                <w:b/>
                <w:bCs/>
                <w:color w:val="000000"/>
              </w:rPr>
            </w:pPr>
            <w:r>
              <w:rPr>
                <w:b/>
                <w:bCs/>
                <w:color w:val="000000"/>
              </w:rPr>
              <w:t>54,797</w:t>
            </w:r>
          </w:p>
        </w:tc>
      </w:tr>
    </w:tbl>
    <w:p w:rsidR="00264425" w:rsidRPr="002A2188" w:rsidRDefault="00EC2F5D" w:rsidP="00EC2F5D">
      <w:pPr>
        <w:tabs>
          <w:tab w:val="clear" w:pos="567"/>
          <w:tab w:val="clear" w:pos="1134"/>
          <w:tab w:val="clear" w:pos="1701"/>
          <w:tab w:val="clear" w:pos="2268"/>
          <w:tab w:val="clear" w:pos="2835"/>
        </w:tabs>
        <w:overflowPunct/>
        <w:autoSpaceDE/>
        <w:autoSpaceDN/>
        <w:adjustRightInd/>
        <w:spacing w:before="840"/>
        <w:jc w:val="center"/>
        <w:textAlignment w:val="auto"/>
        <w:rPr>
          <w:lang w:val="en-US"/>
        </w:rPr>
      </w:pPr>
      <w:r>
        <w:rPr>
          <w:szCs w:val="24"/>
        </w:rPr>
        <w:t>______________________</w:t>
      </w:r>
    </w:p>
    <w:sectPr w:rsidR="00264425" w:rsidRPr="002A2188" w:rsidSect="00EC2F5D">
      <w:headerReference w:type="default" r:id="rId13"/>
      <w:footerReference w:type="default" r:id="rId14"/>
      <w:headerReference w:type="first" r:id="rId15"/>
      <w:footerReference w:type="first" r:id="rId16"/>
      <w:pgSz w:w="16834" w:h="11907" w:orient="landscape" w:code="9"/>
      <w:pgMar w:top="1021" w:right="1418" w:bottom="964" w:left="1418" w:header="624"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9E0" w:rsidRDefault="001859E0">
      <w:r>
        <w:separator/>
      </w:r>
    </w:p>
  </w:endnote>
  <w:endnote w:type="continuationSeparator" w:id="0">
    <w:p w:rsidR="001859E0" w:rsidRDefault="0018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F5D" w:rsidRPr="00EC2F5D" w:rsidRDefault="00EC2F5D" w:rsidP="00EC2F5D">
    <w:pPr>
      <w:spacing w:after="120"/>
      <w:jc w:val="center"/>
      <w:rPr>
        <w:sz w:val="22"/>
        <w:szCs w:val="22"/>
      </w:rPr>
    </w:pPr>
    <w:r w:rsidRPr="00EC2F5D">
      <w:rPr>
        <w:sz w:val="22"/>
        <w:szCs w:val="22"/>
      </w:rPr>
      <w:t xml:space="preserve">• </w:t>
    </w:r>
    <w:hyperlink r:id="rId1" w:history="1">
      <w:r w:rsidRPr="00EC2F5D">
        <w:rPr>
          <w:rStyle w:val="Hyperlink"/>
          <w:sz w:val="22"/>
          <w:szCs w:val="22"/>
        </w:rPr>
        <w:t>http://www.itu.int/council</w:t>
      </w:r>
    </w:hyperlink>
    <w:r w:rsidRPr="00EC2F5D">
      <w:rPr>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EC2F5D" w:rsidRDefault="00CD41AA">
    <w:pPr>
      <w:pStyle w:val="Footer"/>
      <w:rPr>
        <w:color w:val="BFBFBF" w:themeColor="background1" w:themeShade="BF"/>
      </w:rPr>
    </w:pPr>
    <w:r w:rsidRPr="00EC2F5D">
      <w:rPr>
        <w:color w:val="BFBFBF" w:themeColor="background1" w:themeShade="BF"/>
      </w:rPr>
      <w:fldChar w:fldCharType="begin"/>
    </w:r>
    <w:r w:rsidRPr="00EC2F5D">
      <w:rPr>
        <w:color w:val="BFBFBF" w:themeColor="background1" w:themeShade="BF"/>
      </w:rPr>
      <w:instrText xml:space="preserve"> FILENAME \p  \* MERGEFORMAT </w:instrText>
    </w:r>
    <w:r w:rsidRPr="00EC2F5D">
      <w:rPr>
        <w:color w:val="BFBFBF" w:themeColor="background1" w:themeShade="BF"/>
      </w:rPr>
      <w:fldChar w:fldCharType="separate"/>
    </w:r>
    <w:r w:rsidR="001859E0" w:rsidRPr="00EC2F5D">
      <w:rPr>
        <w:color w:val="BFBFBF" w:themeColor="background1" w:themeShade="BF"/>
      </w:rPr>
      <w:t>Document1</w:t>
    </w:r>
    <w:r w:rsidRPr="00EC2F5D">
      <w:rPr>
        <w:color w:val="BFBFBF" w:themeColor="background1" w:themeShade="BF"/>
      </w:rPr>
      <w:fldChar w:fldCharType="end"/>
    </w:r>
    <w:r w:rsidR="00CB18FF" w:rsidRPr="00EC2F5D">
      <w:rPr>
        <w:color w:val="BFBFBF" w:themeColor="background1" w:themeShade="BF"/>
      </w:rPr>
      <w:tab/>
    </w:r>
    <w:r w:rsidR="00864AFF" w:rsidRPr="00EC2F5D">
      <w:rPr>
        <w:color w:val="BFBFBF" w:themeColor="background1" w:themeShade="BF"/>
      </w:rPr>
      <w:fldChar w:fldCharType="begin"/>
    </w:r>
    <w:r w:rsidR="00CB18FF" w:rsidRPr="00EC2F5D">
      <w:rPr>
        <w:color w:val="BFBFBF" w:themeColor="background1" w:themeShade="BF"/>
      </w:rPr>
      <w:instrText xml:space="preserve"> SAVEDATE \@ DD.MM.YY </w:instrText>
    </w:r>
    <w:r w:rsidR="00864AFF" w:rsidRPr="00EC2F5D">
      <w:rPr>
        <w:color w:val="BFBFBF" w:themeColor="background1" w:themeShade="BF"/>
      </w:rPr>
      <w:fldChar w:fldCharType="separate"/>
    </w:r>
    <w:r w:rsidR="008D2E43">
      <w:rPr>
        <w:color w:val="BFBFBF" w:themeColor="background1" w:themeShade="BF"/>
      </w:rPr>
      <w:t>01.02.18</w:t>
    </w:r>
    <w:r w:rsidR="00864AFF" w:rsidRPr="00EC2F5D">
      <w:rPr>
        <w:color w:val="BFBFBF" w:themeColor="background1" w:themeShade="BF"/>
      </w:rPr>
      <w:fldChar w:fldCharType="end"/>
    </w:r>
    <w:r w:rsidR="00CB18FF" w:rsidRPr="00EC2F5D">
      <w:rPr>
        <w:color w:val="BFBFBF" w:themeColor="background1" w:themeShade="BF"/>
      </w:rPr>
      <w:tab/>
    </w:r>
    <w:r w:rsidR="00864AFF" w:rsidRPr="00EC2F5D">
      <w:rPr>
        <w:color w:val="BFBFBF" w:themeColor="background1" w:themeShade="BF"/>
      </w:rPr>
      <w:fldChar w:fldCharType="begin"/>
    </w:r>
    <w:r w:rsidR="00CB18FF" w:rsidRPr="00EC2F5D">
      <w:rPr>
        <w:color w:val="BFBFBF" w:themeColor="background1" w:themeShade="BF"/>
      </w:rPr>
      <w:instrText xml:space="preserve"> PRINTDATE \@ DD.MM.YY </w:instrText>
    </w:r>
    <w:r w:rsidR="00864AFF" w:rsidRPr="00EC2F5D">
      <w:rPr>
        <w:color w:val="BFBFBF" w:themeColor="background1" w:themeShade="BF"/>
      </w:rPr>
      <w:fldChar w:fldCharType="separate"/>
    </w:r>
    <w:r w:rsidR="001859E0" w:rsidRPr="00EC2F5D">
      <w:rPr>
        <w:color w:val="BFBFBF" w:themeColor="background1" w:themeShade="BF"/>
      </w:rPr>
      <w:t>18.07.00</w:t>
    </w:r>
    <w:r w:rsidR="00864AFF" w:rsidRPr="00EC2F5D">
      <w:rPr>
        <w:color w:val="BFBFBF" w:themeColor="background1" w:themeShade="B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Pr="00EC2F5D" w:rsidRDefault="00CD41AA">
    <w:pPr>
      <w:pStyle w:val="Footer"/>
      <w:rPr>
        <w:color w:val="BFBFBF" w:themeColor="background1" w:themeShade="BF"/>
      </w:rPr>
    </w:pPr>
    <w:r w:rsidRPr="00EC2F5D">
      <w:rPr>
        <w:color w:val="BFBFBF" w:themeColor="background1" w:themeShade="BF"/>
      </w:rPr>
      <w:fldChar w:fldCharType="begin"/>
    </w:r>
    <w:r w:rsidRPr="00EC2F5D">
      <w:rPr>
        <w:color w:val="BFBFBF" w:themeColor="background1" w:themeShade="BF"/>
      </w:rPr>
      <w:instrText xml:space="preserve"> FILENAME \p  \* MERGEFORMAT </w:instrText>
    </w:r>
    <w:r w:rsidRPr="00EC2F5D">
      <w:rPr>
        <w:color w:val="BFBFBF" w:themeColor="background1" w:themeShade="BF"/>
      </w:rPr>
      <w:fldChar w:fldCharType="separate"/>
    </w:r>
    <w:r w:rsidR="001859E0" w:rsidRPr="00EC2F5D">
      <w:rPr>
        <w:color w:val="BFBFBF" w:themeColor="background1" w:themeShade="BF"/>
      </w:rPr>
      <w:t>Document1</w:t>
    </w:r>
    <w:r w:rsidRPr="00EC2F5D">
      <w:rPr>
        <w:color w:val="BFBFBF" w:themeColor="background1" w:themeShade="BF"/>
      </w:rPr>
      <w:fldChar w:fldCharType="end"/>
    </w:r>
    <w:r w:rsidR="00322D0D" w:rsidRPr="00EC2F5D">
      <w:rPr>
        <w:color w:val="BFBFBF" w:themeColor="background1" w:themeShade="BF"/>
      </w:rPr>
      <w:tab/>
    </w:r>
    <w:r w:rsidR="00864AFF" w:rsidRPr="00EC2F5D">
      <w:rPr>
        <w:color w:val="BFBFBF" w:themeColor="background1" w:themeShade="BF"/>
      </w:rPr>
      <w:fldChar w:fldCharType="begin"/>
    </w:r>
    <w:r w:rsidR="00322D0D" w:rsidRPr="00EC2F5D">
      <w:rPr>
        <w:color w:val="BFBFBF" w:themeColor="background1" w:themeShade="BF"/>
      </w:rPr>
      <w:instrText xml:space="preserve"> SAVEDATE \@ DD.MM.YY </w:instrText>
    </w:r>
    <w:r w:rsidR="00864AFF" w:rsidRPr="00EC2F5D">
      <w:rPr>
        <w:color w:val="BFBFBF" w:themeColor="background1" w:themeShade="BF"/>
      </w:rPr>
      <w:fldChar w:fldCharType="separate"/>
    </w:r>
    <w:r w:rsidR="008D2E43">
      <w:rPr>
        <w:color w:val="BFBFBF" w:themeColor="background1" w:themeShade="BF"/>
      </w:rPr>
      <w:t>01.02.18</w:t>
    </w:r>
    <w:r w:rsidR="00864AFF" w:rsidRPr="00EC2F5D">
      <w:rPr>
        <w:color w:val="BFBFBF" w:themeColor="background1" w:themeShade="BF"/>
      </w:rPr>
      <w:fldChar w:fldCharType="end"/>
    </w:r>
    <w:r w:rsidR="00322D0D" w:rsidRPr="00EC2F5D">
      <w:rPr>
        <w:color w:val="BFBFBF" w:themeColor="background1" w:themeShade="BF"/>
      </w:rPr>
      <w:tab/>
    </w:r>
    <w:r w:rsidR="00864AFF" w:rsidRPr="00EC2F5D">
      <w:rPr>
        <w:color w:val="BFBFBF" w:themeColor="background1" w:themeShade="BF"/>
      </w:rPr>
      <w:fldChar w:fldCharType="begin"/>
    </w:r>
    <w:r w:rsidR="00322D0D" w:rsidRPr="00EC2F5D">
      <w:rPr>
        <w:color w:val="BFBFBF" w:themeColor="background1" w:themeShade="BF"/>
      </w:rPr>
      <w:instrText xml:space="preserve"> PRINTDATE \@ DD.MM.YY </w:instrText>
    </w:r>
    <w:r w:rsidR="00864AFF" w:rsidRPr="00EC2F5D">
      <w:rPr>
        <w:color w:val="BFBFBF" w:themeColor="background1" w:themeShade="BF"/>
      </w:rPr>
      <w:fldChar w:fldCharType="separate"/>
    </w:r>
    <w:r w:rsidR="001859E0" w:rsidRPr="00EC2F5D">
      <w:rPr>
        <w:color w:val="BFBFBF" w:themeColor="background1" w:themeShade="BF"/>
      </w:rPr>
      <w:t>18.07.00</w:t>
    </w:r>
    <w:r w:rsidR="00864AFF" w:rsidRPr="00EC2F5D">
      <w:rPr>
        <w:color w:val="BFBFBF" w:themeColor="background1" w:themeShade="B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9E0" w:rsidRDefault="001859E0">
      <w:r>
        <w:t>____________________</w:t>
      </w:r>
    </w:p>
  </w:footnote>
  <w:footnote w:type="continuationSeparator" w:id="0">
    <w:p w:rsidR="001859E0" w:rsidRDefault="00185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F5D" w:rsidRDefault="00CD41AA" w:rsidP="00EC2F5D">
    <w:pPr>
      <w:pStyle w:val="Header"/>
    </w:pPr>
    <w:r>
      <w:fldChar w:fldCharType="begin"/>
    </w:r>
    <w:r>
      <w:instrText xml:space="preserve"> PAGE  \* Arabic  \* MERGEFORMAT </w:instrText>
    </w:r>
    <w:r>
      <w:fldChar w:fldCharType="separate"/>
    </w:r>
    <w:r w:rsidR="008D2E43">
      <w:rPr>
        <w:noProof/>
      </w:rPr>
      <w:t>2</w:t>
    </w:r>
    <w:r>
      <w:fldChar w:fldCharType="end"/>
    </w:r>
  </w:p>
  <w:p w:rsidR="00EC2F5D" w:rsidRPr="00623AE3" w:rsidRDefault="00EC2F5D" w:rsidP="00EC2F5D">
    <w:pPr>
      <w:pStyle w:val="Header"/>
      <w:rPr>
        <w:bCs/>
      </w:rPr>
    </w:pPr>
    <w:r>
      <w:rPr>
        <w:bCs/>
      </w:rPr>
      <w:t>C18/45</w:t>
    </w:r>
    <w:r w:rsidRPr="00623AE3">
      <w:rPr>
        <w:bCs/>
      </w:rPr>
      <w:t>-E</w:t>
    </w:r>
  </w:p>
  <w:p w:rsidR="00EC2F5D" w:rsidRPr="00EC2F5D" w:rsidRDefault="00EC2F5D" w:rsidP="00EC2F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F5D" w:rsidRDefault="00EC2F5D" w:rsidP="00EC2F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F5D" w:rsidRDefault="00EC2F5D" w:rsidP="00EC2F5D">
    <w:pPr>
      <w:pStyle w:val="Header"/>
    </w:pPr>
    <w:r>
      <w:fldChar w:fldCharType="begin"/>
    </w:r>
    <w:r>
      <w:instrText>PAGE</w:instrText>
    </w:r>
    <w:r>
      <w:fldChar w:fldCharType="separate"/>
    </w:r>
    <w:r w:rsidR="008D2E43">
      <w:rPr>
        <w:noProof/>
      </w:rPr>
      <w:t>7</w:t>
    </w:r>
    <w:r>
      <w:rPr>
        <w:noProof/>
      </w:rPr>
      <w:fldChar w:fldCharType="end"/>
    </w:r>
  </w:p>
  <w:p w:rsidR="00EC2F5D" w:rsidRPr="00623AE3" w:rsidRDefault="00EC2F5D" w:rsidP="00EC2F5D">
    <w:pPr>
      <w:pStyle w:val="Header"/>
      <w:rPr>
        <w:bCs/>
      </w:rPr>
    </w:pPr>
    <w:r>
      <w:rPr>
        <w:bCs/>
      </w:rPr>
      <w:t>C18/45</w:t>
    </w:r>
    <w:r w:rsidRPr="00623AE3">
      <w:rPr>
        <w:bCs/>
      </w:rPr>
      <w:t>-E</w:t>
    </w:r>
  </w:p>
  <w:p w:rsidR="00A07584" w:rsidRDefault="00A07584" w:rsidP="00EC2F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43823"/>
      <w:docPartObj>
        <w:docPartGallery w:val="Page Numbers (Top of Page)"/>
        <w:docPartUnique/>
      </w:docPartObj>
    </w:sdtPr>
    <w:sdtEndPr>
      <w:rPr>
        <w:noProof/>
      </w:rPr>
    </w:sdtEndPr>
    <w:sdtContent>
      <w:p w:rsidR="00EC2F5D" w:rsidRDefault="00EC2F5D" w:rsidP="00EC2F5D">
        <w:pPr>
          <w:pStyle w:val="Header"/>
        </w:pPr>
        <w:r>
          <w:fldChar w:fldCharType="begin"/>
        </w:r>
        <w:r>
          <w:instrText>PAGE</w:instrText>
        </w:r>
        <w:r>
          <w:fldChar w:fldCharType="separate"/>
        </w:r>
        <w:r w:rsidR="008D2E43">
          <w:rPr>
            <w:noProof/>
          </w:rPr>
          <w:t>3</w:t>
        </w:r>
        <w:r>
          <w:rPr>
            <w:noProof/>
          </w:rPr>
          <w:fldChar w:fldCharType="end"/>
        </w:r>
      </w:p>
      <w:p w:rsidR="00EC2F5D" w:rsidRPr="00623AE3" w:rsidRDefault="00EC2F5D" w:rsidP="00EC2F5D">
        <w:pPr>
          <w:pStyle w:val="Header"/>
          <w:rPr>
            <w:bCs/>
          </w:rPr>
        </w:pPr>
        <w:r>
          <w:rPr>
            <w:bCs/>
          </w:rPr>
          <w:t>C18/45</w:t>
        </w:r>
        <w:r w:rsidRPr="00623AE3">
          <w:rPr>
            <w:bCs/>
          </w:rPr>
          <w:t>-E</w:t>
        </w:r>
      </w:p>
      <w:p w:rsidR="00EC2F5D" w:rsidRDefault="008D2E43" w:rsidP="00EC2F5D">
        <w:pPr>
          <w:pStyle w:val="Header"/>
          <w:jc w:val="left"/>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126B9"/>
    <w:rsid w:val="000210D4"/>
    <w:rsid w:val="00063016"/>
    <w:rsid w:val="00066795"/>
    <w:rsid w:val="00076AF6"/>
    <w:rsid w:val="00085CF2"/>
    <w:rsid w:val="000B1705"/>
    <w:rsid w:val="000D75B2"/>
    <w:rsid w:val="001121F5"/>
    <w:rsid w:val="001400DC"/>
    <w:rsid w:val="00140CE1"/>
    <w:rsid w:val="0017539C"/>
    <w:rsid w:val="00175AC2"/>
    <w:rsid w:val="0017609F"/>
    <w:rsid w:val="001859E0"/>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74887"/>
    <w:rsid w:val="00582442"/>
    <w:rsid w:val="005F3269"/>
    <w:rsid w:val="00623AE3"/>
    <w:rsid w:val="0064737F"/>
    <w:rsid w:val="006535F1"/>
    <w:rsid w:val="0065557D"/>
    <w:rsid w:val="00662984"/>
    <w:rsid w:val="006716BB"/>
    <w:rsid w:val="006B6680"/>
    <w:rsid w:val="006B6DCC"/>
    <w:rsid w:val="00702DEF"/>
    <w:rsid w:val="00706861"/>
    <w:rsid w:val="0075051B"/>
    <w:rsid w:val="00793188"/>
    <w:rsid w:val="00794D34"/>
    <w:rsid w:val="00813E5E"/>
    <w:rsid w:val="0083581B"/>
    <w:rsid w:val="00864AFF"/>
    <w:rsid w:val="008B4A6A"/>
    <w:rsid w:val="008C7E27"/>
    <w:rsid w:val="008D2E43"/>
    <w:rsid w:val="009173EF"/>
    <w:rsid w:val="00932906"/>
    <w:rsid w:val="00961B0B"/>
    <w:rsid w:val="009B38C3"/>
    <w:rsid w:val="009E17BD"/>
    <w:rsid w:val="009E485A"/>
    <w:rsid w:val="00A04CEC"/>
    <w:rsid w:val="00A07584"/>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D41AA"/>
    <w:rsid w:val="00CE03FB"/>
    <w:rsid w:val="00CE433C"/>
    <w:rsid w:val="00CF33F3"/>
    <w:rsid w:val="00D04E39"/>
    <w:rsid w:val="00D06183"/>
    <w:rsid w:val="00D22C42"/>
    <w:rsid w:val="00D65041"/>
    <w:rsid w:val="00DB384B"/>
    <w:rsid w:val="00E10E80"/>
    <w:rsid w:val="00E124F0"/>
    <w:rsid w:val="00E60F04"/>
    <w:rsid w:val="00E854E4"/>
    <w:rsid w:val="00EB0D6F"/>
    <w:rsid w:val="00EB2232"/>
    <w:rsid w:val="00EB7E04"/>
    <w:rsid w:val="00EC2F5D"/>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erChar">
    <w:name w:val="Header Char"/>
    <w:basedOn w:val="DefaultParagraphFont"/>
    <w:link w:val="Header"/>
    <w:uiPriority w:val="99"/>
    <w:rsid w:val="00EC2F5D"/>
    <w:rPr>
      <w:rFonts w:ascii="Calibri" w:hAnsi="Calibri"/>
      <w:sz w:val="18"/>
      <w:lang w:val="en-GB" w:eastAsia="en-US"/>
    </w:rPr>
  </w:style>
  <w:style w:type="paragraph" w:styleId="BalloonText">
    <w:name w:val="Balloon Text"/>
    <w:basedOn w:val="Normal"/>
    <w:link w:val="BalloonTextChar"/>
    <w:semiHidden/>
    <w:unhideWhenUsed/>
    <w:rsid w:val="00EB7E0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B7E04"/>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pub/S-CONF-ACTF-2014"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9CE54-2759-4215-9884-3A959B60D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31</TotalTime>
  <Pages>7</Pages>
  <Words>1559</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10580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C2018, C18</dc:title>
  <dc:subject>Council 2018</dc:subject>
  <dc:creator>Brouard, Ricarda</dc:creator>
  <cp:keywords/>
  <dc:description/>
  <cp:lastModifiedBy>Janin</cp:lastModifiedBy>
  <cp:revision>7</cp:revision>
  <cp:lastPrinted>2000-07-18T13:30:00Z</cp:lastPrinted>
  <dcterms:created xsi:type="dcterms:W3CDTF">2018-02-01T11:26:00Z</dcterms:created>
  <dcterms:modified xsi:type="dcterms:W3CDTF">2018-02-06T13:50:00Z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