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9D1E3B">
        <w:trPr>
          <w:cantSplit/>
        </w:trPr>
        <w:tc>
          <w:tcPr>
            <w:tcW w:w="6911" w:type="dxa"/>
          </w:tcPr>
          <w:p w:rsidR="00700D1F" w:rsidRPr="009D1E3B" w:rsidRDefault="00D94637" w:rsidP="00A5354B">
            <w:pPr>
              <w:spacing w:before="360" w:after="48"/>
              <w:rPr>
                <w:rFonts w:ascii="Verdana" w:hAnsi="Verdana"/>
                <w:position w:val="6"/>
                <w:lang w:eastAsia="zh-CN"/>
              </w:rPr>
            </w:pPr>
            <w:bookmarkStart w:id="0" w:name="_GoBack"/>
            <w:bookmarkEnd w:id="0"/>
            <w:r w:rsidRPr="009D1E3B">
              <w:rPr>
                <w:rFonts w:ascii="SimSun" w:hAnsi="SimSun" w:hint="eastAsia"/>
                <w:b/>
                <w:bCs/>
                <w:sz w:val="26"/>
                <w:szCs w:val="26"/>
                <w:lang w:val="en-US" w:eastAsia="zh-CN"/>
              </w:rPr>
              <w:t>理事会</w:t>
            </w:r>
            <w:r w:rsidRPr="009D1E3B">
              <w:rPr>
                <w:rFonts w:cs="Arial"/>
                <w:b/>
                <w:bCs/>
                <w:sz w:val="26"/>
                <w:szCs w:val="26"/>
                <w:lang w:val="en-US" w:eastAsia="zh-CN"/>
              </w:rPr>
              <w:t>20</w:t>
            </w:r>
            <w:r w:rsidR="00325C25" w:rsidRPr="009D1E3B">
              <w:rPr>
                <w:rFonts w:cs="Arial"/>
                <w:b/>
                <w:bCs/>
                <w:sz w:val="26"/>
                <w:szCs w:val="26"/>
                <w:lang w:val="en-US" w:eastAsia="zh-CN"/>
              </w:rPr>
              <w:t>1</w:t>
            </w:r>
            <w:r w:rsidR="006D3FAF">
              <w:rPr>
                <w:rFonts w:cs="Arial" w:hint="eastAsia"/>
                <w:b/>
                <w:bCs/>
                <w:sz w:val="26"/>
                <w:szCs w:val="26"/>
                <w:lang w:val="en-US" w:eastAsia="zh-CN"/>
              </w:rPr>
              <w:t>8</w:t>
            </w:r>
            <w:r w:rsidRPr="009D1E3B">
              <w:rPr>
                <w:rFonts w:ascii="SimSun" w:hAnsi="SimSun" w:hint="eastAsia"/>
                <w:b/>
                <w:bCs/>
                <w:sz w:val="26"/>
                <w:szCs w:val="26"/>
                <w:lang w:val="en-US" w:eastAsia="zh-CN"/>
              </w:rPr>
              <w:t>年会议</w:t>
            </w:r>
            <w:r w:rsidRPr="009D1E3B">
              <w:rPr>
                <w:rFonts w:ascii="Arial" w:hAnsi="Arial" w:cs="Arial"/>
                <w:b/>
                <w:bCs/>
                <w:szCs w:val="24"/>
                <w:lang w:val="en-US" w:eastAsia="zh-CN"/>
              </w:rPr>
              <w:br/>
            </w:r>
            <w:r w:rsidR="009625D8" w:rsidRPr="009D1E3B">
              <w:rPr>
                <w:b/>
                <w:bCs/>
                <w:color w:val="000000"/>
                <w:lang w:eastAsia="zh-CN"/>
              </w:rPr>
              <w:t>201</w:t>
            </w:r>
            <w:r w:rsidR="006D3FAF">
              <w:rPr>
                <w:rFonts w:hint="eastAsia"/>
                <w:b/>
                <w:bCs/>
                <w:color w:val="000000"/>
                <w:lang w:eastAsia="zh-CN"/>
              </w:rPr>
              <w:t>8</w:t>
            </w:r>
            <w:r w:rsidR="009625D8" w:rsidRPr="009D1E3B">
              <w:rPr>
                <w:rFonts w:ascii="SimSun" w:hAnsi="SimSun" w:hint="eastAsia"/>
                <w:b/>
                <w:bCs/>
                <w:color w:val="000000"/>
                <w:lang w:eastAsia="zh-CN"/>
              </w:rPr>
              <w:t>年</w:t>
            </w:r>
            <w:r w:rsidR="006D3FAF">
              <w:rPr>
                <w:rFonts w:hint="eastAsia"/>
                <w:b/>
                <w:bCs/>
                <w:color w:val="000000"/>
                <w:lang w:eastAsia="zh-CN"/>
              </w:rPr>
              <w:t>4</w:t>
            </w:r>
            <w:r w:rsidR="009625D8" w:rsidRPr="009D1E3B">
              <w:rPr>
                <w:rFonts w:ascii="SimSun" w:hAnsi="SimSun" w:hint="eastAsia"/>
                <w:b/>
                <w:bCs/>
                <w:color w:val="000000"/>
                <w:lang w:eastAsia="zh-CN"/>
              </w:rPr>
              <w:t>月</w:t>
            </w:r>
            <w:r w:rsidR="00A5354B" w:rsidRPr="009D1E3B">
              <w:rPr>
                <w:b/>
                <w:bCs/>
                <w:color w:val="000000"/>
                <w:lang w:eastAsia="zh-CN"/>
              </w:rPr>
              <w:t>1</w:t>
            </w:r>
            <w:r w:rsidR="006D3FAF">
              <w:rPr>
                <w:rFonts w:hint="eastAsia"/>
                <w:b/>
                <w:bCs/>
                <w:color w:val="000000"/>
                <w:lang w:eastAsia="zh-CN"/>
              </w:rPr>
              <w:t>7</w:t>
            </w:r>
            <w:r w:rsidR="00A5354B" w:rsidRPr="009D1E3B">
              <w:rPr>
                <w:b/>
                <w:bCs/>
                <w:color w:val="000000"/>
                <w:lang w:eastAsia="zh-CN"/>
              </w:rPr>
              <w:t>-</w:t>
            </w:r>
            <w:r w:rsidR="009625D8" w:rsidRPr="009D1E3B">
              <w:rPr>
                <w:b/>
                <w:bCs/>
                <w:color w:val="000000"/>
                <w:lang w:eastAsia="zh-CN"/>
              </w:rPr>
              <w:t>2</w:t>
            </w:r>
            <w:r w:rsidR="006D3FAF">
              <w:rPr>
                <w:rFonts w:hint="eastAsia"/>
                <w:b/>
                <w:bCs/>
                <w:color w:val="000000"/>
                <w:lang w:eastAsia="zh-CN"/>
              </w:rPr>
              <w:t>7</w:t>
            </w:r>
            <w:r w:rsidR="009625D8" w:rsidRPr="009D1E3B">
              <w:rPr>
                <w:rFonts w:ascii="SimSun" w:hAnsi="SimSun" w:hint="eastAsia"/>
                <w:b/>
                <w:bCs/>
                <w:color w:val="000000"/>
                <w:lang w:eastAsia="zh-CN"/>
              </w:rPr>
              <w:t>日</w:t>
            </w:r>
            <w:r w:rsidR="009625D8" w:rsidRPr="009D1E3B">
              <w:rPr>
                <w:rFonts w:ascii="SimSun" w:hAnsi="SimSun" w:cs="SimSun" w:hint="eastAsia"/>
                <w:b/>
                <w:bCs/>
                <w:smallCaps/>
                <w:szCs w:val="24"/>
                <w:lang w:val="en-US" w:eastAsia="zh-CN"/>
              </w:rPr>
              <w:t>，</w:t>
            </w:r>
            <w:r w:rsidR="009625D8" w:rsidRPr="009D1E3B">
              <w:rPr>
                <w:rFonts w:ascii="SimSun" w:hAnsi="SimSun" w:hint="eastAsia"/>
                <w:b/>
                <w:bCs/>
                <w:szCs w:val="24"/>
                <w:lang w:eastAsia="zh-CN"/>
              </w:rPr>
              <w:t>日内瓦</w:t>
            </w:r>
          </w:p>
        </w:tc>
        <w:tc>
          <w:tcPr>
            <w:tcW w:w="3120" w:type="dxa"/>
          </w:tcPr>
          <w:p w:rsidR="00700D1F" w:rsidRPr="009D1E3B" w:rsidRDefault="00AB42C1" w:rsidP="00864589">
            <w:pPr>
              <w:spacing w:before="0"/>
              <w:jc w:val="right"/>
            </w:pPr>
            <w:bookmarkStart w:id="1" w:name="ditulogo"/>
            <w:bookmarkEnd w:id="1"/>
            <w:r w:rsidRPr="009D1E3B">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9D1E3B">
        <w:trPr>
          <w:cantSplit/>
        </w:trPr>
        <w:tc>
          <w:tcPr>
            <w:tcW w:w="6911" w:type="dxa"/>
            <w:tcBorders>
              <w:bottom w:val="single" w:sz="12" w:space="0" w:color="auto"/>
            </w:tcBorders>
          </w:tcPr>
          <w:p w:rsidR="00700D1F" w:rsidRPr="009D1E3B" w:rsidRDefault="00700D1F" w:rsidP="00001B77">
            <w:pPr>
              <w:spacing w:before="0" w:after="48"/>
              <w:rPr>
                <w:b/>
                <w:smallCaps/>
                <w:szCs w:val="24"/>
                <w:lang w:val="fr-CH" w:eastAsia="zh-CN"/>
              </w:rPr>
            </w:pPr>
          </w:p>
        </w:tc>
        <w:tc>
          <w:tcPr>
            <w:tcW w:w="3120" w:type="dxa"/>
            <w:tcBorders>
              <w:bottom w:val="single" w:sz="12" w:space="0" w:color="auto"/>
            </w:tcBorders>
          </w:tcPr>
          <w:p w:rsidR="00700D1F" w:rsidRPr="009D1E3B" w:rsidRDefault="00700D1F" w:rsidP="00001B77">
            <w:pPr>
              <w:spacing w:before="0"/>
              <w:rPr>
                <w:rFonts w:ascii="Verdana" w:hAnsi="Verdana"/>
                <w:szCs w:val="24"/>
              </w:rPr>
            </w:pPr>
          </w:p>
        </w:tc>
      </w:tr>
      <w:tr w:rsidR="00700D1F" w:rsidRPr="009D1E3B">
        <w:trPr>
          <w:cantSplit/>
        </w:trPr>
        <w:tc>
          <w:tcPr>
            <w:tcW w:w="6911" w:type="dxa"/>
            <w:tcBorders>
              <w:top w:val="single" w:sz="12" w:space="0" w:color="auto"/>
            </w:tcBorders>
          </w:tcPr>
          <w:p w:rsidR="00700D1F" w:rsidRPr="009D1E3B" w:rsidRDefault="00700D1F" w:rsidP="00001B77">
            <w:pPr>
              <w:spacing w:before="0" w:after="48"/>
              <w:rPr>
                <w:b/>
                <w:smallCaps/>
                <w:szCs w:val="24"/>
              </w:rPr>
            </w:pPr>
          </w:p>
        </w:tc>
        <w:tc>
          <w:tcPr>
            <w:tcW w:w="3120" w:type="dxa"/>
            <w:tcBorders>
              <w:top w:val="single" w:sz="12" w:space="0" w:color="auto"/>
            </w:tcBorders>
          </w:tcPr>
          <w:p w:rsidR="00700D1F" w:rsidRPr="009D1E3B" w:rsidRDefault="00700D1F" w:rsidP="00001B77">
            <w:pPr>
              <w:spacing w:before="0"/>
              <w:rPr>
                <w:rFonts w:ascii="Verdana" w:hAnsi="Verdana"/>
                <w:szCs w:val="24"/>
              </w:rPr>
            </w:pPr>
          </w:p>
        </w:tc>
      </w:tr>
      <w:tr w:rsidR="00700D1F" w:rsidRPr="009D1E3B">
        <w:trPr>
          <w:cantSplit/>
          <w:trHeight w:val="23"/>
        </w:trPr>
        <w:tc>
          <w:tcPr>
            <w:tcW w:w="6911" w:type="dxa"/>
            <w:vMerge w:val="restart"/>
          </w:tcPr>
          <w:p w:rsidR="00700D1F" w:rsidRPr="009D1E3B" w:rsidRDefault="00700D1F" w:rsidP="00E067C5">
            <w:pPr>
              <w:tabs>
                <w:tab w:val="left" w:pos="851"/>
              </w:tabs>
              <w:rPr>
                <w:b/>
                <w:szCs w:val="24"/>
                <w:lang w:eastAsia="zh-CN"/>
              </w:rPr>
            </w:pPr>
            <w:bookmarkStart w:id="2" w:name="dmeeting" w:colFirst="0" w:colLast="0"/>
            <w:r w:rsidRPr="009D1E3B">
              <w:rPr>
                <w:rFonts w:hint="eastAsia"/>
                <w:b/>
                <w:szCs w:val="24"/>
                <w:lang w:eastAsia="zh-CN"/>
              </w:rPr>
              <w:t>议项</w:t>
            </w:r>
            <w:r w:rsidRPr="009D1E3B">
              <w:rPr>
                <w:b/>
                <w:szCs w:val="24"/>
                <w:lang w:eastAsia="zh-CN"/>
              </w:rPr>
              <w:t>：</w:t>
            </w:r>
            <w:r w:rsidR="00595A9F" w:rsidRPr="009D1E3B">
              <w:rPr>
                <w:b/>
              </w:rPr>
              <w:t>ADM 1</w:t>
            </w:r>
          </w:p>
        </w:tc>
        <w:tc>
          <w:tcPr>
            <w:tcW w:w="3120" w:type="dxa"/>
          </w:tcPr>
          <w:p w:rsidR="00700D1F" w:rsidRPr="009D1E3B" w:rsidRDefault="00700D1F" w:rsidP="00595A9F">
            <w:pPr>
              <w:tabs>
                <w:tab w:val="left" w:pos="851"/>
              </w:tabs>
              <w:spacing w:before="0"/>
              <w:rPr>
                <w:b/>
                <w:bCs/>
                <w:lang w:eastAsia="zh-CN"/>
              </w:rPr>
            </w:pPr>
            <w:r w:rsidRPr="009D1E3B">
              <w:rPr>
                <w:rFonts w:hint="eastAsia"/>
                <w:b/>
                <w:bCs/>
                <w:szCs w:val="24"/>
                <w:lang w:val="fr-CH" w:eastAsia="zh-CN"/>
              </w:rPr>
              <w:t>文件</w:t>
            </w:r>
            <w:r w:rsidRPr="009D1E3B">
              <w:rPr>
                <w:b/>
                <w:bCs/>
                <w:sz w:val="20"/>
                <w:lang w:eastAsia="zh-CN"/>
              </w:rPr>
              <w:t xml:space="preserve"> </w:t>
            </w:r>
            <w:r w:rsidRPr="009D1E3B">
              <w:rPr>
                <w:b/>
                <w:bCs/>
                <w:szCs w:val="24"/>
                <w:lang w:eastAsia="zh-CN"/>
              </w:rPr>
              <w:t>C</w:t>
            </w:r>
            <w:r w:rsidR="00325C25" w:rsidRPr="009D1E3B">
              <w:rPr>
                <w:b/>
                <w:bCs/>
                <w:szCs w:val="24"/>
                <w:lang w:eastAsia="zh-CN"/>
              </w:rPr>
              <w:t>1</w:t>
            </w:r>
            <w:r w:rsidR="006D3FAF">
              <w:rPr>
                <w:rFonts w:hint="eastAsia"/>
                <w:b/>
                <w:bCs/>
                <w:szCs w:val="24"/>
                <w:lang w:eastAsia="zh-CN"/>
              </w:rPr>
              <w:t>8</w:t>
            </w:r>
            <w:r w:rsidRPr="009D1E3B">
              <w:rPr>
                <w:b/>
                <w:bCs/>
                <w:szCs w:val="24"/>
                <w:lang w:eastAsia="zh-CN"/>
              </w:rPr>
              <w:t>/</w:t>
            </w:r>
            <w:r w:rsidR="00595A9F" w:rsidRPr="009D1E3B">
              <w:rPr>
                <w:b/>
                <w:bCs/>
                <w:szCs w:val="24"/>
                <w:lang w:eastAsia="zh-CN"/>
              </w:rPr>
              <w:t>45-</w:t>
            </w:r>
            <w:r w:rsidRPr="009D1E3B">
              <w:rPr>
                <w:b/>
                <w:bCs/>
                <w:szCs w:val="24"/>
                <w:lang w:eastAsia="zh-CN"/>
              </w:rPr>
              <w:t>C</w:t>
            </w:r>
          </w:p>
        </w:tc>
      </w:tr>
      <w:bookmarkEnd w:id="2"/>
      <w:tr w:rsidR="00700D1F" w:rsidRPr="009D1E3B">
        <w:trPr>
          <w:cantSplit/>
          <w:trHeight w:val="23"/>
        </w:trPr>
        <w:tc>
          <w:tcPr>
            <w:tcW w:w="6911" w:type="dxa"/>
            <w:vMerge/>
          </w:tcPr>
          <w:p w:rsidR="00700D1F" w:rsidRPr="009D1E3B" w:rsidRDefault="00700D1F" w:rsidP="00001B77">
            <w:pPr>
              <w:tabs>
                <w:tab w:val="left" w:pos="851"/>
              </w:tabs>
              <w:rPr>
                <w:b/>
                <w:lang w:eastAsia="zh-CN"/>
              </w:rPr>
            </w:pPr>
          </w:p>
        </w:tc>
        <w:tc>
          <w:tcPr>
            <w:tcW w:w="3120" w:type="dxa"/>
          </w:tcPr>
          <w:p w:rsidR="00700D1F" w:rsidRPr="009D1E3B" w:rsidRDefault="00700D1F" w:rsidP="00595A9F">
            <w:pPr>
              <w:tabs>
                <w:tab w:val="left" w:pos="993"/>
              </w:tabs>
              <w:spacing w:before="0"/>
              <w:rPr>
                <w:b/>
                <w:bCs/>
                <w:szCs w:val="24"/>
                <w:lang w:eastAsia="zh-CN"/>
              </w:rPr>
            </w:pPr>
            <w:r w:rsidRPr="009D1E3B">
              <w:rPr>
                <w:b/>
                <w:bCs/>
                <w:szCs w:val="24"/>
                <w:lang w:eastAsia="zh-CN"/>
              </w:rPr>
              <w:t>20</w:t>
            </w:r>
            <w:r w:rsidR="00325C25" w:rsidRPr="009D1E3B">
              <w:rPr>
                <w:b/>
                <w:bCs/>
                <w:szCs w:val="24"/>
                <w:lang w:eastAsia="zh-CN"/>
              </w:rPr>
              <w:t>1</w:t>
            </w:r>
            <w:r w:rsidR="006D3FAF">
              <w:rPr>
                <w:rFonts w:hint="eastAsia"/>
                <w:b/>
                <w:bCs/>
                <w:szCs w:val="24"/>
                <w:lang w:eastAsia="zh-CN"/>
              </w:rPr>
              <w:t>8</w:t>
            </w:r>
            <w:r w:rsidRPr="009D1E3B">
              <w:rPr>
                <w:rFonts w:hint="eastAsia"/>
                <w:b/>
                <w:bCs/>
                <w:szCs w:val="24"/>
                <w:lang w:eastAsia="zh-CN"/>
              </w:rPr>
              <w:t>年</w:t>
            </w:r>
            <w:r w:rsidR="00595A9F" w:rsidRPr="009D1E3B">
              <w:rPr>
                <w:rFonts w:asciiTheme="minorHAnsi" w:hAnsiTheme="minorHAnsi" w:cstheme="minorHAnsi"/>
                <w:b/>
                <w:bCs/>
                <w:szCs w:val="24"/>
                <w:lang w:eastAsia="zh-CN"/>
              </w:rPr>
              <w:t>2</w:t>
            </w:r>
            <w:r w:rsidRPr="009D1E3B">
              <w:rPr>
                <w:rFonts w:hint="eastAsia"/>
                <w:b/>
                <w:bCs/>
                <w:szCs w:val="24"/>
                <w:lang w:eastAsia="zh-CN"/>
              </w:rPr>
              <w:t>月</w:t>
            </w:r>
            <w:r w:rsidR="006D3FAF">
              <w:rPr>
                <w:rFonts w:asciiTheme="minorHAnsi" w:hAnsiTheme="minorHAnsi" w:cstheme="minorHAnsi" w:hint="eastAsia"/>
                <w:b/>
                <w:bCs/>
                <w:szCs w:val="24"/>
                <w:lang w:eastAsia="zh-CN"/>
              </w:rPr>
              <w:t>8</w:t>
            </w:r>
            <w:r w:rsidRPr="009D1E3B">
              <w:rPr>
                <w:rFonts w:hint="eastAsia"/>
                <w:b/>
                <w:bCs/>
                <w:szCs w:val="24"/>
                <w:lang w:eastAsia="zh-CN"/>
              </w:rPr>
              <w:t>日</w:t>
            </w:r>
          </w:p>
        </w:tc>
      </w:tr>
      <w:tr w:rsidR="00700D1F" w:rsidRPr="009D1E3B">
        <w:trPr>
          <w:cantSplit/>
          <w:trHeight w:val="23"/>
        </w:trPr>
        <w:tc>
          <w:tcPr>
            <w:tcW w:w="6911" w:type="dxa"/>
            <w:vMerge/>
          </w:tcPr>
          <w:p w:rsidR="00700D1F" w:rsidRPr="009D1E3B" w:rsidRDefault="00700D1F" w:rsidP="00001B77">
            <w:pPr>
              <w:tabs>
                <w:tab w:val="left" w:pos="851"/>
              </w:tabs>
              <w:rPr>
                <w:b/>
                <w:lang w:eastAsia="zh-CN"/>
              </w:rPr>
            </w:pPr>
          </w:p>
        </w:tc>
        <w:tc>
          <w:tcPr>
            <w:tcW w:w="3120" w:type="dxa"/>
          </w:tcPr>
          <w:p w:rsidR="00700D1F" w:rsidRPr="009D1E3B" w:rsidRDefault="00700D1F" w:rsidP="00001B77">
            <w:pPr>
              <w:tabs>
                <w:tab w:val="left" w:pos="993"/>
              </w:tabs>
              <w:spacing w:before="0"/>
              <w:rPr>
                <w:rFonts w:ascii="SimSun" w:hAnsi="SimSun"/>
                <w:b/>
                <w:bCs/>
                <w:szCs w:val="24"/>
                <w:lang w:eastAsia="zh-CN"/>
              </w:rPr>
            </w:pPr>
            <w:r w:rsidRPr="009D1E3B">
              <w:rPr>
                <w:rFonts w:hint="eastAsia"/>
                <w:b/>
                <w:bCs/>
                <w:szCs w:val="24"/>
                <w:lang w:eastAsia="zh-CN"/>
              </w:rPr>
              <w:t>原文：</w:t>
            </w:r>
            <w:r w:rsidR="00F11595" w:rsidRPr="009D1E3B">
              <w:rPr>
                <w:rFonts w:hint="eastAsia"/>
                <w:b/>
                <w:bCs/>
                <w:szCs w:val="24"/>
                <w:lang w:eastAsia="zh-CN"/>
              </w:rPr>
              <w:t>英</w:t>
            </w:r>
            <w:r w:rsidRPr="009D1E3B">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9D1E3B">
        <w:trPr>
          <w:cantSplit/>
        </w:trPr>
        <w:tc>
          <w:tcPr>
            <w:tcW w:w="10031" w:type="dxa"/>
          </w:tcPr>
          <w:p w:rsidR="0093362E" w:rsidRPr="009D1E3B" w:rsidRDefault="00E70D28" w:rsidP="00001B77">
            <w:pPr>
              <w:pStyle w:val="Source"/>
              <w:rPr>
                <w:lang w:eastAsia="zh-CN"/>
              </w:rPr>
            </w:pPr>
            <w:r>
              <w:rPr>
                <w:rFonts w:ascii="Times New Roman Bold" w:hAnsi="Times New Roman Bold" w:hint="eastAsia"/>
                <w:lang w:val="fr-CH" w:eastAsia="zh-CN"/>
              </w:rPr>
              <w:t>秘书长</w:t>
            </w:r>
            <w:r w:rsidR="00310A1C">
              <w:rPr>
                <w:rFonts w:ascii="Times New Roman Bold" w:hAnsi="Times New Roman Bold" w:hint="eastAsia"/>
                <w:lang w:val="fr-CH" w:eastAsia="zh-CN"/>
              </w:rPr>
              <w:t>的</w:t>
            </w:r>
            <w:r w:rsidR="00E378D8" w:rsidRPr="009D1E3B">
              <w:rPr>
                <w:rFonts w:ascii="Times New Roman Bold" w:hAnsi="Times New Roman Bold" w:hint="eastAsia"/>
                <w:lang w:eastAsia="zh-CN"/>
              </w:rPr>
              <w:t>报告</w:t>
            </w:r>
          </w:p>
        </w:tc>
      </w:tr>
      <w:tr w:rsidR="0093362E" w:rsidRPr="009D1E3B">
        <w:trPr>
          <w:cantSplit/>
        </w:trPr>
        <w:tc>
          <w:tcPr>
            <w:tcW w:w="10031" w:type="dxa"/>
          </w:tcPr>
          <w:p w:rsidR="0093362E" w:rsidRPr="009D1E3B" w:rsidRDefault="00E70D28" w:rsidP="00E70D28">
            <w:pPr>
              <w:pStyle w:val="Title1"/>
              <w:rPr>
                <w:bCs/>
                <w:lang w:eastAsia="zh-CN"/>
              </w:rPr>
            </w:pPr>
            <w:r>
              <w:rPr>
                <w:rFonts w:hint="eastAsia"/>
                <w:bCs/>
                <w:lang w:eastAsia="zh-CN"/>
              </w:rPr>
              <w:t>增效</w:t>
            </w:r>
            <w:r w:rsidR="00AA1E89">
              <w:rPr>
                <w:rFonts w:hint="eastAsia"/>
                <w:bCs/>
                <w:lang w:eastAsia="zh-CN"/>
              </w:rPr>
              <w:t>减支</w:t>
            </w:r>
            <w:r>
              <w:rPr>
                <w:rFonts w:hint="eastAsia"/>
                <w:bCs/>
                <w:lang w:eastAsia="zh-CN"/>
              </w:rPr>
              <w:t>措施</w:t>
            </w:r>
          </w:p>
        </w:tc>
      </w:tr>
    </w:tbl>
    <w:p w:rsidR="0093362E" w:rsidRPr="009D1E3B"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9D1E3B"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E70D28" w:rsidRDefault="00B40A53" w:rsidP="003C2E37">
            <w:pPr>
              <w:pStyle w:val="Headingb"/>
              <w:rPr>
                <w:lang w:eastAsia="zh-CN"/>
              </w:rPr>
            </w:pPr>
            <w:r w:rsidRPr="009D1E3B">
              <w:rPr>
                <w:rFonts w:hint="eastAsia"/>
                <w:lang w:val="fr-FR" w:eastAsia="zh-CN"/>
              </w:rPr>
              <w:t>概</w:t>
            </w:r>
            <w:r w:rsidRPr="009D1E3B">
              <w:rPr>
                <w:rFonts w:hint="eastAsia"/>
                <w:lang w:eastAsia="zh-CN"/>
              </w:rPr>
              <w:t>要</w:t>
            </w:r>
          </w:p>
          <w:p w:rsidR="00595A9F" w:rsidRPr="009D1E3B" w:rsidRDefault="00AA1E89" w:rsidP="00AA1E89">
            <w:pPr>
              <w:snapToGrid w:val="0"/>
              <w:spacing w:after="120"/>
              <w:ind w:right="45" w:firstLineChars="200" w:firstLine="480"/>
              <w:rPr>
                <w:szCs w:val="24"/>
                <w:lang w:val="en-US" w:eastAsia="zh-CN"/>
              </w:rPr>
            </w:pPr>
            <w:r>
              <w:rPr>
                <w:rFonts w:hint="eastAsia"/>
                <w:szCs w:val="24"/>
                <w:lang w:val="en-US" w:eastAsia="zh-CN"/>
              </w:rPr>
              <w:t>为执行</w:t>
            </w:r>
            <w:r w:rsidR="00D96ADD">
              <w:rPr>
                <w:szCs w:val="24"/>
                <w:lang w:val="en-US" w:eastAsia="zh-CN"/>
              </w:rPr>
              <w:t>（</w:t>
            </w:r>
            <w:r w:rsidR="00D96ADD">
              <w:rPr>
                <w:rFonts w:hint="eastAsia"/>
                <w:szCs w:val="24"/>
                <w:lang w:val="en-US" w:eastAsia="zh-CN"/>
              </w:rPr>
              <w:t>2014</w:t>
            </w:r>
            <w:r w:rsidR="00D96ADD">
              <w:rPr>
                <w:rFonts w:hint="eastAsia"/>
                <w:szCs w:val="24"/>
                <w:lang w:val="en-US" w:eastAsia="zh-CN"/>
              </w:rPr>
              <w:t>年</w:t>
            </w:r>
            <w:r w:rsidR="00D96ADD">
              <w:rPr>
                <w:szCs w:val="24"/>
                <w:lang w:val="en-US" w:eastAsia="zh-CN"/>
              </w:rPr>
              <w:t>，釜山，修订版）</w:t>
            </w:r>
            <w:r w:rsidR="001E6916">
              <w:rPr>
                <w:rFonts w:hint="eastAsia"/>
                <w:szCs w:val="24"/>
                <w:lang w:val="en-US" w:eastAsia="zh-CN"/>
              </w:rPr>
              <w:t>第</w:t>
            </w:r>
            <w:r w:rsidR="001E6916">
              <w:rPr>
                <w:rFonts w:hint="eastAsia"/>
                <w:szCs w:val="24"/>
                <w:lang w:val="en-US" w:eastAsia="zh-CN"/>
              </w:rPr>
              <w:t>5</w:t>
            </w:r>
            <w:r w:rsidR="001E6916">
              <w:rPr>
                <w:rFonts w:hint="eastAsia"/>
                <w:szCs w:val="24"/>
                <w:lang w:val="en-US" w:eastAsia="zh-CN"/>
              </w:rPr>
              <w:t>号</w:t>
            </w:r>
            <w:r w:rsidR="001E6916">
              <w:rPr>
                <w:szCs w:val="24"/>
                <w:lang w:val="en-US" w:eastAsia="zh-CN"/>
              </w:rPr>
              <w:t>决定</w:t>
            </w:r>
            <w:r w:rsidR="001E6916" w:rsidRPr="00D96ADD">
              <w:rPr>
                <w:rFonts w:asciiTheme="minorEastAsia" w:eastAsiaTheme="minorEastAsia" w:hAnsiTheme="minorEastAsia"/>
                <w:szCs w:val="24"/>
                <w:lang w:val="en-US" w:eastAsia="zh-CN"/>
              </w:rPr>
              <w:t>“</w:t>
            </w:r>
            <w:r w:rsidR="001E6916" w:rsidRPr="00F84D07">
              <w:rPr>
                <w:rFonts w:ascii="STKaiti" w:eastAsia="STKaiti" w:hAnsi="STKaiti" w:hint="eastAsia"/>
                <w:szCs w:val="24"/>
                <w:lang w:val="en-US" w:eastAsia="zh-CN"/>
              </w:rPr>
              <w:t>责成</w:t>
            </w:r>
            <w:r w:rsidR="001E6916" w:rsidRPr="00F84D07">
              <w:rPr>
                <w:rFonts w:ascii="STKaiti" w:eastAsia="STKaiti" w:hAnsi="STKaiti"/>
                <w:szCs w:val="24"/>
                <w:lang w:val="en-US" w:eastAsia="zh-CN"/>
              </w:rPr>
              <w:t>秘书长和各局主任</w:t>
            </w:r>
            <w:r w:rsidR="001E6916" w:rsidRPr="00D96ADD">
              <w:rPr>
                <w:rFonts w:ascii="SimSun" w:hAnsi="SimSun"/>
                <w:szCs w:val="24"/>
                <w:lang w:val="en-US" w:eastAsia="zh-CN"/>
              </w:rPr>
              <w:t>”</w:t>
            </w:r>
            <w:r w:rsidR="001E6916">
              <w:rPr>
                <w:szCs w:val="24"/>
                <w:lang w:val="en-US" w:eastAsia="zh-CN"/>
              </w:rPr>
              <w:t>第</w:t>
            </w:r>
            <w:r w:rsidR="001E6916">
              <w:rPr>
                <w:rFonts w:hint="eastAsia"/>
                <w:szCs w:val="24"/>
                <w:lang w:val="en-US" w:eastAsia="zh-CN"/>
              </w:rPr>
              <w:t>1</w:t>
            </w:r>
            <w:r w:rsidR="001E6916">
              <w:rPr>
                <w:rFonts w:hint="eastAsia"/>
                <w:szCs w:val="24"/>
                <w:lang w:val="en-US" w:eastAsia="zh-CN"/>
              </w:rPr>
              <w:t>段</w:t>
            </w:r>
            <w:r w:rsidR="001E6916">
              <w:rPr>
                <w:szCs w:val="24"/>
                <w:lang w:val="en-US" w:eastAsia="zh-CN"/>
              </w:rPr>
              <w:t>和第</w:t>
            </w:r>
            <w:r w:rsidR="001E6916">
              <w:rPr>
                <w:rFonts w:hint="eastAsia"/>
                <w:szCs w:val="24"/>
                <w:lang w:val="en-US" w:eastAsia="zh-CN"/>
              </w:rPr>
              <w:t>2</w:t>
            </w:r>
            <w:r w:rsidR="001E6916">
              <w:rPr>
                <w:rFonts w:hint="eastAsia"/>
                <w:szCs w:val="24"/>
                <w:lang w:val="en-US" w:eastAsia="zh-CN"/>
              </w:rPr>
              <w:t>段的</w:t>
            </w:r>
            <w:r w:rsidR="001E6916">
              <w:rPr>
                <w:szCs w:val="24"/>
                <w:lang w:val="en-US" w:eastAsia="zh-CN"/>
              </w:rPr>
              <w:t>规定：</w:t>
            </w:r>
          </w:p>
          <w:p w:rsidR="00336796" w:rsidRPr="009D1E3B" w:rsidRDefault="00336796" w:rsidP="00336796">
            <w:pPr>
              <w:rPr>
                <w:rFonts w:asciiTheme="minorHAnsi" w:hAnsiTheme="minorHAnsi" w:cstheme="minorHAnsi"/>
                <w:lang w:eastAsia="zh-CN"/>
              </w:rPr>
            </w:pPr>
            <w:r w:rsidRPr="009D1E3B">
              <w:rPr>
                <w:rFonts w:ascii="SimSun" w:hAnsi="SimSun"/>
                <w:szCs w:val="24"/>
                <w:lang w:val="en-US" w:eastAsia="zh-CN"/>
              </w:rPr>
              <w:t>“</w:t>
            </w:r>
            <w:r w:rsidRPr="009D1E3B">
              <w:rPr>
                <w:rFonts w:asciiTheme="minorHAnsi" w:hAnsiTheme="minorHAnsi" w:cstheme="minorHAnsi" w:hint="eastAsia"/>
                <w:lang w:eastAsia="zh-CN"/>
              </w:rPr>
              <w:t>1</w:t>
            </w:r>
            <w:r w:rsidRPr="009D1E3B">
              <w:rPr>
                <w:rFonts w:asciiTheme="minorHAnsi" w:hAnsiTheme="minorHAnsi" w:cstheme="minorHAnsi"/>
                <w:lang w:eastAsia="zh-CN"/>
              </w:rPr>
              <w:tab/>
            </w:r>
            <w:r w:rsidRPr="009D1E3B">
              <w:rPr>
                <w:rFonts w:asciiTheme="minorHAnsi" w:hAnsiTheme="minorHAnsi" w:cstheme="minorHAnsi" w:hint="eastAsia"/>
                <w:lang w:eastAsia="zh-CN"/>
              </w:rPr>
              <w:t>每年向理事会提交与本决定附件</w:t>
            </w:r>
            <w:r w:rsidRPr="009D1E3B">
              <w:rPr>
                <w:rFonts w:asciiTheme="minorHAnsi" w:hAnsiTheme="minorHAnsi" w:cstheme="minorHAnsi"/>
                <w:lang w:eastAsia="zh-CN"/>
              </w:rPr>
              <w:t>2</w:t>
            </w:r>
            <w:r w:rsidRPr="009D1E3B">
              <w:rPr>
                <w:rFonts w:asciiTheme="minorHAnsi" w:hAnsiTheme="minorHAnsi" w:cstheme="minorHAnsi" w:hint="eastAsia"/>
                <w:lang w:eastAsia="zh-CN"/>
              </w:rPr>
              <w:t>每项支出相关的概要报告，并提出在各个领域削减支出将采取的适当措施；</w:t>
            </w:r>
          </w:p>
          <w:p w:rsidR="00595A9F" w:rsidRPr="009D1E3B" w:rsidRDefault="00336796" w:rsidP="00336796">
            <w:pPr>
              <w:rPr>
                <w:b/>
                <w:color w:val="800000"/>
                <w:sz w:val="22"/>
                <w:szCs w:val="24"/>
                <w:lang w:val="en-US" w:eastAsia="zh-CN"/>
              </w:rPr>
            </w:pPr>
            <w:r w:rsidRPr="009D1E3B">
              <w:rPr>
                <w:rFonts w:asciiTheme="minorHAnsi" w:hAnsiTheme="minorHAnsi" w:cstheme="minorHAnsi" w:hint="eastAsia"/>
                <w:lang w:eastAsia="zh-CN"/>
              </w:rPr>
              <w:t>2</w:t>
            </w:r>
            <w:r w:rsidRPr="009D1E3B">
              <w:rPr>
                <w:rFonts w:asciiTheme="minorHAnsi" w:hAnsiTheme="minorHAnsi" w:cstheme="minorHAnsi"/>
                <w:lang w:eastAsia="zh-CN"/>
              </w:rPr>
              <w:tab/>
            </w:r>
            <w:r w:rsidRPr="009D1E3B">
              <w:rPr>
                <w:rFonts w:asciiTheme="minorHAnsi" w:hAnsiTheme="minorHAnsi" w:cstheme="minorHAnsi" w:hint="eastAsia"/>
                <w:lang w:eastAsia="zh-CN"/>
              </w:rPr>
              <w:t>尽一切</w:t>
            </w:r>
            <w:r w:rsidRPr="009D1E3B">
              <w:rPr>
                <w:rFonts w:asciiTheme="minorHAnsi" w:hAnsiTheme="minorHAnsi" w:cstheme="minorHAnsi"/>
                <w:lang w:eastAsia="zh-CN"/>
              </w:rPr>
              <w:t>努力通过培育</w:t>
            </w:r>
            <w:r w:rsidRPr="009D1E3B">
              <w:rPr>
                <w:rFonts w:asciiTheme="minorHAnsi" w:hAnsiTheme="minorHAnsi" w:cstheme="minorHAnsi" w:hint="eastAsia"/>
                <w:lang w:eastAsia="zh-CN"/>
              </w:rPr>
              <w:t>一种</w:t>
            </w:r>
            <w:r w:rsidRPr="009D1E3B">
              <w:rPr>
                <w:rFonts w:asciiTheme="minorHAnsi" w:hAnsiTheme="minorHAnsi" w:cstheme="minorHAnsi"/>
                <w:lang w:eastAsia="zh-CN"/>
              </w:rPr>
              <w:t>增效节约</w:t>
            </w:r>
            <w:r w:rsidRPr="009D1E3B">
              <w:rPr>
                <w:rFonts w:asciiTheme="minorHAnsi" w:hAnsiTheme="minorHAnsi" w:cstheme="minorHAnsi" w:hint="eastAsia"/>
                <w:lang w:eastAsia="zh-CN"/>
              </w:rPr>
              <w:t>的</w:t>
            </w:r>
            <w:r w:rsidRPr="009D1E3B">
              <w:rPr>
                <w:rFonts w:asciiTheme="minorHAnsi" w:hAnsiTheme="minorHAnsi" w:cstheme="minorHAnsi"/>
                <w:lang w:eastAsia="zh-CN"/>
              </w:rPr>
              <w:t>文化</w:t>
            </w:r>
            <w:r w:rsidRPr="009D1E3B">
              <w:rPr>
                <w:rFonts w:asciiTheme="minorHAnsi" w:hAnsiTheme="minorHAnsi" w:cstheme="minorHAnsi" w:hint="eastAsia"/>
                <w:lang w:eastAsia="zh-CN"/>
              </w:rPr>
              <w:t>来</w:t>
            </w:r>
            <w:r w:rsidRPr="009D1E3B">
              <w:rPr>
                <w:rFonts w:asciiTheme="minorHAnsi" w:hAnsiTheme="minorHAnsi" w:cstheme="minorHAnsi"/>
                <w:lang w:eastAsia="zh-CN"/>
              </w:rPr>
              <w:t>实现减</w:t>
            </w:r>
            <w:r w:rsidRPr="009D1E3B">
              <w:rPr>
                <w:rFonts w:asciiTheme="minorHAnsi" w:hAnsiTheme="minorHAnsi" w:cstheme="minorHAnsi" w:hint="eastAsia"/>
                <w:lang w:eastAsia="zh-CN"/>
              </w:rPr>
              <w:t>支，</w:t>
            </w:r>
            <w:r w:rsidRPr="009D1E3B">
              <w:rPr>
                <w:rFonts w:asciiTheme="minorHAnsi" w:hAnsiTheme="minorHAnsi" w:cstheme="minorHAnsi"/>
                <w:lang w:eastAsia="zh-CN"/>
              </w:rPr>
              <w:t>并在上述提交理事会的报告</w:t>
            </w:r>
            <w:r w:rsidRPr="009D1E3B">
              <w:rPr>
                <w:rFonts w:asciiTheme="minorHAnsi" w:hAnsiTheme="minorHAnsi" w:cstheme="minorHAnsi" w:hint="eastAsia"/>
                <w:lang w:eastAsia="zh-CN"/>
              </w:rPr>
              <w:t>中纳</w:t>
            </w:r>
            <w:r w:rsidRPr="009D1E3B">
              <w:rPr>
                <w:rFonts w:asciiTheme="minorHAnsi" w:hAnsiTheme="minorHAnsi" w:cstheme="minorHAnsi"/>
                <w:lang w:eastAsia="zh-CN"/>
              </w:rPr>
              <w:t>入已获批准的总体预算内实现的节约，</w:t>
            </w:r>
            <w:r w:rsidRPr="009D1E3B">
              <w:rPr>
                <w:rFonts w:ascii="SimSun" w:hAnsi="SimSun"/>
                <w:szCs w:val="24"/>
                <w:lang w:val="en-US" w:eastAsia="zh-CN"/>
              </w:rPr>
              <w:t>”</w:t>
            </w:r>
          </w:p>
          <w:p w:rsidR="00595A9F" w:rsidRPr="009D1E3B" w:rsidRDefault="00336796" w:rsidP="00AA1E89">
            <w:pPr>
              <w:keepNext/>
              <w:keepLines/>
              <w:snapToGrid w:val="0"/>
              <w:spacing w:after="120"/>
              <w:ind w:firstLineChars="200" w:firstLine="480"/>
              <w:jc w:val="both"/>
              <w:outlineLvl w:val="0"/>
              <w:rPr>
                <w:szCs w:val="24"/>
                <w:lang w:val="en-US" w:eastAsia="zh-CN"/>
              </w:rPr>
            </w:pPr>
            <w:r w:rsidRPr="009D1E3B">
              <w:rPr>
                <w:rFonts w:hint="eastAsia"/>
                <w:lang w:eastAsia="zh-CN"/>
              </w:rPr>
              <w:t>本</w:t>
            </w:r>
            <w:r w:rsidRPr="009D1E3B">
              <w:rPr>
                <w:lang w:eastAsia="zh-CN"/>
              </w:rPr>
              <w:t>文件提供</w:t>
            </w:r>
            <w:r w:rsidR="00AA1E89" w:rsidRPr="009D1E3B">
              <w:rPr>
                <w:lang w:eastAsia="zh-CN"/>
              </w:rPr>
              <w:t>落实</w:t>
            </w:r>
            <w:r w:rsidRPr="009D1E3B">
              <w:rPr>
                <w:lang w:eastAsia="zh-CN"/>
              </w:rPr>
              <w:t>第</w:t>
            </w:r>
            <w:r w:rsidRPr="009D1E3B">
              <w:rPr>
                <w:rFonts w:hint="eastAsia"/>
                <w:lang w:eastAsia="zh-CN"/>
              </w:rPr>
              <w:t>5</w:t>
            </w:r>
            <w:r w:rsidRPr="009D1E3B">
              <w:rPr>
                <w:rFonts w:hint="eastAsia"/>
                <w:lang w:eastAsia="zh-CN"/>
              </w:rPr>
              <w:t>号</w:t>
            </w:r>
            <w:r w:rsidRPr="009D1E3B">
              <w:rPr>
                <w:lang w:eastAsia="zh-CN"/>
              </w:rPr>
              <w:t>决</w:t>
            </w:r>
            <w:r w:rsidRPr="009D1E3B">
              <w:rPr>
                <w:rFonts w:hint="eastAsia"/>
                <w:lang w:eastAsia="zh-CN"/>
              </w:rPr>
              <w:t>定</w:t>
            </w:r>
            <w:r w:rsidRPr="009D1E3B">
              <w:rPr>
                <w:lang w:eastAsia="zh-CN"/>
              </w:rPr>
              <w:t>（</w:t>
            </w:r>
            <w:r w:rsidRPr="009D1E3B">
              <w:rPr>
                <w:rFonts w:hint="eastAsia"/>
                <w:lang w:eastAsia="zh-CN"/>
              </w:rPr>
              <w:t>2014</w:t>
            </w:r>
            <w:r w:rsidRPr="009D1E3B">
              <w:rPr>
                <w:rFonts w:hint="eastAsia"/>
                <w:lang w:eastAsia="zh-CN"/>
              </w:rPr>
              <w:t>年</w:t>
            </w:r>
            <w:r w:rsidRPr="009D1E3B">
              <w:rPr>
                <w:lang w:eastAsia="zh-CN"/>
              </w:rPr>
              <w:t>，釜山，修订版）</w:t>
            </w:r>
            <w:r w:rsidRPr="009D1E3B">
              <w:rPr>
                <w:rFonts w:hint="eastAsia"/>
                <w:lang w:eastAsia="zh-CN"/>
              </w:rPr>
              <w:t>附件</w:t>
            </w:r>
            <w:r w:rsidRPr="009D1E3B">
              <w:rPr>
                <w:rFonts w:hint="eastAsia"/>
                <w:lang w:eastAsia="zh-CN"/>
              </w:rPr>
              <w:t>2</w:t>
            </w:r>
            <w:r w:rsidRPr="009D1E3B">
              <w:rPr>
                <w:rFonts w:hint="eastAsia"/>
                <w:lang w:eastAsia="zh-CN"/>
              </w:rPr>
              <w:t>介绍</w:t>
            </w:r>
            <w:r w:rsidRPr="009D1E3B">
              <w:rPr>
                <w:lang w:eastAsia="zh-CN"/>
              </w:rPr>
              <w:t>的</w:t>
            </w:r>
            <w:r w:rsidRPr="009D1E3B">
              <w:rPr>
                <w:rFonts w:hint="eastAsia"/>
                <w:lang w:eastAsia="zh-CN"/>
              </w:rPr>
              <w:t>减支</w:t>
            </w:r>
            <w:r w:rsidRPr="009D1E3B">
              <w:rPr>
                <w:lang w:eastAsia="zh-CN"/>
              </w:rPr>
              <w:t>增效措施</w:t>
            </w:r>
            <w:r w:rsidRPr="009D1E3B">
              <w:rPr>
                <w:rFonts w:hint="eastAsia"/>
                <w:lang w:eastAsia="zh-CN"/>
              </w:rPr>
              <w:t>的</w:t>
            </w:r>
            <w:r w:rsidR="001E6916">
              <w:rPr>
                <w:rFonts w:hint="eastAsia"/>
                <w:lang w:eastAsia="zh-CN"/>
              </w:rPr>
              <w:t>最新</w:t>
            </w:r>
            <w:r w:rsidRPr="009D1E3B">
              <w:rPr>
                <w:lang w:eastAsia="zh-CN"/>
              </w:rPr>
              <w:t>情况。</w:t>
            </w:r>
          </w:p>
          <w:p w:rsidR="00B40A53" w:rsidRPr="009D1E3B" w:rsidRDefault="00B40A53" w:rsidP="003C2E37">
            <w:pPr>
              <w:pStyle w:val="Headingb"/>
              <w:rPr>
                <w:lang w:eastAsia="zh-CN"/>
              </w:rPr>
            </w:pPr>
            <w:r w:rsidRPr="009D1E3B">
              <w:rPr>
                <w:rFonts w:hint="eastAsia"/>
                <w:lang w:eastAsia="zh-CN"/>
              </w:rPr>
              <w:t>需采取的行动</w:t>
            </w:r>
          </w:p>
          <w:p w:rsidR="00B40A53" w:rsidRPr="00942A20" w:rsidRDefault="00336796" w:rsidP="00942A20">
            <w:pPr>
              <w:spacing w:after="120"/>
              <w:ind w:right="48" w:firstLineChars="200" w:firstLine="480"/>
              <w:jc w:val="both"/>
              <w:rPr>
                <w:szCs w:val="24"/>
                <w:lang w:eastAsia="zh-CN"/>
              </w:rPr>
            </w:pPr>
            <w:r w:rsidRPr="009D1E3B">
              <w:rPr>
                <w:lang w:eastAsia="zh-CN"/>
              </w:rPr>
              <w:t>请理事会</w:t>
            </w:r>
            <w:r w:rsidR="00D96ADD" w:rsidRPr="00D96ADD">
              <w:rPr>
                <w:rFonts w:hint="eastAsia"/>
                <w:b/>
                <w:bCs/>
                <w:lang w:eastAsia="zh-CN"/>
              </w:rPr>
              <w:t>首肯</w:t>
            </w:r>
            <w:r w:rsidRPr="009D1E3B">
              <w:rPr>
                <w:lang w:eastAsia="zh-CN"/>
              </w:rPr>
              <w:t>本报告。</w:t>
            </w:r>
          </w:p>
          <w:p w:rsidR="009164A9" w:rsidRPr="00942A20" w:rsidRDefault="00B40A53" w:rsidP="00942A20">
            <w:pPr>
              <w:jc w:val="center"/>
              <w:rPr>
                <w:sz w:val="28"/>
                <w:szCs w:val="22"/>
                <w:lang w:eastAsia="zh-CN"/>
              </w:rPr>
            </w:pPr>
            <w:r w:rsidRPr="009D1E3B">
              <w:rPr>
                <w:sz w:val="28"/>
                <w:szCs w:val="22"/>
                <w:lang w:eastAsia="zh-CN"/>
              </w:rPr>
              <w:t>______________</w:t>
            </w:r>
          </w:p>
          <w:p w:rsidR="009164A9" w:rsidRPr="009D1E3B" w:rsidRDefault="009164A9" w:rsidP="00942A20">
            <w:pPr>
              <w:pStyle w:val="Headingb"/>
              <w:spacing w:before="240"/>
              <w:rPr>
                <w:lang w:eastAsia="zh-CN"/>
              </w:rPr>
            </w:pPr>
            <w:r w:rsidRPr="009D1E3B">
              <w:rPr>
                <w:rFonts w:hint="eastAsia"/>
                <w:lang w:eastAsia="zh-CN"/>
              </w:rPr>
              <w:t>参考文件</w:t>
            </w:r>
          </w:p>
          <w:p w:rsidR="00B40A53" w:rsidRPr="001F2F0F" w:rsidRDefault="009415FE" w:rsidP="001F2F0F">
            <w:pPr>
              <w:spacing w:after="120"/>
              <w:rPr>
                <w:lang w:eastAsia="zh-CN"/>
              </w:rPr>
            </w:pPr>
            <w:r>
              <w:fldChar w:fldCharType="begin"/>
            </w:r>
            <w:r>
              <w:rPr>
                <w:lang w:eastAsia="zh-CN"/>
              </w:rPr>
              <w:instrText xml:space="preserve"> HYPERLINK "http://www.itu.int/pub/S-CONF-ACTF-2014" </w:instrText>
            </w:r>
            <w:r>
              <w:fldChar w:fldCharType="separate"/>
            </w:r>
            <w:r w:rsidR="00336796" w:rsidRPr="009D1E3B">
              <w:rPr>
                <w:rStyle w:val="Hyperlink"/>
                <w:rFonts w:ascii="STKaiti" w:eastAsia="STKaiti" w:hAnsi="STKaiti" w:hint="eastAsia"/>
                <w:lang w:eastAsia="zh-CN"/>
              </w:rPr>
              <w:t>第5号</w:t>
            </w:r>
            <w:r w:rsidR="00336796" w:rsidRPr="009D1E3B">
              <w:rPr>
                <w:rStyle w:val="Hyperlink"/>
                <w:rFonts w:ascii="STKaiti" w:eastAsia="STKaiti" w:hAnsi="STKaiti"/>
                <w:lang w:eastAsia="zh-CN"/>
              </w:rPr>
              <w:t>决定（</w:t>
            </w:r>
            <w:r w:rsidR="00336796" w:rsidRPr="009D1E3B">
              <w:rPr>
                <w:rStyle w:val="Hyperlink"/>
                <w:rFonts w:ascii="STKaiti" w:eastAsia="STKaiti" w:hAnsi="STKaiti" w:hint="eastAsia"/>
                <w:lang w:eastAsia="zh-CN"/>
              </w:rPr>
              <w:t>2014年</w:t>
            </w:r>
            <w:r w:rsidR="00336796" w:rsidRPr="009D1E3B">
              <w:rPr>
                <w:rStyle w:val="Hyperlink"/>
                <w:rFonts w:ascii="STKaiti" w:eastAsia="STKaiti" w:hAnsi="STKaiti"/>
                <w:lang w:eastAsia="zh-CN"/>
              </w:rPr>
              <w:t>，釜山，修订版）</w:t>
            </w:r>
            <w:r>
              <w:rPr>
                <w:rStyle w:val="Hyperlink"/>
                <w:rFonts w:ascii="STKaiti" w:eastAsia="STKaiti" w:hAnsi="STKaiti"/>
                <w:lang w:eastAsia="zh-CN"/>
              </w:rPr>
              <w:fldChar w:fldCharType="end"/>
            </w:r>
          </w:p>
        </w:tc>
      </w:tr>
    </w:tbl>
    <w:p w:rsidR="00595A9F" w:rsidRPr="005757F9" w:rsidRDefault="00595A9F" w:rsidP="005757F9">
      <w:pPr>
        <w:pStyle w:val="Heading1"/>
        <w:rPr>
          <w:lang w:eastAsia="zh-CN"/>
        </w:rPr>
      </w:pPr>
      <w:r w:rsidRPr="005757F9">
        <w:rPr>
          <w:rFonts w:hint="eastAsia"/>
          <w:lang w:eastAsia="zh-CN"/>
        </w:rPr>
        <w:t>A</w:t>
      </w:r>
      <w:r w:rsidRPr="005757F9">
        <w:rPr>
          <w:rFonts w:hint="eastAsia"/>
          <w:lang w:eastAsia="zh-CN"/>
        </w:rPr>
        <w:tab/>
      </w:r>
      <w:r w:rsidRPr="005757F9">
        <w:rPr>
          <w:rFonts w:hint="eastAsia"/>
          <w:lang w:eastAsia="zh-CN"/>
        </w:rPr>
        <w:t>引言</w:t>
      </w:r>
    </w:p>
    <w:p w:rsidR="00595A9F" w:rsidRPr="009D1E3B" w:rsidRDefault="00E55171" w:rsidP="000C181E">
      <w:pPr>
        <w:overflowPunct/>
        <w:autoSpaceDE/>
        <w:autoSpaceDN/>
        <w:adjustRightInd/>
        <w:spacing w:before="240"/>
        <w:textAlignment w:val="auto"/>
        <w:rPr>
          <w:rFonts w:asciiTheme="minorHAnsi" w:hAnsiTheme="minorHAnsi"/>
          <w:szCs w:val="24"/>
          <w:lang w:eastAsia="zh-CN"/>
        </w:rPr>
      </w:pPr>
      <w:r w:rsidRPr="009D1E3B">
        <w:rPr>
          <w:rFonts w:asciiTheme="minorHAnsi" w:hAnsiTheme="minorHAnsi" w:hint="eastAsia"/>
          <w:szCs w:val="24"/>
          <w:lang w:eastAsia="zh-CN"/>
        </w:rPr>
        <w:t>1</w:t>
      </w:r>
      <w:r w:rsidRPr="009D1E3B">
        <w:rPr>
          <w:rFonts w:asciiTheme="minorHAnsi" w:hAnsiTheme="minorHAnsi"/>
          <w:szCs w:val="24"/>
          <w:lang w:eastAsia="zh-CN"/>
        </w:rPr>
        <w:tab/>
      </w:r>
      <w:r w:rsidR="00595A9F" w:rsidRPr="009D1E3B">
        <w:rPr>
          <w:rFonts w:asciiTheme="minorHAnsi" w:hAnsiTheme="minorHAnsi" w:hint="eastAsia"/>
          <w:szCs w:val="24"/>
          <w:lang w:eastAsia="zh-CN"/>
        </w:rPr>
        <w:t>本</w:t>
      </w:r>
      <w:r w:rsidR="00595A9F" w:rsidRPr="009D1E3B">
        <w:rPr>
          <w:rFonts w:asciiTheme="minorHAnsi" w:hAnsiTheme="minorHAnsi"/>
          <w:szCs w:val="24"/>
          <w:lang w:eastAsia="zh-CN"/>
        </w:rPr>
        <w:t>文件旨在提供</w:t>
      </w:r>
      <w:r w:rsidR="00AA1E89" w:rsidRPr="009D1E3B">
        <w:rPr>
          <w:rFonts w:hint="eastAsia"/>
          <w:szCs w:val="24"/>
          <w:lang w:eastAsia="zh-CN"/>
        </w:rPr>
        <w:t>落实</w:t>
      </w:r>
      <w:r w:rsidR="00595A9F" w:rsidRPr="009D1E3B">
        <w:rPr>
          <w:rFonts w:asciiTheme="minorHAnsi" w:hAnsiTheme="minorHAnsi" w:hint="eastAsia"/>
          <w:szCs w:val="24"/>
          <w:lang w:eastAsia="zh-CN"/>
        </w:rPr>
        <w:t>第</w:t>
      </w:r>
      <w:r w:rsidR="00595A9F" w:rsidRPr="009D1E3B">
        <w:rPr>
          <w:rFonts w:asciiTheme="minorHAnsi" w:hAnsiTheme="minorHAnsi" w:hint="eastAsia"/>
          <w:szCs w:val="24"/>
          <w:lang w:eastAsia="zh-CN"/>
        </w:rPr>
        <w:t>5</w:t>
      </w:r>
      <w:r w:rsidR="00595A9F" w:rsidRPr="009D1E3B">
        <w:rPr>
          <w:rFonts w:asciiTheme="minorHAnsi" w:hAnsiTheme="minorHAnsi" w:hint="eastAsia"/>
          <w:szCs w:val="24"/>
          <w:lang w:eastAsia="zh-CN"/>
        </w:rPr>
        <w:t>号决定（</w:t>
      </w:r>
      <w:r w:rsidR="00595A9F" w:rsidRPr="009D1E3B">
        <w:rPr>
          <w:rFonts w:asciiTheme="minorHAnsi" w:hAnsiTheme="minorHAnsi" w:hint="eastAsia"/>
          <w:szCs w:val="24"/>
          <w:lang w:eastAsia="zh-CN"/>
        </w:rPr>
        <w:t>2014</w:t>
      </w:r>
      <w:r w:rsidR="00595A9F" w:rsidRPr="009D1E3B">
        <w:rPr>
          <w:rFonts w:asciiTheme="minorHAnsi" w:hAnsiTheme="minorHAnsi" w:hint="eastAsia"/>
          <w:szCs w:val="24"/>
          <w:lang w:eastAsia="zh-CN"/>
        </w:rPr>
        <w:t>年，釜山，修订版）附件</w:t>
      </w:r>
      <w:r w:rsidR="00595A9F" w:rsidRPr="009D1E3B">
        <w:rPr>
          <w:rFonts w:asciiTheme="minorHAnsi" w:hAnsiTheme="minorHAnsi" w:hint="eastAsia"/>
          <w:szCs w:val="24"/>
          <w:lang w:eastAsia="zh-CN"/>
        </w:rPr>
        <w:t>2</w:t>
      </w:r>
      <w:r w:rsidR="00595A9F" w:rsidRPr="009D1E3B">
        <w:rPr>
          <w:rFonts w:hint="eastAsia"/>
          <w:szCs w:val="24"/>
          <w:lang w:eastAsia="zh-CN"/>
        </w:rPr>
        <w:t>介绍的</w:t>
      </w:r>
      <w:r w:rsidR="00F84D07">
        <w:rPr>
          <w:rFonts w:hint="eastAsia"/>
          <w:szCs w:val="24"/>
          <w:lang w:eastAsia="zh-CN"/>
        </w:rPr>
        <w:t>三十项</w:t>
      </w:r>
      <w:r w:rsidR="00595A9F" w:rsidRPr="009D1E3B">
        <w:rPr>
          <w:rFonts w:hint="eastAsia"/>
          <w:szCs w:val="24"/>
          <w:lang w:eastAsia="zh-CN"/>
        </w:rPr>
        <w:t>减支增效措施的最新情况</w:t>
      </w:r>
      <w:r w:rsidR="00595A9F" w:rsidRPr="009D1E3B">
        <w:rPr>
          <w:rFonts w:asciiTheme="minorHAnsi" w:hAnsiTheme="minorHAnsi" w:hint="eastAsia"/>
          <w:szCs w:val="24"/>
          <w:lang w:eastAsia="zh-CN"/>
        </w:rPr>
        <w:t>。</w:t>
      </w:r>
    </w:p>
    <w:p w:rsidR="00595A9F" w:rsidRPr="009D1E3B" w:rsidRDefault="00E55171" w:rsidP="005757F9">
      <w:pPr>
        <w:overflowPunct/>
        <w:autoSpaceDE/>
        <w:autoSpaceDN/>
        <w:adjustRightInd/>
        <w:textAlignment w:val="auto"/>
        <w:rPr>
          <w:szCs w:val="24"/>
          <w:lang w:eastAsia="zh-CN"/>
        </w:rPr>
      </w:pPr>
      <w:bookmarkStart w:id="3" w:name="lt_pId026"/>
      <w:r w:rsidRPr="009D1E3B">
        <w:rPr>
          <w:lang w:eastAsia="zh-CN"/>
        </w:rPr>
        <w:t>2</w:t>
      </w:r>
      <w:r w:rsidRPr="009D1E3B">
        <w:rPr>
          <w:lang w:eastAsia="zh-CN"/>
        </w:rPr>
        <w:tab/>
      </w:r>
      <w:r w:rsidR="00F84D07" w:rsidRPr="009D1E3B">
        <w:rPr>
          <w:szCs w:val="24"/>
          <w:lang w:eastAsia="zh-CN"/>
        </w:rPr>
        <w:t>2014-2015</w:t>
      </w:r>
      <w:r w:rsidR="00AA1E89">
        <w:rPr>
          <w:rFonts w:hint="eastAsia"/>
          <w:szCs w:val="24"/>
          <w:lang w:eastAsia="zh-CN"/>
        </w:rPr>
        <w:t>年</w:t>
      </w:r>
      <w:r w:rsidR="00F84D07">
        <w:rPr>
          <w:rFonts w:hint="eastAsia"/>
          <w:szCs w:val="24"/>
          <w:lang w:val="en-US" w:eastAsia="zh-CN"/>
        </w:rPr>
        <w:t>和</w:t>
      </w:r>
      <w:r w:rsidR="00F84D07" w:rsidRPr="009D1E3B">
        <w:rPr>
          <w:szCs w:val="24"/>
          <w:lang w:val="en-US" w:eastAsia="zh-CN"/>
        </w:rPr>
        <w:t>2016-2017</w:t>
      </w:r>
      <w:r w:rsidR="00AA1E89">
        <w:rPr>
          <w:rFonts w:hint="eastAsia"/>
          <w:szCs w:val="24"/>
          <w:lang w:val="en-US" w:eastAsia="zh-CN"/>
        </w:rPr>
        <w:t>年</w:t>
      </w:r>
      <w:r w:rsidR="00AA1E89">
        <w:rPr>
          <w:szCs w:val="24"/>
          <w:lang w:val="en-US" w:eastAsia="zh-CN"/>
        </w:rPr>
        <w:t>两个</w:t>
      </w:r>
      <w:r w:rsidR="00F84D07">
        <w:rPr>
          <w:rFonts w:hint="eastAsia"/>
          <w:szCs w:val="24"/>
          <w:lang w:eastAsia="zh-CN"/>
        </w:rPr>
        <w:t>双年度</w:t>
      </w:r>
      <w:r w:rsidR="00F84D07" w:rsidRPr="009D1E3B">
        <w:rPr>
          <w:rFonts w:hint="eastAsia"/>
          <w:szCs w:val="24"/>
          <w:lang w:eastAsia="zh-CN"/>
        </w:rPr>
        <w:t>的措施</w:t>
      </w:r>
      <w:r w:rsidR="00F84D07">
        <w:rPr>
          <w:rFonts w:hint="eastAsia"/>
          <w:szCs w:val="24"/>
          <w:lang w:eastAsia="zh-CN"/>
        </w:rPr>
        <w:t>落实情况分别在</w:t>
      </w:r>
      <w:r w:rsidR="00595A9F" w:rsidRPr="001E6916">
        <w:rPr>
          <w:szCs w:val="24"/>
          <w:lang w:eastAsia="zh-CN"/>
        </w:rPr>
        <w:t>C15/45</w:t>
      </w:r>
      <w:r w:rsidR="00F84D07">
        <w:rPr>
          <w:szCs w:val="24"/>
          <w:lang w:eastAsia="zh-CN"/>
        </w:rPr>
        <w:t>、</w:t>
      </w:r>
      <w:r w:rsidRPr="009D1E3B">
        <w:rPr>
          <w:szCs w:val="24"/>
          <w:lang w:val="en-US" w:eastAsia="zh-CN"/>
        </w:rPr>
        <w:t>C16/45</w:t>
      </w:r>
      <w:r w:rsidR="00F84D07">
        <w:rPr>
          <w:rFonts w:hint="eastAsia"/>
          <w:szCs w:val="24"/>
          <w:lang w:val="en-US" w:eastAsia="zh-CN"/>
        </w:rPr>
        <w:t>和</w:t>
      </w:r>
      <w:r w:rsidR="00F84D07">
        <w:rPr>
          <w:szCs w:val="24"/>
          <w:lang w:eastAsia="zh-CN"/>
        </w:rPr>
        <w:t>C17</w:t>
      </w:r>
      <w:r w:rsidR="00F84D07" w:rsidRPr="001E6916">
        <w:rPr>
          <w:szCs w:val="24"/>
          <w:lang w:eastAsia="zh-CN"/>
        </w:rPr>
        <w:t>/45</w:t>
      </w:r>
      <w:r w:rsidR="00595A9F" w:rsidRPr="009D1E3B">
        <w:rPr>
          <w:rFonts w:hint="eastAsia"/>
          <w:szCs w:val="24"/>
          <w:lang w:eastAsia="zh-CN"/>
        </w:rPr>
        <w:t>号文件</w:t>
      </w:r>
      <w:r w:rsidR="00F84D07">
        <w:rPr>
          <w:rFonts w:hint="eastAsia"/>
          <w:szCs w:val="24"/>
          <w:lang w:eastAsia="zh-CN"/>
        </w:rPr>
        <w:t>中</w:t>
      </w:r>
      <w:r w:rsidR="00595A9F" w:rsidRPr="009D1E3B">
        <w:rPr>
          <w:rFonts w:hint="eastAsia"/>
          <w:szCs w:val="24"/>
          <w:lang w:eastAsia="zh-CN"/>
        </w:rPr>
        <w:t>向理事会</w:t>
      </w:r>
      <w:r w:rsidR="00F84D07">
        <w:rPr>
          <w:rFonts w:hint="eastAsia"/>
          <w:szCs w:val="24"/>
          <w:lang w:eastAsia="zh-CN"/>
        </w:rPr>
        <w:t>做</w:t>
      </w:r>
      <w:r w:rsidR="00F84D07" w:rsidRPr="009D1E3B">
        <w:rPr>
          <w:rFonts w:hint="eastAsia"/>
          <w:szCs w:val="24"/>
          <w:lang w:eastAsia="zh-CN"/>
        </w:rPr>
        <w:t>了</w:t>
      </w:r>
      <w:r w:rsidR="00F84D07">
        <w:rPr>
          <w:rFonts w:hint="eastAsia"/>
          <w:szCs w:val="24"/>
          <w:lang w:eastAsia="zh-CN"/>
        </w:rPr>
        <w:t>汇报</w:t>
      </w:r>
      <w:r w:rsidR="00595A9F" w:rsidRPr="009D1E3B">
        <w:rPr>
          <w:rFonts w:hint="eastAsia"/>
          <w:szCs w:val="24"/>
          <w:lang w:eastAsia="zh-CN"/>
        </w:rPr>
        <w:t>。</w:t>
      </w:r>
      <w:bookmarkStart w:id="4" w:name="lt_pId027"/>
      <w:bookmarkEnd w:id="3"/>
      <w:r w:rsidR="00595A9F" w:rsidRPr="009D1E3B">
        <w:rPr>
          <w:rFonts w:hint="eastAsia"/>
          <w:szCs w:val="24"/>
          <w:lang w:eastAsia="zh-CN"/>
        </w:rPr>
        <w:t>这些措施</w:t>
      </w:r>
      <w:r w:rsidR="003B4343">
        <w:rPr>
          <w:rFonts w:hint="eastAsia"/>
          <w:szCs w:val="24"/>
          <w:lang w:eastAsia="zh-CN"/>
        </w:rPr>
        <w:t>的</w:t>
      </w:r>
      <w:r w:rsidR="00595A9F" w:rsidRPr="009D1E3B">
        <w:rPr>
          <w:rFonts w:hint="eastAsia"/>
          <w:szCs w:val="24"/>
          <w:lang w:eastAsia="zh-CN"/>
        </w:rPr>
        <w:t>实施</w:t>
      </w:r>
      <w:r w:rsidR="00AA1E89">
        <w:rPr>
          <w:rFonts w:hint="eastAsia"/>
          <w:szCs w:val="24"/>
          <w:lang w:eastAsia="zh-CN"/>
        </w:rPr>
        <w:t>导致</w:t>
      </w:r>
      <w:r w:rsidR="003B4343">
        <w:rPr>
          <w:rFonts w:hint="eastAsia"/>
          <w:szCs w:val="24"/>
          <w:lang w:eastAsia="zh-CN"/>
        </w:rPr>
        <w:t>2014</w:t>
      </w:r>
      <w:r w:rsidR="003B4343">
        <w:rPr>
          <w:szCs w:val="24"/>
          <w:lang w:eastAsia="zh-CN"/>
        </w:rPr>
        <w:t>-2015</w:t>
      </w:r>
      <w:r w:rsidR="003B4343">
        <w:rPr>
          <w:rFonts w:hint="eastAsia"/>
          <w:szCs w:val="24"/>
          <w:lang w:eastAsia="zh-CN"/>
        </w:rPr>
        <w:t>年</w:t>
      </w:r>
      <w:r w:rsidR="003B4343">
        <w:rPr>
          <w:szCs w:val="24"/>
          <w:lang w:eastAsia="zh-CN"/>
        </w:rPr>
        <w:t>减</w:t>
      </w:r>
      <w:r w:rsidR="003B4343">
        <w:rPr>
          <w:rFonts w:hint="eastAsia"/>
          <w:szCs w:val="24"/>
          <w:lang w:eastAsia="zh-CN"/>
        </w:rPr>
        <w:t>支</w:t>
      </w:r>
      <w:r w:rsidR="003B4343">
        <w:rPr>
          <w:rFonts w:hint="eastAsia"/>
          <w:szCs w:val="24"/>
          <w:lang w:eastAsia="zh-CN"/>
        </w:rPr>
        <w:t>2</w:t>
      </w:r>
      <w:r w:rsidR="005757F9" w:rsidRPr="005441B5">
        <w:rPr>
          <w:rFonts w:hint="eastAsia"/>
          <w:szCs w:val="24"/>
          <w:lang w:val="en-US" w:eastAsia="zh-CN"/>
        </w:rPr>
        <w:t>,</w:t>
      </w:r>
      <w:r w:rsidR="003B4343">
        <w:rPr>
          <w:rFonts w:hint="eastAsia"/>
          <w:szCs w:val="24"/>
          <w:lang w:eastAsia="zh-CN"/>
        </w:rPr>
        <w:t>440</w:t>
      </w:r>
      <w:r w:rsidR="003B4343">
        <w:rPr>
          <w:rFonts w:hint="eastAsia"/>
          <w:szCs w:val="24"/>
          <w:lang w:eastAsia="zh-CN"/>
        </w:rPr>
        <w:t>万</w:t>
      </w:r>
      <w:r w:rsidR="003B4343">
        <w:rPr>
          <w:szCs w:val="24"/>
          <w:lang w:eastAsia="zh-CN"/>
        </w:rPr>
        <w:t>瑞郎，</w:t>
      </w:r>
      <w:bookmarkStart w:id="5" w:name="lt_pId028"/>
      <w:bookmarkEnd w:id="4"/>
      <w:r w:rsidR="00F84D07">
        <w:rPr>
          <w:rFonts w:hint="eastAsia"/>
          <w:szCs w:val="24"/>
          <w:lang w:eastAsia="zh-CN"/>
        </w:rPr>
        <w:t>而且</w:t>
      </w:r>
      <w:r w:rsidR="00F84D07">
        <w:rPr>
          <w:szCs w:val="24"/>
          <w:lang w:eastAsia="zh-CN"/>
        </w:rPr>
        <w:t>预计在</w:t>
      </w:r>
      <w:r w:rsidR="00F84D07">
        <w:rPr>
          <w:rFonts w:hint="eastAsia"/>
          <w:szCs w:val="24"/>
          <w:lang w:eastAsia="zh-CN"/>
        </w:rPr>
        <w:t>2016</w:t>
      </w:r>
      <w:r w:rsidR="00F84D07">
        <w:rPr>
          <w:szCs w:val="24"/>
          <w:lang w:eastAsia="zh-CN"/>
        </w:rPr>
        <w:t>-2017</w:t>
      </w:r>
      <w:r w:rsidR="00F84D07">
        <w:rPr>
          <w:rFonts w:hint="eastAsia"/>
          <w:szCs w:val="24"/>
          <w:lang w:eastAsia="zh-CN"/>
        </w:rPr>
        <w:t>双年度将进一步减支</w:t>
      </w:r>
      <w:r w:rsidR="00F84D07">
        <w:rPr>
          <w:rFonts w:hint="eastAsia"/>
          <w:szCs w:val="24"/>
          <w:lang w:eastAsia="zh-CN"/>
        </w:rPr>
        <w:t>1</w:t>
      </w:r>
      <w:r w:rsidR="005757F9" w:rsidRPr="005441B5">
        <w:rPr>
          <w:rFonts w:hint="eastAsia"/>
          <w:szCs w:val="24"/>
          <w:lang w:val="en-US" w:eastAsia="zh-CN"/>
        </w:rPr>
        <w:t>,</w:t>
      </w:r>
      <w:r w:rsidR="00F84D07">
        <w:rPr>
          <w:rFonts w:hint="eastAsia"/>
          <w:szCs w:val="24"/>
          <w:lang w:eastAsia="zh-CN"/>
        </w:rPr>
        <w:t>700</w:t>
      </w:r>
      <w:r w:rsidR="00F84D07">
        <w:rPr>
          <w:rFonts w:hint="eastAsia"/>
          <w:szCs w:val="24"/>
          <w:lang w:eastAsia="zh-CN"/>
        </w:rPr>
        <w:t>万</w:t>
      </w:r>
      <w:r w:rsidR="00F84D07">
        <w:rPr>
          <w:szCs w:val="24"/>
          <w:lang w:eastAsia="zh-CN"/>
        </w:rPr>
        <w:t>瑞郎</w:t>
      </w:r>
      <w:r w:rsidR="00F84D07" w:rsidRPr="009D1E3B">
        <w:rPr>
          <w:rFonts w:hint="eastAsia"/>
          <w:szCs w:val="24"/>
          <w:lang w:eastAsia="zh-CN"/>
        </w:rPr>
        <w:t>。</w:t>
      </w:r>
      <w:bookmarkEnd w:id="5"/>
    </w:p>
    <w:p w:rsidR="00686C68" w:rsidRPr="005441B5" w:rsidRDefault="00E55171" w:rsidP="000C181E">
      <w:pPr>
        <w:snapToGrid w:val="0"/>
        <w:spacing w:after="120"/>
        <w:ind w:right="-45"/>
        <w:rPr>
          <w:szCs w:val="24"/>
          <w:lang w:eastAsia="zh-CN"/>
        </w:rPr>
      </w:pPr>
      <w:bookmarkStart w:id="6" w:name="lt_pId029"/>
      <w:r w:rsidRPr="005441B5">
        <w:rPr>
          <w:szCs w:val="24"/>
          <w:lang w:val="en-US" w:eastAsia="zh-CN"/>
        </w:rPr>
        <w:t>3</w:t>
      </w:r>
      <w:r w:rsidRPr="005441B5">
        <w:rPr>
          <w:szCs w:val="24"/>
          <w:lang w:val="en-US" w:eastAsia="zh-CN"/>
        </w:rPr>
        <w:tab/>
      </w:r>
      <w:r w:rsidR="00686C68" w:rsidRPr="005441B5">
        <w:rPr>
          <w:rFonts w:hint="eastAsia"/>
          <w:szCs w:val="24"/>
          <w:lang w:eastAsia="zh-CN"/>
        </w:rPr>
        <w:t>理事会</w:t>
      </w:r>
      <w:r w:rsidR="00686C68" w:rsidRPr="005441B5">
        <w:rPr>
          <w:rFonts w:hint="eastAsia"/>
          <w:szCs w:val="24"/>
          <w:lang w:eastAsia="zh-CN"/>
        </w:rPr>
        <w:t>2017</w:t>
      </w:r>
      <w:r w:rsidR="00686C68" w:rsidRPr="005441B5">
        <w:rPr>
          <w:rFonts w:hint="eastAsia"/>
          <w:szCs w:val="24"/>
          <w:lang w:eastAsia="zh-CN"/>
        </w:rPr>
        <w:t>年会议要求以表格的形式反映减支增效措施的落实情况。</w:t>
      </w:r>
    </w:p>
    <w:p w:rsidR="008439D1" w:rsidRDefault="00E55171" w:rsidP="000C181E">
      <w:pPr>
        <w:snapToGrid w:val="0"/>
        <w:spacing w:after="120"/>
        <w:ind w:right="-45"/>
        <w:rPr>
          <w:szCs w:val="24"/>
          <w:lang w:val="en-US" w:eastAsia="zh-CN"/>
        </w:rPr>
      </w:pPr>
      <w:r w:rsidRPr="005441B5">
        <w:rPr>
          <w:szCs w:val="24"/>
          <w:lang w:val="en-US" w:eastAsia="zh-CN"/>
        </w:rPr>
        <w:t>4</w:t>
      </w:r>
      <w:r w:rsidRPr="005441B5">
        <w:rPr>
          <w:szCs w:val="24"/>
          <w:lang w:val="en-US" w:eastAsia="zh-CN"/>
        </w:rPr>
        <w:tab/>
      </w:r>
      <w:r w:rsidR="008439D1" w:rsidRPr="005441B5">
        <w:rPr>
          <w:rFonts w:hint="eastAsia"/>
          <w:szCs w:val="24"/>
          <w:lang w:eastAsia="zh-CN"/>
        </w:rPr>
        <w:t>第</w:t>
      </w:r>
      <w:r w:rsidR="008439D1" w:rsidRPr="005441B5">
        <w:rPr>
          <w:szCs w:val="24"/>
          <w:lang w:eastAsia="zh-CN"/>
        </w:rPr>
        <w:t>3</w:t>
      </w:r>
      <w:r w:rsidR="008439D1" w:rsidRPr="005441B5">
        <w:rPr>
          <w:rFonts w:hint="eastAsia"/>
          <w:szCs w:val="24"/>
          <w:lang w:eastAsia="zh-CN"/>
        </w:rPr>
        <w:t>至第</w:t>
      </w:r>
      <w:r w:rsidR="008439D1" w:rsidRPr="005441B5">
        <w:rPr>
          <w:szCs w:val="24"/>
          <w:lang w:eastAsia="zh-CN"/>
        </w:rPr>
        <w:t>7</w:t>
      </w:r>
      <w:r w:rsidR="008439D1" w:rsidRPr="005441B5">
        <w:rPr>
          <w:rFonts w:hint="eastAsia"/>
          <w:szCs w:val="24"/>
          <w:lang w:eastAsia="zh-CN"/>
        </w:rPr>
        <w:t>页上的表</w:t>
      </w:r>
      <w:r w:rsidR="008439D1" w:rsidRPr="005441B5">
        <w:rPr>
          <w:rFonts w:hint="eastAsia"/>
          <w:szCs w:val="24"/>
          <w:lang w:eastAsia="zh-CN"/>
        </w:rPr>
        <w:t>1</w:t>
      </w:r>
      <w:r w:rsidR="008439D1" w:rsidRPr="005441B5">
        <w:rPr>
          <w:rFonts w:hint="eastAsia"/>
          <w:szCs w:val="24"/>
          <w:lang w:eastAsia="zh-CN"/>
        </w:rPr>
        <w:t>按要求</w:t>
      </w:r>
      <w:r w:rsidR="00850E5D" w:rsidRPr="005441B5">
        <w:rPr>
          <w:rFonts w:hint="eastAsia"/>
          <w:szCs w:val="24"/>
          <w:lang w:eastAsia="zh-CN"/>
        </w:rPr>
        <w:t>介绍了</w:t>
      </w:r>
      <w:r w:rsidR="008439D1" w:rsidRPr="005441B5">
        <w:rPr>
          <w:szCs w:val="24"/>
          <w:lang w:val="en-US" w:eastAsia="zh-CN"/>
        </w:rPr>
        <w:t>附件</w:t>
      </w:r>
      <w:r w:rsidR="008439D1" w:rsidRPr="005441B5">
        <w:rPr>
          <w:rFonts w:hint="eastAsia"/>
          <w:szCs w:val="24"/>
          <w:lang w:val="en-US" w:eastAsia="zh-CN"/>
        </w:rPr>
        <w:t>2</w:t>
      </w:r>
      <w:r w:rsidR="008439D1" w:rsidRPr="005441B5">
        <w:rPr>
          <w:rFonts w:hint="eastAsia"/>
          <w:szCs w:val="24"/>
          <w:lang w:val="en-US" w:eastAsia="zh-CN"/>
        </w:rPr>
        <w:t>每</w:t>
      </w:r>
      <w:r w:rsidR="008439D1" w:rsidRPr="005441B5">
        <w:rPr>
          <w:szCs w:val="24"/>
          <w:lang w:val="en-US" w:eastAsia="zh-CN"/>
        </w:rPr>
        <w:t>项下的减支额，</w:t>
      </w:r>
      <w:r w:rsidR="00850E5D" w:rsidRPr="005441B5">
        <w:rPr>
          <w:rFonts w:hint="eastAsia"/>
          <w:szCs w:val="24"/>
          <w:lang w:val="en-US" w:eastAsia="zh-CN"/>
        </w:rPr>
        <w:t>同时</w:t>
      </w:r>
      <w:r w:rsidR="00850E5D" w:rsidRPr="005441B5">
        <w:rPr>
          <w:szCs w:val="24"/>
          <w:lang w:val="en-US" w:eastAsia="zh-CN"/>
        </w:rPr>
        <w:t>亦列出</w:t>
      </w:r>
      <w:r w:rsidR="00850E5D" w:rsidRPr="005441B5">
        <w:rPr>
          <w:rFonts w:hint="eastAsia"/>
          <w:szCs w:val="24"/>
          <w:lang w:val="en-US" w:eastAsia="zh-CN"/>
        </w:rPr>
        <w:t>经理事会</w:t>
      </w:r>
      <w:r w:rsidR="00850E5D" w:rsidRPr="005441B5">
        <w:rPr>
          <w:rFonts w:hint="eastAsia"/>
          <w:szCs w:val="24"/>
          <w:lang w:val="en-US" w:eastAsia="zh-CN"/>
        </w:rPr>
        <w:t>2017</w:t>
      </w:r>
      <w:r w:rsidR="00850E5D" w:rsidRPr="005441B5">
        <w:rPr>
          <w:rFonts w:hint="eastAsia"/>
          <w:szCs w:val="24"/>
          <w:lang w:val="en-US" w:eastAsia="zh-CN"/>
        </w:rPr>
        <w:t>年会议批准的</w:t>
      </w:r>
      <w:r w:rsidR="00850E5D" w:rsidRPr="005441B5">
        <w:rPr>
          <w:rFonts w:hint="eastAsia"/>
          <w:szCs w:val="24"/>
          <w:lang w:val="en-US" w:eastAsia="zh-CN"/>
        </w:rPr>
        <w:t>2018</w:t>
      </w:r>
      <w:r w:rsidR="00850E5D" w:rsidRPr="005441B5">
        <w:rPr>
          <w:szCs w:val="24"/>
          <w:lang w:val="en-US" w:eastAsia="zh-CN"/>
        </w:rPr>
        <w:t>-2019</w:t>
      </w:r>
      <w:r w:rsidR="00850E5D" w:rsidRPr="005441B5">
        <w:rPr>
          <w:rFonts w:hint="eastAsia"/>
          <w:szCs w:val="24"/>
          <w:lang w:val="en-US" w:eastAsia="zh-CN"/>
        </w:rPr>
        <w:t>双年度所</w:t>
      </w:r>
      <w:r w:rsidR="00850E5D" w:rsidRPr="005441B5">
        <w:rPr>
          <w:szCs w:val="24"/>
          <w:lang w:val="en-US" w:eastAsia="zh-CN"/>
        </w:rPr>
        <w:t>采取</w:t>
      </w:r>
      <w:r w:rsidR="00850E5D" w:rsidRPr="005441B5">
        <w:rPr>
          <w:rFonts w:hint="eastAsia"/>
          <w:szCs w:val="24"/>
          <w:lang w:val="en-US" w:eastAsia="zh-CN"/>
        </w:rPr>
        <w:t>的</w:t>
      </w:r>
      <w:r w:rsidR="00850E5D" w:rsidRPr="005441B5">
        <w:rPr>
          <w:szCs w:val="24"/>
          <w:lang w:val="en-US" w:eastAsia="zh-CN"/>
        </w:rPr>
        <w:t>（</w:t>
      </w:r>
      <w:r w:rsidR="00850E5D" w:rsidRPr="005441B5">
        <w:rPr>
          <w:rFonts w:hint="eastAsia"/>
          <w:szCs w:val="24"/>
          <w:lang w:val="en-US" w:eastAsia="zh-CN"/>
        </w:rPr>
        <w:t>主要</w:t>
      </w:r>
      <w:r w:rsidR="00850E5D" w:rsidRPr="005441B5">
        <w:rPr>
          <w:szCs w:val="24"/>
          <w:lang w:val="en-US" w:eastAsia="zh-CN"/>
        </w:rPr>
        <w:t>通过</w:t>
      </w:r>
      <w:r w:rsidR="00850E5D" w:rsidRPr="005441B5">
        <w:rPr>
          <w:rFonts w:hint="eastAsia"/>
          <w:szCs w:val="24"/>
          <w:lang w:val="en-US" w:eastAsia="zh-CN"/>
        </w:rPr>
        <w:t>自愿离职</w:t>
      </w:r>
      <w:r w:rsidR="00850E5D" w:rsidRPr="005441B5">
        <w:rPr>
          <w:szCs w:val="24"/>
          <w:lang w:val="en-US" w:eastAsia="zh-CN"/>
        </w:rPr>
        <w:t>计划</w:t>
      </w:r>
      <w:r w:rsidR="00850E5D" w:rsidRPr="005441B5">
        <w:rPr>
          <w:rFonts w:hint="eastAsia"/>
          <w:szCs w:val="24"/>
          <w:lang w:val="en-US" w:eastAsia="zh-CN"/>
        </w:rPr>
        <w:t>和</w:t>
      </w:r>
      <w:r w:rsidR="00850E5D" w:rsidRPr="005441B5">
        <w:rPr>
          <w:rFonts w:hint="eastAsia"/>
          <w:szCs w:val="24"/>
          <w:lang w:val="en-US" w:eastAsia="zh-CN"/>
        </w:rPr>
        <w:t>5%</w:t>
      </w:r>
      <w:r w:rsidR="00850E5D" w:rsidRPr="005441B5">
        <w:rPr>
          <w:rFonts w:hint="eastAsia"/>
          <w:szCs w:val="24"/>
          <w:lang w:val="en-US" w:eastAsia="zh-CN"/>
        </w:rPr>
        <w:t>的职位空缺率</w:t>
      </w:r>
      <w:r w:rsidR="00850E5D" w:rsidRPr="005441B5">
        <w:rPr>
          <w:szCs w:val="24"/>
          <w:lang w:val="en-US" w:eastAsia="zh-CN"/>
        </w:rPr>
        <w:t>实现</w:t>
      </w:r>
      <w:r w:rsidR="00850E5D" w:rsidRPr="005441B5">
        <w:rPr>
          <w:rFonts w:hint="eastAsia"/>
          <w:szCs w:val="24"/>
          <w:lang w:val="en-US" w:eastAsia="zh-CN"/>
        </w:rPr>
        <w:lastRenderedPageBreak/>
        <w:t>的</w:t>
      </w:r>
      <w:r w:rsidR="00850E5D" w:rsidRPr="005441B5">
        <w:rPr>
          <w:szCs w:val="24"/>
          <w:lang w:val="en-US" w:eastAsia="zh-CN"/>
        </w:rPr>
        <w:t>）</w:t>
      </w:r>
      <w:r w:rsidR="00850E5D" w:rsidRPr="005441B5">
        <w:rPr>
          <w:rFonts w:hint="eastAsia"/>
          <w:szCs w:val="24"/>
          <w:lang w:val="en-US" w:eastAsia="zh-CN"/>
        </w:rPr>
        <w:t>各种增效减支</w:t>
      </w:r>
      <w:r w:rsidR="00850E5D" w:rsidRPr="005441B5">
        <w:rPr>
          <w:szCs w:val="24"/>
          <w:lang w:val="en-US" w:eastAsia="zh-CN"/>
        </w:rPr>
        <w:t>措施将</w:t>
      </w:r>
      <w:r w:rsidR="00850E5D" w:rsidRPr="005441B5">
        <w:rPr>
          <w:rFonts w:hint="eastAsia"/>
          <w:szCs w:val="24"/>
          <w:lang w:val="en-US" w:eastAsia="zh-CN"/>
        </w:rPr>
        <w:t>实现</w:t>
      </w:r>
      <w:r w:rsidR="00850E5D" w:rsidRPr="005441B5">
        <w:rPr>
          <w:szCs w:val="24"/>
          <w:lang w:val="en-US" w:eastAsia="zh-CN"/>
        </w:rPr>
        <w:t>的额外</w:t>
      </w:r>
      <w:r w:rsidR="00850E5D" w:rsidRPr="005441B5">
        <w:rPr>
          <w:rFonts w:hint="eastAsia"/>
          <w:szCs w:val="24"/>
          <w:lang w:val="en-US" w:eastAsia="zh-CN"/>
        </w:rPr>
        <w:t>减支</w:t>
      </w:r>
      <w:r w:rsidR="00850E5D" w:rsidRPr="005441B5">
        <w:rPr>
          <w:rFonts w:hint="eastAsia"/>
          <w:szCs w:val="24"/>
          <w:lang w:val="en-US" w:eastAsia="zh-CN"/>
        </w:rPr>
        <w:t>1</w:t>
      </w:r>
      <w:proofErr w:type="gramStart"/>
      <w:r w:rsidR="00850E5D" w:rsidRPr="005441B5">
        <w:rPr>
          <w:rFonts w:hint="eastAsia"/>
          <w:szCs w:val="24"/>
          <w:lang w:val="en-US" w:eastAsia="zh-CN"/>
        </w:rPr>
        <w:t>,330</w:t>
      </w:r>
      <w:r w:rsidR="00850E5D" w:rsidRPr="005441B5">
        <w:rPr>
          <w:rFonts w:hint="eastAsia"/>
          <w:szCs w:val="24"/>
          <w:lang w:val="en-US" w:eastAsia="zh-CN"/>
        </w:rPr>
        <w:t>万瑞郎</w:t>
      </w:r>
      <w:proofErr w:type="gramEnd"/>
      <w:r w:rsidR="005441B5" w:rsidRPr="005441B5">
        <w:rPr>
          <w:szCs w:val="24"/>
          <w:lang w:val="en-US" w:eastAsia="zh-CN"/>
        </w:rPr>
        <w:t>。</w:t>
      </w:r>
      <w:r w:rsidR="000B14D7">
        <w:rPr>
          <w:rFonts w:hint="eastAsia"/>
          <w:szCs w:val="24"/>
          <w:lang w:val="en-US" w:eastAsia="zh-CN"/>
        </w:rPr>
        <w:t>尽管</w:t>
      </w:r>
      <w:r w:rsidR="005441B5" w:rsidRPr="005441B5">
        <w:rPr>
          <w:rFonts w:hint="eastAsia"/>
          <w:szCs w:val="24"/>
          <w:lang w:val="en-US" w:eastAsia="zh-CN"/>
        </w:rPr>
        <w:t>表格仅显示了重大减支项目，</w:t>
      </w:r>
      <w:r w:rsidR="000B14D7">
        <w:rPr>
          <w:rFonts w:hint="eastAsia"/>
          <w:szCs w:val="24"/>
          <w:lang w:val="en-US" w:eastAsia="zh-CN"/>
        </w:rPr>
        <w:t>但</w:t>
      </w:r>
      <w:r w:rsidR="005441B5" w:rsidRPr="005441B5">
        <w:rPr>
          <w:rFonts w:hint="eastAsia"/>
          <w:szCs w:val="24"/>
          <w:lang w:val="en-US" w:eastAsia="zh-CN"/>
        </w:rPr>
        <w:t>实际上大部分项目均实现了减支。</w:t>
      </w:r>
    </w:p>
    <w:p w:rsidR="006D3FAF" w:rsidRDefault="006D3FAF" w:rsidP="000C181E">
      <w:pPr>
        <w:snapToGrid w:val="0"/>
        <w:spacing w:after="120"/>
        <w:jc w:val="both"/>
        <w:rPr>
          <w:color w:val="1F497D"/>
          <w:sz w:val="22"/>
          <w:szCs w:val="22"/>
          <w:lang w:eastAsia="zh-CN"/>
        </w:rPr>
      </w:pPr>
      <w:r w:rsidRPr="00665627">
        <w:rPr>
          <w:szCs w:val="24"/>
          <w:lang w:val="en-US" w:eastAsia="zh-CN"/>
        </w:rPr>
        <w:t>5</w:t>
      </w:r>
      <w:r w:rsidRPr="00665627">
        <w:rPr>
          <w:szCs w:val="24"/>
          <w:lang w:val="en-US" w:eastAsia="zh-CN"/>
        </w:rPr>
        <w:tab/>
      </w:r>
      <w:r w:rsidR="000B14D7">
        <w:rPr>
          <w:rFonts w:hint="eastAsia"/>
          <w:lang w:eastAsia="zh-CN"/>
        </w:rPr>
        <w:t>这些双年度减支</w:t>
      </w:r>
      <w:r w:rsidR="00AA1E89">
        <w:rPr>
          <w:rFonts w:hint="eastAsia"/>
          <w:lang w:eastAsia="zh-CN"/>
        </w:rPr>
        <w:t>的实现</w:t>
      </w:r>
      <w:r w:rsidR="000B14D7">
        <w:rPr>
          <w:rFonts w:hint="eastAsia"/>
          <w:lang w:eastAsia="zh-CN"/>
        </w:rPr>
        <w:t>不一定是</w:t>
      </w:r>
      <w:r w:rsidR="00AA1E89">
        <w:rPr>
          <w:rFonts w:hint="eastAsia"/>
          <w:lang w:eastAsia="zh-CN"/>
        </w:rPr>
        <w:t>对</w:t>
      </w:r>
      <w:r w:rsidR="000B14D7">
        <w:rPr>
          <w:rFonts w:hint="eastAsia"/>
          <w:lang w:eastAsia="zh-CN"/>
        </w:rPr>
        <w:t>之前双年度数额的净减。有些是对各局</w:t>
      </w:r>
      <w:r w:rsidR="000B14D7">
        <w:rPr>
          <w:rFonts w:hint="eastAsia"/>
          <w:lang w:eastAsia="zh-CN"/>
        </w:rPr>
        <w:t>/</w:t>
      </w:r>
      <w:r w:rsidR="000B14D7">
        <w:rPr>
          <w:rFonts w:hint="eastAsia"/>
          <w:lang w:eastAsia="zh-CN"/>
        </w:rPr>
        <w:t>各部最初提交</w:t>
      </w:r>
      <w:r w:rsidR="00AA1E89">
        <w:rPr>
          <w:rFonts w:hint="eastAsia"/>
          <w:lang w:eastAsia="zh-CN"/>
        </w:rPr>
        <w:t>内容</w:t>
      </w:r>
      <w:r w:rsidR="000B14D7">
        <w:rPr>
          <w:rFonts w:hint="eastAsia"/>
          <w:lang w:eastAsia="zh-CN"/>
        </w:rPr>
        <w:t>的削减，另一些则与所述阶段相关，</w:t>
      </w:r>
      <w:r w:rsidR="00AA1E89">
        <w:rPr>
          <w:rFonts w:hint="eastAsia"/>
          <w:lang w:eastAsia="zh-CN"/>
        </w:rPr>
        <w:t>可能</w:t>
      </w:r>
      <w:r w:rsidR="000B14D7">
        <w:rPr>
          <w:rFonts w:hint="eastAsia"/>
          <w:lang w:eastAsia="zh-CN"/>
        </w:rPr>
        <w:t>并非</w:t>
      </w:r>
      <w:r w:rsidR="00AA1E89">
        <w:rPr>
          <w:rFonts w:hint="eastAsia"/>
          <w:lang w:eastAsia="zh-CN"/>
        </w:rPr>
        <w:t>是反复发生的。大部分减支</w:t>
      </w:r>
      <w:r w:rsidR="000B14D7">
        <w:rPr>
          <w:rFonts w:hint="eastAsia"/>
          <w:lang w:eastAsia="zh-CN"/>
        </w:rPr>
        <w:t>因下阶段成本</w:t>
      </w:r>
      <w:r w:rsidR="00AA1E89">
        <w:rPr>
          <w:rFonts w:hint="eastAsia"/>
          <w:lang w:eastAsia="zh-CN"/>
        </w:rPr>
        <w:t>的</w:t>
      </w:r>
      <w:r w:rsidR="000B14D7">
        <w:rPr>
          <w:rFonts w:hint="eastAsia"/>
          <w:lang w:eastAsia="zh-CN"/>
        </w:rPr>
        <w:t>增长而抵消。</w:t>
      </w:r>
    </w:p>
    <w:p w:rsidR="006D3FAF" w:rsidRDefault="006D3FAF" w:rsidP="000C181E">
      <w:pPr>
        <w:snapToGrid w:val="0"/>
        <w:spacing w:after="120"/>
        <w:ind w:right="-45"/>
        <w:jc w:val="both"/>
        <w:rPr>
          <w:szCs w:val="24"/>
          <w:lang w:val="en-US" w:eastAsia="zh-CN"/>
        </w:rPr>
      </w:pPr>
      <w:r w:rsidRPr="00DF3E7B">
        <w:rPr>
          <w:szCs w:val="24"/>
          <w:lang w:val="en-US" w:eastAsia="zh-CN"/>
        </w:rPr>
        <w:t>6</w:t>
      </w:r>
      <w:r w:rsidRPr="00DF3E7B">
        <w:rPr>
          <w:szCs w:val="24"/>
          <w:lang w:val="en-US" w:eastAsia="zh-CN"/>
        </w:rPr>
        <w:tab/>
      </w:r>
      <w:bookmarkStart w:id="7" w:name="lt_pId044"/>
      <w:r w:rsidR="000B14D7">
        <w:rPr>
          <w:rFonts w:hint="eastAsia"/>
          <w:szCs w:val="24"/>
          <w:lang w:val="en-US" w:eastAsia="zh-CN"/>
        </w:rPr>
        <w:t>现行第</w:t>
      </w:r>
      <w:r w:rsidRPr="00DF3E7B">
        <w:rPr>
          <w:szCs w:val="24"/>
          <w:lang w:val="en-US" w:eastAsia="zh-CN"/>
        </w:rPr>
        <w:t>5</w:t>
      </w:r>
      <w:r w:rsidR="000B14D7">
        <w:rPr>
          <w:rFonts w:hint="eastAsia"/>
          <w:szCs w:val="24"/>
          <w:lang w:val="en-US" w:eastAsia="zh-CN"/>
        </w:rPr>
        <w:t>号决定的附件</w:t>
      </w:r>
      <w:r w:rsidR="000B14D7" w:rsidRPr="00DF3E7B">
        <w:rPr>
          <w:szCs w:val="24"/>
          <w:lang w:val="en-US" w:eastAsia="zh-CN"/>
        </w:rPr>
        <w:t>2</w:t>
      </w:r>
      <w:r w:rsidR="000B14D7">
        <w:rPr>
          <w:rFonts w:hint="eastAsia"/>
          <w:szCs w:val="24"/>
          <w:lang w:val="en-US" w:eastAsia="zh-CN"/>
        </w:rPr>
        <w:t>提供了三十项减支措施</w:t>
      </w:r>
      <w:r w:rsidR="00AA1E89">
        <w:rPr>
          <w:rFonts w:hint="eastAsia"/>
          <w:szCs w:val="24"/>
          <w:lang w:val="en-US" w:eastAsia="zh-CN"/>
        </w:rPr>
        <w:t>清单</w:t>
      </w:r>
      <w:r w:rsidR="000B14D7">
        <w:rPr>
          <w:rFonts w:hint="eastAsia"/>
          <w:szCs w:val="24"/>
          <w:lang w:val="en-US" w:eastAsia="zh-CN"/>
        </w:rPr>
        <w:t>。</w:t>
      </w:r>
      <w:bookmarkStart w:id="8" w:name="lt_pId045"/>
      <w:bookmarkEnd w:id="7"/>
      <w:r w:rsidR="000B14D7">
        <w:rPr>
          <w:rFonts w:hint="eastAsia"/>
          <w:szCs w:val="24"/>
          <w:lang w:val="en-US" w:eastAsia="zh-CN"/>
        </w:rPr>
        <w:t>所有措施均基本得到落实，因而很难在这些措施方面再实现进一步减支。</w:t>
      </w:r>
      <w:bookmarkEnd w:id="8"/>
    </w:p>
    <w:p w:rsidR="006D3FAF" w:rsidRDefault="006D3FAF" w:rsidP="000C181E">
      <w:pPr>
        <w:snapToGrid w:val="0"/>
        <w:spacing w:after="120"/>
        <w:ind w:right="-45"/>
        <w:jc w:val="both"/>
        <w:rPr>
          <w:szCs w:val="24"/>
          <w:lang w:val="en-US" w:eastAsia="zh-CN"/>
        </w:rPr>
      </w:pPr>
      <w:r w:rsidRPr="0096463E">
        <w:rPr>
          <w:szCs w:val="24"/>
          <w:lang w:val="en-US" w:eastAsia="zh-CN"/>
        </w:rPr>
        <w:t>7</w:t>
      </w:r>
      <w:r w:rsidRPr="0096463E">
        <w:rPr>
          <w:szCs w:val="24"/>
          <w:lang w:val="en-US" w:eastAsia="zh-CN"/>
        </w:rPr>
        <w:tab/>
      </w:r>
      <w:bookmarkStart w:id="9" w:name="lt_pId047"/>
      <w:r w:rsidR="00607C75">
        <w:rPr>
          <w:rFonts w:hint="eastAsia"/>
          <w:szCs w:val="24"/>
          <w:lang w:val="en-US" w:eastAsia="zh-CN"/>
        </w:rPr>
        <w:t>可能只有通过进一步集中财务和行政管理</w:t>
      </w:r>
      <w:r w:rsidR="00AA1E89">
        <w:rPr>
          <w:rFonts w:hint="eastAsia"/>
          <w:szCs w:val="24"/>
          <w:lang w:val="en-US" w:eastAsia="zh-CN"/>
        </w:rPr>
        <w:t>工作（目前为止仅限于总秘书处）、整合重大活动和削减差旅才</w:t>
      </w:r>
      <w:r w:rsidR="00607C75">
        <w:rPr>
          <w:rFonts w:hint="eastAsia"/>
          <w:szCs w:val="24"/>
          <w:lang w:val="en-US" w:eastAsia="zh-CN"/>
        </w:rPr>
        <w:t>有</w:t>
      </w:r>
      <w:r w:rsidR="00AA1E89">
        <w:rPr>
          <w:rFonts w:hint="eastAsia"/>
          <w:szCs w:val="24"/>
          <w:lang w:val="en-US" w:eastAsia="zh-CN"/>
        </w:rPr>
        <w:t>实现</w:t>
      </w:r>
      <w:r w:rsidR="00607C75">
        <w:rPr>
          <w:rFonts w:hint="eastAsia"/>
          <w:szCs w:val="24"/>
          <w:lang w:val="en-US" w:eastAsia="zh-CN"/>
        </w:rPr>
        <w:t>进一步减支的可能。</w:t>
      </w:r>
      <w:bookmarkEnd w:id="9"/>
    </w:p>
    <w:p w:rsidR="006D3FAF" w:rsidRDefault="006D3FAF" w:rsidP="000C181E">
      <w:pPr>
        <w:snapToGrid w:val="0"/>
        <w:spacing w:after="120"/>
        <w:ind w:right="-45"/>
        <w:jc w:val="both"/>
        <w:rPr>
          <w:szCs w:val="24"/>
          <w:lang w:val="en-US" w:eastAsia="zh-CN"/>
        </w:rPr>
      </w:pPr>
      <w:r w:rsidRPr="0096463E">
        <w:rPr>
          <w:szCs w:val="24"/>
          <w:lang w:val="en-US" w:eastAsia="zh-CN"/>
        </w:rPr>
        <w:t>8</w:t>
      </w:r>
      <w:r w:rsidRPr="0096463E">
        <w:rPr>
          <w:szCs w:val="24"/>
          <w:lang w:val="en-US" w:eastAsia="zh-CN"/>
        </w:rPr>
        <w:tab/>
      </w:r>
      <w:r w:rsidR="00607C75">
        <w:rPr>
          <w:rFonts w:hint="eastAsia"/>
          <w:szCs w:val="24"/>
          <w:lang w:val="en-US" w:eastAsia="zh-CN"/>
        </w:rPr>
        <w:t>应确定新的创新型增效减支措施，以帮助平衡未来预算，同时为最佳使用国际电联的资产做出贡献。</w:t>
      </w:r>
    </w:p>
    <w:p w:rsidR="006D3FAF" w:rsidRDefault="006D3FAF" w:rsidP="006D3FAF">
      <w:pPr>
        <w:snapToGrid w:val="0"/>
        <w:spacing w:after="120"/>
        <w:ind w:right="-45"/>
        <w:jc w:val="both"/>
        <w:rPr>
          <w:szCs w:val="24"/>
          <w:lang w:val="en-US" w:eastAsia="zh-CN"/>
        </w:rPr>
      </w:pPr>
    </w:p>
    <w:p w:rsidR="006D3FAF" w:rsidRDefault="006D3FAF" w:rsidP="006D3FAF">
      <w:pPr>
        <w:snapToGrid w:val="0"/>
        <w:spacing w:after="120"/>
        <w:ind w:right="-45"/>
        <w:jc w:val="both"/>
        <w:rPr>
          <w:szCs w:val="24"/>
          <w:lang w:val="en-US" w:eastAsia="zh-CN"/>
        </w:rPr>
        <w:sectPr w:rsidR="006D3FAF" w:rsidSect="006D3FAF">
          <w:headerReference w:type="default" r:id="rId9"/>
          <w:footerReference w:type="default" r:id="rId10"/>
          <w:footerReference w:type="first" r:id="rId11"/>
          <w:pgSz w:w="11907" w:h="16840" w:code="9"/>
          <w:pgMar w:top="1021" w:right="1134" w:bottom="1021" w:left="1134" w:header="567" w:footer="567" w:gutter="0"/>
          <w:cols w:space="720"/>
          <w:titlePg/>
          <w:docGrid w:linePitch="360"/>
        </w:sectPr>
      </w:pPr>
    </w:p>
    <w:p w:rsidR="006D3FAF" w:rsidRDefault="00632D09" w:rsidP="00632D09">
      <w:pPr>
        <w:overflowPunct/>
        <w:autoSpaceDE/>
        <w:autoSpaceDN/>
        <w:adjustRightInd/>
        <w:spacing w:before="0" w:after="240"/>
        <w:jc w:val="center"/>
        <w:textAlignment w:val="auto"/>
        <w:rPr>
          <w:szCs w:val="24"/>
          <w:lang w:val="en-US"/>
        </w:rPr>
      </w:pPr>
      <w:r>
        <w:rPr>
          <w:rFonts w:hint="eastAsia"/>
          <w:b/>
          <w:bCs/>
          <w:szCs w:val="24"/>
          <w:lang w:val="en-US" w:eastAsia="zh-CN"/>
        </w:rPr>
        <w:t>表</w:t>
      </w:r>
      <w:r w:rsidR="006D3FAF" w:rsidRPr="00283CC7">
        <w:rPr>
          <w:b/>
          <w:bCs/>
          <w:szCs w:val="24"/>
          <w:lang w:val="en-US"/>
        </w:rPr>
        <w:t xml:space="preserve">1 </w:t>
      </w:r>
      <w:r w:rsidR="00AA1E89" w:rsidRPr="00AA1E89">
        <w:rPr>
          <w:b/>
          <w:bCs/>
          <w:szCs w:val="24"/>
          <w:lang w:val="en-US"/>
        </w:rPr>
        <w:t>–</w:t>
      </w:r>
      <w:r w:rsidR="006D3FAF" w:rsidRPr="00283CC7">
        <w:rPr>
          <w:b/>
          <w:bCs/>
          <w:szCs w:val="24"/>
          <w:lang w:val="en-US"/>
        </w:rPr>
        <w:t xml:space="preserve"> </w:t>
      </w:r>
      <w:r w:rsidR="00AA1E89">
        <w:rPr>
          <w:rFonts w:hint="eastAsia"/>
          <w:b/>
          <w:bCs/>
          <w:szCs w:val="24"/>
          <w:lang w:val="en-US" w:eastAsia="zh-CN"/>
        </w:rPr>
        <w:t>增</w:t>
      </w:r>
      <w:r w:rsidR="00AA1E89">
        <w:rPr>
          <w:b/>
          <w:bCs/>
          <w:szCs w:val="24"/>
          <w:lang w:val="en-US" w:eastAsia="zh-CN"/>
        </w:rPr>
        <w:t>效</w:t>
      </w:r>
      <w:r w:rsidRPr="00632D09">
        <w:rPr>
          <w:rFonts w:hint="eastAsia"/>
          <w:b/>
          <w:bCs/>
          <w:szCs w:val="18"/>
          <w:lang w:eastAsia="zh-CN"/>
        </w:rPr>
        <w:t>减支措施</w:t>
      </w:r>
    </w:p>
    <w:tbl>
      <w:tblPr>
        <w:tblW w:w="13900" w:type="dxa"/>
        <w:tblLook w:val="04A0" w:firstRow="1" w:lastRow="0" w:firstColumn="1" w:lastColumn="0" w:noHBand="0" w:noVBand="1"/>
      </w:tblPr>
      <w:tblGrid>
        <w:gridCol w:w="620"/>
        <w:gridCol w:w="6480"/>
        <w:gridCol w:w="1864"/>
        <w:gridCol w:w="1863"/>
        <w:gridCol w:w="1863"/>
        <w:gridCol w:w="1210"/>
      </w:tblGrid>
      <w:tr w:rsidR="006D3FAF" w:rsidRPr="00283CC7" w:rsidTr="006D3FAF">
        <w:trPr>
          <w:trHeight w:val="288"/>
        </w:trPr>
        <w:tc>
          <w:tcPr>
            <w:tcW w:w="620" w:type="dxa"/>
            <w:tcBorders>
              <w:top w:val="nil"/>
              <w:left w:val="nil"/>
              <w:bottom w:val="nil"/>
              <w:right w:val="nil"/>
            </w:tcBorders>
            <w:shd w:val="clear" w:color="auto" w:fill="8DB3E2" w:themeFill="text2" w:themeFillTint="66"/>
            <w:noWrap/>
            <w:vAlign w:val="bottom"/>
            <w:hideMark/>
          </w:tcPr>
          <w:p w:rsidR="006D3FAF" w:rsidRPr="00283CC7" w:rsidRDefault="006D3FAF" w:rsidP="006D3FAF">
            <w:pPr>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rsidR="006D3FAF" w:rsidRPr="00283CC7" w:rsidRDefault="006D3FAF" w:rsidP="006D3FAF">
            <w:pPr>
              <w:overflowPunct/>
              <w:autoSpaceDE/>
              <w:autoSpaceDN/>
              <w:adjustRightInd/>
              <w:spacing w:before="0"/>
              <w:textAlignment w:val="auto"/>
              <w:rPr>
                <w:rFonts w:ascii="Times New Roman" w:hAnsi="Times New Roman"/>
                <w:sz w:val="20"/>
                <w:lang w:eastAsia="zh-CN"/>
              </w:rPr>
            </w:pPr>
          </w:p>
        </w:tc>
        <w:tc>
          <w:tcPr>
            <w:tcW w:w="6800" w:type="dxa"/>
            <w:gridSpan w:val="4"/>
            <w:tcBorders>
              <w:top w:val="nil"/>
              <w:left w:val="nil"/>
              <w:bottom w:val="nil"/>
              <w:right w:val="nil"/>
            </w:tcBorders>
            <w:shd w:val="clear" w:color="auto" w:fill="8DB3E2" w:themeFill="text2" w:themeFillTint="66"/>
            <w:noWrap/>
            <w:vAlign w:val="bottom"/>
            <w:hideMark/>
          </w:tcPr>
          <w:p w:rsidR="006D3FAF" w:rsidRPr="00376AAC" w:rsidRDefault="00376AAC" w:rsidP="006D3FAF">
            <w:pPr>
              <w:overflowPunct/>
              <w:autoSpaceDE/>
              <w:autoSpaceDN/>
              <w:adjustRightInd/>
              <w:spacing w:before="0"/>
              <w:jc w:val="center"/>
              <w:textAlignment w:val="auto"/>
              <w:rPr>
                <w:rFonts w:ascii="STKaiti" w:eastAsia="STKaiti" w:hAnsi="STKaiti"/>
                <w:color w:val="000000"/>
                <w:sz w:val="18"/>
                <w:szCs w:val="18"/>
                <w:lang w:eastAsia="zh-CN"/>
              </w:rPr>
            </w:pPr>
            <w:r w:rsidRPr="00376AAC">
              <w:rPr>
                <w:rFonts w:ascii="STKaiti" w:eastAsia="STKaiti" w:hAnsi="STKaiti"/>
                <w:color w:val="000000"/>
                <w:sz w:val="18"/>
                <w:szCs w:val="18"/>
                <w:lang w:eastAsia="zh-CN"/>
              </w:rPr>
              <w:t>（</w:t>
            </w:r>
            <w:r w:rsidRPr="00376AAC">
              <w:rPr>
                <w:rFonts w:ascii="STKaiti" w:eastAsia="STKaiti" w:hAnsi="STKaiti" w:hint="eastAsia"/>
                <w:color w:val="000000"/>
                <w:sz w:val="18"/>
                <w:szCs w:val="18"/>
                <w:lang w:eastAsia="zh-CN"/>
              </w:rPr>
              <w:t>单位：千瑞郎</w:t>
            </w:r>
            <w:r w:rsidRPr="00376AAC">
              <w:rPr>
                <w:rFonts w:ascii="STKaiti" w:eastAsia="STKaiti" w:hAnsi="STKaiti"/>
                <w:color w:val="000000"/>
                <w:sz w:val="18"/>
                <w:szCs w:val="18"/>
                <w:lang w:eastAsia="zh-CN"/>
              </w:rPr>
              <w:t>）</w:t>
            </w:r>
          </w:p>
        </w:tc>
      </w:tr>
      <w:tr w:rsidR="006D3FAF" w:rsidRPr="00283CC7" w:rsidTr="006D3FAF">
        <w:trPr>
          <w:trHeight w:val="288"/>
        </w:trPr>
        <w:tc>
          <w:tcPr>
            <w:tcW w:w="7100" w:type="dxa"/>
            <w:gridSpan w:val="2"/>
            <w:tcBorders>
              <w:top w:val="nil"/>
              <w:left w:val="nil"/>
              <w:bottom w:val="nil"/>
              <w:right w:val="nil"/>
            </w:tcBorders>
            <w:shd w:val="clear" w:color="auto" w:fill="8DB3E2" w:themeFill="text2" w:themeFillTint="66"/>
            <w:noWrap/>
            <w:vAlign w:val="bottom"/>
            <w:hideMark/>
          </w:tcPr>
          <w:p w:rsidR="006D3FAF" w:rsidRPr="00283CC7" w:rsidRDefault="00AA1E89" w:rsidP="00376AAC">
            <w:pPr>
              <w:overflowPunct/>
              <w:autoSpaceDE/>
              <w:autoSpaceDN/>
              <w:adjustRightInd/>
              <w:spacing w:before="0"/>
              <w:jc w:val="center"/>
              <w:textAlignment w:val="auto"/>
              <w:rPr>
                <w:color w:val="000000"/>
                <w:sz w:val="22"/>
                <w:szCs w:val="22"/>
                <w:lang w:eastAsia="zh-CN"/>
              </w:rPr>
            </w:pPr>
            <w:bookmarkStart w:id="10" w:name="_Hlk508186850"/>
            <w:r>
              <w:rPr>
                <w:rFonts w:hint="eastAsia"/>
                <w:szCs w:val="18"/>
                <w:lang w:eastAsia="zh-CN"/>
              </w:rPr>
              <w:t>增</w:t>
            </w:r>
            <w:r>
              <w:rPr>
                <w:szCs w:val="18"/>
                <w:lang w:eastAsia="zh-CN"/>
              </w:rPr>
              <w:t>效</w:t>
            </w:r>
            <w:r w:rsidR="00632D09" w:rsidRPr="005E0567">
              <w:rPr>
                <w:rFonts w:hint="eastAsia"/>
                <w:szCs w:val="18"/>
                <w:lang w:eastAsia="zh-CN"/>
              </w:rPr>
              <w:t>减支措施</w:t>
            </w:r>
            <w:r w:rsidR="00FA25A9">
              <w:rPr>
                <w:color w:val="000000"/>
                <w:sz w:val="22"/>
                <w:szCs w:val="22"/>
                <w:lang w:eastAsia="zh-CN"/>
              </w:rPr>
              <w:t>（</w:t>
            </w:r>
            <w:r>
              <w:rPr>
                <w:color w:val="000000"/>
                <w:sz w:val="22"/>
                <w:szCs w:val="22"/>
                <w:lang w:eastAsia="zh-CN"/>
              </w:rPr>
              <w:t>PP14</w:t>
            </w:r>
            <w:r w:rsidR="00376AAC">
              <w:rPr>
                <w:rFonts w:hint="eastAsia"/>
                <w:color w:val="000000"/>
                <w:sz w:val="22"/>
                <w:szCs w:val="22"/>
                <w:lang w:eastAsia="zh-CN"/>
              </w:rPr>
              <w:t>第</w:t>
            </w:r>
            <w:r w:rsidR="00376AAC">
              <w:rPr>
                <w:color w:val="000000"/>
                <w:sz w:val="22"/>
                <w:szCs w:val="22"/>
                <w:lang w:eastAsia="zh-CN"/>
              </w:rPr>
              <w:t>5</w:t>
            </w:r>
            <w:r w:rsidR="00376AAC">
              <w:rPr>
                <w:rFonts w:hint="eastAsia"/>
                <w:color w:val="000000"/>
                <w:sz w:val="22"/>
                <w:szCs w:val="22"/>
                <w:lang w:eastAsia="zh-CN"/>
              </w:rPr>
              <w:t>号决定</w:t>
            </w:r>
            <w:r>
              <w:rPr>
                <w:rFonts w:hint="eastAsia"/>
                <w:color w:val="000000"/>
                <w:sz w:val="22"/>
                <w:szCs w:val="22"/>
                <w:lang w:eastAsia="zh-CN"/>
              </w:rPr>
              <w:t xml:space="preserve"> </w:t>
            </w:r>
            <w:r w:rsidR="006D3FAF">
              <w:rPr>
                <w:color w:val="000000"/>
                <w:sz w:val="22"/>
                <w:szCs w:val="22"/>
                <w:lang w:eastAsia="zh-CN"/>
              </w:rPr>
              <w:t xml:space="preserve">– </w:t>
            </w:r>
            <w:r w:rsidR="00376AAC">
              <w:rPr>
                <w:rFonts w:hint="eastAsia"/>
                <w:color w:val="000000"/>
                <w:sz w:val="22"/>
                <w:szCs w:val="22"/>
                <w:lang w:eastAsia="zh-CN"/>
              </w:rPr>
              <w:t>附件</w:t>
            </w:r>
            <w:r w:rsidR="006D3FAF">
              <w:rPr>
                <w:color w:val="000000"/>
                <w:sz w:val="22"/>
                <w:szCs w:val="22"/>
                <w:lang w:eastAsia="zh-CN"/>
              </w:rPr>
              <w:t>2</w:t>
            </w:r>
            <w:r w:rsidR="00FA25A9">
              <w:rPr>
                <w:color w:val="000000"/>
                <w:sz w:val="22"/>
                <w:szCs w:val="22"/>
                <w:lang w:eastAsia="zh-CN"/>
              </w:rPr>
              <w:t>）</w:t>
            </w:r>
          </w:p>
        </w:tc>
        <w:tc>
          <w:tcPr>
            <w:tcW w:w="1864" w:type="dxa"/>
            <w:tcBorders>
              <w:top w:val="nil"/>
              <w:left w:val="dotted" w:sz="4" w:space="0" w:color="auto"/>
              <w:bottom w:val="nil"/>
              <w:right w:val="dotted" w:sz="4" w:space="0" w:color="auto"/>
            </w:tcBorders>
            <w:shd w:val="clear" w:color="auto" w:fill="8DB3E2" w:themeFill="text2" w:themeFillTint="66"/>
            <w:noWrap/>
            <w:vAlign w:val="bottom"/>
            <w:hideMark/>
          </w:tcPr>
          <w:p w:rsidR="006D3FAF" w:rsidRPr="00283CC7" w:rsidRDefault="006D3FAF" w:rsidP="006D3FAF">
            <w:pPr>
              <w:overflowPunct/>
              <w:autoSpaceDE/>
              <w:autoSpaceDN/>
              <w:adjustRightInd/>
              <w:spacing w:before="0"/>
              <w:jc w:val="center"/>
              <w:textAlignment w:val="auto"/>
              <w:rPr>
                <w:color w:val="000000"/>
                <w:sz w:val="22"/>
                <w:szCs w:val="22"/>
                <w:lang w:eastAsia="zh-CN"/>
              </w:rPr>
            </w:pPr>
            <w:r w:rsidRPr="00283CC7">
              <w:rPr>
                <w:color w:val="000000"/>
                <w:sz w:val="22"/>
                <w:szCs w:val="22"/>
                <w:lang w:eastAsia="zh-CN"/>
              </w:rPr>
              <w:t>2014-2015</w:t>
            </w:r>
            <w:r w:rsidR="00376AAC">
              <w:rPr>
                <w:rFonts w:hint="eastAsia"/>
                <w:color w:val="000000"/>
                <w:sz w:val="22"/>
                <w:szCs w:val="22"/>
                <w:lang w:eastAsia="zh-CN"/>
              </w:rPr>
              <w:t>年</w:t>
            </w:r>
          </w:p>
        </w:tc>
        <w:tc>
          <w:tcPr>
            <w:tcW w:w="1863" w:type="dxa"/>
            <w:tcBorders>
              <w:top w:val="nil"/>
              <w:left w:val="nil"/>
              <w:bottom w:val="nil"/>
              <w:right w:val="nil"/>
            </w:tcBorders>
            <w:shd w:val="clear" w:color="auto" w:fill="8DB3E2" w:themeFill="text2" w:themeFillTint="66"/>
            <w:noWrap/>
            <w:vAlign w:val="bottom"/>
            <w:hideMark/>
          </w:tcPr>
          <w:p w:rsidR="006D3FAF" w:rsidRPr="00283CC7" w:rsidRDefault="006D3FAF" w:rsidP="006D3FAF">
            <w:pPr>
              <w:overflowPunct/>
              <w:autoSpaceDE/>
              <w:autoSpaceDN/>
              <w:adjustRightInd/>
              <w:spacing w:before="0"/>
              <w:jc w:val="center"/>
              <w:textAlignment w:val="auto"/>
              <w:rPr>
                <w:color w:val="000000"/>
                <w:sz w:val="22"/>
                <w:szCs w:val="22"/>
                <w:lang w:eastAsia="zh-CN"/>
              </w:rPr>
            </w:pPr>
            <w:r w:rsidRPr="00283CC7">
              <w:rPr>
                <w:color w:val="000000"/>
                <w:sz w:val="22"/>
                <w:szCs w:val="22"/>
                <w:lang w:eastAsia="zh-CN"/>
              </w:rPr>
              <w:t>2016-2017</w:t>
            </w:r>
            <w:r w:rsidR="00376AAC">
              <w:rPr>
                <w:rFonts w:hint="eastAsia"/>
                <w:color w:val="000000"/>
                <w:sz w:val="22"/>
                <w:szCs w:val="22"/>
                <w:lang w:eastAsia="zh-CN"/>
              </w:rPr>
              <w:t>年</w:t>
            </w:r>
          </w:p>
        </w:tc>
        <w:tc>
          <w:tcPr>
            <w:tcW w:w="1863" w:type="dxa"/>
            <w:tcBorders>
              <w:top w:val="nil"/>
              <w:left w:val="dotted" w:sz="4" w:space="0" w:color="auto"/>
              <w:bottom w:val="nil"/>
              <w:right w:val="dotted" w:sz="4" w:space="0" w:color="auto"/>
            </w:tcBorders>
            <w:shd w:val="clear" w:color="auto" w:fill="8DB3E2" w:themeFill="text2" w:themeFillTint="66"/>
            <w:noWrap/>
            <w:vAlign w:val="bottom"/>
            <w:hideMark/>
          </w:tcPr>
          <w:p w:rsidR="006D3FAF" w:rsidRPr="00283CC7" w:rsidRDefault="006D3FAF" w:rsidP="006D3FAF">
            <w:pPr>
              <w:overflowPunct/>
              <w:autoSpaceDE/>
              <w:autoSpaceDN/>
              <w:adjustRightInd/>
              <w:spacing w:before="0"/>
              <w:jc w:val="center"/>
              <w:textAlignment w:val="auto"/>
              <w:rPr>
                <w:color w:val="000000"/>
                <w:sz w:val="22"/>
                <w:szCs w:val="22"/>
                <w:lang w:eastAsia="zh-CN"/>
              </w:rPr>
            </w:pPr>
            <w:r w:rsidRPr="00283CC7">
              <w:rPr>
                <w:color w:val="000000"/>
                <w:sz w:val="22"/>
                <w:szCs w:val="22"/>
                <w:lang w:eastAsia="zh-CN"/>
              </w:rPr>
              <w:t>2018-2019</w:t>
            </w:r>
            <w:r w:rsidR="00376AAC">
              <w:rPr>
                <w:rFonts w:hint="eastAsia"/>
                <w:color w:val="000000"/>
                <w:sz w:val="22"/>
                <w:szCs w:val="22"/>
                <w:lang w:eastAsia="zh-CN"/>
              </w:rPr>
              <w:t>年</w:t>
            </w:r>
          </w:p>
        </w:tc>
        <w:tc>
          <w:tcPr>
            <w:tcW w:w="1210" w:type="dxa"/>
            <w:tcBorders>
              <w:top w:val="nil"/>
              <w:left w:val="nil"/>
              <w:bottom w:val="nil"/>
              <w:right w:val="dotted" w:sz="4" w:space="0" w:color="auto"/>
            </w:tcBorders>
            <w:shd w:val="clear" w:color="auto" w:fill="8DB3E2" w:themeFill="text2" w:themeFillTint="66"/>
            <w:noWrap/>
            <w:vAlign w:val="bottom"/>
            <w:hideMark/>
          </w:tcPr>
          <w:p w:rsidR="006D3FAF" w:rsidRPr="00283CC7" w:rsidRDefault="00376AAC" w:rsidP="006D3FAF">
            <w:pPr>
              <w:overflowPunct/>
              <w:autoSpaceDE/>
              <w:autoSpaceDN/>
              <w:adjustRightInd/>
              <w:spacing w:before="0"/>
              <w:jc w:val="center"/>
              <w:textAlignment w:val="auto"/>
              <w:rPr>
                <w:color w:val="000000"/>
                <w:sz w:val="22"/>
                <w:szCs w:val="22"/>
                <w:lang w:eastAsia="zh-CN"/>
              </w:rPr>
            </w:pPr>
            <w:r>
              <w:rPr>
                <w:rFonts w:hint="eastAsia"/>
                <w:color w:val="000000"/>
                <w:sz w:val="22"/>
                <w:szCs w:val="22"/>
                <w:lang w:eastAsia="zh-CN"/>
              </w:rPr>
              <w:t>合计</w:t>
            </w:r>
          </w:p>
        </w:tc>
      </w:tr>
      <w:bookmarkEnd w:id="10"/>
      <w:tr w:rsidR="006D3FAF" w:rsidRPr="00283CC7" w:rsidTr="006D3FAF">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6D3FAF" w:rsidRPr="00283CC7" w:rsidRDefault="006D3FAF" w:rsidP="006D3FAF">
            <w:pPr>
              <w:overflowPunct/>
              <w:autoSpaceDE/>
              <w:autoSpaceDN/>
              <w:adjustRightInd/>
              <w:spacing w:before="0"/>
              <w:textAlignment w:val="auto"/>
              <w:rPr>
                <w:color w:val="000000"/>
                <w:sz w:val="22"/>
                <w:szCs w:val="22"/>
                <w:lang w:eastAsia="zh-CN"/>
              </w:rPr>
            </w:pPr>
            <w:r w:rsidRPr="00283CC7">
              <w:rPr>
                <w:color w:val="000000"/>
                <w:sz w:val="22"/>
                <w:szCs w:val="22"/>
                <w:lang w:eastAsia="zh-CN"/>
              </w:rPr>
              <w:t>1</w:t>
            </w:r>
          </w:p>
        </w:tc>
        <w:tc>
          <w:tcPr>
            <w:tcW w:w="6480" w:type="dxa"/>
            <w:tcBorders>
              <w:top w:val="single" w:sz="4" w:space="0" w:color="auto"/>
              <w:left w:val="nil"/>
              <w:bottom w:val="single" w:sz="4" w:space="0" w:color="auto"/>
              <w:right w:val="nil"/>
            </w:tcBorders>
            <w:shd w:val="clear" w:color="000000" w:fill="DDEBF7"/>
            <w:vAlign w:val="center"/>
            <w:hideMark/>
          </w:tcPr>
          <w:p w:rsidR="006D3FAF" w:rsidRPr="00283CC7" w:rsidRDefault="00632D09" w:rsidP="006D3FAF">
            <w:pPr>
              <w:overflowPunct/>
              <w:autoSpaceDE/>
              <w:autoSpaceDN/>
              <w:adjustRightInd/>
              <w:spacing w:before="0"/>
              <w:textAlignment w:val="auto"/>
              <w:rPr>
                <w:color w:val="000000"/>
                <w:sz w:val="22"/>
                <w:szCs w:val="22"/>
                <w:lang w:eastAsia="zh-CN"/>
              </w:rPr>
            </w:pPr>
            <w:r w:rsidRPr="001F2F0F">
              <w:rPr>
                <w:rFonts w:hint="eastAsia"/>
                <w:szCs w:val="24"/>
                <w:lang w:eastAsia="ja-JP"/>
              </w:rPr>
              <w:t>确定并消除重复工作（以及职能、活动、讲习班和研讨会的重叠），集中财务和行政管理工作，以避免工作低效并从专业化团队中获益</w:t>
            </w:r>
            <w:r w:rsidR="00AA1E89">
              <w:rPr>
                <w:rFonts w:hint="eastAsia"/>
                <w:szCs w:val="24"/>
                <w:lang w:eastAsia="zh-CN"/>
              </w:rPr>
              <w:t>。</w:t>
            </w:r>
          </w:p>
        </w:tc>
        <w:tc>
          <w:tcPr>
            <w:tcW w:w="1864"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1,529</w:t>
            </w:r>
          </w:p>
        </w:tc>
        <w:tc>
          <w:tcPr>
            <w:tcW w:w="1863" w:type="dxa"/>
            <w:tcBorders>
              <w:top w:val="single" w:sz="4" w:space="0" w:color="auto"/>
              <w:left w:val="nil"/>
              <w:bottom w:val="single" w:sz="4" w:space="0" w:color="auto"/>
              <w:right w:val="nil"/>
            </w:tcBorders>
            <w:shd w:val="clear" w:color="000000" w:fill="DDEBF7"/>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1,926</w:t>
            </w:r>
          </w:p>
        </w:tc>
        <w:tc>
          <w:tcPr>
            <w:tcW w:w="1863"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Pr="00283CC7" w:rsidRDefault="006D3FAF" w:rsidP="006D3FAF">
            <w:pPr>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210" w:type="dxa"/>
            <w:tcBorders>
              <w:top w:val="single" w:sz="4" w:space="0" w:color="auto"/>
              <w:left w:val="nil"/>
              <w:bottom w:val="single" w:sz="4" w:space="0" w:color="auto"/>
              <w:right w:val="dotted" w:sz="4" w:space="0" w:color="auto"/>
            </w:tcBorders>
            <w:shd w:val="clear" w:color="000000" w:fill="DDEBF7"/>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3,455</w:t>
            </w:r>
          </w:p>
        </w:tc>
      </w:tr>
      <w:tr w:rsidR="006D3FAF" w:rsidRPr="00283CC7" w:rsidTr="006D3FAF">
        <w:trPr>
          <w:trHeight w:val="1440"/>
        </w:trPr>
        <w:tc>
          <w:tcPr>
            <w:tcW w:w="620" w:type="dxa"/>
            <w:tcBorders>
              <w:top w:val="nil"/>
              <w:left w:val="nil"/>
              <w:bottom w:val="nil"/>
              <w:right w:val="nil"/>
            </w:tcBorders>
            <w:shd w:val="clear" w:color="000000" w:fill="C6E0B4"/>
            <w:noWrap/>
            <w:vAlign w:val="center"/>
            <w:hideMark/>
          </w:tcPr>
          <w:p w:rsidR="006D3FAF" w:rsidRPr="00283CC7" w:rsidRDefault="006D3FAF" w:rsidP="006D3FAF">
            <w:pPr>
              <w:overflowPunct/>
              <w:autoSpaceDE/>
              <w:autoSpaceDN/>
              <w:adjustRightInd/>
              <w:spacing w:before="0"/>
              <w:textAlignment w:val="auto"/>
              <w:rPr>
                <w:color w:val="000000"/>
                <w:sz w:val="22"/>
                <w:szCs w:val="22"/>
                <w:lang w:eastAsia="zh-CN"/>
              </w:rPr>
            </w:pPr>
            <w:r w:rsidRPr="00283CC7">
              <w:rPr>
                <w:color w:val="000000"/>
                <w:sz w:val="22"/>
                <w:szCs w:val="22"/>
                <w:lang w:eastAsia="zh-CN"/>
              </w:rPr>
              <w:t>2</w:t>
            </w:r>
          </w:p>
        </w:tc>
        <w:tc>
          <w:tcPr>
            <w:tcW w:w="6480" w:type="dxa"/>
            <w:tcBorders>
              <w:top w:val="nil"/>
              <w:left w:val="nil"/>
              <w:bottom w:val="nil"/>
              <w:right w:val="nil"/>
            </w:tcBorders>
            <w:shd w:val="clear" w:color="000000" w:fill="C6E0B4"/>
            <w:vAlign w:val="center"/>
            <w:hideMark/>
          </w:tcPr>
          <w:p w:rsidR="006D3FAF" w:rsidRPr="00283CC7" w:rsidRDefault="00632D09" w:rsidP="006D3FAF">
            <w:pPr>
              <w:overflowPunct/>
              <w:autoSpaceDE/>
              <w:autoSpaceDN/>
              <w:adjustRightInd/>
              <w:spacing w:before="0"/>
              <w:textAlignment w:val="auto"/>
              <w:rPr>
                <w:color w:val="000000"/>
                <w:sz w:val="22"/>
                <w:szCs w:val="22"/>
                <w:lang w:eastAsia="zh-CN"/>
              </w:rPr>
            </w:pPr>
            <w:r w:rsidRPr="005E0567">
              <w:rPr>
                <w:rFonts w:hint="eastAsia"/>
                <w:szCs w:val="18"/>
                <w:lang w:val="en-US" w:eastAsia="zh-CN"/>
              </w:rPr>
              <w:t>通过一个集中的跨部门任务组或部门</w:t>
            </w:r>
            <w:r>
              <w:rPr>
                <w:rFonts w:hint="eastAsia"/>
                <w:szCs w:val="18"/>
                <w:lang w:val="en-US" w:eastAsia="zh-CN"/>
              </w:rPr>
              <w:t>来</w:t>
            </w:r>
            <w:r w:rsidRPr="005E0567">
              <w:rPr>
                <w:rFonts w:hint="eastAsia"/>
                <w:szCs w:val="18"/>
                <w:lang w:val="en-US" w:eastAsia="zh-CN"/>
              </w:rPr>
              <w:t>协调统一所有研讨会和讲习班，以避免议题的重复，优化管理、后勤、协调和秘书处的支撑工作</w:t>
            </w:r>
            <w:r>
              <w:rPr>
                <w:rFonts w:hint="eastAsia"/>
                <w:szCs w:val="18"/>
                <w:lang w:val="en-US" w:eastAsia="zh-CN"/>
              </w:rPr>
              <w:t>，同时受益于各部门之间形成的合力以及对所涉议题统筹兼顾</w:t>
            </w:r>
            <w:r w:rsidR="00AA1E89">
              <w:rPr>
                <w:rFonts w:hint="eastAsia"/>
                <w:szCs w:val="18"/>
                <w:lang w:val="en-US" w:eastAsia="zh-CN"/>
              </w:rPr>
              <w:t>。</w:t>
            </w:r>
          </w:p>
        </w:tc>
        <w:tc>
          <w:tcPr>
            <w:tcW w:w="1864" w:type="dxa"/>
            <w:tcBorders>
              <w:top w:val="nil"/>
              <w:left w:val="dotted" w:sz="4" w:space="0" w:color="auto"/>
              <w:bottom w:val="nil"/>
              <w:right w:val="dotted" w:sz="4" w:space="0" w:color="auto"/>
            </w:tcBorders>
            <w:shd w:val="clear" w:color="000000" w:fill="C6E0B4"/>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p>
        </w:tc>
        <w:tc>
          <w:tcPr>
            <w:tcW w:w="1863" w:type="dxa"/>
            <w:tcBorders>
              <w:top w:val="nil"/>
              <w:left w:val="nil"/>
              <w:bottom w:val="nil"/>
              <w:right w:val="nil"/>
            </w:tcBorders>
            <w:shd w:val="clear" w:color="000000" w:fill="C6E0B4"/>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r>
              <w:rPr>
                <w:color w:val="000000"/>
                <w:sz w:val="22"/>
                <w:szCs w:val="22"/>
                <w:lang w:eastAsia="zh-CN"/>
              </w:rPr>
              <w:t>205</w:t>
            </w:r>
          </w:p>
        </w:tc>
        <w:tc>
          <w:tcPr>
            <w:tcW w:w="1863" w:type="dxa"/>
            <w:tcBorders>
              <w:top w:val="nil"/>
              <w:left w:val="dotted" w:sz="4" w:space="0" w:color="auto"/>
              <w:bottom w:val="nil"/>
              <w:right w:val="dotted" w:sz="4" w:space="0" w:color="auto"/>
            </w:tcBorders>
            <w:shd w:val="clear" w:color="000000" w:fill="C6E0B4"/>
            <w:noWrap/>
            <w:vAlign w:val="bottom"/>
            <w:hideMark/>
          </w:tcPr>
          <w:p w:rsidR="006D3FAF" w:rsidRPr="00283CC7" w:rsidRDefault="006D3FAF" w:rsidP="006D3FAF">
            <w:pPr>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210" w:type="dxa"/>
            <w:tcBorders>
              <w:top w:val="nil"/>
              <w:left w:val="nil"/>
              <w:bottom w:val="nil"/>
              <w:right w:val="dotted" w:sz="4" w:space="0" w:color="auto"/>
            </w:tcBorders>
            <w:shd w:val="clear" w:color="000000" w:fill="C6E0B4"/>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r>
              <w:rPr>
                <w:color w:val="000000"/>
                <w:sz w:val="22"/>
                <w:szCs w:val="22"/>
                <w:lang w:eastAsia="zh-CN"/>
              </w:rPr>
              <w:t>205</w:t>
            </w:r>
          </w:p>
        </w:tc>
      </w:tr>
      <w:tr w:rsidR="006D3FAF" w:rsidRPr="00283CC7" w:rsidTr="006D3FAF">
        <w:trPr>
          <w:trHeight w:val="1440"/>
        </w:trPr>
        <w:tc>
          <w:tcPr>
            <w:tcW w:w="620" w:type="dxa"/>
            <w:tcBorders>
              <w:top w:val="single" w:sz="4" w:space="0" w:color="auto"/>
              <w:left w:val="nil"/>
              <w:bottom w:val="single" w:sz="4" w:space="0" w:color="auto"/>
              <w:right w:val="nil"/>
            </w:tcBorders>
            <w:shd w:val="clear" w:color="000000" w:fill="DDEBF7"/>
            <w:noWrap/>
            <w:vAlign w:val="center"/>
            <w:hideMark/>
          </w:tcPr>
          <w:p w:rsidR="006D3FAF" w:rsidRPr="00283CC7" w:rsidRDefault="006D3FAF" w:rsidP="006D3FAF">
            <w:pPr>
              <w:overflowPunct/>
              <w:autoSpaceDE/>
              <w:autoSpaceDN/>
              <w:adjustRightInd/>
              <w:spacing w:before="0"/>
              <w:textAlignment w:val="auto"/>
              <w:rPr>
                <w:color w:val="000000"/>
                <w:sz w:val="22"/>
                <w:szCs w:val="22"/>
                <w:lang w:eastAsia="zh-CN"/>
              </w:rPr>
            </w:pPr>
            <w:r w:rsidRPr="00283CC7">
              <w:rPr>
                <w:color w:val="000000"/>
                <w:sz w:val="22"/>
                <w:szCs w:val="22"/>
                <w:lang w:eastAsia="zh-CN"/>
              </w:rPr>
              <w:t>3</w:t>
            </w:r>
          </w:p>
        </w:tc>
        <w:tc>
          <w:tcPr>
            <w:tcW w:w="6480" w:type="dxa"/>
            <w:tcBorders>
              <w:top w:val="single" w:sz="4" w:space="0" w:color="auto"/>
              <w:left w:val="nil"/>
              <w:bottom w:val="single" w:sz="4" w:space="0" w:color="auto"/>
              <w:right w:val="nil"/>
            </w:tcBorders>
            <w:shd w:val="clear" w:color="000000" w:fill="DDEBF7"/>
            <w:vAlign w:val="center"/>
            <w:hideMark/>
          </w:tcPr>
          <w:p w:rsidR="006D3FAF" w:rsidRPr="00283CC7" w:rsidRDefault="00632D09" w:rsidP="006D3FAF">
            <w:pPr>
              <w:overflowPunct/>
              <w:autoSpaceDE/>
              <w:autoSpaceDN/>
              <w:adjustRightInd/>
              <w:spacing w:before="0"/>
              <w:textAlignment w:val="auto"/>
              <w:rPr>
                <w:color w:val="000000"/>
                <w:sz w:val="22"/>
                <w:szCs w:val="22"/>
                <w:lang w:eastAsia="zh-CN"/>
              </w:rPr>
            </w:pPr>
            <w:r w:rsidRPr="005E0567">
              <w:rPr>
                <w:rFonts w:hint="eastAsia"/>
                <w:szCs w:val="18"/>
                <w:lang w:eastAsia="zh-CN"/>
              </w:rPr>
              <w:t>使区域代表处充分参与到研讨会</w:t>
            </w:r>
            <w:r w:rsidRPr="005E0567">
              <w:rPr>
                <w:rFonts w:hint="eastAsia"/>
                <w:szCs w:val="18"/>
                <w:lang w:eastAsia="zh-CN"/>
              </w:rPr>
              <w:t>/</w:t>
            </w:r>
            <w:r w:rsidRPr="005E0567">
              <w:rPr>
                <w:rFonts w:hint="eastAsia"/>
                <w:szCs w:val="18"/>
                <w:lang w:eastAsia="zh-CN"/>
              </w:rPr>
              <w:t>讲习班</w:t>
            </w:r>
            <w:r w:rsidRPr="005E0567">
              <w:rPr>
                <w:rFonts w:hint="eastAsia"/>
                <w:szCs w:val="18"/>
                <w:lang w:eastAsia="zh-CN"/>
              </w:rPr>
              <w:t>/</w:t>
            </w:r>
            <w:r w:rsidRPr="005E0567">
              <w:rPr>
                <w:rFonts w:hint="eastAsia"/>
                <w:szCs w:val="18"/>
                <w:lang w:eastAsia="zh-CN"/>
              </w:rPr>
              <w:t>会议</w:t>
            </w:r>
            <w:r w:rsidRPr="005E0567">
              <w:rPr>
                <w:rFonts w:hint="eastAsia"/>
                <w:szCs w:val="18"/>
                <w:lang w:eastAsia="zh-CN"/>
              </w:rPr>
              <w:t>/</w:t>
            </w:r>
            <w:r w:rsidRPr="005E0567">
              <w:rPr>
                <w:rFonts w:hint="eastAsia"/>
                <w:szCs w:val="18"/>
                <w:lang w:eastAsia="zh-CN"/>
              </w:rPr>
              <w:t>大会的规划和组织工作中</w:t>
            </w:r>
            <w:r w:rsidRPr="005E0567">
              <w:rPr>
                <w:rFonts w:hint="eastAsia"/>
                <w:szCs w:val="18"/>
                <w:lang w:eastAsia="zh-CN"/>
              </w:rPr>
              <w:t xml:space="preserve"> </w:t>
            </w:r>
            <w:r w:rsidRPr="00D96ADD">
              <w:rPr>
                <w:szCs w:val="18"/>
                <w:lang w:eastAsia="zh-CN"/>
              </w:rPr>
              <w:t>–</w:t>
            </w:r>
            <w:r w:rsidRPr="005E0567">
              <w:rPr>
                <w:rFonts w:hint="eastAsia"/>
                <w:szCs w:val="18"/>
                <w:lang w:eastAsia="zh-CN"/>
              </w:rPr>
              <w:t xml:space="preserve"> </w:t>
            </w:r>
            <w:r w:rsidRPr="005E0567">
              <w:rPr>
                <w:rFonts w:hint="eastAsia"/>
                <w:szCs w:val="18"/>
                <w:lang w:eastAsia="zh-CN"/>
              </w:rPr>
              <w:t>包括在日内瓦以外地区举办这些会议的筹备会议，从而不仅受益于本地专业技术和本地联系网络，还节约差旅费用</w:t>
            </w:r>
            <w:r w:rsidR="00AA1E89">
              <w:rPr>
                <w:rFonts w:hint="eastAsia"/>
                <w:szCs w:val="18"/>
                <w:lang w:eastAsia="zh-CN"/>
              </w:rPr>
              <w:t>。</w:t>
            </w:r>
          </w:p>
        </w:tc>
        <w:tc>
          <w:tcPr>
            <w:tcW w:w="1864"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p>
        </w:tc>
        <w:tc>
          <w:tcPr>
            <w:tcW w:w="1863" w:type="dxa"/>
            <w:tcBorders>
              <w:top w:val="single" w:sz="4" w:space="0" w:color="auto"/>
              <w:left w:val="nil"/>
              <w:bottom w:val="single" w:sz="4" w:space="0" w:color="auto"/>
              <w:right w:val="nil"/>
            </w:tcBorders>
            <w:shd w:val="clear" w:color="000000" w:fill="DDEBF7"/>
            <w:noWrap/>
            <w:vAlign w:val="bottom"/>
            <w:hideMark/>
          </w:tcPr>
          <w:p w:rsidR="006D3FAF" w:rsidRPr="00283CC7" w:rsidRDefault="006D3FAF" w:rsidP="006D3FAF">
            <w:pPr>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863"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Pr="00283CC7" w:rsidRDefault="006D3FAF" w:rsidP="006D3FAF">
            <w:pPr>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210" w:type="dxa"/>
            <w:tcBorders>
              <w:top w:val="single" w:sz="4" w:space="0" w:color="auto"/>
              <w:left w:val="nil"/>
              <w:bottom w:val="single" w:sz="4" w:space="0" w:color="auto"/>
              <w:right w:val="dotted" w:sz="4" w:space="0" w:color="auto"/>
            </w:tcBorders>
            <w:shd w:val="clear" w:color="000000" w:fill="DDEBF7"/>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p>
        </w:tc>
      </w:tr>
      <w:tr w:rsidR="006D3FAF" w:rsidRPr="00283CC7" w:rsidTr="006D3FAF">
        <w:trPr>
          <w:trHeight w:val="864"/>
        </w:trPr>
        <w:tc>
          <w:tcPr>
            <w:tcW w:w="620" w:type="dxa"/>
            <w:tcBorders>
              <w:top w:val="nil"/>
              <w:left w:val="nil"/>
              <w:bottom w:val="nil"/>
              <w:right w:val="nil"/>
            </w:tcBorders>
            <w:shd w:val="clear" w:color="000000" w:fill="C6E0B4"/>
            <w:noWrap/>
            <w:vAlign w:val="center"/>
            <w:hideMark/>
          </w:tcPr>
          <w:p w:rsidR="006D3FAF" w:rsidRPr="00283CC7" w:rsidRDefault="006D3FAF" w:rsidP="006D3FAF">
            <w:pPr>
              <w:overflowPunct/>
              <w:autoSpaceDE/>
              <w:autoSpaceDN/>
              <w:adjustRightInd/>
              <w:spacing w:before="0"/>
              <w:textAlignment w:val="auto"/>
              <w:rPr>
                <w:color w:val="000000"/>
                <w:sz w:val="22"/>
                <w:szCs w:val="22"/>
                <w:lang w:eastAsia="zh-CN"/>
              </w:rPr>
            </w:pPr>
            <w:r w:rsidRPr="00283CC7">
              <w:rPr>
                <w:color w:val="000000"/>
                <w:sz w:val="22"/>
                <w:szCs w:val="22"/>
                <w:lang w:eastAsia="zh-CN"/>
              </w:rPr>
              <w:t>4</w:t>
            </w:r>
          </w:p>
        </w:tc>
        <w:tc>
          <w:tcPr>
            <w:tcW w:w="6480" w:type="dxa"/>
            <w:tcBorders>
              <w:top w:val="nil"/>
              <w:left w:val="nil"/>
              <w:bottom w:val="nil"/>
              <w:right w:val="nil"/>
            </w:tcBorders>
            <w:shd w:val="clear" w:color="000000" w:fill="C6E0B4"/>
            <w:vAlign w:val="center"/>
            <w:hideMark/>
          </w:tcPr>
          <w:p w:rsidR="006D3FAF" w:rsidRPr="00283CC7" w:rsidRDefault="00632D09" w:rsidP="006D3FAF">
            <w:pPr>
              <w:overflowPunct/>
              <w:autoSpaceDE/>
              <w:autoSpaceDN/>
              <w:adjustRightInd/>
              <w:spacing w:before="0"/>
              <w:textAlignment w:val="auto"/>
              <w:rPr>
                <w:color w:val="000000"/>
                <w:sz w:val="22"/>
                <w:szCs w:val="22"/>
                <w:lang w:eastAsia="zh-CN"/>
              </w:rPr>
            </w:pPr>
            <w:r w:rsidRPr="005E0567">
              <w:rPr>
                <w:rFonts w:hint="eastAsia"/>
                <w:szCs w:val="18"/>
                <w:lang w:eastAsia="zh-CN"/>
              </w:rPr>
              <w:t>最大限度地与区域性组织进行协调，以期同时同地组织</w:t>
            </w:r>
            <w:r w:rsidR="00AA1E89">
              <w:rPr>
                <w:szCs w:val="18"/>
                <w:lang w:eastAsia="zh-CN"/>
              </w:rPr>
              <w:br/>
            </w:r>
            <w:r w:rsidRPr="005E0567">
              <w:rPr>
                <w:rFonts w:hint="eastAsia"/>
                <w:szCs w:val="18"/>
                <w:lang w:eastAsia="zh-CN"/>
              </w:rPr>
              <w:t>活动</w:t>
            </w:r>
            <w:r w:rsidRPr="005E0567">
              <w:rPr>
                <w:rFonts w:hint="eastAsia"/>
                <w:szCs w:val="18"/>
                <w:lang w:eastAsia="zh-CN"/>
              </w:rPr>
              <w:t>/</w:t>
            </w:r>
            <w:r w:rsidRPr="005E0567">
              <w:rPr>
                <w:rFonts w:hint="eastAsia"/>
                <w:szCs w:val="18"/>
                <w:lang w:eastAsia="zh-CN"/>
              </w:rPr>
              <w:t>会议</w:t>
            </w:r>
            <w:r w:rsidRPr="005E0567">
              <w:rPr>
                <w:rFonts w:hint="eastAsia"/>
                <w:szCs w:val="18"/>
                <w:lang w:eastAsia="zh-CN"/>
              </w:rPr>
              <w:t>/</w:t>
            </w:r>
            <w:r w:rsidRPr="005E0567">
              <w:rPr>
                <w:rFonts w:hint="eastAsia"/>
                <w:szCs w:val="18"/>
                <w:lang w:eastAsia="zh-CN"/>
              </w:rPr>
              <w:t>大会，分担支出并最大限度地减少参与费用</w:t>
            </w:r>
            <w:r w:rsidR="00AA1E89">
              <w:rPr>
                <w:rFonts w:hint="eastAsia"/>
                <w:szCs w:val="18"/>
                <w:lang w:eastAsia="zh-CN"/>
              </w:rPr>
              <w:t>。</w:t>
            </w:r>
          </w:p>
        </w:tc>
        <w:tc>
          <w:tcPr>
            <w:tcW w:w="1864" w:type="dxa"/>
            <w:tcBorders>
              <w:top w:val="nil"/>
              <w:left w:val="dotted" w:sz="4" w:space="0" w:color="auto"/>
              <w:bottom w:val="nil"/>
              <w:right w:val="dotted" w:sz="4" w:space="0" w:color="auto"/>
            </w:tcBorders>
            <w:shd w:val="clear" w:color="000000" w:fill="C6E0B4"/>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30</w:t>
            </w:r>
          </w:p>
        </w:tc>
        <w:tc>
          <w:tcPr>
            <w:tcW w:w="1863" w:type="dxa"/>
            <w:tcBorders>
              <w:top w:val="nil"/>
              <w:left w:val="nil"/>
              <w:bottom w:val="nil"/>
              <w:right w:val="nil"/>
            </w:tcBorders>
            <w:shd w:val="clear" w:color="000000" w:fill="C6E0B4"/>
            <w:noWrap/>
            <w:vAlign w:val="bottom"/>
            <w:hideMark/>
          </w:tcPr>
          <w:p w:rsidR="006D3FAF" w:rsidRPr="00283CC7" w:rsidRDefault="006D3FAF" w:rsidP="006D3FAF">
            <w:pPr>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863" w:type="dxa"/>
            <w:tcBorders>
              <w:top w:val="nil"/>
              <w:left w:val="dotted" w:sz="4" w:space="0" w:color="auto"/>
              <w:bottom w:val="nil"/>
              <w:right w:val="dotted" w:sz="4" w:space="0" w:color="auto"/>
            </w:tcBorders>
            <w:shd w:val="clear" w:color="000000" w:fill="C6E0B4"/>
            <w:noWrap/>
            <w:vAlign w:val="bottom"/>
            <w:hideMark/>
          </w:tcPr>
          <w:p w:rsidR="006D3FAF" w:rsidRPr="00283CC7" w:rsidRDefault="006D3FAF" w:rsidP="006D3FAF">
            <w:pPr>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210" w:type="dxa"/>
            <w:tcBorders>
              <w:top w:val="nil"/>
              <w:left w:val="nil"/>
              <w:bottom w:val="nil"/>
              <w:right w:val="dotted" w:sz="4" w:space="0" w:color="auto"/>
            </w:tcBorders>
            <w:shd w:val="clear" w:color="000000" w:fill="C6E0B4"/>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30</w:t>
            </w:r>
          </w:p>
        </w:tc>
      </w:tr>
      <w:tr w:rsidR="006D3FAF" w:rsidRPr="00283CC7" w:rsidTr="006D3FAF">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6D3FAF" w:rsidRPr="00283CC7" w:rsidRDefault="006D3FAF" w:rsidP="006D3FAF">
            <w:pPr>
              <w:overflowPunct/>
              <w:autoSpaceDE/>
              <w:autoSpaceDN/>
              <w:adjustRightInd/>
              <w:spacing w:before="0"/>
              <w:textAlignment w:val="auto"/>
              <w:rPr>
                <w:color w:val="000000"/>
                <w:sz w:val="22"/>
                <w:szCs w:val="22"/>
                <w:lang w:eastAsia="zh-CN"/>
              </w:rPr>
            </w:pPr>
            <w:r w:rsidRPr="00283CC7">
              <w:rPr>
                <w:color w:val="000000"/>
                <w:sz w:val="22"/>
                <w:szCs w:val="22"/>
                <w:lang w:eastAsia="zh-CN"/>
              </w:rPr>
              <w:t>5</w:t>
            </w:r>
          </w:p>
        </w:tc>
        <w:tc>
          <w:tcPr>
            <w:tcW w:w="6480" w:type="dxa"/>
            <w:tcBorders>
              <w:top w:val="single" w:sz="4" w:space="0" w:color="auto"/>
              <w:left w:val="nil"/>
              <w:bottom w:val="single" w:sz="4" w:space="0" w:color="auto"/>
              <w:right w:val="nil"/>
            </w:tcBorders>
            <w:shd w:val="clear" w:color="000000" w:fill="DDEBF7"/>
            <w:vAlign w:val="center"/>
            <w:hideMark/>
          </w:tcPr>
          <w:p w:rsidR="006D3FAF" w:rsidRPr="00283CC7" w:rsidRDefault="00632D09" w:rsidP="006D3FAF">
            <w:pPr>
              <w:overflowPunct/>
              <w:autoSpaceDE/>
              <w:autoSpaceDN/>
              <w:adjustRightInd/>
              <w:spacing w:before="0"/>
              <w:textAlignment w:val="auto"/>
              <w:rPr>
                <w:color w:val="000000"/>
                <w:sz w:val="22"/>
                <w:szCs w:val="22"/>
                <w:lang w:eastAsia="zh-CN"/>
              </w:rPr>
            </w:pPr>
            <w:r w:rsidRPr="00942A20">
              <w:rPr>
                <w:rFonts w:hint="eastAsia"/>
                <w:szCs w:val="24"/>
                <w:lang w:eastAsia="zh-CN"/>
              </w:rPr>
              <w:t>通过自然减员、重新调配职员和对（特别是总秘书处和三个局的非敏感科室）空缺职位级别的重新审查及可能削减的方式实现节省，以提高生产力、提高效率和效能</w:t>
            </w:r>
            <w:r w:rsidR="00AA1E89">
              <w:rPr>
                <w:rFonts w:hint="eastAsia"/>
                <w:szCs w:val="24"/>
                <w:lang w:eastAsia="zh-CN"/>
              </w:rPr>
              <w:t>。</w:t>
            </w:r>
          </w:p>
        </w:tc>
        <w:tc>
          <w:tcPr>
            <w:tcW w:w="1864"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12,012</w:t>
            </w:r>
          </w:p>
        </w:tc>
        <w:tc>
          <w:tcPr>
            <w:tcW w:w="1863" w:type="dxa"/>
            <w:tcBorders>
              <w:top w:val="single" w:sz="4" w:space="0" w:color="auto"/>
              <w:left w:val="nil"/>
              <w:bottom w:val="single" w:sz="4" w:space="0" w:color="auto"/>
              <w:right w:val="nil"/>
            </w:tcBorders>
            <w:shd w:val="clear" w:color="000000" w:fill="DDEBF7"/>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10,518</w:t>
            </w:r>
          </w:p>
        </w:tc>
        <w:tc>
          <w:tcPr>
            <w:tcW w:w="1863"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11,289</w:t>
            </w:r>
          </w:p>
        </w:tc>
        <w:tc>
          <w:tcPr>
            <w:tcW w:w="1210" w:type="dxa"/>
            <w:tcBorders>
              <w:top w:val="single" w:sz="4" w:space="0" w:color="auto"/>
              <w:left w:val="nil"/>
              <w:bottom w:val="single" w:sz="4" w:space="0" w:color="auto"/>
              <w:right w:val="dotted" w:sz="4" w:space="0" w:color="auto"/>
            </w:tcBorders>
            <w:shd w:val="clear" w:color="000000" w:fill="DDEBF7"/>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33,819</w:t>
            </w:r>
          </w:p>
        </w:tc>
      </w:tr>
      <w:tr w:rsidR="006D3FAF" w:rsidRPr="00283CC7" w:rsidTr="006D3FAF">
        <w:trPr>
          <w:trHeight w:val="864"/>
        </w:trPr>
        <w:tc>
          <w:tcPr>
            <w:tcW w:w="620" w:type="dxa"/>
            <w:tcBorders>
              <w:top w:val="nil"/>
              <w:left w:val="nil"/>
              <w:bottom w:val="nil"/>
              <w:right w:val="nil"/>
            </w:tcBorders>
            <w:shd w:val="clear" w:color="000000" w:fill="C6E0B4"/>
            <w:noWrap/>
            <w:vAlign w:val="center"/>
            <w:hideMark/>
          </w:tcPr>
          <w:p w:rsidR="006D3FAF" w:rsidRPr="00283CC7" w:rsidRDefault="006D3FAF" w:rsidP="006D3FAF">
            <w:pPr>
              <w:overflowPunct/>
              <w:autoSpaceDE/>
              <w:autoSpaceDN/>
              <w:adjustRightInd/>
              <w:spacing w:before="0"/>
              <w:textAlignment w:val="auto"/>
              <w:rPr>
                <w:color w:val="000000"/>
                <w:sz w:val="22"/>
                <w:szCs w:val="22"/>
                <w:lang w:eastAsia="zh-CN"/>
              </w:rPr>
            </w:pPr>
            <w:r w:rsidRPr="00283CC7">
              <w:rPr>
                <w:color w:val="000000"/>
                <w:sz w:val="22"/>
                <w:szCs w:val="22"/>
                <w:lang w:eastAsia="zh-CN"/>
              </w:rPr>
              <w:t>6</w:t>
            </w:r>
          </w:p>
        </w:tc>
        <w:tc>
          <w:tcPr>
            <w:tcW w:w="6480" w:type="dxa"/>
            <w:tcBorders>
              <w:top w:val="nil"/>
              <w:left w:val="nil"/>
              <w:bottom w:val="nil"/>
              <w:right w:val="nil"/>
            </w:tcBorders>
            <w:shd w:val="clear" w:color="000000" w:fill="C6E0B4"/>
            <w:vAlign w:val="center"/>
            <w:hideMark/>
          </w:tcPr>
          <w:p w:rsidR="006D3FAF" w:rsidRPr="00283CC7" w:rsidRDefault="00632D09" w:rsidP="006D3FAF">
            <w:pPr>
              <w:overflowPunct/>
              <w:autoSpaceDE/>
              <w:autoSpaceDN/>
              <w:adjustRightInd/>
              <w:spacing w:before="0"/>
              <w:textAlignment w:val="auto"/>
              <w:rPr>
                <w:color w:val="000000"/>
                <w:sz w:val="22"/>
                <w:szCs w:val="22"/>
                <w:lang w:eastAsia="zh-CN"/>
              </w:rPr>
            </w:pPr>
            <w:r w:rsidRPr="005E0567">
              <w:rPr>
                <w:rFonts w:hint="eastAsia"/>
                <w:szCs w:val="18"/>
                <w:lang w:eastAsia="ja-JP"/>
              </w:rPr>
              <w:t>在开展新活动或</w:t>
            </w:r>
            <w:r w:rsidRPr="005E0567">
              <w:rPr>
                <w:rFonts w:hint="eastAsia"/>
                <w:szCs w:val="18"/>
                <w:lang w:eastAsia="zh-CN"/>
              </w:rPr>
              <w:t>额外</w:t>
            </w:r>
            <w:r w:rsidRPr="005E0567">
              <w:rPr>
                <w:rFonts w:hint="eastAsia"/>
                <w:szCs w:val="18"/>
                <w:lang w:eastAsia="ja-JP"/>
              </w:rPr>
              <w:t>活动时，优先考虑人员重新调配。招聘新职员应为最后方案，同时顾及性别平衡和地域分配原则</w:t>
            </w:r>
            <w:r w:rsidR="00AA1E89">
              <w:rPr>
                <w:rFonts w:hint="eastAsia"/>
                <w:szCs w:val="18"/>
                <w:lang w:eastAsia="zh-CN"/>
              </w:rPr>
              <w:t>。</w:t>
            </w:r>
          </w:p>
        </w:tc>
        <w:tc>
          <w:tcPr>
            <w:tcW w:w="1864" w:type="dxa"/>
            <w:tcBorders>
              <w:top w:val="nil"/>
              <w:left w:val="dotted" w:sz="4" w:space="0" w:color="auto"/>
              <w:bottom w:val="nil"/>
              <w:right w:val="dotted" w:sz="4" w:space="0" w:color="auto"/>
            </w:tcBorders>
            <w:shd w:val="clear" w:color="000000" w:fill="C6E0B4"/>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1,259</w:t>
            </w:r>
          </w:p>
        </w:tc>
        <w:tc>
          <w:tcPr>
            <w:tcW w:w="1863" w:type="dxa"/>
            <w:tcBorders>
              <w:top w:val="nil"/>
              <w:left w:val="nil"/>
              <w:bottom w:val="nil"/>
              <w:right w:val="nil"/>
            </w:tcBorders>
            <w:shd w:val="clear" w:color="000000" w:fill="C6E0B4"/>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356</w:t>
            </w:r>
          </w:p>
        </w:tc>
        <w:tc>
          <w:tcPr>
            <w:tcW w:w="1863" w:type="dxa"/>
            <w:tcBorders>
              <w:top w:val="nil"/>
              <w:left w:val="dotted" w:sz="4" w:space="0" w:color="auto"/>
              <w:bottom w:val="nil"/>
              <w:right w:val="dotted" w:sz="4" w:space="0" w:color="auto"/>
            </w:tcBorders>
            <w:shd w:val="clear" w:color="000000" w:fill="C6E0B4"/>
            <w:noWrap/>
            <w:vAlign w:val="bottom"/>
            <w:hideMark/>
          </w:tcPr>
          <w:p w:rsidR="006D3FAF" w:rsidRPr="00283CC7" w:rsidRDefault="006D3FAF" w:rsidP="006D3FAF">
            <w:pPr>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210" w:type="dxa"/>
            <w:tcBorders>
              <w:top w:val="nil"/>
              <w:left w:val="nil"/>
              <w:bottom w:val="nil"/>
              <w:right w:val="dotted" w:sz="4" w:space="0" w:color="auto"/>
            </w:tcBorders>
            <w:shd w:val="clear" w:color="000000" w:fill="C6E0B4"/>
            <w:noWrap/>
            <w:vAlign w:val="bottom"/>
            <w:hideMark/>
          </w:tcPr>
          <w:p w:rsidR="006D3FAF" w:rsidRPr="00283CC7" w:rsidRDefault="006D3FAF" w:rsidP="006D3FAF">
            <w:pPr>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1,615</w:t>
            </w:r>
          </w:p>
        </w:tc>
      </w:tr>
    </w:tbl>
    <w:p w:rsidR="006D3FAF" w:rsidRDefault="006D3FAF" w:rsidP="006D3FAF">
      <w:pPr>
        <w:overflowPunct/>
        <w:autoSpaceDE/>
        <w:autoSpaceDN/>
        <w:adjustRightInd/>
        <w:spacing w:before="0"/>
        <w:textAlignment w:val="auto"/>
        <w:rPr>
          <w:szCs w:val="24"/>
          <w:lang w:val="en-US"/>
        </w:rPr>
      </w:pPr>
      <w:r>
        <w:rPr>
          <w:szCs w:val="24"/>
          <w:lang w:val="en-US"/>
        </w:rPr>
        <w:br w:type="page"/>
      </w:r>
    </w:p>
    <w:tbl>
      <w:tblPr>
        <w:tblW w:w="13901" w:type="dxa"/>
        <w:tblLook w:val="04A0" w:firstRow="1" w:lastRow="0" w:firstColumn="1" w:lastColumn="0" w:noHBand="0" w:noVBand="1"/>
      </w:tblPr>
      <w:tblGrid>
        <w:gridCol w:w="620"/>
        <w:gridCol w:w="6480"/>
        <w:gridCol w:w="1700"/>
        <w:gridCol w:w="1700"/>
        <w:gridCol w:w="1700"/>
        <w:gridCol w:w="1701"/>
      </w:tblGrid>
      <w:tr w:rsidR="006D3FAF" w:rsidRPr="00283CC7" w:rsidTr="006D3FAF">
        <w:trPr>
          <w:trHeight w:val="288"/>
        </w:trPr>
        <w:tc>
          <w:tcPr>
            <w:tcW w:w="620" w:type="dxa"/>
            <w:tcBorders>
              <w:top w:val="nil"/>
              <w:left w:val="nil"/>
              <w:bottom w:val="nil"/>
              <w:right w:val="nil"/>
            </w:tcBorders>
            <w:shd w:val="clear" w:color="auto" w:fill="8DB3E2" w:themeFill="text2" w:themeFillTint="66"/>
            <w:noWrap/>
            <w:vAlign w:val="bottom"/>
            <w:hideMark/>
          </w:tcPr>
          <w:p w:rsidR="006D3FAF" w:rsidRPr="00283CC7" w:rsidRDefault="006D3FAF" w:rsidP="006D3FAF">
            <w:pPr>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rsidR="006D3FAF" w:rsidRPr="00283CC7" w:rsidRDefault="006D3FAF" w:rsidP="006D3FAF">
            <w:pPr>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rsidR="006D3FAF" w:rsidRPr="00283CC7" w:rsidRDefault="002A5095" w:rsidP="006D3FAF">
            <w:pPr>
              <w:overflowPunct/>
              <w:autoSpaceDE/>
              <w:autoSpaceDN/>
              <w:adjustRightInd/>
              <w:spacing w:before="0"/>
              <w:jc w:val="center"/>
              <w:textAlignment w:val="auto"/>
              <w:rPr>
                <w:i/>
                <w:iCs/>
                <w:color w:val="000000"/>
                <w:sz w:val="18"/>
                <w:szCs w:val="18"/>
                <w:lang w:eastAsia="zh-CN"/>
              </w:rPr>
            </w:pPr>
            <w:r w:rsidRPr="00376AAC">
              <w:rPr>
                <w:rFonts w:ascii="STKaiti" w:eastAsia="STKaiti" w:hAnsi="STKaiti"/>
                <w:color w:val="000000"/>
                <w:sz w:val="18"/>
                <w:szCs w:val="18"/>
                <w:lang w:eastAsia="zh-CN"/>
              </w:rPr>
              <w:t>（</w:t>
            </w:r>
            <w:r w:rsidRPr="00376AAC">
              <w:rPr>
                <w:rFonts w:ascii="STKaiti" w:eastAsia="STKaiti" w:hAnsi="STKaiti" w:hint="eastAsia"/>
                <w:color w:val="000000"/>
                <w:sz w:val="18"/>
                <w:szCs w:val="18"/>
                <w:lang w:eastAsia="zh-CN"/>
              </w:rPr>
              <w:t>单位：千瑞郎</w:t>
            </w:r>
            <w:r w:rsidRPr="00376AAC">
              <w:rPr>
                <w:rFonts w:ascii="STKaiti" w:eastAsia="STKaiti" w:hAnsi="STKaiti"/>
                <w:color w:val="000000"/>
                <w:sz w:val="18"/>
                <w:szCs w:val="18"/>
                <w:lang w:eastAsia="zh-CN"/>
              </w:rPr>
              <w:t>）</w:t>
            </w:r>
          </w:p>
        </w:tc>
      </w:tr>
      <w:tr w:rsidR="002A5095" w:rsidTr="00FC38D0">
        <w:trPr>
          <w:trHeight w:val="272"/>
        </w:trPr>
        <w:tc>
          <w:tcPr>
            <w:tcW w:w="620" w:type="dxa"/>
            <w:tcBorders>
              <w:top w:val="nil"/>
              <w:left w:val="nil"/>
              <w:bottom w:val="nil"/>
              <w:right w:val="nil"/>
            </w:tcBorders>
            <w:shd w:val="clear" w:color="auto" w:fill="8DB3E2" w:themeFill="text2" w:themeFillTint="66"/>
            <w:noWrap/>
            <w:vAlign w:val="center"/>
          </w:tcPr>
          <w:p w:rsidR="002A5095" w:rsidRDefault="002A5095" w:rsidP="002A5095">
            <w:pPr>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rsidR="002A5095" w:rsidRDefault="00AA1E89" w:rsidP="002A5095">
            <w:pPr>
              <w:jc w:val="center"/>
              <w:rPr>
                <w:color w:val="000000"/>
                <w:sz w:val="22"/>
                <w:szCs w:val="22"/>
                <w:lang w:eastAsia="zh-CN"/>
              </w:rPr>
            </w:pPr>
            <w:r>
              <w:rPr>
                <w:rFonts w:hint="eastAsia"/>
                <w:szCs w:val="18"/>
                <w:lang w:eastAsia="zh-CN"/>
              </w:rPr>
              <w:t>增</w:t>
            </w:r>
            <w:r>
              <w:rPr>
                <w:szCs w:val="18"/>
                <w:lang w:eastAsia="zh-CN"/>
              </w:rPr>
              <w:t>效</w:t>
            </w:r>
            <w:r w:rsidRPr="005E0567">
              <w:rPr>
                <w:rFonts w:hint="eastAsia"/>
                <w:szCs w:val="18"/>
                <w:lang w:eastAsia="zh-CN"/>
              </w:rPr>
              <w:t>减支措施</w:t>
            </w:r>
            <w:r>
              <w:rPr>
                <w:color w:val="000000"/>
                <w:sz w:val="22"/>
                <w:szCs w:val="22"/>
                <w:lang w:eastAsia="zh-CN"/>
              </w:rPr>
              <w:t>（</w:t>
            </w:r>
            <w:r>
              <w:rPr>
                <w:color w:val="000000"/>
                <w:sz w:val="22"/>
                <w:szCs w:val="22"/>
                <w:lang w:eastAsia="zh-CN"/>
              </w:rPr>
              <w:t>PP14</w:t>
            </w:r>
            <w:r>
              <w:rPr>
                <w:rFonts w:hint="eastAsia"/>
                <w:color w:val="000000"/>
                <w:sz w:val="22"/>
                <w:szCs w:val="22"/>
                <w:lang w:eastAsia="zh-CN"/>
              </w:rPr>
              <w:t>第</w:t>
            </w:r>
            <w:r>
              <w:rPr>
                <w:color w:val="000000"/>
                <w:sz w:val="22"/>
                <w:szCs w:val="22"/>
                <w:lang w:eastAsia="zh-CN"/>
              </w:rPr>
              <w:t>5</w:t>
            </w:r>
            <w:r>
              <w:rPr>
                <w:rFonts w:hint="eastAsia"/>
                <w:color w:val="000000"/>
                <w:sz w:val="22"/>
                <w:szCs w:val="22"/>
                <w:lang w:eastAsia="zh-CN"/>
              </w:rPr>
              <w:t>号决定</w:t>
            </w:r>
            <w:r>
              <w:rPr>
                <w:rFonts w:hint="eastAsia"/>
                <w:color w:val="000000"/>
                <w:sz w:val="22"/>
                <w:szCs w:val="22"/>
                <w:lang w:eastAsia="zh-CN"/>
              </w:rPr>
              <w:t xml:space="preserve"> </w:t>
            </w:r>
            <w:r>
              <w:rPr>
                <w:color w:val="000000"/>
                <w:sz w:val="22"/>
                <w:szCs w:val="22"/>
                <w:lang w:eastAsia="zh-CN"/>
              </w:rPr>
              <w:t xml:space="preserve">– </w:t>
            </w:r>
            <w:r>
              <w:rPr>
                <w:rFonts w:hint="eastAsia"/>
                <w:color w:val="000000"/>
                <w:sz w:val="22"/>
                <w:szCs w:val="22"/>
                <w:lang w:eastAsia="zh-CN"/>
              </w:rPr>
              <w:t>附件</w:t>
            </w:r>
            <w:r>
              <w:rPr>
                <w:color w:val="000000"/>
                <w:sz w:val="22"/>
                <w:szCs w:val="22"/>
                <w:lang w:eastAsia="zh-CN"/>
              </w:rPr>
              <w:t>2</w:t>
            </w:r>
            <w:r>
              <w:rPr>
                <w:color w:val="000000"/>
                <w:sz w:val="22"/>
                <w:szCs w:val="22"/>
                <w:lang w:eastAsia="zh-CN"/>
              </w:rPr>
              <w:t>）</w:t>
            </w:r>
          </w:p>
        </w:tc>
        <w:tc>
          <w:tcPr>
            <w:tcW w:w="1700" w:type="dxa"/>
            <w:tcBorders>
              <w:top w:val="nil"/>
              <w:left w:val="dotted" w:sz="4" w:space="0" w:color="auto"/>
              <w:bottom w:val="nil"/>
              <w:right w:val="dotted" w:sz="4" w:space="0" w:color="auto"/>
            </w:tcBorders>
            <w:shd w:val="clear" w:color="auto" w:fill="8DB3E2" w:themeFill="text2" w:themeFillTint="66"/>
            <w:noWrap/>
          </w:tcPr>
          <w:p w:rsidR="002A5095" w:rsidRPr="002701D6" w:rsidRDefault="002A5095" w:rsidP="00AF5E3E">
            <w:pPr>
              <w:jc w:val="center"/>
            </w:pPr>
            <w:r w:rsidRPr="002701D6">
              <w:rPr>
                <w:rFonts w:hint="eastAsia"/>
              </w:rPr>
              <w:t>2014-2015</w:t>
            </w:r>
            <w:r w:rsidRPr="002701D6">
              <w:rPr>
                <w:rFonts w:hint="eastAsia"/>
              </w:rPr>
              <w:t>年</w:t>
            </w:r>
          </w:p>
        </w:tc>
        <w:tc>
          <w:tcPr>
            <w:tcW w:w="1700" w:type="dxa"/>
            <w:tcBorders>
              <w:top w:val="nil"/>
              <w:left w:val="nil"/>
              <w:bottom w:val="nil"/>
              <w:right w:val="nil"/>
            </w:tcBorders>
            <w:shd w:val="clear" w:color="auto" w:fill="8DB3E2" w:themeFill="text2" w:themeFillTint="66"/>
            <w:noWrap/>
          </w:tcPr>
          <w:p w:rsidR="002A5095" w:rsidRPr="002701D6" w:rsidRDefault="002A5095" w:rsidP="00AF5E3E">
            <w:pPr>
              <w:jc w:val="center"/>
            </w:pPr>
            <w:r w:rsidRPr="002701D6">
              <w:rPr>
                <w:rFonts w:hint="eastAsia"/>
              </w:rPr>
              <w:t>2016-2017</w:t>
            </w:r>
            <w:r w:rsidRPr="002701D6">
              <w:rPr>
                <w:rFonts w:hint="eastAsia"/>
              </w:rPr>
              <w:t>年</w:t>
            </w:r>
          </w:p>
        </w:tc>
        <w:tc>
          <w:tcPr>
            <w:tcW w:w="1700" w:type="dxa"/>
            <w:tcBorders>
              <w:top w:val="nil"/>
              <w:left w:val="dotted" w:sz="4" w:space="0" w:color="auto"/>
              <w:bottom w:val="nil"/>
              <w:right w:val="dotted" w:sz="4" w:space="0" w:color="auto"/>
            </w:tcBorders>
            <w:shd w:val="clear" w:color="auto" w:fill="8DB3E2" w:themeFill="text2" w:themeFillTint="66"/>
            <w:noWrap/>
          </w:tcPr>
          <w:p w:rsidR="002A5095" w:rsidRPr="002701D6" w:rsidRDefault="002A5095" w:rsidP="00AF5E3E">
            <w:pPr>
              <w:jc w:val="center"/>
            </w:pPr>
            <w:r w:rsidRPr="002701D6">
              <w:rPr>
                <w:rFonts w:hint="eastAsia"/>
              </w:rPr>
              <w:t>2018-2019</w:t>
            </w:r>
            <w:r w:rsidRPr="002701D6">
              <w:rPr>
                <w:rFonts w:hint="eastAsia"/>
              </w:rPr>
              <w:t>年</w:t>
            </w:r>
          </w:p>
        </w:tc>
        <w:tc>
          <w:tcPr>
            <w:tcW w:w="1701" w:type="dxa"/>
            <w:tcBorders>
              <w:top w:val="nil"/>
              <w:left w:val="nil"/>
              <w:bottom w:val="nil"/>
              <w:right w:val="dotted" w:sz="4" w:space="0" w:color="auto"/>
            </w:tcBorders>
            <w:shd w:val="clear" w:color="auto" w:fill="8DB3E2" w:themeFill="text2" w:themeFillTint="66"/>
            <w:noWrap/>
          </w:tcPr>
          <w:p w:rsidR="002A5095" w:rsidRDefault="002A5095" w:rsidP="00AF5E3E">
            <w:pPr>
              <w:jc w:val="center"/>
            </w:pPr>
            <w:proofErr w:type="spellStart"/>
            <w:r w:rsidRPr="002701D6">
              <w:rPr>
                <w:rFonts w:hint="eastAsia"/>
              </w:rPr>
              <w:t>合计</w:t>
            </w:r>
            <w:proofErr w:type="spellEnd"/>
          </w:p>
        </w:tc>
      </w:tr>
      <w:tr w:rsidR="006D3FAF" w:rsidTr="006D3FAF">
        <w:trPr>
          <w:trHeight w:val="864"/>
        </w:trPr>
        <w:tc>
          <w:tcPr>
            <w:tcW w:w="620" w:type="dxa"/>
            <w:tcBorders>
              <w:top w:val="single" w:sz="4" w:space="0" w:color="auto"/>
              <w:left w:val="nil"/>
              <w:bottom w:val="single" w:sz="4" w:space="0" w:color="auto"/>
              <w:right w:val="nil"/>
            </w:tcBorders>
            <w:shd w:val="clear" w:color="000000" w:fill="DDEBF7"/>
            <w:noWrap/>
            <w:vAlign w:val="center"/>
            <w:hideMark/>
          </w:tcPr>
          <w:p w:rsidR="006D3FAF" w:rsidRDefault="006D3FAF" w:rsidP="006D3FAF">
            <w:pPr>
              <w:overflowPunct/>
              <w:autoSpaceDE/>
              <w:autoSpaceDN/>
              <w:adjustRightInd/>
              <w:spacing w:before="0"/>
              <w:textAlignment w:val="auto"/>
              <w:rPr>
                <w:color w:val="000000"/>
                <w:sz w:val="22"/>
                <w:szCs w:val="22"/>
                <w:lang w:eastAsia="zh-CN"/>
              </w:rPr>
            </w:pPr>
            <w:r>
              <w:rPr>
                <w:color w:val="000000"/>
                <w:sz w:val="22"/>
                <w:szCs w:val="22"/>
              </w:rPr>
              <w:t>7</w:t>
            </w:r>
          </w:p>
        </w:tc>
        <w:tc>
          <w:tcPr>
            <w:tcW w:w="6480" w:type="dxa"/>
            <w:tcBorders>
              <w:top w:val="single" w:sz="4" w:space="0" w:color="auto"/>
              <w:left w:val="nil"/>
              <w:bottom w:val="single" w:sz="4" w:space="0" w:color="auto"/>
              <w:right w:val="nil"/>
            </w:tcBorders>
            <w:shd w:val="clear" w:color="000000" w:fill="DDEBF7"/>
            <w:vAlign w:val="center"/>
            <w:hideMark/>
          </w:tcPr>
          <w:p w:rsidR="006D3FAF" w:rsidRDefault="00632D09" w:rsidP="006D3FAF">
            <w:pPr>
              <w:rPr>
                <w:color w:val="000000"/>
                <w:sz w:val="22"/>
                <w:szCs w:val="22"/>
                <w:lang w:eastAsia="zh-CN"/>
              </w:rPr>
            </w:pPr>
            <w:r w:rsidRPr="005E0567">
              <w:rPr>
                <w:rFonts w:hint="eastAsia"/>
                <w:szCs w:val="18"/>
                <w:lang w:eastAsia="ja-JP"/>
              </w:rPr>
              <w:t>只有在现有职员无法提供相关技能或经验、而且经高级管理层书面确认所涉需求后才可使用咨询顾问</w:t>
            </w:r>
            <w:r w:rsidR="00AA1E89">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40</w:t>
            </w:r>
          </w:p>
        </w:tc>
        <w:tc>
          <w:tcPr>
            <w:tcW w:w="1700" w:type="dxa"/>
            <w:tcBorders>
              <w:top w:val="single" w:sz="4" w:space="0" w:color="auto"/>
              <w:left w:val="nil"/>
              <w:bottom w:val="single" w:sz="4" w:space="0" w:color="auto"/>
              <w:right w:val="nil"/>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267</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307</w:t>
            </w:r>
          </w:p>
        </w:tc>
      </w:tr>
      <w:tr w:rsidR="006D3FAF" w:rsidTr="006D3FAF">
        <w:trPr>
          <w:trHeight w:val="1152"/>
        </w:trPr>
        <w:tc>
          <w:tcPr>
            <w:tcW w:w="620" w:type="dxa"/>
            <w:tcBorders>
              <w:top w:val="nil"/>
              <w:left w:val="nil"/>
              <w:bottom w:val="nil"/>
              <w:right w:val="nil"/>
            </w:tcBorders>
            <w:shd w:val="clear" w:color="000000" w:fill="C6E0B4"/>
            <w:noWrap/>
            <w:vAlign w:val="center"/>
            <w:hideMark/>
          </w:tcPr>
          <w:p w:rsidR="006D3FAF" w:rsidRDefault="006D3FAF" w:rsidP="006D3FAF">
            <w:pPr>
              <w:rPr>
                <w:color w:val="000000"/>
                <w:sz w:val="22"/>
                <w:szCs w:val="22"/>
              </w:rPr>
            </w:pPr>
            <w:r>
              <w:rPr>
                <w:color w:val="000000"/>
                <w:sz w:val="22"/>
                <w:szCs w:val="22"/>
              </w:rPr>
              <w:t>8</w:t>
            </w:r>
          </w:p>
        </w:tc>
        <w:tc>
          <w:tcPr>
            <w:tcW w:w="6480" w:type="dxa"/>
            <w:tcBorders>
              <w:top w:val="nil"/>
              <w:left w:val="nil"/>
              <w:bottom w:val="nil"/>
              <w:right w:val="nil"/>
            </w:tcBorders>
            <w:shd w:val="clear" w:color="000000" w:fill="C6E0B4"/>
            <w:vAlign w:val="center"/>
            <w:hideMark/>
          </w:tcPr>
          <w:p w:rsidR="006D3FAF" w:rsidRDefault="00BE1EB7" w:rsidP="006D3FAF">
            <w:pPr>
              <w:rPr>
                <w:color w:val="000000"/>
                <w:sz w:val="22"/>
                <w:szCs w:val="22"/>
                <w:lang w:eastAsia="zh-CN"/>
              </w:rPr>
            </w:pPr>
            <w:r w:rsidRPr="005E0567">
              <w:rPr>
                <w:rFonts w:hint="eastAsia"/>
                <w:szCs w:val="18"/>
                <w:lang w:eastAsia="ja-JP"/>
              </w:rPr>
              <w:t>完善能力建设政策，使（包括区域代表处职员在内的）职员具备熟练开展跨部门工作的能力，以提高职员流动性和灵活性，有利于将其重新调配至新活动或</w:t>
            </w:r>
            <w:r w:rsidRPr="005E0567">
              <w:rPr>
                <w:rFonts w:hint="eastAsia"/>
                <w:szCs w:val="18"/>
                <w:lang w:eastAsia="zh-CN"/>
              </w:rPr>
              <w:t>额外</w:t>
            </w:r>
            <w:r w:rsidRPr="005E0567">
              <w:rPr>
                <w:rFonts w:hint="eastAsia"/>
                <w:szCs w:val="18"/>
                <w:lang w:eastAsia="ja-JP"/>
              </w:rPr>
              <w:t>活动</w:t>
            </w:r>
            <w:r w:rsidRPr="00AA1E89">
              <w:rPr>
                <w:rFonts w:hint="eastAsia"/>
                <w:szCs w:val="18"/>
                <w:lang w:eastAsia="ja-JP"/>
              </w:rPr>
              <w:t>中</w:t>
            </w:r>
            <w:r w:rsidR="00AA1E89">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jc w:val="right"/>
              <w:rPr>
                <w:color w:val="000000"/>
                <w:sz w:val="22"/>
                <w:szCs w:val="22"/>
              </w:rPr>
            </w:pPr>
            <w:r>
              <w:rPr>
                <w:color w:val="000000"/>
                <w:sz w:val="22"/>
                <w:szCs w:val="22"/>
              </w:rPr>
              <w:t>30</w:t>
            </w:r>
          </w:p>
        </w:tc>
        <w:tc>
          <w:tcPr>
            <w:tcW w:w="1700" w:type="dxa"/>
            <w:tcBorders>
              <w:top w:val="nil"/>
              <w:left w:val="nil"/>
              <w:bottom w:val="nil"/>
              <w:right w:val="nil"/>
            </w:tcBorders>
            <w:shd w:val="clear" w:color="000000" w:fill="C6E0B4"/>
            <w:noWrap/>
            <w:vAlign w:val="bottom"/>
            <w:hideMark/>
          </w:tcPr>
          <w:p w:rsidR="006D3FAF" w:rsidRDefault="006D3FAF" w:rsidP="006D3FAF">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6D3FAF" w:rsidRDefault="006D3FAF" w:rsidP="006D3FAF">
            <w:pPr>
              <w:jc w:val="right"/>
              <w:rPr>
                <w:color w:val="000000"/>
                <w:sz w:val="22"/>
                <w:szCs w:val="22"/>
              </w:rPr>
            </w:pPr>
            <w:r>
              <w:rPr>
                <w:color w:val="000000"/>
                <w:sz w:val="22"/>
                <w:szCs w:val="22"/>
              </w:rPr>
              <w:t>30</w:t>
            </w:r>
          </w:p>
        </w:tc>
      </w:tr>
      <w:tr w:rsidR="006D3FAF" w:rsidTr="006D3FAF">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6D3FAF" w:rsidRDefault="006D3FAF" w:rsidP="006D3FAF">
            <w:pPr>
              <w:rPr>
                <w:color w:val="000000"/>
                <w:sz w:val="22"/>
                <w:szCs w:val="22"/>
              </w:rPr>
            </w:pPr>
            <w:r>
              <w:rPr>
                <w:color w:val="000000"/>
                <w:sz w:val="22"/>
                <w:szCs w:val="22"/>
              </w:rPr>
              <w:t>9</w:t>
            </w:r>
          </w:p>
        </w:tc>
        <w:tc>
          <w:tcPr>
            <w:tcW w:w="6480" w:type="dxa"/>
            <w:tcBorders>
              <w:top w:val="single" w:sz="4" w:space="0" w:color="auto"/>
              <w:left w:val="nil"/>
              <w:bottom w:val="single" w:sz="4" w:space="0" w:color="auto"/>
              <w:right w:val="nil"/>
            </w:tcBorders>
            <w:shd w:val="clear" w:color="000000" w:fill="DDEBF7"/>
            <w:vAlign w:val="center"/>
            <w:hideMark/>
          </w:tcPr>
          <w:p w:rsidR="006D3FAF" w:rsidRDefault="00BE1EB7" w:rsidP="006D3FAF">
            <w:pPr>
              <w:rPr>
                <w:color w:val="000000"/>
                <w:sz w:val="22"/>
                <w:szCs w:val="22"/>
                <w:lang w:eastAsia="zh-CN"/>
              </w:rPr>
            </w:pPr>
            <w:r w:rsidRPr="005E0567">
              <w:rPr>
                <w:rFonts w:hint="eastAsia"/>
                <w:szCs w:val="18"/>
                <w:lang w:eastAsia="ja-JP"/>
              </w:rPr>
              <w:t>国际电联总秘书处和三个部门应通过举办无纸</w:t>
            </w:r>
            <w:r w:rsidRPr="005E0567">
              <w:rPr>
                <w:rFonts w:hint="eastAsia"/>
                <w:szCs w:val="18"/>
                <w:lang w:eastAsia="zh-CN"/>
              </w:rPr>
              <w:t>化</w:t>
            </w:r>
            <w:r w:rsidRPr="005E0567">
              <w:rPr>
                <w:rFonts w:hint="eastAsia"/>
                <w:szCs w:val="18"/>
                <w:lang w:eastAsia="ja-JP"/>
              </w:rPr>
              <w:t>活动</w:t>
            </w:r>
            <w:r w:rsidRPr="005E0567">
              <w:rPr>
                <w:rFonts w:hint="eastAsia"/>
                <w:szCs w:val="18"/>
                <w:lang w:eastAsia="ja-JP"/>
              </w:rPr>
              <w:t>/</w:t>
            </w:r>
            <w:r w:rsidRPr="005E0567">
              <w:rPr>
                <w:rFonts w:hint="eastAsia"/>
                <w:szCs w:val="18"/>
                <w:lang w:eastAsia="ja-JP"/>
              </w:rPr>
              <w:t>会议</w:t>
            </w:r>
            <w:r w:rsidRPr="005E0567">
              <w:rPr>
                <w:rFonts w:hint="eastAsia"/>
                <w:szCs w:val="18"/>
                <w:lang w:eastAsia="ja-JP"/>
              </w:rPr>
              <w:t>/</w:t>
            </w:r>
            <w:r w:rsidRPr="005E0567">
              <w:rPr>
                <w:rFonts w:hint="eastAsia"/>
                <w:szCs w:val="18"/>
                <w:lang w:eastAsia="ja-JP"/>
              </w:rPr>
              <w:t>大会减少大会和会议的文件制作成本，并推动将</w:t>
            </w:r>
            <w:r w:rsidRPr="005E0567">
              <w:rPr>
                <w:rFonts w:hint="eastAsia"/>
                <w:szCs w:val="18"/>
                <w:lang w:eastAsia="ja-JP"/>
              </w:rPr>
              <w:t>ICT</w:t>
            </w:r>
            <w:r w:rsidRPr="005E0567">
              <w:rPr>
                <w:rFonts w:hint="eastAsia"/>
                <w:szCs w:val="18"/>
                <w:lang w:eastAsia="ja-JP"/>
              </w:rPr>
              <w:t>作为一种可行且最可持续的纸张替代方法</w:t>
            </w:r>
            <w:r w:rsidR="00AA1E89">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1,834</w:t>
            </w:r>
          </w:p>
        </w:tc>
        <w:tc>
          <w:tcPr>
            <w:tcW w:w="1700" w:type="dxa"/>
            <w:tcBorders>
              <w:top w:val="single" w:sz="4" w:space="0" w:color="auto"/>
              <w:left w:val="nil"/>
              <w:bottom w:val="single" w:sz="4" w:space="0" w:color="auto"/>
              <w:right w:val="nil"/>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235</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1,765</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3,834</w:t>
            </w:r>
          </w:p>
        </w:tc>
      </w:tr>
      <w:tr w:rsidR="006D3FAF" w:rsidTr="006D3FAF">
        <w:trPr>
          <w:trHeight w:val="576"/>
        </w:trPr>
        <w:tc>
          <w:tcPr>
            <w:tcW w:w="620" w:type="dxa"/>
            <w:tcBorders>
              <w:top w:val="nil"/>
              <w:left w:val="nil"/>
              <w:bottom w:val="nil"/>
              <w:right w:val="nil"/>
            </w:tcBorders>
            <w:shd w:val="clear" w:color="000000" w:fill="C6E0B4"/>
            <w:noWrap/>
            <w:vAlign w:val="center"/>
            <w:hideMark/>
          </w:tcPr>
          <w:p w:rsidR="006D3FAF" w:rsidRDefault="006D3FAF" w:rsidP="006D3FAF">
            <w:pPr>
              <w:rPr>
                <w:color w:val="000000"/>
                <w:sz w:val="22"/>
                <w:szCs w:val="22"/>
              </w:rPr>
            </w:pPr>
            <w:r>
              <w:rPr>
                <w:color w:val="000000"/>
                <w:sz w:val="22"/>
                <w:szCs w:val="22"/>
              </w:rPr>
              <w:t>10</w:t>
            </w:r>
          </w:p>
        </w:tc>
        <w:tc>
          <w:tcPr>
            <w:tcW w:w="6480" w:type="dxa"/>
            <w:tcBorders>
              <w:top w:val="nil"/>
              <w:left w:val="nil"/>
              <w:bottom w:val="nil"/>
              <w:right w:val="nil"/>
            </w:tcBorders>
            <w:shd w:val="clear" w:color="000000" w:fill="C6E0B4"/>
            <w:vAlign w:val="center"/>
            <w:hideMark/>
          </w:tcPr>
          <w:p w:rsidR="006D3FAF" w:rsidRDefault="00BE1EB7" w:rsidP="006D3FAF">
            <w:pPr>
              <w:rPr>
                <w:color w:val="000000"/>
                <w:sz w:val="22"/>
                <w:szCs w:val="22"/>
                <w:lang w:eastAsia="zh-CN"/>
              </w:rPr>
            </w:pPr>
            <w:r w:rsidRPr="005E0567">
              <w:rPr>
                <w:rFonts w:hint="eastAsia"/>
                <w:szCs w:val="18"/>
                <w:lang w:val="en-US" w:eastAsia="zh-CN"/>
              </w:rPr>
              <w:t>将</w:t>
            </w:r>
            <w:r w:rsidRPr="005E0567">
              <w:rPr>
                <w:szCs w:val="18"/>
                <w:lang w:val="en-US" w:eastAsia="zh-CN"/>
              </w:rPr>
              <w:t>国际电联宣传</w:t>
            </w:r>
            <w:r w:rsidRPr="005E0567">
              <w:rPr>
                <w:rFonts w:hint="eastAsia"/>
                <w:szCs w:val="18"/>
                <w:lang w:val="en-US" w:eastAsia="zh-CN"/>
              </w:rPr>
              <w:t>/</w:t>
            </w:r>
            <w:r w:rsidRPr="005E0567">
              <w:rPr>
                <w:rFonts w:hint="eastAsia"/>
                <w:szCs w:val="18"/>
                <w:lang w:val="en-US" w:eastAsia="zh-CN"/>
              </w:rPr>
              <w:t>非</w:t>
            </w:r>
            <w:r w:rsidRPr="005E0567">
              <w:rPr>
                <w:szCs w:val="18"/>
                <w:lang w:val="en-US" w:eastAsia="zh-CN"/>
              </w:rPr>
              <w:t>盈利性出版物的打印与分发</w:t>
            </w:r>
            <w:r w:rsidRPr="005E0567">
              <w:rPr>
                <w:rFonts w:hint="eastAsia"/>
                <w:szCs w:val="18"/>
                <w:lang w:val="en-US" w:eastAsia="zh-CN"/>
              </w:rPr>
              <w:t>降低到最低</w:t>
            </w:r>
            <w:r w:rsidRPr="005E0567">
              <w:rPr>
                <w:szCs w:val="18"/>
                <w:lang w:val="en-US" w:eastAsia="zh-CN"/>
              </w:rPr>
              <w:t>的绝对必要</w:t>
            </w:r>
            <w:r w:rsidRPr="005E0567">
              <w:rPr>
                <w:rFonts w:hint="eastAsia"/>
                <w:szCs w:val="18"/>
                <w:lang w:val="en-US" w:eastAsia="zh-CN"/>
              </w:rPr>
              <w:t>水平</w:t>
            </w:r>
            <w:r w:rsidR="00AA1E89">
              <w:rPr>
                <w:rFonts w:hint="eastAsia"/>
                <w:szCs w:val="18"/>
                <w:lang w:val="en-US" w:eastAsia="zh-CN"/>
              </w:rPr>
              <w:t>。</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jc w:val="right"/>
              <w:rPr>
                <w:color w:val="000000"/>
                <w:sz w:val="22"/>
                <w:szCs w:val="22"/>
              </w:rPr>
            </w:pPr>
            <w:r>
              <w:rPr>
                <w:color w:val="000000"/>
                <w:sz w:val="22"/>
                <w:szCs w:val="22"/>
              </w:rPr>
              <w:t>309</w:t>
            </w:r>
          </w:p>
        </w:tc>
        <w:tc>
          <w:tcPr>
            <w:tcW w:w="1700" w:type="dxa"/>
            <w:tcBorders>
              <w:top w:val="nil"/>
              <w:left w:val="nil"/>
              <w:bottom w:val="nil"/>
              <w:right w:val="nil"/>
            </w:tcBorders>
            <w:shd w:val="clear" w:color="000000" w:fill="C6E0B4"/>
            <w:noWrap/>
            <w:vAlign w:val="bottom"/>
            <w:hideMark/>
          </w:tcPr>
          <w:p w:rsidR="006D3FAF" w:rsidRDefault="006D3FAF" w:rsidP="006D3FAF">
            <w:pPr>
              <w:jc w:val="right"/>
              <w:rPr>
                <w:color w:val="000000"/>
                <w:sz w:val="22"/>
                <w:szCs w:val="22"/>
              </w:rPr>
            </w:pPr>
            <w:r>
              <w:rPr>
                <w:color w:val="000000"/>
                <w:sz w:val="22"/>
                <w:szCs w:val="22"/>
              </w:rPr>
              <w:t>538</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6D3FAF" w:rsidRDefault="006D3FAF" w:rsidP="006D3FAF">
            <w:pPr>
              <w:jc w:val="right"/>
              <w:rPr>
                <w:color w:val="000000"/>
                <w:sz w:val="22"/>
                <w:szCs w:val="22"/>
              </w:rPr>
            </w:pPr>
            <w:r>
              <w:rPr>
                <w:color w:val="000000"/>
                <w:sz w:val="22"/>
                <w:szCs w:val="22"/>
              </w:rPr>
              <w:t>847</w:t>
            </w:r>
          </w:p>
        </w:tc>
      </w:tr>
      <w:tr w:rsidR="006D3FAF" w:rsidTr="006D3FAF">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6D3FAF" w:rsidRDefault="006D3FAF" w:rsidP="006D3FAF">
            <w:pPr>
              <w:rPr>
                <w:color w:val="000000"/>
                <w:sz w:val="22"/>
                <w:szCs w:val="22"/>
              </w:rPr>
            </w:pPr>
            <w:r>
              <w:rPr>
                <w:color w:val="000000"/>
                <w:sz w:val="22"/>
                <w:szCs w:val="22"/>
              </w:rPr>
              <w:t>11</w:t>
            </w:r>
          </w:p>
        </w:tc>
        <w:tc>
          <w:tcPr>
            <w:tcW w:w="6480" w:type="dxa"/>
            <w:tcBorders>
              <w:top w:val="single" w:sz="4" w:space="0" w:color="auto"/>
              <w:left w:val="nil"/>
              <w:bottom w:val="single" w:sz="4" w:space="0" w:color="auto"/>
              <w:right w:val="nil"/>
            </w:tcBorders>
            <w:shd w:val="clear" w:color="000000" w:fill="DDEBF7"/>
            <w:vAlign w:val="center"/>
            <w:hideMark/>
          </w:tcPr>
          <w:p w:rsidR="006D3FAF" w:rsidRDefault="00BE1EB7" w:rsidP="006D3FAF">
            <w:pPr>
              <w:rPr>
                <w:color w:val="000000"/>
                <w:sz w:val="22"/>
                <w:szCs w:val="22"/>
                <w:lang w:eastAsia="zh-CN"/>
              </w:rPr>
            </w:pPr>
            <w:r w:rsidRPr="005E0567">
              <w:rPr>
                <w:rFonts w:hint="eastAsia"/>
                <w:szCs w:val="18"/>
                <w:lang w:eastAsia="zh-CN"/>
              </w:rPr>
              <w:t>落实将国际电联建成一个完全无纸化组织的举措，例如仅在网上提供部门报告，采用数字签名、数字媒体、数字广告和宣传等</w:t>
            </w:r>
            <w:r w:rsidR="00AA1E89">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600</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600</w:t>
            </w:r>
          </w:p>
        </w:tc>
      </w:tr>
      <w:tr w:rsidR="006D3FAF" w:rsidTr="006D3FAF">
        <w:trPr>
          <w:trHeight w:val="864"/>
        </w:trPr>
        <w:tc>
          <w:tcPr>
            <w:tcW w:w="620" w:type="dxa"/>
            <w:tcBorders>
              <w:top w:val="nil"/>
              <w:left w:val="nil"/>
              <w:bottom w:val="nil"/>
              <w:right w:val="nil"/>
            </w:tcBorders>
            <w:shd w:val="clear" w:color="000000" w:fill="C6E0B4"/>
            <w:noWrap/>
            <w:vAlign w:val="center"/>
            <w:hideMark/>
          </w:tcPr>
          <w:p w:rsidR="006D3FAF" w:rsidRDefault="006D3FAF" w:rsidP="006D3FAF">
            <w:pPr>
              <w:rPr>
                <w:color w:val="000000"/>
                <w:sz w:val="22"/>
                <w:szCs w:val="22"/>
              </w:rPr>
            </w:pPr>
            <w:r>
              <w:rPr>
                <w:color w:val="000000"/>
                <w:sz w:val="22"/>
                <w:szCs w:val="22"/>
              </w:rPr>
              <w:t>12</w:t>
            </w:r>
          </w:p>
        </w:tc>
        <w:tc>
          <w:tcPr>
            <w:tcW w:w="6480" w:type="dxa"/>
            <w:tcBorders>
              <w:top w:val="nil"/>
              <w:left w:val="nil"/>
              <w:bottom w:val="nil"/>
              <w:right w:val="nil"/>
            </w:tcBorders>
            <w:shd w:val="clear" w:color="000000" w:fill="C6E0B4"/>
            <w:vAlign w:val="center"/>
            <w:hideMark/>
          </w:tcPr>
          <w:p w:rsidR="006D3FAF" w:rsidRDefault="00BE1EB7" w:rsidP="006D3FAF">
            <w:pPr>
              <w:rPr>
                <w:color w:val="000000"/>
                <w:sz w:val="22"/>
                <w:szCs w:val="22"/>
                <w:lang w:eastAsia="zh-CN"/>
              </w:rPr>
            </w:pPr>
            <w:r w:rsidRPr="00E85110">
              <w:rPr>
                <w:rFonts w:hint="eastAsia"/>
                <w:szCs w:val="18"/>
                <w:lang w:eastAsia="zh-CN"/>
              </w:rPr>
              <w:t>在不妨碍实现第</w:t>
            </w:r>
            <w:r w:rsidRPr="00E85110">
              <w:rPr>
                <w:rFonts w:hint="eastAsia"/>
                <w:szCs w:val="18"/>
                <w:lang w:eastAsia="zh-CN"/>
              </w:rPr>
              <w:t>154</w:t>
            </w:r>
            <w:r w:rsidRPr="00E85110">
              <w:rPr>
                <w:rFonts w:hint="eastAsia"/>
                <w:szCs w:val="18"/>
                <w:lang w:eastAsia="zh-CN"/>
              </w:rPr>
              <w:t>号决议（</w:t>
            </w:r>
            <w:r w:rsidRPr="00E85110">
              <w:rPr>
                <w:rFonts w:hint="eastAsia"/>
                <w:szCs w:val="18"/>
                <w:lang w:eastAsia="zh-CN"/>
              </w:rPr>
              <w:t>2014</w:t>
            </w:r>
            <w:r w:rsidRPr="00E85110">
              <w:rPr>
                <w:rFonts w:hint="eastAsia"/>
                <w:szCs w:val="18"/>
                <w:lang w:eastAsia="zh-CN"/>
              </w:rPr>
              <w:t>年，釜山，修订版）目标的前提下，考虑在研究组会议和出版物的语文使用（笔译和口译）方面节约开支</w:t>
            </w:r>
            <w:r w:rsidR="00AA1E89">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jc w:val="right"/>
              <w:rPr>
                <w:color w:val="000000"/>
                <w:sz w:val="22"/>
                <w:szCs w:val="22"/>
              </w:rPr>
            </w:pPr>
            <w:r>
              <w:rPr>
                <w:color w:val="000000"/>
                <w:sz w:val="22"/>
                <w:szCs w:val="22"/>
              </w:rPr>
              <w:t>340</w:t>
            </w:r>
          </w:p>
        </w:tc>
        <w:tc>
          <w:tcPr>
            <w:tcW w:w="1700" w:type="dxa"/>
            <w:tcBorders>
              <w:top w:val="nil"/>
              <w:left w:val="nil"/>
              <w:bottom w:val="nil"/>
              <w:right w:val="nil"/>
            </w:tcBorders>
            <w:shd w:val="clear" w:color="000000" w:fill="C6E0B4"/>
            <w:noWrap/>
            <w:vAlign w:val="bottom"/>
            <w:hideMark/>
          </w:tcPr>
          <w:p w:rsidR="006D3FAF" w:rsidRDefault="006D3FAF" w:rsidP="006D3FAF">
            <w:pPr>
              <w:jc w:val="right"/>
              <w:rPr>
                <w:color w:val="000000"/>
                <w:sz w:val="22"/>
                <w:szCs w:val="22"/>
              </w:rPr>
            </w:pPr>
            <w:r>
              <w:rPr>
                <w:color w:val="000000"/>
                <w:sz w:val="22"/>
                <w:szCs w:val="22"/>
              </w:rPr>
              <w:t>147</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6D3FAF" w:rsidRDefault="006D3FAF" w:rsidP="006D3FAF">
            <w:pPr>
              <w:jc w:val="right"/>
              <w:rPr>
                <w:color w:val="000000"/>
                <w:sz w:val="22"/>
                <w:szCs w:val="22"/>
              </w:rPr>
            </w:pPr>
            <w:r>
              <w:rPr>
                <w:color w:val="000000"/>
                <w:sz w:val="22"/>
                <w:szCs w:val="22"/>
              </w:rPr>
              <w:t>487</w:t>
            </w:r>
          </w:p>
        </w:tc>
      </w:tr>
      <w:tr w:rsidR="006D3FAF" w:rsidTr="006D3FAF">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6D3FAF" w:rsidRDefault="006D3FAF" w:rsidP="006D3FAF">
            <w:pPr>
              <w:rPr>
                <w:color w:val="000000"/>
                <w:sz w:val="22"/>
                <w:szCs w:val="22"/>
              </w:rPr>
            </w:pPr>
            <w:r>
              <w:rPr>
                <w:color w:val="000000"/>
                <w:sz w:val="22"/>
                <w:szCs w:val="22"/>
              </w:rPr>
              <w:t>13</w:t>
            </w:r>
          </w:p>
        </w:tc>
        <w:tc>
          <w:tcPr>
            <w:tcW w:w="6480" w:type="dxa"/>
            <w:tcBorders>
              <w:top w:val="single" w:sz="4" w:space="0" w:color="auto"/>
              <w:left w:val="nil"/>
              <w:bottom w:val="single" w:sz="4" w:space="0" w:color="auto"/>
              <w:right w:val="nil"/>
            </w:tcBorders>
            <w:shd w:val="clear" w:color="000000" w:fill="DDEBF7"/>
            <w:vAlign w:val="center"/>
            <w:hideMark/>
          </w:tcPr>
          <w:p w:rsidR="006D3FAF" w:rsidRDefault="00BE1EB7" w:rsidP="006D3FAF">
            <w:pPr>
              <w:rPr>
                <w:color w:val="000000"/>
                <w:sz w:val="22"/>
                <w:szCs w:val="22"/>
                <w:lang w:eastAsia="zh-CN"/>
              </w:rPr>
            </w:pPr>
            <w:r w:rsidRPr="00E85110">
              <w:rPr>
                <w:rFonts w:hint="eastAsia"/>
                <w:szCs w:val="18"/>
                <w:lang w:eastAsia="zh-CN"/>
              </w:rPr>
              <w:t>评估并使用可降低笔译成本的替代性笔译程序，同时保持或提高目前笔译质量以及电信</w:t>
            </w:r>
            <w:r w:rsidRPr="00E85110">
              <w:rPr>
                <w:rFonts w:hint="eastAsia"/>
                <w:szCs w:val="18"/>
                <w:lang w:eastAsia="zh-CN"/>
              </w:rPr>
              <w:t>/ICT</w:t>
            </w:r>
            <w:r w:rsidRPr="00E85110">
              <w:rPr>
                <w:rFonts w:hint="eastAsia"/>
                <w:szCs w:val="18"/>
                <w:lang w:eastAsia="zh-CN"/>
              </w:rPr>
              <w:t>术语的准确性</w:t>
            </w:r>
            <w:r w:rsidR="00AA1E89">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2,820</w:t>
            </w:r>
          </w:p>
        </w:tc>
        <w:tc>
          <w:tcPr>
            <w:tcW w:w="1700" w:type="dxa"/>
            <w:tcBorders>
              <w:top w:val="single" w:sz="4" w:space="0" w:color="auto"/>
              <w:left w:val="nil"/>
              <w:bottom w:val="single" w:sz="4" w:space="0" w:color="auto"/>
              <w:right w:val="nil"/>
            </w:tcBorders>
            <w:shd w:val="clear" w:color="000000" w:fill="DDEBF7"/>
            <w:noWrap/>
            <w:vAlign w:val="bottom"/>
            <w:hideMark/>
          </w:tcPr>
          <w:p w:rsidR="006D3FAF" w:rsidRDefault="006D3FAF" w:rsidP="006D3FAF">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2,820</w:t>
            </w:r>
          </w:p>
        </w:tc>
      </w:tr>
    </w:tbl>
    <w:p w:rsidR="006D3FAF" w:rsidRDefault="006D3FAF" w:rsidP="006D3FAF">
      <w:pPr>
        <w:overflowPunct/>
        <w:autoSpaceDE/>
        <w:autoSpaceDN/>
        <w:adjustRightInd/>
        <w:spacing w:before="0"/>
        <w:textAlignment w:val="auto"/>
        <w:rPr>
          <w:szCs w:val="24"/>
          <w:lang w:val="en-US"/>
        </w:rPr>
      </w:pPr>
      <w:r>
        <w:rPr>
          <w:szCs w:val="24"/>
          <w:lang w:val="en-US"/>
        </w:rPr>
        <w:br w:type="page"/>
      </w:r>
    </w:p>
    <w:tbl>
      <w:tblPr>
        <w:tblW w:w="13901" w:type="dxa"/>
        <w:tblLook w:val="04A0" w:firstRow="1" w:lastRow="0" w:firstColumn="1" w:lastColumn="0" w:noHBand="0" w:noVBand="1"/>
      </w:tblPr>
      <w:tblGrid>
        <w:gridCol w:w="620"/>
        <w:gridCol w:w="6480"/>
        <w:gridCol w:w="1700"/>
        <w:gridCol w:w="1700"/>
        <w:gridCol w:w="1700"/>
        <w:gridCol w:w="1701"/>
      </w:tblGrid>
      <w:tr w:rsidR="006D3FAF" w:rsidRPr="00283CC7" w:rsidTr="006D3FAF">
        <w:trPr>
          <w:trHeight w:val="288"/>
        </w:trPr>
        <w:tc>
          <w:tcPr>
            <w:tcW w:w="620" w:type="dxa"/>
            <w:tcBorders>
              <w:top w:val="nil"/>
              <w:left w:val="nil"/>
              <w:bottom w:val="nil"/>
              <w:right w:val="nil"/>
            </w:tcBorders>
            <w:shd w:val="clear" w:color="auto" w:fill="8DB3E2" w:themeFill="text2" w:themeFillTint="66"/>
            <w:noWrap/>
            <w:vAlign w:val="bottom"/>
            <w:hideMark/>
          </w:tcPr>
          <w:p w:rsidR="006D3FAF" w:rsidRPr="00283CC7" w:rsidRDefault="006D3FAF" w:rsidP="006D3FAF">
            <w:pPr>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rsidR="006D3FAF" w:rsidRPr="00283CC7" w:rsidRDefault="006D3FAF" w:rsidP="006D3FAF">
            <w:pPr>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rsidR="006D3FAF" w:rsidRPr="00283CC7" w:rsidRDefault="002A5095" w:rsidP="006D3FAF">
            <w:pPr>
              <w:overflowPunct/>
              <w:autoSpaceDE/>
              <w:autoSpaceDN/>
              <w:adjustRightInd/>
              <w:spacing w:before="0"/>
              <w:jc w:val="center"/>
              <w:textAlignment w:val="auto"/>
              <w:rPr>
                <w:i/>
                <w:iCs/>
                <w:color w:val="000000"/>
                <w:sz w:val="18"/>
                <w:szCs w:val="18"/>
                <w:lang w:eastAsia="zh-CN"/>
              </w:rPr>
            </w:pPr>
            <w:r w:rsidRPr="00376AAC">
              <w:rPr>
                <w:rFonts w:ascii="STKaiti" w:eastAsia="STKaiti" w:hAnsi="STKaiti"/>
                <w:color w:val="000000"/>
                <w:sz w:val="18"/>
                <w:szCs w:val="18"/>
                <w:lang w:eastAsia="zh-CN"/>
              </w:rPr>
              <w:t>（</w:t>
            </w:r>
            <w:r w:rsidRPr="00376AAC">
              <w:rPr>
                <w:rFonts w:ascii="STKaiti" w:eastAsia="STKaiti" w:hAnsi="STKaiti" w:hint="eastAsia"/>
                <w:color w:val="000000"/>
                <w:sz w:val="18"/>
                <w:szCs w:val="18"/>
                <w:lang w:eastAsia="zh-CN"/>
              </w:rPr>
              <w:t>单位：千瑞郎</w:t>
            </w:r>
            <w:r w:rsidRPr="00376AAC">
              <w:rPr>
                <w:rFonts w:ascii="STKaiti" w:eastAsia="STKaiti" w:hAnsi="STKaiti"/>
                <w:color w:val="000000"/>
                <w:sz w:val="18"/>
                <w:szCs w:val="18"/>
                <w:lang w:eastAsia="zh-CN"/>
              </w:rPr>
              <w:t>）</w:t>
            </w:r>
          </w:p>
        </w:tc>
      </w:tr>
      <w:tr w:rsidR="002A5095" w:rsidTr="00113896">
        <w:trPr>
          <w:trHeight w:val="272"/>
        </w:trPr>
        <w:tc>
          <w:tcPr>
            <w:tcW w:w="620" w:type="dxa"/>
            <w:tcBorders>
              <w:top w:val="nil"/>
              <w:left w:val="nil"/>
              <w:bottom w:val="nil"/>
              <w:right w:val="nil"/>
            </w:tcBorders>
            <w:shd w:val="clear" w:color="auto" w:fill="8DB3E2" w:themeFill="text2" w:themeFillTint="66"/>
            <w:noWrap/>
            <w:vAlign w:val="center"/>
          </w:tcPr>
          <w:p w:rsidR="002A5095" w:rsidRDefault="002A5095" w:rsidP="002A5095">
            <w:pPr>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rsidR="002A5095" w:rsidRDefault="00AA1E89" w:rsidP="002A5095">
            <w:pPr>
              <w:jc w:val="center"/>
              <w:rPr>
                <w:color w:val="000000"/>
                <w:sz w:val="22"/>
                <w:szCs w:val="22"/>
                <w:lang w:eastAsia="zh-CN"/>
              </w:rPr>
            </w:pPr>
            <w:r>
              <w:rPr>
                <w:rFonts w:hint="eastAsia"/>
                <w:szCs w:val="18"/>
                <w:lang w:eastAsia="zh-CN"/>
              </w:rPr>
              <w:t>增</w:t>
            </w:r>
            <w:r>
              <w:rPr>
                <w:szCs w:val="18"/>
                <w:lang w:eastAsia="zh-CN"/>
              </w:rPr>
              <w:t>效</w:t>
            </w:r>
            <w:r w:rsidRPr="005E0567">
              <w:rPr>
                <w:rFonts w:hint="eastAsia"/>
                <w:szCs w:val="18"/>
                <w:lang w:eastAsia="zh-CN"/>
              </w:rPr>
              <w:t>减支措施</w:t>
            </w:r>
            <w:r>
              <w:rPr>
                <w:color w:val="000000"/>
                <w:sz w:val="22"/>
                <w:szCs w:val="22"/>
                <w:lang w:eastAsia="zh-CN"/>
              </w:rPr>
              <w:t>（</w:t>
            </w:r>
            <w:r>
              <w:rPr>
                <w:color w:val="000000"/>
                <w:sz w:val="22"/>
                <w:szCs w:val="22"/>
                <w:lang w:eastAsia="zh-CN"/>
              </w:rPr>
              <w:t>PP14</w:t>
            </w:r>
            <w:r>
              <w:rPr>
                <w:rFonts w:hint="eastAsia"/>
                <w:color w:val="000000"/>
                <w:sz w:val="22"/>
                <w:szCs w:val="22"/>
                <w:lang w:eastAsia="zh-CN"/>
              </w:rPr>
              <w:t>第</w:t>
            </w:r>
            <w:r>
              <w:rPr>
                <w:color w:val="000000"/>
                <w:sz w:val="22"/>
                <w:szCs w:val="22"/>
                <w:lang w:eastAsia="zh-CN"/>
              </w:rPr>
              <w:t>5</w:t>
            </w:r>
            <w:r>
              <w:rPr>
                <w:rFonts w:hint="eastAsia"/>
                <w:color w:val="000000"/>
                <w:sz w:val="22"/>
                <w:szCs w:val="22"/>
                <w:lang w:eastAsia="zh-CN"/>
              </w:rPr>
              <w:t>号决定</w:t>
            </w:r>
            <w:r>
              <w:rPr>
                <w:rFonts w:hint="eastAsia"/>
                <w:color w:val="000000"/>
                <w:sz w:val="22"/>
                <w:szCs w:val="22"/>
                <w:lang w:eastAsia="zh-CN"/>
              </w:rPr>
              <w:t xml:space="preserve"> </w:t>
            </w:r>
            <w:r>
              <w:rPr>
                <w:color w:val="000000"/>
                <w:sz w:val="22"/>
                <w:szCs w:val="22"/>
                <w:lang w:eastAsia="zh-CN"/>
              </w:rPr>
              <w:t xml:space="preserve">– </w:t>
            </w:r>
            <w:r>
              <w:rPr>
                <w:rFonts w:hint="eastAsia"/>
                <w:color w:val="000000"/>
                <w:sz w:val="22"/>
                <w:szCs w:val="22"/>
                <w:lang w:eastAsia="zh-CN"/>
              </w:rPr>
              <w:t>附件</w:t>
            </w:r>
            <w:r>
              <w:rPr>
                <w:color w:val="000000"/>
                <w:sz w:val="22"/>
                <w:szCs w:val="22"/>
                <w:lang w:eastAsia="zh-CN"/>
              </w:rPr>
              <w:t>2</w:t>
            </w:r>
            <w:r>
              <w:rPr>
                <w:color w:val="000000"/>
                <w:sz w:val="22"/>
                <w:szCs w:val="22"/>
                <w:lang w:eastAsia="zh-CN"/>
              </w:rPr>
              <w:t>）</w:t>
            </w:r>
          </w:p>
        </w:tc>
        <w:tc>
          <w:tcPr>
            <w:tcW w:w="1700" w:type="dxa"/>
            <w:tcBorders>
              <w:top w:val="nil"/>
              <w:left w:val="dotted" w:sz="4" w:space="0" w:color="auto"/>
              <w:bottom w:val="nil"/>
              <w:right w:val="dotted" w:sz="4" w:space="0" w:color="auto"/>
            </w:tcBorders>
            <w:shd w:val="clear" w:color="auto" w:fill="8DB3E2" w:themeFill="text2" w:themeFillTint="66"/>
            <w:noWrap/>
          </w:tcPr>
          <w:p w:rsidR="002A5095" w:rsidRPr="000B54C4" w:rsidRDefault="002A5095" w:rsidP="00AF5E3E">
            <w:pPr>
              <w:jc w:val="center"/>
            </w:pPr>
            <w:r w:rsidRPr="000B54C4">
              <w:rPr>
                <w:rFonts w:hint="eastAsia"/>
              </w:rPr>
              <w:t>2014-2015</w:t>
            </w:r>
            <w:r w:rsidRPr="000B54C4">
              <w:rPr>
                <w:rFonts w:hint="eastAsia"/>
              </w:rPr>
              <w:t>年</w:t>
            </w:r>
          </w:p>
        </w:tc>
        <w:tc>
          <w:tcPr>
            <w:tcW w:w="1700" w:type="dxa"/>
            <w:tcBorders>
              <w:top w:val="nil"/>
              <w:left w:val="nil"/>
              <w:bottom w:val="nil"/>
              <w:right w:val="nil"/>
            </w:tcBorders>
            <w:shd w:val="clear" w:color="auto" w:fill="8DB3E2" w:themeFill="text2" w:themeFillTint="66"/>
            <w:noWrap/>
          </w:tcPr>
          <w:p w:rsidR="002A5095" w:rsidRPr="000B54C4" w:rsidRDefault="002A5095" w:rsidP="00AF5E3E">
            <w:pPr>
              <w:jc w:val="center"/>
            </w:pPr>
            <w:r w:rsidRPr="000B54C4">
              <w:rPr>
                <w:rFonts w:hint="eastAsia"/>
              </w:rPr>
              <w:t>2016-2017</w:t>
            </w:r>
            <w:r w:rsidRPr="000B54C4">
              <w:rPr>
                <w:rFonts w:hint="eastAsia"/>
              </w:rPr>
              <w:t>年</w:t>
            </w:r>
          </w:p>
        </w:tc>
        <w:tc>
          <w:tcPr>
            <w:tcW w:w="1700" w:type="dxa"/>
            <w:tcBorders>
              <w:top w:val="nil"/>
              <w:left w:val="dotted" w:sz="4" w:space="0" w:color="auto"/>
              <w:bottom w:val="nil"/>
              <w:right w:val="dotted" w:sz="4" w:space="0" w:color="auto"/>
            </w:tcBorders>
            <w:shd w:val="clear" w:color="auto" w:fill="8DB3E2" w:themeFill="text2" w:themeFillTint="66"/>
            <w:noWrap/>
          </w:tcPr>
          <w:p w:rsidR="002A5095" w:rsidRPr="000B54C4" w:rsidRDefault="002A5095" w:rsidP="00AF5E3E">
            <w:pPr>
              <w:jc w:val="center"/>
            </w:pPr>
            <w:r w:rsidRPr="000B54C4">
              <w:rPr>
                <w:rFonts w:hint="eastAsia"/>
              </w:rPr>
              <w:t>2018-2019</w:t>
            </w:r>
            <w:r w:rsidRPr="000B54C4">
              <w:rPr>
                <w:rFonts w:hint="eastAsia"/>
              </w:rPr>
              <w:t>年</w:t>
            </w:r>
          </w:p>
        </w:tc>
        <w:tc>
          <w:tcPr>
            <w:tcW w:w="1701" w:type="dxa"/>
            <w:tcBorders>
              <w:top w:val="nil"/>
              <w:left w:val="nil"/>
              <w:bottom w:val="nil"/>
              <w:right w:val="dotted" w:sz="4" w:space="0" w:color="auto"/>
            </w:tcBorders>
            <w:shd w:val="clear" w:color="auto" w:fill="8DB3E2" w:themeFill="text2" w:themeFillTint="66"/>
            <w:noWrap/>
          </w:tcPr>
          <w:p w:rsidR="002A5095" w:rsidRDefault="002A5095" w:rsidP="00AF5E3E">
            <w:pPr>
              <w:jc w:val="center"/>
            </w:pPr>
            <w:proofErr w:type="spellStart"/>
            <w:r w:rsidRPr="000B54C4">
              <w:rPr>
                <w:rFonts w:hint="eastAsia"/>
              </w:rPr>
              <w:t>合计</w:t>
            </w:r>
            <w:proofErr w:type="spellEnd"/>
          </w:p>
        </w:tc>
      </w:tr>
      <w:tr w:rsidR="006D3FAF" w:rsidTr="006D3FAF">
        <w:trPr>
          <w:trHeight w:val="864"/>
        </w:trPr>
        <w:tc>
          <w:tcPr>
            <w:tcW w:w="620" w:type="dxa"/>
            <w:tcBorders>
              <w:top w:val="nil"/>
              <w:left w:val="nil"/>
              <w:bottom w:val="nil"/>
              <w:right w:val="nil"/>
            </w:tcBorders>
            <w:shd w:val="clear" w:color="000000" w:fill="C6E0B4"/>
            <w:noWrap/>
            <w:vAlign w:val="center"/>
            <w:hideMark/>
          </w:tcPr>
          <w:p w:rsidR="006D3FAF" w:rsidRDefault="006D3FAF" w:rsidP="006D3FAF">
            <w:pPr>
              <w:overflowPunct/>
              <w:autoSpaceDE/>
              <w:autoSpaceDN/>
              <w:adjustRightInd/>
              <w:spacing w:before="0"/>
              <w:textAlignment w:val="auto"/>
              <w:rPr>
                <w:color w:val="000000"/>
                <w:sz w:val="22"/>
                <w:szCs w:val="22"/>
                <w:lang w:eastAsia="zh-CN"/>
              </w:rPr>
            </w:pPr>
            <w:r>
              <w:rPr>
                <w:color w:val="000000"/>
                <w:sz w:val="22"/>
                <w:szCs w:val="22"/>
              </w:rPr>
              <w:t>14</w:t>
            </w:r>
          </w:p>
        </w:tc>
        <w:tc>
          <w:tcPr>
            <w:tcW w:w="6480" w:type="dxa"/>
            <w:tcBorders>
              <w:top w:val="nil"/>
              <w:left w:val="nil"/>
              <w:bottom w:val="nil"/>
              <w:right w:val="nil"/>
            </w:tcBorders>
            <w:shd w:val="clear" w:color="000000" w:fill="C6E0B4"/>
            <w:vAlign w:val="center"/>
            <w:hideMark/>
          </w:tcPr>
          <w:p w:rsidR="006D3FAF" w:rsidRDefault="00BE1EB7" w:rsidP="006D3FAF">
            <w:pPr>
              <w:rPr>
                <w:color w:val="000000"/>
                <w:sz w:val="22"/>
                <w:szCs w:val="22"/>
                <w:lang w:eastAsia="zh-CN"/>
              </w:rPr>
            </w:pPr>
            <w:r w:rsidRPr="00E85110">
              <w:rPr>
                <w:rFonts w:hint="eastAsia"/>
                <w:szCs w:val="18"/>
                <w:lang w:eastAsia="zh-CN"/>
              </w:rPr>
              <w:t>通过重新调配现有资源内负责信息社会世界峰会（</w:t>
            </w:r>
            <w:r w:rsidRPr="00E85110">
              <w:rPr>
                <w:rFonts w:hint="eastAsia"/>
                <w:szCs w:val="18"/>
                <w:lang w:eastAsia="zh-CN"/>
              </w:rPr>
              <w:t>WSIS</w:t>
            </w:r>
            <w:r w:rsidRPr="00E85110">
              <w:rPr>
                <w:rFonts w:hint="eastAsia"/>
                <w:szCs w:val="18"/>
                <w:lang w:eastAsia="zh-CN"/>
              </w:rPr>
              <w:t>）活动的人员并酌情通过成本回收和自愿捐款来落实这些活动</w:t>
            </w:r>
            <w:r w:rsidR="00AA1E89">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nil"/>
              <w:left w:val="nil"/>
              <w:bottom w:val="nil"/>
              <w:right w:val="nil"/>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1" w:type="dxa"/>
            <w:tcBorders>
              <w:top w:val="nil"/>
              <w:left w:val="nil"/>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r>
      <w:tr w:rsidR="006D3FAF" w:rsidTr="006D3FAF">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rsidR="006D3FAF" w:rsidRDefault="006D3FAF" w:rsidP="006D3FAF">
            <w:pPr>
              <w:rPr>
                <w:color w:val="000000"/>
                <w:sz w:val="22"/>
                <w:szCs w:val="22"/>
              </w:rPr>
            </w:pPr>
            <w:r>
              <w:rPr>
                <w:color w:val="000000"/>
                <w:sz w:val="22"/>
                <w:szCs w:val="22"/>
              </w:rPr>
              <w:t>15</w:t>
            </w:r>
          </w:p>
        </w:tc>
        <w:tc>
          <w:tcPr>
            <w:tcW w:w="6480" w:type="dxa"/>
            <w:tcBorders>
              <w:top w:val="single" w:sz="4" w:space="0" w:color="auto"/>
              <w:left w:val="nil"/>
              <w:bottom w:val="single" w:sz="4" w:space="0" w:color="auto"/>
              <w:right w:val="nil"/>
            </w:tcBorders>
            <w:shd w:val="clear" w:color="000000" w:fill="DDEBF7"/>
            <w:vAlign w:val="center"/>
            <w:hideMark/>
          </w:tcPr>
          <w:p w:rsidR="006D3FAF" w:rsidRDefault="00BE1EB7" w:rsidP="006D3FAF">
            <w:pPr>
              <w:rPr>
                <w:color w:val="000000"/>
                <w:sz w:val="22"/>
                <w:szCs w:val="22"/>
                <w:lang w:eastAsia="zh-CN"/>
              </w:rPr>
            </w:pPr>
            <w:r w:rsidRPr="00E85110">
              <w:rPr>
                <w:rFonts w:hint="eastAsia"/>
                <w:szCs w:val="18"/>
                <w:lang w:eastAsia="zh-CN"/>
              </w:rPr>
              <w:t>审议研究组的会议次数及其会期，以减少其费用和其它相关组的费用</w:t>
            </w:r>
            <w:r w:rsidR="00AA1E89">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r>
      <w:tr w:rsidR="006D3FAF" w:rsidTr="006D3FAF">
        <w:trPr>
          <w:trHeight w:val="576"/>
        </w:trPr>
        <w:tc>
          <w:tcPr>
            <w:tcW w:w="620" w:type="dxa"/>
            <w:tcBorders>
              <w:top w:val="nil"/>
              <w:left w:val="nil"/>
              <w:bottom w:val="nil"/>
              <w:right w:val="nil"/>
            </w:tcBorders>
            <w:shd w:val="clear" w:color="000000" w:fill="C6E0B4"/>
            <w:noWrap/>
            <w:vAlign w:val="center"/>
            <w:hideMark/>
          </w:tcPr>
          <w:p w:rsidR="006D3FAF" w:rsidRDefault="006D3FAF" w:rsidP="006D3FAF">
            <w:pPr>
              <w:rPr>
                <w:color w:val="000000"/>
                <w:sz w:val="22"/>
                <w:szCs w:val="22"/>
              </w:rPr>
            </w:pPr>
            <w:r>
              <w:rPr>
                <w:color w:val="000000"/>
                <w:sz w:val="22"/>
                <w:szCs w:val="22"/>
              </w:rPr>
              <w:t>16</w:t>
            </w:r>
          </w:p>
        </w:tc>
        <w:tc>
          <w:tcPr>
            <w:tcW w:w="6480" w:type="dxa"/>
            <w:tcBorders>
              <w:top w:val="nil"/>
              <w:left w:val="nil"/>
              <w:bottom w:val="nil"/>
              <w:right w:val="nil"/>
            </w:tcBorders>
            <w:shd w:val="clear" w:color="000000" w:fill="C6E0B4"/>
            <w:vAlign w:val="center"/>
            <w:hideMark/>
          </w:tcPr>
          <w:p w:rsidR="006D3FAF" w:rsidRDefault="00BE1EB7" w:rsidP="006D3FAF">
            <w:pPr>
              <w:rPr>
                <w:color w:val="000000"/>
                <w:sz w:val="22"/>
                <w:szCs w:val="22"/>
                <w:lang w:eastAsia="zh-CN"/>
              </w:rPr>
            </w:pPr>
            <w:r w:rsidRPr="00E85110">
              <w:rPr>
                <w:rFonts w:hint="eastAsia"/>
                <w:szCs w:val="18"/>
                <w:lang w:eastAsia="zh-CN"/>
              </w:rPr>
              <w:t>评估国际电联研究组设立的区域组，以避免重复和重叠</w:t>
            </w:r>
            <w:r w:rsidR="00AA1E89">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nil"/>
              <w:left w:val="nil"/>
              <w:bottom w:val="nil"/>
              <w:right w:val="nil"/>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1" w:type="dxa"/>
            <w:tcBorders>
              <w:top w:val="nil"/>
              <w:left w:val="nil"/>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r>
      <w:tr w:rsidR="006D3FAF" w:rsidTr="006D3FAF">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rsidR="006D3FAF" w:rsidRDefault="006D3FAF" w:rsidP="006D3FAF">
            <w:pPr>
              <w:rPr>
                <w:color w:val="000000"/>
                <w:sz w:val="22"/>
                <w:szCs w:val="22"/>
              </w:rPr>
            </w:pPr>
            <w:r>
              <w:rPr>
                <w:color w:val="000000"/>
                <w:sz w:val="22"/>
                <w:szCs w:val="22"/>
              </w:rPr>
              <w:t>17</w:t>
            </w:r>
          </w:p>
        </w:tc>
        <w:tc>
          <w:tcPr>
            <w:tcW w:w="6480" w:type="dxa"/>
            <w:tcBorders>
              <w:top w:val="single" w:sz="4" w:space="0" w:color="auto"/>
              <w:left w:val="nil"/>
              <w:bottom w:val="single" w:sz="4" w:space="0" w:color="auto"/>
              <w:right w:val="nil"/>
            </w:tcBorders>
            <w:shd w:val="clear" w:color="000000" w:fill="DDEBF7"/>
            <w:vAlign w:val="center"/>
            <w:hideMark/>
          </w:tcPr>
          <w:p w:rsidR="006D3FAF" w:rsidRDefault="00BE1EB7" w:rsidP="006D3FAF">
            <w:pPr>
              <w:rPr>
                <w:color w:val="000000"/>
                <w:sz w:val="22"/>
                <w:szCs w:val="22"/>
                <w:lang w:eastAsia="zh-CN"/>
              </w:rPr>
            </w:pPr>
            <w:r w:rsidRPr="00E85110">
              <w:rPr>
                <w:rFonts w:hint="eastAsia"/>
                <w:szCs w:val="18"/>
                <w:lang w:eastAsia="zh-CN"/>
              </w:rPr>
              <w:t>将各顾问组配备同传会议的天数限制为每年最多三天</w:t>
            </w:r>
            <w:r w:rsidR="00AA1E89">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176</w:t>
            </w:r>
          </w:p>
        </w:tc>
        <w:tc>
          <w:tcPr>
            <w:tcW w:w="1700" w:type="dxa"/>
            <w:tcBorders>
              <w:top w:val="single" w:sz="4" w:space="0" w:color="auto"/>
              <w:left w:val="nil"/>
              <w:bottom w:val="single" w:sz="4" w:space="0" w:color="auto"/>
              <w:right w:val="nil"/>
            </w:tcBorders>
            <w:shd w:val="clear" w:color="000000" w:fill="DDEBF7"/>
            <w:noWrap/>
            <w:vAlign w:val="bottom"/>
            <w:hideMark/>
          </w:tcPr>
          <w:p w:rsidR="006D3FAF" w:rsidRDefault="006D3FAF" w:rsidP="006D3FAF">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176</w:t>
            </w:r>
          </w:p>
        </w:tc>
      </w:tr>
      <w:tr w:rsidR="006D3FAF" w:rsidTr="006D3FAF">
        <w:trPr>
          <w:trHeight w:val="576"/>
        </w:trPr>
        <w:tc>
          <w:tcPr>
            <w:tcW w:w="620" w:type="dxa"/>
            <w:tcBorders>
              <w:top w:val="nil"/>
              <w:left w:val="nil"/>
              <w:bottom w:val="nil"/>
              <w:right w:val="nil"/>
            </w:tcBorders>
            <w:shd w:val="clear" w:color="000000" w:fill="C6E0B4"/>
            <w:noWrap/>
            <w:vAlign w:val="center"/>
            <w:hideMark/>
          </w:tcPr>
          <w:p w:rsidR="006D3FAF" w:rsidRDefault="006D3FAF" w:rsidP="006D3FAF">
            <w:pPr>
              <w:rPr>
                <w:color w:val="000000"/>
                <w:sz w:val="22"/>
                <w:szCs w:val="22"/>
              </w:rPr>
            </w:pPr>
            <w:r>
              <w:rPr>
                <w:color w:val="000000"/>
                <w:sz w:val="22"/>
                <w:szCs w:val="22"/>
              </w:rPr>
              <w:t>18</w:t>
            </w:r>
          </w:p>
        </w:tc>
        <w:tc>
          <w:tcPr>
            <w:tcW w:w="6480" w:type="dxa"/>
            <w:tcBorders>
              <w:top w:val="nil"/>
              <w:left w:val="nil"/>
              <w:bottom w:val="nil"/>
              <w:right w:val="nil"/>
            </w:tcBorders>
            <w:shd w:val="clear" w:color="000000" w:fill="C6E0B4"/>
            <w:vAlign w:val="center"/>
            <w:hideMark/>
          </w:tcPr>
          <w:p w:rsidR="006D3FAF" w:rsidRDefault="00BE1EB7" w:rsidP="006D3FAF">
            <w:pPr>
              <w:rPr>
                <w:color w:val="000000"/>
                <w:sz w:val="22"/>
                <w:szCs w:val="22"/>
                <w:lang w:eastAsia="zh-CN"/>
              </w:rPr>
            </w:pPr>
            <w:r w:rsidRPr="00E85110">
              <w:rPr>
                <w:rFonts w:hint="eastAsia"/>
                <w:szCs w:val="18"/>
                <w:lang w:eastAsia="zh-CN"/>
              </w:rPr>
              <w:t>在可能的情况下减少理事会工作组面对面会议的次数并缩短会期</w:t>
            </w:r>
            <w:r w:rsidR="00AA1E89">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nil"/>
              <w:left w:val="nil"/>
              <w:bottom w:val="nil"/>
              <w:right w:val="nil"/>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1" w:type="dxa"/>
            <w:tcBorders>
              <w:top w:val="nil"/>
              <w:left w:val="nil"/>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r>
      <w:tr w:rsidR="006D3FAF" w:rsidTr="006D3FAF">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6D3FAF" w:rsidRDefault="006D3FAF" w:rsidP="006D3FAF">
            <w:pPr>
              <w:rPr>
                <w:color w:val="000000"/>
                <w:sz w:val="22"/>
                <w:szCs w:val="22"/>
              </w:rPr>
            </w:pPr>
            <w:r>
              <w:rPr>
                <w:color w:val="000000"/>
                <w:sz w:val="22"/>
                <w:szCs w:val="22"/>
              </w:rPr>
              <w:t>19</w:t>
            </w:r>
          </w:p>
        </w:tc>
        <w:tc>
          <w:tcPr>
            <w:tcW w:w="6480" w:type="dxa"/>
            <w:tcBorders>
              <w:top w:val="single" w:sz="4" w:space="0" w:color="auto"/>
              <w:left w:val="nil"/>
              <w:bottom w:val="single" w:sz="4" w:space="0" w:color="auto"/>
              <w:right w:val="nil"/>
            </w:tcBorders>
            <w:shd w:val="clear" w:color="000000" w:fill="DDEBF7"/>
            <w:vAlign w:val="center"/>
            <w:hideMark/>
          </w:tcPr>
          <w:p w:rsidR="006D3FAF" w:rsidRDefault="00BE1EB7" w:rsidP="006D3FAF">
            <w:pPr>
              <w:rPr>
                <w:color w:val="000000"/>
                <w:sz w:val="22"/>
                <w:szCs w:val="22"/>
                <w:lang w:eastAsia="zh-CN"/>
              </w:rPr>
            </w:pPr>
            <w:r>
              <w:rPr>
                <w:rFonts w:hint="eastAsia"/>
                <w:szCs w:val="18"/>
                <w:lang w:eastAsia="zh-CN"/>
              </w:rPr>
              <w:t>通过合并将理事会工作组的数量</w:t>
            </w:r>
            <w:r w:rsidRPr="00E85110">
              <w:rPr>
                <w:rFonts w:hint="eastAsia"/>
                <w:szCs w:val="18"/>
                <w:lang w:eastAsia="zh-CN"/>
              </w:rPr>
              <w:t>减至</w:t>
            </w:r>
            <w:r>
              <w:rPr>
                <w:rFonts w:hint="eastAsia"/>
                <w:szCs w:val="18"/>
                <w:lang w:eastAsia="zh-CN"/>
              </w:rPr>
              <w:t>必要的绝对最低限度，而且如其活动领域没有</w:t>
            </w:r>
            <w:r w:rsidRPr="00E85110">
              <w:rPr>
                <w:rFonts w:hint="eastAsia"/>
                <w:szCs w:val="18"/>
                <w:lang w:eastAsia="zh-CN"/>
              </w:rPr>
              <w:t>进展则终止其活动</w:t>
            </w:r>
            <w:r w:rsidR="00AA1E89">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r>
      <w:tr w:rsidR="006D3FAF" w:rsidTr="006D3FAF">
        <w:trPr>
          <w:trHeight w:val="864"/>
        </w:trPr>
        <w:tc>
          <w:tcPr>
            <w:tcW w:w="620" w:type="dxa"/>
            <w:tcBorders>
              <w:top w:val="nil"/>
              <w:left w:val="nil"/>
              <w:bottom w:val="nil"/>
              <w:right w:val="nil"/>
            </w:tcBorders>
            <w:shd w:val="clear" w:color="000000" w:fill="C6E0B4"/>
            <w:noWrap/>
            <w:vAlign w:val="center"/>
            <w:hideMark/>
          </w:tcPr>
          <w:p w:rsidR="006D3FAF" w:rsidRDefault="006D3FAF" w:rsidP="006D3FAF">
            <w:pPr>
              <w:rPr>
                <w:color w:val="000000"/>
                <w:sz w:val="22"/>
                <w:szCs w:val="22"/>
              </w:rPr>
            </w:pPr>
            <w:r>
              <w:rPr>
                <w:color w:val="000000"/>
                <w:sz w:val="22"/>
                <w:szCs w:val="22"/>
              </w:rPr>
              <w:t>20</w:t>
            </w:r>
          </w:p>
        </w:tc>
        <w:tc>
          <w:tcPr>
            <w:tcW w:w="6480" w:type="dxa"/>
            <w:tcBorders>
              <w:top w:val="nil"/>
              <w:left w:val="nil"/>
              <w:bottom w:val="nil"/>
              <w:right w:val="nil"/>
            </w:tcBorders>
            <w:shd w:val="clear" w:color="000000" w:fill="C6E0B4"/>
            <w:vAlign w:val="center"/>
            <w:hideMark/>
          </w:tcPr>
          <w:p w:rsidR="006D3FAF" w:rsidRDefault="00BE1EB7" w:rsidP="006D3FAF">
            <w:pPr>
              <w:rPr>
                <w:color w:val="000000"/>
                <w:sz w:val="22"/>
                <w:szCs w:val="22"/>
                <w:lang w:eastAsia="zh-CN"/>
              </w:rPr>
            </w:pPr>
            <w:r>
              <w:rPr>
                <w:rFonts w:hint="eastAsia"/>
                <w:szCs w:val="18"/>
                <w:lang w:eastAsia="zh-CN"/>
              </w:rPr>
              <w:t>定期评估战略目标、部门目标和输出成果的实现程度，以便在必要时通过</w:t>
            </w:r>
            <w:r w:rsidRPr="00E00F6F">
              <w:rPr>
                <w:rFonts w:hint="eastAsia"/>
                <w:szCs w:val="18"/>
                <w:lang w:eastAsia="zh-CN"/>
              </w:rPr>
              <w:t>重新分配预算来提高效率</w:t>
            </w:r>
            <w:r w:rsidR="00AA1E89">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nil"/>
              <w:left w:val="nil"/>
              <w:bottom w:val="nil"/>
              <w:right w:val="nil"/>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1" w:type="dxa"/>
            <w:tcBorders>
              <w:top w:val="nil"/>
              <w:left w:val="nil"/>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r>
      <w:tr w:rsidR="006D3FAF" w:rsidTr="006D3FAF">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6D3FAF" w:rsidRDefault="006D3FAF" w:rsidP="006D3FAF">
            <w:pPr>
              <w:rPr>
                <w:color w:val="000000"/>
                <w:sz w:val="22"/>
                <w:szCs w:val="22"/>
              </w:rPr>
            </w:pPr>
            <w:r>
              <w:rPr>
                <w:color w:val="000000"/>
                <w:sz w:val="22"/>
                <w:szCs w:val="22"/>
              </w:rPr>
              <w:t>21</w:t>
            </w:r>
          </w:p>
        </w:tc>
        <w:tc>
          <w:tcPr>
            <w:tcW w:w="6480" w:type="dxa"/>
            <w:tcBorders>
              <w:top w:val="single" w:sz="4" w:space="0" w:color="auto"/>
              <w:left w:val="nil"/>
              <w:bottom w:val="single" w:sz="4" w:space="0" w:color="auto"/>
              <w:right w:val="nil"/>
            </w:tcBorders>
            <w:shd w:val="clear" w:color="000000" w:fill="DDEBF7"/>
            <w:vAlign w:val="center"/>
            <w:hideMark/>
          </w:tcPr>
          <w:p w:rsidR="006D3FAF" w:rsidRDefault="00BE1EB7" w:rsidP="006D3FAF">
            <w:pPr>
              <w:rPr>
                <w:color w:val="000000"/>
                <w:sz w:val="22"/>
                <w:szCs w:val="22"/>
                <w:lang w:eastAsia="zh-CN"/>
              </w:rPr>
            </w:pPr>
            <w:r w:rsidRPr="00E00F6F">
              <w:rPr>
                <w:rFonts w:hint="eastAsia"/>
                <w:szCs w:val="18"/>
                <w:lang w:eastAsia="zh-CN"/>
              </w:rPr>
              <w:t>对于新活动或那些具有更多财务影响的活动，须进行“附加值”评估，以论证拟议活动与目前和</w:t>
            </w:r>
            <w:r w:rsidRPr="00E00F6F">
              <w:rPr>
                <w:rFonts w:hint="eastAsia"/>
                <w:szCs w:val="18"/>
                <w:lang w:eastAsia="zh-CN"/>
              </w:rPr>
              <w:t>/</w:t>
            </w:r>
            <w:r w:rsidRPr="00E00F6F">
              <w:rPr>
                <w:rFonts w:hint="eastAsia"/>
                <w:szCs w:val="18"/>
                <w:lang w:eastAsia="zh-CN"/>
              </w:rPr>
              <w:t>或类似活动的区别，避免重复工作</w:t>
            </w:r>
            <w:r w:rsidR="00AA1E89">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r>
    </w:tbl>
    <w:p w:rsidR="006D3FAF" w:rsidRDefault="006D3FAF" w:rsidP="006D3FAF">
      <w:pPr>
        <w:overflowPunct/>
        <w:autoSpaceDE/>
        <w:autoSpaceDN/>
        <w:adjustRightInd/>
        <w:spacing w:before="0"/>
        <w:textAlignment w:val="auto"/>
        <w:rPr>
          <w:szCs w:val="24"/>
          <w:lang w:eastAsia="zh-CN"/>
        </w:rPr>
      </w:pPr>
      <w:r>
        <w:rPr>
          <w:szCs w:val="24"/>
          <w:lang w:eastAsia="zh-CN"/>
        </w:rPr>
        <w:br w:type="page"/>
      </w:r>
    </w:p>
    <w:tbl>
      <w:tblPr>
        <w:tblW w:w="13901" w:type="dxa"/>
        <w:tblLook w:val="04A0" w:firstRow="1" w:lastRow="0" w:firstColumn="1" w:lastColumn="0" w:noHBand="0" w:noVBand="1"/>
      </w:tblPr>
      <w:tblGrid>
        <w:gridCol w:w="620"/>
        <w:gridCol w:w="6480"/>
        <w:gridCol w:w="1700"/>
        <w:gridCol w:w="1700"/>
        <w:gridCol w:w="1700"/>
        <w:gridCol w:w="1701"/>
      </w:tblGrid>
      <w:tr w:rsidR="006D3FAF" w:rsidRPr="00283CC7" w:rsidTr="006D3FAF">
        <w:trPr>
          <w:trHeight w:val="288"/>
        </w:trPr>
        <w:tc>
          <w:tcPr>
            <w:tcW w:w="620" w:type="dxa"/>
            <w:tcBorders>
              <w:top w:val="nil"/>
              <w:left w:val="nil"/>
              <w:bottom w:val="nil"/>
              <w:right w:val="nil"/>
            </w:tcBorders>
            <w:shd w:val="clear" w:color="auto" w:fill="8DB3E2" w:themeFill="text2" w:themeFillTint="66"/>
            <w:noWrap/>
            <w:vAlign w:val="bottom"/>
            <w:hideMark/>
          </w:tcPr>
          <w:p w:rsidR="006D3FAF" w:rsidRPr="00283CC7" w:rsidRDefault="006D3FAF" w:rsidP="006D3FAF">
            <w:pPr>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rsidR="006D3FAF" w:rsidRPr="00283CC7" w:rsidRDefault="006D3FAF" w:rsidP="006D3FAF">
            <w:pPr>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rsidR="006D3FAF" w:rsidRPr="00283CC7" w:rsidRDefault="002A5095" w:rsidP="006D3FAF">
            <w:pPr>
              <w:overflowPunct/>
              <w:autoSpaceDE/>
              <w:autoSpaceDN/>
              <w:adjustRightInd/>
              <w:spacing w:before="0"/>
              <w:jc w:val="center"/>
              <w:textAlignment w:val="auto"/>
              <w:rPr>
                <w:i/>
                <w:iCs/>
                <w:color w:val="000000"/>
                <w:sz w:val="18"/>
                <w:szCs w:val="18"/>
                <w:lang w:eastAsia="zh-CN"/>
              </w:rPr>
            </w:pPr>
            <w:r w:rsidRPr="00376AAC">
              <w:rPr>
                <w:rFonts w:ascii="STKaiti" w:eastAsia="STKaiti" w:hAnsi="STKaiti"/>
                <w:color w:val="000000"/>
                <w:sz w:val="18"/>
                <w:szCs w:val="18"/>
                <w:lang w:eastAsia="zh-CN"/>
              </w:rPr>
              <w:t>（</w:t>
            </w:r>
            <w:r w:rsidRPr="00376AAC">
              <w:rPr>
                <w:rFonts w:ascii="STKaiti" w:eastAsia="STKaiti" w:hAnsi="STKaiti" w:hint="eastAsia"/>
                <w:color w:val="000000"/>
                <w:sz w:val="18"/>
                <w:szCs w:val="18"/>
                <w:lang w:eastAsia="zh-CN"/>
              </w:rPr>
              <w:t>单位：千瑞郎</w:t>
            </w:r>
            <w:r w:rsidRPr="00376AAC">
              <w:rPr>
                <w:rFonts w:ascii="STKaiti" w:eastAsia="STKaiti" w:hAnsi="STKaiti"/>
                <w:color w:val="000000"/>
                <w:sz w:val="18"/>
                <w:szCs w:val="18"/>
                <w:lang w:eastAsia="zh-CN"/>
              </w:rPr>
              <w:t>）</w:t>
            </w:r>
          </w:p>
        </w:tc>
      </w:tr>
      <w:tr w:rsidR="002A5095" w:rsidTr="00882891">
        <w:trPr>
          <w:trHeight w:val="272"/>
        </w:trPr>
        <w:tc>
          <w:tcPr>
            <w:tcW w:w="620" w:type="dxa"/>
            <w:tcBorders>
              <w:top w:val="nil"/>
              <w:left w:val="nil"/>
              <w:bottom w:val="nil"/>
              <w:right w:val="nil"/>
            </w:tcBorders>
            <w:shd w:val="clear" w:color="auto" w:fill="8DB3E2" w:themeFill="text2" w:themeFillTint="66"/>
            <w:noWrap/>
            <w:vAlign w:val="center"/>
          </w:tcPr>
          <w:p w:rsidR="002A5095" w:rsidRDefault="002A5095" w:rsidP="002A5095">
            <w:pPr>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rsidR="002A5095" w:rsidRDefault="00AA1E89" w:rsidP="002A5095">
            <w:pPr>
              <w:jc w:val="center"/>
              <w:rPr>
                <w:color w:val="000000"/>
                <w:sz w:val="22"/>
                <w:szCs w:val="22"/>
                <w:lang w:eastAsia="zh-CN"/>
              </w:rPr>
            </w:pPr>
            <w:r>
              <w:rPr>
                <w:rFonts w:hint="eastAsia"/>
                <w:szCs w:val="18"/>
                <w:lang w:eastAsia="zh-CN"/>
              </w:rPr>
              <w:t>增</w:t>
            </w:r>
            <w:r>
              <w:rPr>
                <w:szCs w:val="18"/>
                <w:lang w:eastAsia="zh-CN"/>
              </w:rPr>
              <w:t>效</w:t>
            </w:r>
            <w:r w:rsidRPr="005E0567">
              <w:rPr>
                <w:rFonts w:hint="eastAsia"/>
                <w:szCs w:val="18"/>
                <w:lang w:eastAsia="zh-CN"/>
              </w:rPr>
              <w:t>减支措施</w:t>
            </w:r>
            <w:r>
              <w:rPr>
                <w:color w:val="000000"/>
                <w:sz w:val="22"/>
                <w:szCs w:val="22"/>
                <w:lang w:eastAsia="zh-CN"/>
              </w:rPr>
              <w:t>（</w:t>
            </w:r>
            <w:r>
              <w:rPr>
                <w:color w:val="000000"/>
                <w:sz w:val="22"/>
                <w:szCs w:val="22"/>
                <w:lang w:eastAsia="zh-CN"/>
              </w:rPr>
              <w:t>PP14</w:t>
            </w:r>
            <w:r>
              <w:rPr>
                <w:rFonts w:hint="eastAsia"/>
                <w:color w:val="000000"/>
                <w:sz w:val="22"/>
                <w:szCs w:val="22"/>
                <w:lang w:eastAsia="zh-CN"/>
              </w:rPr>
              <w:t>第</w:t>
            </w:r>
            <w:r>
              <w:rPr>
                <w:color w:val="000000"/>
                <w:sz w:val="22"/>
                <w:szCs w:val="22"/>
                <w:lang w:eastAsia="zh-CN"/>
              </w:rPr>
              <w:t>5</w:t>
            </w:r>
            <w:r>
              <w:rPr>
                <w:rFonts w:hint="eastAsia"/>
                <w:color w:val="000000"/>
                <w:sz w:val="22"/>
                <w:szCs w:val="22"/>
                <w:lang w:eastAsia="zh-CN"/>
              </w:rPr>
              <w:t>号决定</w:t>
            </w:r>
            <w:r>
              <w:rPr>
                <w:rFonts w:hint="eastAsia"/>
                <w:color w:val="000000"/>
                <w:sz w:val="22"/>
                <w:szCs w:val="22"/>
                <w:lang w:eastAsia="zh-CN"/>
              </w:rPr>
              <w:t xml:space="preserve"> </w:t>
            </w:r>
            <w:r>
              <w:rPr>
                <w:color w:val="000000"/>
                <w:sz w:val="22"/>
                <w:szCs w:val="22"/>
                <w:lang w:eastAsia="zh-CN"/>
              </w:rPr>
              <w:t xml:space="preserve">– </w:t>
            </w:r>
            <w:r>
              <w:rPr>
                <w:rFonts w:hint="eastAsia"/>
                <w:color w:val="000000"/>
                <w:sz w:val="22"/>
                <w:szCs w:val="22"/>
                <w:lang w:eastAsia="zh-CN"/>
              </w:rPr>
              <w:t>附件</w:t>
            </w:r>
            <w:r>
              <w:rPr>
                <w:color w:val="000000"/>
                <w:sz w:val="22"/>
                <w:szCs w:val="22"/>
                <w:lang w:eastAsia="zh-CN"/>
              </w:rPr>
              <w:t>2</w:t>
            </w:r>
            <w:r>
              <w:rPr>
                <w:color w:val="000000"/>
                <w:sz w:val="22"/>
                <w:szCs w:val="22"/>
                <w:lang w:eastAsia="zh-CN"/>
              </w:rPr>
              <w:t>）</w:t>
            </w:r>
          </w:p>
        </w:tc>
        <w:tc>
          <w:tcPr>
            <w:tcW w:w="1700" w:type="dxa"/>
            <w:tcBorders>
              <w:top w:val="nil"/>
              <w:left w:val="dotted" w:sz="4" w:space="0" w:color="auto"/>
              <w:bottom w:val="nil"/>
              <w:right w:val="dotted" w:sz="4" w:space="0" w:color="auto"/>
            </w:tcBorders>
            <w:shd w:val="clear" w:color="auto" w:fill="8DB3E2" w:themeFill="text2" w:themeFillTint="66"/>
            <w:noWrap/>
          </w:tcPr>
          <w:p w:rsidR="002A5095" w:rsidRPr="009810F5" w:rsidRDefault="002A5095" w:rsidP="00AF5E3E">
            <w:pPr>
              <w:jc w:val="center"/>
            </w:pPr>
            <w:r w:rsidRPr="009810F5">
              <w:rPr>
                <w:rFonts w:hint="eastAsia"/>
              </w:rPr>
              <w:t>2014-2015</w:t>
            </w:r>
            <w:r w:rsidRPr="009810F5">
              <w:rPr>
                <w:rFonts w:hint="eastAsia"/>
              </w:rPr>
              <w:t>年</w:t>
            </w:r>
          </w:p>
        </w:tc>
        <w:tc>
          <w:tcPr>
            <w:tcW w:w="1700" w:type="dxa"/>
            <w:tcBorders>
              <w:top w:val="nil"/>
              <w:left w:val="nil"/>
              <w:bottom w:val="nil"/>
              <w:right w:val="nil"/>
            </w:tcBorders>
            <w:shd w:val="clear" w:color="auto" w:fill="8DB3E2" w:themeFill="text2" w:themeFillTint="66"/>
            <w:noWrap/>
          </w:tcPr>
          <w:p w:rsidR="002A5095" w:rsidRPr="009810F5" w:rsidRDefault="002A5095" w:rsidP="00AF5E3E">
            <w:pPr>
              <w:jc w:val="center"/>
            </w:pPr>
            <w:r w:rsidRPr="009810F5">
              <w:rPr>
                <w:rFonts w:hint="eastAsia"/>
              </w:rPr>
              <w:t>2016-2017</w:t>
            </w:r>
            <w:r w:rsidRPr="009810F5">
              <w:rPr>
                <w:rFonts w:hint="eastAsia"/>
              </w:rPr>
              <w:t>年</w:t>
            </w:r>
          </w:p>
        </w:tc>
        <w:tc>
          <w:tcPr>
            <w:tcW w:w="1700" w:type="dxa"/>
            <w:tcBorders>
              <w:top w:val="nil"/>
              <w:left w:val="dotted" w:sz="4" w:space="0" w:color="auto"/>
              <w:bottom w:val="nil"/>
              <w:right w:val="dotted" w:sz="4" w:space="0" w:color="auto"/>
            </w:tcBorders>
            <w:shd w:val="clear" w:color="auto" w:fill="8DB3E2" w:themeFill="text2" w:themeFillTint="66"/>
            <w:noWrap/>
          </w:tcPr>
          <w:p w:rsidR="002A5095" w:rsidRPr="009810F5" w:rsidRDefault="002A5095" w:rsidP="00AF5E3E">
            <w:pPr>
              <w:jc w:val="center"/>
            </w:pPr>
            <w:r w:rsidRPr="009810F5">
              <w:rPr>
                <w:rFonts w:hint="eastAsia"/>
              </w:rPr>
              <w:t>2018-2019</w:t>
            </w:r>
            <w:r w:rsidRPr="009810F5">
              <w:rPr>
                <w:rFonts w:hint="eastAsia"/>
              </w:rPr>
              <w:t>年</w:t>
            </w:r>
          </w:p>
        </w:tc>
        <w:tc>
          <w:tcPr>
            <w:tcW w:w="1701" w:type="dxa"/>
            <w:tcBorders>
              <w:top w:val="nil"/>
              <w:left w:val="nil"/>
              <w:bottom w:val="nil"/>
              <w:right w:val="dotted" w:sz="4" w:space="0" w:color="auto"/>
            </w:tcBorders>
            <w:shd w:val="clear" w:color="auto" w:fill="8DB3E2" w:themeFill="text2" w:themeFillTint="66"/>
            <w:noWrap/>
          </w:tcPr>
          <w:p w:rsidR="002A5095" w:rsidRDefault="002A5095" w:rsidP="00AF5E3E">
            <w:pPr>
              <w:jc w:val="center"/>
            </w:pPr>
            <w:proofErr w:type="spellStart"/>
            <w:r w:rsidRPr="009810F5">
              <w:rPr>
                <w:rFonts w:hint="eastAsia"/>
              </w:rPr>
              <w:t>合计</w:t>
            </w:r>
            <w:proofErr w:type="spellEnd"/>
          </w:p>
        </w:tc>
      </w:tr>
      <w:tr w:rsidR="006D3FAF" w:rsidTr="006D3FAF">
        <w:trPr>
          <w:trHeight w:val="1440"/>
        </w:trPr>
        <w:tc>
          <w:tcPr>
            <w:tcW w:w="620" w:type="dxa"/>
            <w:tcBorders>
              <w:top w:val="nil"/>
              <w:left w:val="nil"/>
              <w:bottom w:val="nil"/>
              <w:right w:val="nil"/>
            </w:tcBorders>
            <w:shd w:val="clear" w:color="000000" w:fill="C6E0B4"/>
            <w:noWrap/>
            <w:vAlign w:val="center"/>
            <w:hideMark/>
          </w:tcPr>
          <w:p w:rsidR="006D3FAF" w:rsidRDefault="006D3FAF" w:rsidP="006D3FAF">
            <w:pPr>
              <w:overflowPunct/>
              <w:autoSpaceDE/>
              <w:autoSpaceDN/>
              <w:adjustRightInd/>
              <w:spacing w:before="0"/>
              <w:textAlignment w:val="auto"/>
              <w:rPr>
                <w:color w:val="000000"/>
                <w:sz w:val="22"/>
                <w:szCs w:val="22"/>
                <w:lang w:eastAsia="zh-CN"/>
              </w:rPr>
            </w:pPr>
            <w:r>
              <w:rPr>
                <w:color w:val="000000"/>
                <w:sz w:val="22"/>
                <w:szCs w:val="22"/>
              </w:rPr>
              <w:t>22</w:t>
            </w:r>
          </w:p>
        </w:tc>
        <w:tc>
          <w:tcPr>
            <w:tcW w:w="6480" w:type="dxa"/>
            <w:tcBorders>
              <w:top w:val="nil"/>
              <w:left w:val="nil"/>
              <w:bottom w:val="nil"/>
              <w:right w:val="nil"/>
            </w:tcBorders>
            <w:shd w:val="clear" w:color="000000" w:fill="C6E0B4"/>
            <w:vAlign w:val="center"/>
            <w:hideMark/>
          </w:tcPr>
          <w:p w:rsidR="006D3FAF" w:rsidRDefault="00BE1EB7" w:rsidP="006D3FAF">
            <w:pPr>
              <w:rPr>
                <w:color w:val="000000"/>
                <w:sz w:val="22"/>
                <w:szCs w:val="22"/>
                <w:lang w:eastAsia="zh-CN"/>
              </w:rPr>
            </w:pPr>
            <w:r>
              <w:rPr>
                <w:rFonts w:hint="eastAsia"/>
                <w:szCs w:val="18"/>
                <w:lang w:eastAsia="zh-CN"/>
              </w:rPr>
              <w:t>慎重考虑区域性举措的规模、地点及其资源分配；输出成果和给成员的援助；在区域层面和在总部的区域代表处方面的资源；</w:t>
            </w:r>
            <w:r w:rsidRPr="00E00F6F">
              <w:rPr>
                <w:rFonts w:hint="eastAsia"/>
                <w:szCs w:val="18"/>
                <w:lang w:eastAsia="zh-CN"/>
              </w:rPr>
              <w:t>以及那些源自世界电信发展大会成果和《迪拜行动计划》并直接由部门预算资助的行动的资源</w:t>
            </w:r>
            <w:r w:rsidR="00AA1E89">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jc w:val="right"/>
              <w:rPr>
                <w:color w:val="000000"/>
                <w:sz w:val="22"/>
                <w:szCs w:val="22"/>
              </w:rPr>
            </w:pPr>
            <w:r>
              <w:rPr>
                <w:color w:val="000000"/>
                <w:sz w:val="22"/>
                <w:szCs w:val="22"/>
              </w:rPr>
              <w:t>572</w:t>
            </w:r>
          </w:p>
        </w:tc>
        <w:tc>
          <w:tcPr>
            <w:tcW w:w="1700" w:type="dxa"/>
            <w:tcBorders>
              <w:top w:val="nil"/>
              <w:left w:val="nil"/>
              <w:bottom w:val="nil"/>
              <w:right w:val="nil"/>
            </w:tcBorders>
            <w:shd w:val="clear" w:color="000000" w:fill="C6E0B4"/>
            <w:noWrap/>
            <w:vAlign w:val="bottom"/>
            <w:hideMark/>
          </w:tcPr>
          <w:p w:rsidR="006D3FAF" w:rsidRDefault="006D3FAF" w:rsidP="006D3FAF">
            <w:pPr>
              <w:jc w:val="right"/>
              <w:rPr>
                <w:color w:val="000000"/>
                <w:sz w:val="22"/>
                <w:szCs w:val="22"/>
              </w:rPr>
            </w:pPr>
            <w:r>
              <w:rPr>
                <w:color w:val="000000"/>
                <w:sz w:val="22"/>
                <w:szCs w:val="22"/>
              </w:rPr>
              <w:t>1,100</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6D3FAF" w:rsidRDefault="006D3FAF" w:rsidP="006D3FAF">
            <w:pPr>
              <w:jc w:val="right"/>
              <w:rPr>
                <w:color w:val="000000"/>
                <w:sz w:val="22"/>
                <w:szCs w:val="22"/>
              </w:rPr>
            </w:pPr>
            <w:r>
              <w:rPr>
                <w:color w:val="000000"/>
                <w:sz w:val="22"/>
                <w:szCs w:val="22"/>
              </w:rPr>
              <w:t>1,672</w:t>
            </w:r>
          </w:p>
        </w:tc>
      </w:tr>
      <w:tr w:rsidR="006D3FAF" w:rsidTr="006D3FAF">
        <w:trPr>
          <w:trHeight w:val="3168"/>
        </w:trPr>
        <w:tc>
          <w:tcPr>
            <w:tcW w:w="620" w:type="dxa"/>
            <w:tcBorders>
              <w:top w:val="single" w:sz="4" w:space="0" w:color="auto"/>
              <w:left w:val="nil"/>
              <w:bottom w:val="single" w:sz="4" w:space="0" w:color="auto"/>
              <w:right w:val="nil"/>
            </w:tcBorders>
            <w:shd w:val="clear" w:color="000000" w:fill="DDEBF7"/>
            <w:noWrap/>
            <w:vAlign w:val="center"/>
            <w:hideMark/>
          </w:tcPr>
          <w:p w:rsidR="006D3FAF" w:rsidRDefault="006D3FAF" w:rsidP="006D3FAF">
            <w:pPr>
              <w:rPr>
                <w:color w:val="000000"/>
                <w:sz w:val="22"/>
                <w:szCs w:val="22"/>
              </w:rPr>
            </w:pPr>
            <w:r>
              <w:rPr>
                <w:color w:val="000000"/>
                <w:sz w:val="22"/>
                <w:szCs w:val="22"/>
              </w:rPr>
              <w:t>23</w:t>
            </w:r>
          </w:p>
        </w:tc>
        <w:tc>
          <w:tcPr>
            <w:tcW w:w="6480" w:type="dxa"/>
            <w:tcBorders>
              <w:top w:val="single" w:sz="4" w:space="0" w:color="auto"/>
              <w:left w:val="nil"/>
              <w:bottom w:val="single" w:sz="4" w:space="0" w:color="auto"/>
              <w:right w:val="nil"/>
            </w:tcBorders>
            <w:shd w:val="clear" w:color="000000" w:fill="DDEBF7"/>
            <w:vAlign w:val="center"/>
            <w:hideMark/>
          </w:tcPr>
          <w:p w:rsidR="006D3FAF" w:rsidRDefault="00BE1EB7" w:rsidP="006D3FAF">
            <w:pPr>
              <w:rPr>
                <w:color w:val="000000"/>
                <w:sz w:val="22"/>
                <w:szCs w:val="22"/>
                <w:lang w:eastAsia="zh-CN"/>
              </w:rPr>
            </w:pPr>
            <w:r w:rsidRPr="00E00F6F">
              <w:rPr>
                <w:rFonts w:hint="eastAsia"/>
                <w:szCs w:val="18"/>
                <w:lang w:eastAsia="zh-CN"/>
              </w:rPr>
              <w:t>通过制定和实施标准，减少差旅费用。标准应考虑并旨在最大限</w:t>
            </w:r>
            <w:r>
              <w:rPr>
                <w:rFonts w:hint="eastAsia"/>
                <w:szCs w:val="18"/>
                <w:lang w:eastAsia="zh-CN"/>
              </w:rPr>
              <w:t>度地减少公务差旅，提高乘坐公务舱所需的最低小时数，将提前通知天数</w:t>
            </w:r>
            <w:r w:rsidRPr="00E00F6F">
              <w:rPr>
                <w:rFonts w:hint="eastAsia"/>
                <w:szCs w:val="18"/>
                <w:lang w:eastAsia="zh-CN"/>
              </w:rPr>
              <w:t>提高至</w:t>
            </w:r>
            <w:r w:rsidRPr="00E00F6F">
              <w:rPr>
                <w:rFonts w:hint="eastAsia"/>
                <w:szCs w:val="18"/>
                <w:lang w:eastAsia="zh-CN"/>
              </w:rPr>
              <w:t>30</w:t>
            </w:r>
            <w:r>
              <w:rPr>
                <w:rFonts w:hint="eastAsia"/>
                <w:szCs w:val="18"/>
                <w:lang w:eastAsia="zh-CN"/>
              </w:rPr>
              <w:t>天，</w:t>
            </w:r>
            <w:r w:rsidRPr="00E00F6F">
              <w:rPr>
                <w:rFonts w:hint="eastAsia"/>
                <w:szCs w:val="18"/>
                <w:lang w:eastAsia="zh-CN"/>
              </w:rPr>
              <w:t>尽可能减少额外每日生活津贴（</w:t>
            </w:r>
            <w:r w:rsidRPr="00E00F6F">
              <w:rPr>
                <w:rFonts w:hint="eastAsia"/>
                <w:szCs w:val="18"/>
                <w:lang w:eastAsia="zh-CN"/>
              </w:rPr>
              <w:t>DSA</w:t>
            </w:r>
            <w:r>
              <w:rPr>
                <w:rFonts w:hint="eastAsia"/>
                <w:szCs w:val="18"/>
                <w:lang w:eastAsia="zh-CN"/>
              </w:rPr>
              <w:t>），优先考虑从区域代表处和地区办事处派遣职员，</w:t>
            </w:r>
            <w:r w:rsidRPr="00E00F6F">
              <w:rPr>
                <w:rFonts w:hint="eastAsia"/>
                <w:szCs w:val="18"/>
                <w:lang w:eastAsia="zh-CN"/>
              </w:rPr>
              <w:t>还通过由一方代表多方出席会议来限制出差时间</w:t>
            </w:r>
            <w:r>
              <w:rPr>
                <w:rFonts w:hint="eastAsia"/>
                <w:szCs w:val="18"/>
                <w:lang w:eastAsia="zh-CN"/>
              </w:rPr>
              <w:t>，</w:t>
            </w:r>
            <w:r w:rsidRPr="00E00F6F">
              <w:rPr>
                <w:rFonts w:hint="eastAsia"/>
                <w:szCs w:val="18"/>
                <w:lang w:eastAsia="zh-CN"/>
              </w:rPr>
              <w:t>实现总秘书处和三个局各部</w:t>
            </w:r>
            <w:r w:rsidRPr="00E00F6F">
              <w:rPr>
                <w:rFonts w:hint="eastAsia"/>
                <w:szCs w:val="18"/>
                <w:lang w:eastAsia="zh-CN"/>
              </w:rPr>
              <w:t>/</w:t>
            </w:r>
            <w:r w:rsidRPr="00E00F6F">
              <w:rPr>
                <w:rFonts w:hint="eastAsia"/>
                <w:szCs w:val="18"/>
                <w:lang w:eastAsia="zh-CN"/>
              </w:rPr>
              <w:t>处出差人数合理化</w:t>
            </w:r>
            <w:r w:rsidR="00AA1E89">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1,472</w:t>
            </w:r>
          </w:p>
        </w:tc>
        <w:tc>
          <w:tcPr>
            <w:tcW w:w="1700" w:type="dxa"/>
            <w:tcBorders>
              <w:top w:val="single" w:sz="4" w:space="0" w:color="auto"/>
              <w:left w:val="nil"/>
              <w:bottom w:val="single" w:sz="4" w:space="0" w:color="auto"/>
              <w:right w:val="nil"/>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920</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2,392</w:t>
            </w:r>
          </w:p>
        </w:tc>
      </w:tr>
      <w:tr w:rsidR="006D3FAF" w:rsidTr="006D3FAF">
        <w:trPr>
          <w:trHeight w:val="864"/>
        </w:trPr>
        <w:tc>
          <w:tcPr>
            <w:tcW w:w="620" w:type="dxa"/>
            <w:tcBorders>
              <w:top w:val="nil"/>
              <w:left w:val="nil"/>
              <w:bottom w:val="nil"/>
              <w:right w:val="nil"/>
            </w:tcBorders>
            <w:shd w:val="clear" w:color="000000" w:fill="C6E0B4"/>
            <w:noWrap/>
            <w:vAlign w:val="center"/>
            <w:hideMark/>
          </w:tcPr>
          <w:p w:rsidR="006D3FAF" w:rsidRDefault="006D3FAF" w:rsidP="006D3FAF">
            <w:pPr>
              <w:rPr>
                <w:color w:val="000000"/>
                <w:sz w:val="22"/>
                <w:szCs w:val="22"/>
              </w:rPr>
            </w:pPr>
            <w:r>
              <w:rPr>
                <w:color w:val="000000"/>
                <w:sz w:val="22"/>
                <w:szCs w:val="22"/>
              </w:rPr>
              <w:t>24</w:t>
            </w:r>
          </w:p>
        </w:tc>
        <w:tc>
          <w:tcPr>
            <w:tcW w:w="6480" w:type="dxa"/>
            <w:tcBorders>
              <w:top w:val="nil"/>
              <w:left w:val="nil"/>
              <w:bottom w:val="nil"/>
              <w:right w:val="nil"/>
            </w:tcBorders>
            <w:shd w:val="clear" w:color="000000" w:fill="C6E0B4"/>
            <w:vAlign w:val="center"/>
            <w:hideMark/>
          </w:tcPr>
          <w:p w:rsidR="006D3FAF" w:rsidRDefault="00BE1EB7" w:rsidP="006D3FAF">
            <w:pPr>
              <w:rPr>
                <w:color w:val="000000"/>
                <w:sz w:val="22"/>
                <w:szCs w:val="22"/>
                <w:lang w:eastAsia="zh-CN"/>
              </w:rPr>
            </w:pPr>
            <w:r w:rsidRPr="00B76D67">
              <w:rPr>
                <w:rFonts w:hint="eastAsia"/>
                <w:szCs w:val="18"/>
                <w:lang w:eastAsia="zh-CN"/>
              </w:rPr>
              <w:t>减少和</w:t>
            </w:r>
            <w:r w:rsidRPr="00B76D67">
              <w:rPr>
                <w:rFonts w:hint="eastAsia"/>
                <w:szCs w:val="18"/>
                <w:lang w:eastAsia="zh-CN"/>
              </w:rPr>
              <w:t>/</w:t>
            </w:r>
            <w:r w:rsidRPr="00B76D67">
              <w:rPr>
                <w:rFonts w:hint="eastAsia"/>
                <w:szCs w:val="18"/>
                <w:lang w:eastAsia="zh-CN"/>
              </w:rPr>
              <w:t>或避免派人出席提供网播和现场字幕的会议，包括在此类会议上利用远程方式介绍文件和文稿</w:t>
            </w:r>
            <w:r w:rsidR="00AA1E89">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jc w:val="right"/>
              <w:rPr>
                <w:color w:val="000000"/>
                <w:sz w:val="22"/>
                <w:szCs w:val="22"/>
                <w:lang w:eastAsia="zh-CN"/>
              </w:rPr>
            </w:pPr>
          </w:p>
        </w:tc>
        <w:tc>
          <w:tcPr>
            <w:tcW w:w="1700" w:type="dxa"/>
            <w:tcBorders>
              <w:top w:val="nil"/>
              <w:left w:val="nil"/>
              <w:bottom w:val="nil"/>
              <w:right w:val="nil"/>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1" w:type="dxa"/>
            <w:tcBorders>
              <w:top w:val="nil"/>
              <w:left w:val="nil"/>
              <w:bottom w:val="nil"/>
              <w:right w:val="dotted" w:sz="4" w:space="0" w:color="auto"/>
            </w:tcBorders>
            <w:shd w:val="clear" w:color="000000" w:fill="C6E0B4"/>
            <w:noWrap/>
            <w:vAlign w:val="bottom"/>
            <w:hideMark/>
          </w:tcPr>
          <w:p w:rsidR="006D3FAF" w:rsidRDefault="006D3FAF" w:rsidP="006D3FAF">
            <w:pPr>
              <w:jc w:val="right"/>
              <w:rPr>
                <w:color w:val="000000"/>
                <w:sz w:val="22"/>
                <w:szCs w:val="22"/>
                <w:lang w:eastAsia="zh-CN"/>
              </w:rPr>
            </w:pPr>
          </w:p>
        </w:tc>
      </w:tr>
      <w:tr w:rsidR="006D3FAF" w:rsidTr="006D3FAF">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rsidR="006D3FAF" w:rsidRDefault="006D3FAF" w:rsidP="006D3FAF">
            <w:pPr>
              <w:rPr>
                <w:color w:val="000000"/>
                <w:sz w:val="22"/>
                <w:szCs w:val="22"/>
              </w:rPr>
            </w:pPr>
            <w:r>
              <w:rPr>
                <w:color w:val="000000"/>
                <w:sz w:val="22"/>
                <w:szCs w:val="22"/>
              </w:rPr>
              <w:t>25</w:t>
            </w:r>
          </w:p>
        </w:tc>
        <w:tc>
          <w:tcPr>
            <w:tcW w:w="6480" w:type="dxa"/>
            <w:tcBorders>
              <w:top w:val="single" w:sz="4" w:space="0" w:color="auto"/>
              <w:left w:val="nil"/>
              <w:bottom w:val="single" w:sz="4" w:space="0" w:color="auto"/>
              <w:right w:val="nil"/>
            </w:tcBorders>
            <w:shd w:val="clear" w:color="000000" w:fill="DDEBF7"/>
            <w:vAlign w:val="center"/>
            <w:hideMark/>
          </w:tcPr>
          <w:p w:rsidR="006D3FAF" w:rsidRDefault="00BE1EB7" w:rsidP="006D3FAF">
            <w:pPr>
              <w:rPr>
                <w:color w:val="000000"/>
                <w:sz w:val="22"/>
                <w:szCs w:val="22"/>
                <w:lang w:eastAsia="zh-CN"/>
              </w:rPr>
            </w:pPr>
            <w:r w:rsidRPr="00B76D67">
              <w:rPr>
                <w:rFonts w:hint="eastAsia"/>
                <w:szCs w:val="18"/>
                <w:lang w:eastAsia="zh-CN"/>
              </w:rPr>
              <w:t>完善并确定内部电子工作方法的优先顺序，以减少区域代表处与日内瓦之间的往来差旅</w:t>
            </w:r>
            <w:r w:rsidR="00AA1E89">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r>
      <w:tr w:rsidR="006D3FAF" w:rsidTr="006D3FAF">
        <w:trPr>
          <w:trHeight w:val="1440"/>
        </w:trPr>
        <w:tc>
          <w:tcPr>
            <w:tcW w:w="620" w:type="dxa"/>
            <w:tcBorders>
              <w:top w:val="nil"/>
              <w:left w:val="nil"/>
              <w:bottom w:val="nil"/>
              <w:right w:val="nil"/>
            </w:tcBorders>
            <w:shd w:val="clear" w:color="000000" w:fill="C6E0B4"/>
            <w:noWrap/>
            <w:vAlign w:val="center"/>
            <w:hideMark/>
          </w:tcPr>
          <w:p w:rsidR="006D3FAF" w:rsidRDefault="006D3FAF" w:rsidP="006D3FAF">
            <w:pPr>
              <w:rPr>
                <w:color w:val="000000"/>
                <w:sz w:val="22"/>
                <w:szCs w:val="22"/>
              </w:rPr>
            </w:pPr>
            <w:r>
              <w:rPr>
                <w:color w:val="000000"/>
                <w:sz w:val="22"/>
                <w:szCs w:val="22"/>
              </w:rPr>
              <w:t>26</w:t>
            </w:r>
          </w:p>
        </w:tc>
        <w:tc>
          <w:tcPr>
            <w:tcW w:w="6480" w:type="dxa"/>
            <w:tcBorders>
              <w:top w:val="nil"/>
              <w:left w:val="nil"/>
              <w:bottom w:val="nil"/>
              <w:right w:val="nil"/>
            </w:tcBorders>
            <w:shd w:val="clear" w:color="000000" w:fill="C6E0B4"/>
            <w:vAlign w:val="center"/>
            <w:hideMark/>
          </w:tcPr>
          <w:p w:rsidR="006D3FAF" w:rsidRDefault="00BE1EB7" w:rsidP="006D3FAF">
            <w:pPr>
              <w:rPr>
                <w:color w:val="000000"/>
                <w:sz w:val="22"/>
                <w:szCs w:val="22"/>
                <w:lang w:eastAsia="zh-CN"/>
              </w:rPr>
            </w:pPr>
            <w:r w:rsidRPr="00B76D67">
              <w:rPr>
                <w:rFonts w:hint="eastAsia"/>
                <w:szCs w:val="18"/>
                <w:lang w:eastAsia="zh-CN"/>
              </w:rPr>
              <w:t>根据《公约》第</w:t>
            </w:r>
            <w:r w:rsidRPr="00B76D67">
              <w:rPr>
                <w:rFonts w:hint="eastAsia"/>
                <w:szCs w:val="18"/>
                <w:lang w:eastAsia="zh-CN"/>
              </w:rPr>
              <w:t>145</w:t>
            </w:r>
            <w:r w:rsidRPr="00B76D67">
              <w:rPr>
                <w:rFonts w:hint="eastAsia"/>
                <w:szCs w:val="18"/>
                <w:lang w:eastAsia="zh-CN"/>
              </w:rPr>
              <w:t>款，需要探索出一套完整的电子工作方法，以便能够在未来减少无线电规则委员会会议的费用、次数并缩短会期，如，将一个日历年的会议次数由四次减至三次</w:t>
            </w:r>
            <w:r w:rsidR="00AA1E89">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jc w:val="right"/>
              <w:rPr>
                <w:color w:val="000000"/>
                <w:sz w:val="22"/>
                <w:szCs w:val="22"/>
              </w:rPr>
            </w:pPr>
            <w:r>
              <w:rPr>
                <w:color w:val="000000"/>
                <w:sz w:val="22"/>
                <w:szCs w:val="22"/>
              </w:rPr>
              <w:t>237</w:t>
            </w:r>
          </w:p>
        </w:tc>
        <w:tc>
          <w:tcPr>
            <w:tcW w:w="1700" w:type="dxa"/>
            <w:tcBorders>
              <w:top w:val="nil"/>
              <w:left w:val="nil"/>
              <w:bottom w:val="nil"/>
              <w:right w:val="nil"/>
            </w:tcBorders>
            <w:shd w:val="clear" w:color="000000" w:fill="C6E0B4"/>
            <w:noWrap/>
            <w:vAlign w:val="bottom"/>
            <w:hideMark/>
          </w:tcPr>
          <w:p w:rsidR="006D3FAF" w:rsidRDefault="006D3FAF" w:rsidP="006D3FAF">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6D3FAF" w:rsidRDefault="006D3FAF" w:rsidP="006D3FAF">
            <w:pPr>
              <w:jc w:val="right"/>
              <w:rPr>
                <w:color w:val="000000"/>
                <w:sz w:val="22"/>
                <w:szCs w:val="22"/>
              </w:rPr>
            </w:pPr>
            <w:r>
              <w:rPr>
                <w:color w:val="000000"/>
                <w:sz w:val="22"/>
                <w:szCs w:val="22"/>
              </w:rPr>
              <w:t>237</w:t>
            </w:r>
          </w:p>
        </w:tc>
      </w:tr>
    </w:tbl>
    <w:p w:rsidR="006D3FAF" w:rsidRDefault="006D3FAF" w:rsidP="006D3FAF">
      <w:pPr>
        <w:overflowPunct/>
        <w:autoSpaceDE/>
        <w:autoSpaceDN/>
        <w:adjustRightInd/>
        <w:spacing w:before="0"/>
        <w:textAlignment w:val="auto"/>
        <w:rPr>
          <w:szCs w:val="24"/>
        </w:rPr>
      </w:pPr>
      <w:r>
        <w:rPr>
          <w:szCs w:val="24"/>
        </w:rPr>
        <w:br w:type="page"/>
      </w:r>
    </w:p>
    <w:tbl>
      <w:tblPr>
        <w:tblW w:w="13901" w:type="dxa"/>
        <w:tblLook w:val="04A0" w:firstRow="1" w:lastRow="0" w:firstColumn="1" w:lastColumn="0" w:noHBand="0" w:noVBand="1"/>
      </w:tblPr>
      <w:tblGrid>
        <w:gridCol w:w="620"/>
        <w:gridCol w:w="6480"/>
        <w:gridCol w:w="1700"/>
        <w:gridCol w:w="1700"/>
        <w:gridCol w:w="1700"/>
        <w:gridCol w:w="1701"/>
      </w:tblGrid>
      <w:tr w:rsidR="006D3FAF" w:rsidRPr="00283CC7" w:rsidTr="006D3FAF">
        <w:trPr>
          <w:trHeight w:val="288"/>
        </w:trPr>
        <w:tc>
          <w:tcPr>
            <w:tcW w:w="620" w:type="dxa"/>
            <w:tcBorders>
              <w:top w:val="nil"/>
              <w:left w:val="nil"/>
              <w:bottom w:val="nil"/>
              <w:right w:val="nil"/>
            </w:tcBorders>
            <w:shd w:val="clear" w:color="auto" w:fill="8DB3E2" w:themeFill="text2" w:themeFillTint="66"/>
            <w:noWrap/>
            <w:vAlign w:val="bottom"/>
            <w:hideMark/>
          </w:tcPr>
          <w:p w:rsidR="006D3FAF" w:rsidRPr="00283CC7" w:rsidRDefault="006D3FAF" w:rsidP="006D3FAF">
            <w:pPr>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rsidR="006D3FAF" w:rsidRPr="00283CC7" w:rsidRDefault="006D3FAF" w:rsidP="006D3FAF">
            <w:pPr>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rsidR="006D3FAF" w:rsidRPr="00283CC7" w:rsidRDefault="002A5095" w:rsidP="006D3FAF">
            <w:pPr>
              <w:overflowPunct/>
              <w:autoSpaceDE/>
              <w:autoSpaceDN/>
              <w:adjustRightInd/>
              <w:spacing w:before="0"/>
              <w:jc w:val="center"/>
              <w:textAlignment w:val="auto"/>
              <w:rPr>
                <w:i/>
                <w:iCs/>
                <w:color w:val="000000"/>
                <w:sz w:val="18"/>
                <w:szCs w:val="18"/>
                <w:lang w:eastAsia="zh-CN"/>
              </w:rPr>
            </w:pPr>
            <w:r w:rsidRPr="00376AAC">
              <w:rPr>
                <w:rFonts w:ascii="STKaiti" w:eastAsia="STKaiti" w:hAnsi="STKaiti"/>
                <w:color w:val="000000"/>
                <w:sz w:val="18"/>
                <w:szCs w:val="18"/>
                <w:lang w:eastAsia="zh-CN"/>
              </w:rPr>
              <w:t>（</w:t>
            </w:r>
            <w:r w:rsidRPr="00376AAC">
              <w:rPr>
                <w:rFonts w:ascii="STKaiti" w:eastAsia="STKaiti" w:hAnsi="STKaiti" w:hint="eastAsia"/>
                <w:color w:val="000000"/>
                <w:sz w:val="18"/>
                <w:szCs w:val="18"/>
                <w:lang w:eastAsia="zh-CN"/>
              </w:rPr>
              <w:t>单位：千瑞郎</w:t>
            </w:r>
            <w:r w:rsidRPr="00376AAC">
              <w:rPr>
                <w:rFonts w:ascii="STKaiti" w:eastAsia="STKaiti" w:hAnsi="STKaiti"/>
                <w:color w:val="000000"/>
                <w:sz w:val="18"/>
                <w:szCs w:val="18"/>
                <w:lang w:eastAsia="zh-CN"/>
              </w:rPr>
              <w:t>）</w:t>
            </w:r>
          </w:p>
        </w:tc>
      </w:tr>
      <w:tr w:rsidR="002A5095" w:rsidTr="00F5638E">
        <w:trPr>
          <w:trHeight w:val="272"/>
        </w:trPr>
        <w:tc>
          <w:tcPr>
            <w:tcW w:w="620" w:type="dxa"/>
            <w:tcBorders>
              <w:top w:val="nil"/>
              <w:left w:val="nil"/>
              <w:bottom w:val="nil"/>
              <w:right w:val="nil"/>
            </w:tcBorders>
            <w:shd w:val="clear" w:color="auto" w:fill="8DB3E2" w:themeFill="text2" w:themeFillTint="66"/>
            <w:noWrap/>
            <w:vAlign w:val="center"/>
          </w:tcPr>
          <w:p w:rsidR="002A5095" w:rsidRDefault="002A5095" w:rsidP="002A5095">
            <w:pPr>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rsidR="002A5095" w:rsidRDefault="00AA1E89" w:rsidP="002A5095">
            <w:pPr>
              <w:jc w:val="center"/>
              <w:rPr>
                <w:color w:val="000000"/>
                <w:sz w:val="22"/>
                <w:szCs w:val="22"/>
                <w:lang w:eastAsia="zh-CN"/>
              </w:rPr>
            </w:pPr>
            <w:r>
              <w:rPr>
                <w:rFonts w:hint="eastAsia"/>
                <w:szCs w:val="18"/>
                <w:lang w:eastAsia="zh-CN"/>
              </w:rPr>
              <w:t>增</w:t>
            </w:r>
            <w:r>
              <w:rPr>
                <w:szCs w:val="18"/>
                <w:lang w:eastAsia="zh-CN"/>
              </w:rPr>
              <w:t>效</w:t>
            </w:r>
            <w:r w:rsidRPr="005E0567">
              <w:rPr>
                <w:rFonts w:hint="eastAsia"/>
                <w:szCs w:val="18"/>
                <w:lang w:eastAsia="zh-CN"/>
              </w:rPr>
              <w:t>减支措施</w:t>
            </w:r>
            <w:r>
              <w:rPr>
                <w:color w:val="000000"/>
                <w:sz w:val="22"/>
                <w:szCs w:val="22"/>
                <w:lang w:eastAsia="zh-CN"/>
              </w:rPr>
              <w:t>（</w:t>
            </w:r>
            <w:r>
              <w:rPr>
                <w:color w:val="000000"/>
                <w:sz w:val="22"/>
                <w:szCs w:val="22"/>
                <w:lang w:eastAsia="zh-CN"/>
              </w:rPr>
              <w:t>PP14</w:t>
            </w:r>
            <w:r>
              <w:rPr>
                <w:rFonts w:hint="eastAsia"/>
                <w:color w:val="000000"/>
                <w:sz w:val="22"/>
                <w:szCs w:val="22"/>
                <w:lang w:eastAsia="zh-CN"/>
              </w:rPr>
              <w:t>第</w:t>
            </w:r>
            <w:r>
              <w:rPr>
                <w:color w:val="000000"/>
                <w:sz w:val="22"/>
                <w:szCs w:val="22"/>
                <w:lang w:eastAsia="zh-CN"/>
              </w:rPr>
              <w:t>5</w:t>
            </w:r>
            <w:r>
              <w:rPr>
                <w:rFonts w:hint="eastAsia"/>
                <w:color w:val="000000"/>
                <w:sz w:val="22"/>
                <w:szCs w:val="22"/>
                <w:lang w:eastAsia="zh-CN"/>
              </w:rPr>
              <w:t>号决定</w:t>
            </w:r>
            <w:r>
              <w:rPr>
                <w:rFonts w:hint="eastAsia"/>
                <w:color w:val="000000"/>
                <w:sz w:val="22"/>
                <w:szCs w:val="22"/>
                <w:lang w:eastAsia="zh-CN"/>
              </w:rPr>
              <w:t xml:space="preserve"> </w:t>
            </w:r>
            <w:r>
              <w:rPr>
                <w:color w:val="000000"/>
                <w:sz w:val="22"/>
                <w:szCs w:val="22"/>
                <w:lang w:eastAsia="zh-CN"/>
              </w:rPr>
              <w:t xml:space="preserve">– </w:t>
            </w:r>
            <w:r>
              <w:rPr>
                <w:rFonts w:hint="eastAsia"/>
                <w:color w:val="000000"/>
                <w:sz w:val="22"/>
                <w:szCs w:val="22"/>
                <w:lang w:eastAsia="zh-CN"/>
              </w:rPr>
              <w:t>附件</w:t>
            </w:r>
            <w:r>
              <w:rPr>
                <w:color w:val="000000"/>
                <w:sz w:val="22"/>
                <w:szCs w:val="22"/>
                <w:lang w:eastAsia="zh-CN"/>
              </w:rPr>
              <w:t>2</w:t>
            </w:r>
            <w:r>
              <w:rPr>
                <w:color w:val="000000"/>
                <w:sz w:val="22"/>
                <w:szCs w:val="22"/>
                <w:lang w:eastAsia="zh-CN"/>
              </w:rPr>
              <w:t>）</w:t>
            </w:r>
          </w:p>
        </w:tc>
        <w:tc>
          <w:tcPr>
            <w:tcW w:w="1700" w:type="dxa"/>
            <w:tcBorders>
              <w:top w:val="nil"/>
              <w:left w:val="dotted" w:sz="4" w:space="0" w:color="auto"/>
              <w:bottom w:val="nil"/>
              <w:right w:val="dotted" w:sz="4" w:space="0" w:color="auto"/>
            </w:tcBorders>
            <w:shd w:val="clear" w:color="auto" w:fill="8DB3E2" w:themeFill="text2" w:themeFillTint="66"/>
            <w:noWrap/>
          </w:tcPr>
          <w:p w:rsidR="002A5095" w:rsidRPr="00E50C91" w:rsidRDefault="002A5095" w:rsidP="00AF5E3E">
            <w:pPr>
              <w:jc w:val="center"/>
            </w:pPr>
            <w:r w:rsidRPr="00E50C91">
              <w:rPr>
                <w:rFonts w:hint="eastAsia"/>
              </w:rPr>
              <w:t>2014-2015</w:t>
            </w:r>
            <w:r w:rsidRPr="00E50C91">
              <w:rPr>
                <w:rFonts w:hint="eastAsia"/>
              </w:rPr>
              <w:t>年</w:t>
            </w:r>
          </w:p>
        </w:tc>
        <w:tc>
          <w:tcPr>
            <w:tcW w:w="1700" w:type="dxa"/>
            <w:tcBorders>
              <w:top w:val="nil"/>
              <w:left w:val="nil"/>
              <w:bottom w:val="nil"/>
              <w:right w:val="nil"/>
            </w:tcBorders>
            <w:shd w:val="clear" w:color="auto" w:fill="8DB3E2" w:themeFill="text2" w:themeFillTint="66"/>
            <w:noWrap/>
          </w:tcPr>
          <w:p w:rsidR="002A5095" w:rsidRPr="00E50C91" w:rsidRDefault="002A5095" w:rsidP="00AF5E3E">
            <w:pPr>
              <w:jc w:val="center"/>
            </w:pPr>
            <w:r w:rsidRPr="00E50C91">
              <w:rPr>
                <w:rFonts w:hint="eastAsia"/>
              </w:rPr>
              <w:t>2016-2017</w:t>
            </w:r>
            <w:r w:rsidRPr="00E50C91">
              <w:rPr>
                <w:rFonts w:hint="eastAsia"/>
              </w:rPr>
              <w:t>年</w:t>
            </w:r>
          </w:p>
        </w:tc>
        <w:tc>
          <w:tcPr>
            <w:tcW w:w="1700" w:type="dxa"/>
            <w:tcBorders>
              <w:top w:val="nil"/>
              <w:left w:val="dotted" w:sz="4" w:space="0" w:color="auto"/>
              <w:bottom w:val="nil"/>
              <w:right w:val="dotted" w:sz="4" w:space="0" w:color="auto"/>
            </w:tcBorders>
            <w:shd w:val="clear" w:color="auto" w:fill="8DB3E2" w:themeFill="text2" w:themeFillTint="66"/>
            <w:noWrap/>
          </w:tcPr>
          <w:p w:rsidR="002A5095" w:rsidRPr="00E50C91" w:rsidRDefault="002A5095" w:rsidP="00AF5E3E">
            <w:pPr>
              <w:jc w:val="center"/>
            </w:pPr>
            <w:r w:rsidRPr="00E50C91">
              <w:rPr>
                <w:rFonts w:hint="eastAsia"/>
              </w:rPr>
              <w:t>2018-2019</w:t>
            </w:r>
            <w:r w:rsidRPr="00E50C91">
              <w:rPr>
                <w:rFonts w:hint="eastAsia"/>
              </w:rPr>
              <w:t>年</w:t>
            </w:r>
          </w:p>
        </w:tc>
        <w:tc>
          <w:tcPr>
            <w:tcW w:w="1701" w:type="dxa"/>
            <w:tcBorders>
              <w:top w:val="nil"/>
              <w:left w:val="nil"/>
              <w:bottom w:val="nil"/>
              <w:right w:val="dotted" w:sz="4" w:space="0" w:color="auto"/>
            </w:tcBorders>
            <w:shd w:val="clear" w:color="auto" w:fill="8DB3E2" w:themeFill="text2" w:themeFillTint="66"/>
            <w:noWrap/>
          </w:tcPr>
          <w:p w:rsidR="002A5095" w:rsidRDefault="002A5095" w:rsidP="00AF5E3E">
            <w:pPr>
              <w:jc w:val="center"/>
            </w:pPr>
            <w:proofErr w:type="spellStart"/>
            <w:r w:rsidRPr="00E50C91">
              <w:rPr>
                <w:rFonts w:hint="eastAsia"/>
              </w:rPr>
              <w:t>合计</w:t>
            </w:r>
            <w:proofErr w:type="spellEnd"/>
          </w:p>
        </w:tc>
      </w:tr>
      <w:tr w:rsidR="006D3FAF" w:rsidTr="006D3FAF">
        <w:trPr>
          <w:trHeight w:val="864"/>
        </w:trPr>
        <w:tc>
          <w:tcPr>
            <w:tcW w:w="620" w:type="dxa"/>
            <w:tcBorders>
              <w:top w:val="single" w:sz="4" w:space="0" w:color="auto"/>
              <w:left w:val="nil"/>
              <w:bottom w:val="single" w:sz="4" w:space="0" w:color="auto"/>
              <w:right w:val="nil"/>
            </w:tcBorders>
            <w:shd w:val="clear" w:color="000000" w:fill="DDEBF7"/>
            <w:noWrap/>
            <w:vAlign w:val="center"/>
            <w:hideMark/>
          </w:tcPr>
          <w:p w:rsidR="006D3FAF" w:rsidRDefault="006D3FAF" w:rsidP="006D3FAF">
            <w:pPr>
              <w:overflowPunct/>
              <w:autoSpaceDE/>
              <w:autoSpaceDN/>
              <w:adjustRightInd/>
              <w:spacing w:before="0"/>
              <w:textAlignment w:val="auto"/>
              <w:rPr>
                <w:color w:val="000000"/>
                <w:sz w:val="22"/>
                <w:szCs w:val="22"/>
                <w:lang w:eastAsia="zh-CN"/>
              </w:rPr>
            </w:pPr>
            <w:r>
              <w:rPr>
                <w:color w:val="000000"/>
                <w:sz w:val="22"/>
                <w:szCs w:val="22"/>
              </w:rPr>
              <w:t>27</w:t>
            </w:r>
          </w:p>
        </w:tc>
        <w:tc>
          <w:tcPr>
            <w:tcW w:w="6480" w:type="dxa"/>
            <w:tcBorders>
              <w:top w:val="single" w:sz="4" w:space="0" w:color="auto"/>
              <w:left w:val="nil"/>
              <w:bottom w:val="single" w:sz="4" w:space="0" w:color="auto"/>
              <w:right w:val="nil"/>
            </w:tcBorders>
            <w:shd w:val="clear" w:color="000000" w:fill="DDEBF7"/>
            <w:vAlign w:val="center"/>
            <w:hideMark/>
          </w:tcPr>
          <w:p w:rsidR="006D3FAF" w:rsidRDefault="00BE1EB7" w:rsidP="006D3FAF">
            <w:pPr>
              <w:rPr>
                <w:color w:val="000000"/>
                <w:sz w:val="22"/>
                <w:szCs w:val="22"/>
              </w:rPr>
            </w:pPr>
            <w:r w:rsidRPr="00B76D67">
              <w:rPr>
                <w:rFonts w:hint="eastAsia"/>
                <w:szCs w:val="18"/>
                <w:lang w:eastAsia="zh-CN"/>
              </w:rPr>
              <w:t>引入激励计划，如增效税（</w:t>
            </w:r>
            <w:r w:rsidRPr="00B76D67">
              <w:rPr>
                <w:rFonts w:hint="eastAsia"/>
                <w:szCs w:val="18"/>
                <w:lang w:eastAsia="zh-CN"/>
              </w:rPr>
              <w:t>efficiency tax</w:t>
            </w:r>
            <w:r w:rsidRPr="00B76D67">
              <w:rPr>
                <w:rFonts w:hint="eastAsia"/>
                <w:szCs w:val="18"/>
                <w:lang w:eastAsia="zh-CN"/>
              </w:rPr>
              <w:t>）、创新基金及其它方法，以提出可提高国际电联效率的创新型跨部门工作手段</w:t>
            </w:r>
            <w:r w:rsidR="00AA1E89">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rPr>
            </w:pPr>
            <w:r>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6D3FAF" w:rsidRDefault="006D3FAF" w:rsidP="006D3FAF">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rPr>
            </w:pPr>
            <w:r>
              <w:rPr>
                <w:color w:val="000000"/>
                <w:sz w:val="22"/>
                <w:szCs w:val="22"/>
              </w:rPr>
              <w:t> </w:t>
            </w:r>
          </w:p>
        </w:tc>
      </w:tr>
      <w:tr w:rsidR="006D3FAF" w:rsidTr="006D3FAF">
        <w:trPr>
          <w:trHeight w:val="864"/>
        </w:trPr>
        <w:tc>
          <w:tcPr>
            <w:tcW w:w="620" w:type="dxa"/>
            <w:tcBorders>
              <w:top w:val="nil"/>
              <w:left w:val="nil"/>
              <w:bottom w:val="nil"/>
              <w:right w:val="nil"/>
            </w:tcBorders>
            <w:shd w:val="clear" w:color="000000" w:fill="C6E0B4"/>
            <w:noWrap/>
            <w:vAlign w:val="center"/>
            <w:hideMark/>
          </w:tcPr>
          <w:p w:rsidR="006D3FAF" w:rsidRDefault="006D3FAF" w:rsidP="006D3FAF">
            <w:pPr>
              <w:rPr>
                <w:color w:val="000000"/>
                <w:sz w:val="22"/>
                <w:szCs w:val="22"/>
              </w:rPr>
            </w:pPr>
            <w:r>
              <w:rPr>
                <w:color w:val="000000"/>
                <w:sz w:val="22"/>
                <w:szCs w:val="22"/>
              </w:rPr>
              <w:t>28</w:t>
            </w:r>
          </w:p>
        </w:tc>
        <w:tc>
          <w:tcPr>
            <w:tcW w:w="6480" w:type="dxa"/>
            <w:tcBorders>
              <w:top w:val="nil"/>
              <w:left w:val="nil"/>
              <w:bottom w:val="nil"/>
              <w:right w:val="nil"/>
            </w:tcBorders>
            <w:shd w:val="clear" w:color="000000" w:fill="C6E0B4"/>
            <w:vAlign w:val="center"/>
            <w:hideMark/>
          </w:tcPr>
          <w:p w:rsidR="006D3FAF" w:rsidRDefault="00BE1EB7" w:rsidP="006D3FAF">
            <w:pPr>
              <w:rPr>
                <w:color w:val="000000"/>
                <w:sz w:val="22"/>
                <w:szCs w:val="22"/>
                <w:lang w:eastAsia="zh-CN"/>
              </w:rPr>
            </w:pPr>
            <w:r w:rsidRPr="00B76D67">
              <w:rPr>
                <w:rFonts w:hint="eastAsia"/>
                <w:szCs w:val="18"/>
                <w:lang w:eastAsia="zh-CN"/>
              </w:rPr>
              <w:t>在最大可能的范围内终止国际电联与成员国之间的传真和传统邮件通信方式，以现代电子通信方法取而代之</w:t>
            </w:r>
            <w:r w:rsidR="00AA1E89">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jc w:val="right"/>
              <w:rPr>
                <w:color w:val="000000"/>
                <w:sz w:val="22"/>
                <w:szCs w:val="22"/>
                <w:lang w:eastAsia="zh-CN"/>
              </w:rPr>
            </w:pPr>
          </w:p>
        </w:tc>
        <w:tc>
          <w:tcPr>
            <w:tcW w:w="1700" w:type="dxa"/>
            <w:tcBorders>
              <w:top w:val="nil"/>
              <w:left w:val="nil"/>
              <w:bottom w:val="nil"/>
              <w:right w:val="nil"/>
            </w:tcBorders>
            <w:shd w:val="clear" w:color="000000" w:fill="C6E0B4"/>
            <w:noWrap/>
            <w:vAlign w:val="bottom"/>
            <w:hideMark/>
          </w:tcPr>
          <w:p w:rsidR="006D3FAF" w:rsidRDefault="006D3FAF" w:rsidP="006D3FAF">
            <w:pPr>
              <w:jc w:val="right"/>
              <w:rPr>
                <w:color w:val="000000"/>
                <w:sz w:val="22"/>
                <w:szCs w:val="22"/>
              </w:rPr>
            </w:pPr>
            <w:r>
              <w:rPr>
                <w:color w:val="000000"/>
                <w:sz w:val="22"/>
                <w:szCs w:val="22"/>
                <w:lang w:eastAsia="zh-CN"/>
              </w:rPr>
              <w:t> </w:t>
            </w:r>
            <w:r>
              <w:rPr>
                <w:color w:val="000000"/>
                <w:sz w:val="22"/>
                <w:szCs w:val="22"/>
              </w:rPr>
              <w:t>10</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6D3FAF" w:rsidRDefault="006D3FAF" w:rsidP="006D3FAF">
            <w:pPr>
              <w:jc w:val="right"/>
              <w:rPr>
                <w:color w:val="000000"/>
                <w:sz w:val="22"/>
                <w:szCs w:val="22"/>
              </w:rPr>
            </w:pPr>
            <w:r>
              <w:rPr>
                <w:color w:val="000000"/>
                <w:sz w:val="22"/>
                <w:szCs w:val="22"/>
              </w:rPr>
              <w:t>10</w:t>
            </w:r>
          </w:p>
        </w:tc>
      </w:tr>
      <w:tr w:rsidR="006D3FAF" w:rsidTr="006D3FAF">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rsidR="006D3FAF" w:rsidRDefault="006D3FAF" w:rsidP="006D3FAF">
            <w:pPr>
              <w:rPr>
                <w:color w:val="000000"/>
                <w:sz w:val="22"/>
                <w:szCs w:val="22"/>
              </w:rPr>
            </w:pPr>
            <w:r>
              <w:rPr>
                <w:color w:val="000000"/>
                <w:sz w:val="22"/>
                <w:szCs w:val="22"/>
              </w:rPr>
              <w:t>29</w:t>
            </w:r>
          </w:p>
        </w:tc>
        <w:tc>
          <w:tcPr>
            <w:tcW w:w="6480" w:type="dxa"/>
            <w:tcBorders>
              <w:top w:val="single" w:sz="4" w:space="0" w:color="auto"/>
              <w:left w:val="nil"/>
              <w:bottom w:val="single" w:sz="4" w:space="0" w:color="auto"/>
              <w:right w:val="nil"/>
            </w:tcBorders>
            <w:shd w:val="clear" w:color="000000" w:fill="DDEBF7"/>
            <w:vAlign w:val="center"/>
            <w:hideMark/>
          </w:tcPr>
          <w:p w:rsidR="006D3FAF" w:rsidRDefault="00BE1EB7" w:rsidP="006D3FAF">
            <w:pPr>
              <w:rPr>
                <w:color w:val="000000"/>
                <w:sz w:val="22"/>
                <w:szCs w:val="22"/>
                <w:lang w:eastAsia="zh-CN"/>
              </w:rPr>
            </w:pPr>
            <w:r w:rsidRPr="00B76D67">
              <w:rPr>
                <w:rFonts w:hint="eastAsia"/>
                <w:szCs w:val="18"/>
                <w:lang w:eastAsia="zh-CN"/>
              </w:rPr>
              <w:t>呼吁成员国将有待世界无线电通信大会（</w:t>
            </w:r>
            <w:r w:rsidRPr="00B76D67">
              <w:rPr>
                <w:rFonts w:hint="eastAsia"/>
                <w:szCs w:val="18"/>
                <w:lang w:eastAsia="zh-CN"/>
              </w:rPr>
              <w:t>WRC</w:t>
            </w:r>
            <w:r w:rsidRPr="00B76D67">
              <w:rPr>
                <w:rFonts w:hint="eastAsia"/>
                <w:szCs w:val="18"/>
                <w:lang w:eastAsia="zh-CN"/>
              </w:rPr>
              <w:t>）审议的问题数量减至必要最低程度</w:t>
            </w:r>
            <w:r w:rsidR="00AA1E89">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6D3FAF" w:rsidRDefault="006D3FAF" w:rsidP="006D3FAF">
            <w:pPr>
              <w:rPr>
                <w:color w:val="000000"/>
                <w:sz w:val="22"/>
                <w:szCs w:val="22"/>
                <w:lang w:eastAsia="zh-CN"/>
              </w:rPr>
            </w:pPr>
            <w:r>
              <w:rPr>
                <w:color w:val="000000"/>
                <w:sz w:val="22"/>
                <w:szCs w:val="22"/>
                <w:lang w:eastAsia="zh-CN"/>
              </w:rPr>
              <w:t> </w:t>
            </w:r>
          </w:p>
        </w:tc>
      </w:tr>
      <w:tr w:rsidR="006D3FAF" w:rsidTr="006D3FAF">
        <w:trPr>
          <w:trHeight w:val="288"/>
        </w:trPr>
        <w:tc>
          <w:tcPr>
            <w:tcW w:w="620" w:type="dxa"/>
            <w:tcBorders>
              <w:top w:val="nil"/>
              <w:left w:val="nil"/>
              <w:bottom w:val="nil"/>
              <w:right w:val="nil"/>
            </w:tcBorders>
            <w:shd w:val="clear" w:color="000000" w:fill="C6E0B4"/>
            <w:noWrap/>
            <w:vAlign w:val="center"/>
            <w:hideMark/>
          </w:tcPr>
          <w:p w:rsidR="006D3FAF" w:rsidRDefault="006D3FAF" w:rsidP="006D3FAF">
            <w:pPr>
              <w:rPr>
                <w:color w:val="000000"/>
                <w:sz w:val="22"/>
                <w:szCs w:val="22"/>
              </w:rPr>
            </w:pPr>
            <w:r>
              <w:rPr>
                <w:color w:val="000000"/>
                <w:sz w:val="22"/>
                <w:szCs w:val="22"/>
              </w:rPr>
              <w:t>30</w:t>
            </w:r>
          </w:p>
        </w:tc>
        <w:tc>
          <w:tcPr>
            <w:tcW w:w="6480" w:type="dxa"/>
            <w:tcBorders>
              <w:top w:val="nil"/>
              <w:left w:val="nil"/>
              <w:bottom w:val="nil"/>
              <w:right w:val="nil"/>
            </w:tcBorders>
            <w:shd w:val="clear" w:color="000000" w:fill="C6E0B4"/>
            <w:vAlign w:val="center"/>
            <w:hideMark/>
          </w:tcPr>
          <w:p w:rsidR="006D3FAF" w:rsidRDefault="00BE1EB7" w:rsidP="006D3FAF">
            <w:pPr>
              <w:rPr>
                <w:color w:val="000000"/>
                <w:sz w:val="22"/>
                <w:szCs w:val="22"/>
                <w:lang w:eastAsia="zh-CN"/>
              </w:rPr>
            </w:pPr>
            <w:r w:rsidRPr="00B76D67">
              <w:rPr>
                <w:rFonts w:hint="eastAsia"/>
                <w:szCs w:val="18"/>
                <w:lang w:eastAsia="zh-CN"/>
              </w:rPr>
              <w:t>理事会通过的任何附加措施</w:t>
            </w:r>
            <w:r w:rsidR="00AA1E89">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nil"/>
              <w:left w:val="nil"/>
              <w:bottom w:val="nil"/>
              <w:right w:val="nil"/>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c>
          <w:tcPr>
            <w:tcW w:w="1701" w:type="dxa"/>
            <w:tcBorders>
              <w:top w:val="nil"/>
              <w:left w:val="nil"/>
              <w:bottom w:val="nil"/>
              <w:right w:val="dotted" w:sz="4" w:space="0" w:color="auto"/>
            </w:tcBorders>
            <w:shd w:val="clear" w:color="000000" w:fill="C6E0B4"/>
            <w:noWrap/>
            <w:vAlign w:val="bottom"/>
            <w:hideMark/>
          </w:tcPr>
          <w:p w:rsidR="006D3FAF" w:rsidRDefault="006D3FAF" w:rsidP="006D3FAF">
            <w:pPr>
              <w:rPr>
                <w:color w:val="000000"/>
                <w:sz w:val="22"/>
                <w:szCs w:val="22"/>
                <w:lang w:eastAsia="zh-CN"/>
              </w:rPr>
            </w:pPr>
            <w:r>
              <w:rPr>
                <w:color w:val="000000"/>
                <w:sz w:val="22"/>
                <w:szCs w:val="22"/>
                <w:lang w:eastAsia="zh-CN"/>
              </w:rPr>
              <w:t> </w:t>
            </w:r>
          </w:p>
        </w:tc>
      </w:tr>
      <w:tr w:rsidR="006D3FAF" w:rsidTr="006D3FAF">
        <w:trPr>
          <w:trHeight w:val="288"/>
        </w:trPr>
        <w:tc>
          <w:tcPr>
            <w:tcW w:w="620" w:type="dxa"/>
            <w:tcBorders>
              <w:top w:val="single" w:sz="4" w:space="0" w:color="auto"/>
              <w:left w:val="nil"/>
              <w:bottom w:val="single" w:sz="4" w:space="0" w:color="auto"/>
              <w:right w:val="nil"/>
            </w:tcBorders>
            <w:shd w:val="clear" w:color="000000" w:fill="DDEBF7"/>
            <w:noWrap/>
            <w:vAlign w:val="center"/>
            <w:hideMark/>
          </w:tcPr>
          <w:p w:rsidR="006D3FAF" w:rsidRDefault="006D3FAF" w:rsidP="006D3FAF">
            <w:pPr>
              <w:rPr>
                <w:color w:val="000000"/>
                <w:sz w:val="22"/>
                <w:szCs w:val="22"/>
              </w:rPr>
            </w:pPr>
            <w:r>
              <w:rPr>
                <w:color w:val="000000"/>
                <w:sz w:val="22"/>
                <w:szCs w:val="22"/>
              </w:rPr>
              <w:t>31</w:t>
            </w:r>
          </w:p>
        </w:tc>
        <w:tc>
          <w:tcPr>
            <w:tcW w:w="6480" w:type="dxa"/>
            <w:tcBorders>
              <w:top w:val="single" w:sz="4" w:space="0" w:color="auto"/>
              <w:left w:val="nil"/>
              <w:bottom w:val="single" w:sz="4" w:space="0" w:color="auto"/>
              <w:right w:val="nil"/>
            </w:tcBorders>
            <w:shd w:val="clear" w:color="000000" w:fill="DDEBF7"/>
            <w:noWrap/>
            <w:vAlign w:val="center"/>
            <w:hideMark/>
          </w:tcPr>
          <w:p w:rsidR="006D3FAF" w:rsidRDefault="00BE1EB7" w:rsidP="006D3FAF">
            <w:pPr>
              <w:rPr>
                <w:color w:val="000000"/>
                <w:sz w:val="22"/>
                <w:szCs w:val="22"/>
                <w:lang w:eastAsia="zh-CN"/>
              </w:rPr>
            </w:pPr>
            <w:r w:rsidRPr="00B76D67">
              <w:rPr>
                <w:rFonts w:hint="eastAsia"/>
                <w:szCs w:val="18"/>
                <w:lang w:val="en-US" w:eastAsia="zh-CN"/>
              </w:rPr>
              <w:t>国际电联</w:t>
            </w:r>
            <w:r w:rsidRPr="00B76D67">
              <w:rPr>
                <w:szCs w:val="18"/>
                <w:lang w:val="en-US" w:eastAsia="zh-CN"/>
              </w:rPr>
              <w:t>管理层采取的其它措施</w:t>
            </w:r>
            <w:r w:rsidR="00AA1E89">
              <w:rPr>
                <w:rFonts w:hint="eastAsia"/>
                <w:szCs w:val="18"/>
                <w:lang w:val="en-US"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1,787</w:t>
            </w:r>
          </w:p>
        </w:tc>
        <w:tc>
          <w:tcPr>
            <w:tcW w:w="1700" w:type="dxa"/>
            <w:tcBorders>
              <w:top w:val="single" w:sz="4" w:space="0" w:color="auto"/>
              <w:left w:val="nil"/>
              <w:bottom w:val="single" w:sz="4" w:space="0" w:color="auto"/>
              <w:right w:val="nil"/>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224</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250</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6D3FAF" w:rsidRDefault="006D3FAF" w:rsidP="006D3FAF">
            <w:pPr>
              <w:jc w:val="right"/>
              <w:rPr>
                <w:color w:val="000000"/>
                <w:sz w:val="22"/>
                <w:szCs w:val="22"/>
              </w:rPr>
            </w:pPr>
            <w:r>
              <w:rPr>
                <w:color w:val="000000"/>
                <w:sz w:val="22"/>
                <w:szCs w:val="22"/>
              </w:rPr>
              <w:t>2,261</w:t>
            </w:r>
          </w:p>
        </w:tc>
      </w:tr>
      <w:tr w:rsidR="006D3FAF" w:rsidTr="006D3FAF">
        <w:trPr>
          <w:trHeight w:val="288"/>
        </w:trPr>
        <w:tc>
          <w:tcPr>
            <w:tcW w:w="620" w:type="dxa"/>
            <w:tcBorders>
              <w:top w:val="nil"/>
              <w:left w:val="nil"/>
              <w:bottom w:val="nil"/>
              <w:right w:val="nil"/>
            </w:tcBorders>
            <w:shd w:val="clear" w:color="auto" w:fill="auto"/>
            <w:noWrap/>
            <w:vAlign w:val="center"/>
            <w:hideMark/>
          </w:tcPr>
          <w:p w:rsidR="006D3FAF" w:rsidRDefault="006D3FAF" w:rsidP="006D3FAF">
            <w:pPr>
              <w:jc w:val="right"/>
              <w:rPr>
                <w:color w:val="000000"/>
                <w:sz w:val="22"/>
                <w:szCs w:val="22"/>
              </w:rPr>
            </w:pPr>
          </w:p>
        </w:tc>
        <w:tc>
          <w:tcPr>
            <w:tcW w:w="6480" w:type="dxa"/>
            <w:tcBorders>
              <w:top w:val="nil"/>
              <w:left w:val="nil"/>
              <w:bottom w:val="nil"/>
              <w:right w:val="nil"/>
            </w:tcBorders>
            <w:shd w:val="clear" w:color="auto" w:fill="auto"/>
            <w:noWrap/>
            <w:vAlign w:val="center"/>
            <w:hideMark/>
          </w:tcPr>
          <w:p w:rsidR="006D3FAF" w:rsidRDefault="006D3FAF" w:rsidP="006D3FAF">
            <w:pPr>
              <w:rPr>
                <w:sz w:val="20"/>
              </w:rPr>
            </w:pPr>
          </w:p>
        </w:tc>
        <w:tc>
          <w:tcPr>
            <w:tcW w:w="1700" w:type="dxa"/>
            <w:tcBorders>
              <w:top w:val="nil"/>
              <w:left w:val="nil"/>
              <w:bottom w:val="single" w:sz="4" w:space="0" w:color="auto"/>
              <w:right w:val="nil"/>
            </w:tcBorders>
            <w:shd w:val="clear" w:color="auto" w:fill="auto"/>
            <w:noWrap/>
            <w:vAlign w:val="bottom"/>
            <w:hideMark/>
          </w:tcPr>
          <w:p w:rsidR="006D3FAF" w:rsidRDefault="006D3FAF" w:rsidP="006D3FAF">
            <w:pPr>
              <w:rPr>
                <w:color w:val="000000"/>
                <w:sz w:val="22"/>
                <w:szCs w:val="22"/>
              </w:rPr>
            </w:pPr>
            <w:r>
              <w:rPr>
                <w:color w:val="000000"/>
                <w:sz w:val="22"/>
                <w:szCs w:val="22"/>
              </w:rPr>
              <w:t> </w:t>
            </w:r>
          </w:p>
        </w:tc>
        <w:tc>
          <w:tcPr>
            <w:tcW w:w="1700" w:type="dxa"/>
            <w:tcBorders>
              <w:top w:val="nil"/>
              <w:left w:val="nil"/>
              <w:bottom w:val="single" w:sz="4" w:space="0" w:color="auto"/>
              <w:right w:val="nil"/>
            </w:tcBorders>
            <w:shd w:val="clear" w:color="auto" w:fill="auto"/>
            <w:noWrap/>
            <w:vAlign w:val="bottom"/>
            <w:hideMark/>
          </w:tcPr>
          <w:p w:rsidR="006D3FAF" w:rsidRDefault="006D3FAF" w:rsidP="006D3FAF">
            <w:pPr>
              <w:rPr>
                <w:color w:val="000000"/>
                <w:sz w:val="22"/>
                <w:szCs w:val="22"/>
              </w:rPr>
            </w:pPr>
            <w:r>
              <w:rPr>
                <w:color w:val="000000"/>
                <w:sz w:val="22"/>
                <w:szCs w:val="22"/>
              </w:rPr>
              <w:t> </w:t>
            </w:r>
          </w:p>
        </w:tc>
        <w:tc>
          <w:tcPr>
            <w:tcW w:w="1700" w:type="dxa"/>
            <w:tcBorders>
              <w:top w:val="nil"/>
              <w:left w:val="nil"/>
              <w:bottom w:val="single" w:sz="4" w:space="0" w:color="auto"/>
              <w:right w:val="nil"/>
            </w:tcBorders>
            <w:shd w:val="clear" w:color="auto" w:fill="auto"/>
            <w:noWrap/>
            <w:vAlign w:val="bottom"/>
            <w:hideMark/>
          </w:tcPr>
          <w:p w:rsidR="006D3FAF" w:rsidRDefault="006D3FAF" w:rsidP="006D3FAF">
            <w:pPr>
              <w:rPr>
                <w:color w:val="000000"/>
                <w:sz w:val="22"/>
                <w:szCs w:val="22"/>
              </w:rPr>
            </w:pPr>
            <w:r>
              <w:rPr>
                <w:color w:val="000000"/>
                <w:sz w:val="22"/>
                <w:szCs w:val="22"/>
              </w:rPr>
              <w:t> </w:t>
            </w:r>
          </w:p>
        </w:tc>
        <w:tc>
          <w:tcPr>
            <w:tcW w:w="1701" w:type="dxa"/>
            <w:tcBorders>
              <w:top w:val="nil"/>
              <w:left w:val="nil"/>
              <w:bottom w:val="single" w:sz="4" w:space="0" w:color="auto"/>
              <w:right w:val="nil"/>
            </w:tcBorders>
            <w:shd w:val="clear" w:color="auto" w:fill="auto"/>
            <w:noWrap/>
            <w:vAlign w:val="bottom"/>
            <w:hideMark/>
          </w:tcPr>
          <w:p w:rsidR="006D3FAF" w:rsidRDefault="006D3FAF" w:rsidP="006D3FAF">
            <w:pPr>
              <w:rPr>
                <w:color w:val="000000"/>
                <w:sz w:val="22"/>
                <w:szCs w:val="22"/>
              </w:rPr>
            </w:pPr>
            <w:r>
              <w:rPr>
                <w:color w:val="000000"/>
                <w:sz w:val="22"/>
                <w:szCs w:val="22"/>
              </w:rPr>
              <w:t> </w:t>
            </w:r>
          </w:p>
        </w:tc>
      </w:tr>
      <w:tr w:rsidR="006D3FAF" w:rsidTr="006D3FAF">
        <w:trPr>
          <w:trHeight w:val="312"/>
        </w:trPr>
        <w:tc>
          <w:tcPr>
            <w:tcW w:w="620" w:type="dxa"/>
            <w:tcBorders>
              <w:top w:val="single" w:sz="4" w:space="0" w:color="auto"/>
              <w:left w:val="nil"/>
              <w:bottom w:val="single" w:sz="4" w:space="0" w:color="auto"/>
              <w:right w:val="nil"/>
            </w:tcBorders>
            <w:shd w:val="clear" w:color="000000" w:fill="9BC2E6"/>
            <w:noWrap/>
            <w:vAlign w:val="center"/>
            <w:hideMark/>
          </w:tcPr>
          <w:p w:rsidR="006D3FAF" w:rsidRDefault="006D3FAF" w:rsidP="006D3FAF">
            <w:pPr>
              <w:rPr>
                <w:b/>
                <w:bCs/>
                <w:color w:val="000000"/>
                <w:szCs w:val="24"/>
              </w:rPr>
            </w:pPr>
            <w:r>
              <w:rPr>
                <w:b/>
                <w:bCs/>
                <w:color w:val="000000"/>
              </w:rPr>
              <w:t> </w:t>
            </w:r>
          </w:p>
        </w:tc>
        <w:tc>
          <w:tcPr>
            <w:tcW w:w="6480" w:type="dxa"/>
            <w:tcBorders>
              <w:top w:val="single" w:sz="4" w:space="0" w:color="auto"/>
              <w:left w:val="nil"/>
              <w:bottom w:val="single" w:sz="4" w:space="0" w:color="auto"/>
              <w:right w:val="nil"/>
            </w:tcBorders>
            <w:shd w:val="clear" w:color="000000" w:fill="9BC2E6"/>
            <w:noWrap/>
            <w:vAlign w:val="center"/>
            <w:hideMark/>
          </w:tcPr>
          <w:p w:rsidR="006D3FAF" w:rsidRDefault="00FA25A9" w:rsidP="006D3FAF">
            <w:pPr>
              <w:rPr>
                <w:b/>
                <w:bCs/>
                <w:color w:val="000000"/>
              </w:rPr>
            </w:pPr>
            <w:r>
              <w:rPr>
                <w:rFonts w:hint="eastAsia"/>
                <w:b/>
                <w:bCs/>
                <w:color w:val="000000"/>
                <w:lang w:eastAsia="zh-CN"/>
              </w:rPr>
              <w:t>合计</w:t>
            </w:r>
          </w:p>
        </w:tc>
        <w:tc>
          <w:tcPr>
            <w:tcW w:w="1700" w:type="dxa"/>
            <w:tcBorders>
              <w:top w:val="nil"/>
              <w:left w:val="dotted" w:sz="4" w:space="0" w:color="auto"/>
              <w:bottom w:val="single" w:sz="4" w:space="0" w:color="auto"/>
              <w:right w:val="dotted" w:sz="4" w:space="0" w:color="auto"/>
            </w:tcBorders>
            <w:shd w:val="clear" w:color="000000" w:fill="9BC2E6"/>
            <w:noWrap/>
            <w:vAlign w:val="bottom"/>
            <w:hideMark/>
          </w:tcPr>
          <w:p w:rsidR="006D3FAF" w:rsidRDefault="006D3FAF" w:rsidP="006D3FAF">
            <w:pPr>
              <w:jc w:val="right"/>
              <w:rPr>
                <w:b/>
                <w:bCs/>
                <w:color w:val="000000"/>
              </w:rPr>
            </w:pPr>
            <w:r>
              <w:rPr>
                <w:b/>
                <w:bCs/>
                <w:color w:val="000000"/>
              </w:rPr>
              <w:t>24,447</w:t>
            </w:r>
          </w:p>
        </w:tc>
        <w:tc>
          <w:tcPr>
            <w:tcW w:w="1700" w:type="dxa"/>
            <w:tcBorders>
              <w:top w:val="nil"/>
              <w:left w:val="nil"/>
              <w:bottom w:val="single" w:sz="4" w:space="0" w:color="auto"/>
              <w:right w:val="nil"/>
            </w:tcBorders>
            <w:shd w:val="clear" w:color="000000" w:fill="9BC2E6"/>
            <w:noWrap/>
            <w:vAlign w:val="bottom"/>
            <w:hideMark/>
          </w:tcPr>
          <w:p w:rsidR="006D3FAF" w:rsidRDefault="006D3FAF" w:rsidP="006D3FAF">
            <w:pPr>
              <w:jc w:val="right"/>
              <w:rPr>
                <w:b/>
                <w:bCs/>
                <w:color w:val="000000"/>
              </w:rPr>
            </w:pPr>
            <w:r>
              <w:rPr>
                <w:b/>
                <w:bCs/>
                <w:color w:val="000000"/>
              </w:rPr>
              <w:t>17,046</w:t>
            </w:r>
          </w:p>
        </w:tc>
        <w:tc>
          <w:tcPr>
            <w:tcW w:w="1700" w:type="dxa"/>
            <w:tcBorders>
              <w:top w:val="nil"/>
              <w:left w:val="dotted" w:sz="4" w:space="0" w:color="auto"/>
              <w:bottom w:val="single" w:sz="4" w:space="0" w:color="auto"/>
              <w:right w:val="dotted" w:sz="4" w:space="0" w:color="auto"/>
            </w:tcBorders>
            <w:shd w:val="clear" w:color="000000" w:fill="9BC2E6"/>
            <w:noWrap/>
            <w:vAlign w:val="bottom"/>
            <w:hideMark/>
          </w:tcPr>
          <w:p w:rsidR="006D3FAF" w:rsidRDefault="006D3FAF" w:rsidP="006D3FAF">
            <w:pPr>
              <w:jc w:val="right"/>
              <w:rPr>
                <w:b/>
                <w:bCs/>
                <w:color w:val="000000"/>
              </w:rPr>
            </w:pPr>
            <w:r>
              <w:rPr>
                <w:b/>
                <w:bCs/>
                <w:color w:val="000000"/>
              </w:rPr>
              <w:t>13,304</w:t>
            </w:r>
          </w:p>
        </w:tc>
        <w:tc>
          <w:tcPr>
            <w:tcW w:w="1701" w:type="dxa"/>
            <w:tcBorders>
              <w:top w:val="nil"/>
              <w:left w:val="nil"/>
              <w:bottom w:val="single" w:sz="4" w:space="0" w:color="auto"/>
              <w:right w:val="dotted" w:sz="4" w:space="0" w:color="auto"/>
            </w:tcBorders>
            <w:shd w:val="clear" w:color="000000" w:fill="9BC2E6"/>
            <w:noWrap/>
            <w:vAlign w:val="bottom"/>
            <w:hideMark/>
          </w:tcPr>
          <w:p w:rsidR="006D3FAF" w:rsidRDefault="006D3FAF" w:rsidP="006D3FAF">
            <w:pPr>
              <w:jc w:val="right"/>
              <w:rPr>
                <w:b/>
                <w:bCs/>
                <w:color w:val="000000"/>
              </w:rPr>
            </w:pPr>
            <w:r>
              <w:rPr>
                <w:b/>
                <w:bCs/>
                <w:color w:val="000000"/>
              </w:rPr>
              <w:t>54,797</w:t>
            </w:r>
          </w:p>
        </w:tc>
      </w:tr>
      <w:bookmarkEnd w:id="6"/>
    </w:tbl>
    <w:p w:rsidR="00AA1E89" w:rsidRDefault="00AA1E89" w:rsidP="00AA1E89">
      <w:pPr>
        <w:rPr>
          <w:lang w:eastAsia="zh-CN"/>
        </w:rPr>
      </w:pPr>
    </w:p>
    <w:p w:rsidR="00AA1E89" w:rsidRDefault="00AA1E89" w:rsidP="00AA1E89">
      <w:pPr>
        <w:rPr>
          <w:lang w:eastAsia="zh-CN"/>
        </w:rPr>
      </w:pPr>
    </w:p>
    <w:p w:rsidR="009D1E3B" w:rsidRDefault="001F2F0F" w:rsidP="001F2F0F">
      <w:pPr>
        <w:jc w:val="center"/>
        <w:rPr>
          <w:lang w:eastAsia="zh-CN"/>
        </w:rPr>
      </w:pPr>
      <w:r>
        <w:rPr>
          <w:lang w:eastAsia="zh-CN"/>
        </w:rPr>
        <w:t>______________</w:t>
      </w:r>
    </w:p>
    <w:sectPr w:rsidR="009D1E3B" w:rsidSect="006D3FAF">
      <w:headerReference w:type="default" r:id="rId12"/>
      <w:footerReference w:type="default" r:id="rId13"/>
      <w:headerReference w:type="first" r:id="rId14"/>
      <w:footerReference w:type="first" r:id="rId15"/>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CDB" w:rsidRDefault="00B45CDB">
      <w:r>
        <w:separator/>
      </w:r>
    </w:p>
  </w:endnote>
  <w:endnote w:type="continuationSeparator" w:id="0">
    <w:p w:rsidR="00B45CDB" w:rsidRDefault="00B4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DB" w:rsidRDefault="009415FE" w:rsidP="006D3FAF">
    <w:pPr>
      <w:pStyle w:val="Footer"/>
    </w:pPr>
    <w:r>
      <w:fldChar w:fldCharType="begin"/>
    </w:r>
    <w:r>
      <w:instrText xml:space="preserve"> FILENAME \p  \* MERGEFORMAT </w:instrText>
    </w:r>
    <w:r>
      <w:fldChar w:fldCharType="separate"/>
    </w:r>
    <w:r w:rsidR="00AA1E89">
      <w:t>P:\CHI\SG\CONSEIL\C18\000\045C.docx</w:t>
    </w:r>
    <w:r>
      <w:fldChar w:fldCharType="end"/>
    </w:r>
    <w:r w:rsidR="00B45CDB">
      <w:t xml:space="preserve"> (</w:t>
    </w:r>
    <w:r w:rsidR="00B45CDB">
      <w:rPr>
        <w:rFonts w:hint="eastAsia"/>
        <w:lang w:eastAsia="zh-CN"/>
      </w:rPr>
      <w:t>429727</w:t>
    </w:r>
    <w:r w:rsidR="00B45CD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DB" w:rsidRPr="00EC2F5D" w:rsidRDefault="00B45CDB" w:rsidP="006D3FAF">
    <w:pPr>
      <w:spacing w:after="120"/>
      <w:jc w:val="center"/>
      <w:rPr>
        <w:sz w:val="22"/>
        <w:szCs w:val="22"/>
      </w:rPr>
    </w:pPr>
    <w:r w:rsidRPr="00EC2F5D">
      <w:rPr>
        <w:sz w:val="22"/>
        <w:szCs w:val="22"/>
      </w:rPr>
      <w:t xml:space="preserve">• </w:t>
    </w:r>
    <w:hyperlink r:id="rId1" w:history="1">
      <w:r w:rsidRPr="00EC2F5D">
        <w:rPr>
          <w:rStyle w:val="Hyperlink"/>
          <w:sz w:val="22"/>
          <w:szCs w:val="22"/>
        </w:rPr>
        <w:t>http://www.itu.int/council</w:t>
      </w:r>
    </w:hyperlink>
    <w:r w:rsidRPr="00EC2F5D">
      <w:rPr>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DB" w:rsidRPr="00BE1EB7" w:rsidRDefault="00B45CDB" w:rsidP="00BE1EB7">
    <w:pPr>
      <w:pStyle w:val="Footer"/>
      <w:rPr>
        <w:color w:val="000000" w:themeColor="text1"/>
      </w:rPr>
    </w:pPr>
    <w:r w:rsidRPr="00BE1EB7">
      <w:rPr>
        <w:color w:val="000000" w:themeColor="text1"/>
      </w:rPr>
      <w:fldChar w:fldCharType="begin"/>
    </w:r>
    <w:r w:rsidRPr="00BE1EB7">
      <w:rPr>
        <w:color w:val="000000" w:themeColor="text1"/>
      </w:rPr>
      <w:instrText xml:space="preserve"> FILENAME \p  \* MERGEFORMAT </w:instrText>
    </w:r>
    <w:r w:rsidRPr="00BE1EB7">
      <w:rPr>
        <w:color w:val="000000" w:themeColor="text1"/>
      </w:rPr>
      <w:fldChar w:fldCharType="separate"/>
    </w:r>
    <w:r w:rsidR="00AA1E89">
      <w:rPr>
        <w:color w:val="000000" w:themeColor="text1"/>
      </w:rPr>
      <w:t>P:\CHI\SG\CONSEIL\C18\000\045C.docx</w:t>
    </w:r>
    <w:r w:rsidRPr="00BE1EB7">
      <w:rPr>
        <w:color w:val="000000" w:themeColor="text1"/>
      </w:rPr>
      <w:fldChar w:fldCharType="end"/>
    </w:r>
    <w:r w:rsidRPr="00BE1EB7">
      <w:rPr>
        <w:color w:val="000000" w:themeColor="text1"/>
      </w:rPr>
      <w:t xml:space="preserve"> (429727)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DB" w:rsidRPr="005B311F" w:rsidRDefault="009415FE" w:rsidP="00AA1E89">
    <w:pPr>
      <w:pStyle w:val="Footer"/>
      <w:rPr>
        <w:color w:val="D9D9D9" w:themeColor="background1" w:themeShade="D9"/>
      </w:rPr>
    </w:pPr>
    <w:r>
      <w:fldChar w:fldCharType="begin"/>
    </w:r>
    <w:r>
      <w:instrText xml:space="preserve"> FILENAME \p  \* MERGEFORMAT </w:instrText>
    </w:r>
    <w:r>
      <w:fldChar w:fldCharType="separate"/>
    </w:r>
    <w:r w:rsidR="00AA1E89" w:rsidRPr="00AF5E3E">
      <w:t>P:\CHI\SG\CONSEIL\C18\000\045C.docx</w:t>
    </w:r>
    <w:r>
      <w:fldChar w:fldCharType="end"/>
    </w:r>
    <w:r w:rsidR="00B45CDB" w:rsidRPr="00AF5E3E">
      <w:t xml:space="preserve"> (4</w:t>
    </w:r>
    <w:r w:rsidR="00AA1E89" w:rsidRPr="00AF5E3E">
      <w:t>29727</w:t>
    </w:r>
    <w:r w:rsidR="00B45CDB" w:rsidRPr="00AF5E3E">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CDB" w:rsidRDefault="00B45CDB">
      <w:r>
        <w:t>____________________</w:t>
      </w:r>
    </w:p>
  </w:footnote>
  <w:footnote w:type="continuationSeparator" w:id="0">
    <w:p w:rsidR="00B45CDB" w:rsidRDefault="00B45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DB" w:rsidRDefault="00B45CDB" w:rsidP="006D3FAF">
    <w:pPr>
      <w:pStyle w:val="Header"/>
    </w:pPr>
    <w:r>
      <w:fldChar w:fldCharType="begin"/>
    </w:r>
    <w:r>
      <w:instrText xml:space="preserve"> PAGE  \* Arabic  \* MERGEFORMAT </w:instrText>
    </w:r>
    <w:r>
      <w:fldChar w:fldCharType="separate"/>
    </w:r>
    <w:r w:rsidR="009415FE">
      <w:rPr>
        <w:noProof/>
      </w:rPr>
      <w:t>2</w:t>
    </w:r>
    <w:r>
      <w:fldChar w:fldCharType="end"/>
    </w:r>
  </w:p>
  <w:p w:rsidR="00B45CDB" w:rsidRPr="00EC2F5D" w:rsidRDefault="00B45CDB" w:rsidP="00AF5E3E">
    <w:pPr>
      <w:pStyle w:val="Header"/>
      <w:spacing w:after="240"/>
    </w:pPr>
    <w:r>
      <w:rPr>
        <w:bCs/>
      </w:rPr>
      <w:t>C18/45</w:t>
    </w:r>
    <w:r w:rsidRPr="00623AE3">
      <w:rPr>
        <w:bCs/>
      </w:rPr>
      <w:t>-</w:t>
    </w:r>
    <w:r>
      <w:rPr>
        <w:rFonts w:hint="eastAsia"/>
        <w:bCs/>
        <w:lang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DB" w:rsidRDefault="00B45CDB" w:rsidP="00CE6F22">
    <w:pPr>
      <w:pStyle w:val="Header"/>
    </w:pPr>
    <w:r>
      <w:fldChar w:fldCharType="begin"/>
    </w:r>
    <w:r>
      <w:instrText>PAGE</w:instrText>
    </w:r>
    <w:r>
      <w:fldChar w:fldCharType="separate"/>
    </w:r>
    <w:r w:rsidR="009415FE">
      <w:rPr>
        <w:noProof/>
      </w:rPr>
      <w:t>7</w:t>
    </w:r>
    <w:r>
      <w:rPr>
        <w:noProof/>
      </w:rPr>
      <w:fldChar w:fldCharType="end"/>
    </w:r>
  </w:p>
  <w:p w:rsidR="00B45CDB" w:rsidRDefault="00B45CDB" w:rsidP="00AF5E3E">
    <w:pPr>
      <w:pStyle w:val="Header"/>
      <w:spacing w:after="240"/>
      <w:rPr>
        <w:lang w:eastAsia="zh-CN"/>
      </w:rPr>
    </w:pPr>
    <w:r>
      <w:t>C1</w:t>
    </w:r>
    <w:r>
      <w:rPr>
        <w:lang w:eastAsia="zh-CN"/>
      </w:rPr>
      <w:t>7</w:t>
    </w:r>
    <w:r>
      <w:t>/</w:t>
    </w:r>
    <w:r>
      <w:rPr>
        <w:lang w:eastAsia="zh-CN"/>
      </w:rPr>
      <w:t>45</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DB" w:rsidRDefault="00B45CDB" w:rsidP="006D3FAF">
    <w:pPr>
      <w:pStyle w:val="Header"/>
    </w:pPr>
    <w:r>
      <w:fldChar w:fldCharType="begin"/>
    </w:r>
    <w:r>
      <w:instrText xml:space="preserve"> PAGE  \* Arabic  \* MERGEFORMAT </w:instrText>
    </w:r>
    <w:r>
      <w:fldChar w:fldCharType="separate"/>
    </w:r>
    <w:r w:rsidR="009415FE">
      <w:rPr>
        <w:noProof/>
      </w:rPr>
      <w:t>3</w:t>
    </w:r>
    <w:r>
      <w:fldChar w:fldCharType="end"/>
    </w:r>
  </w:p>
  <w:p w:rsidR="00B45CDB" w:rsidRDefault="00B45CDB" w:rsidP="00AF5E3E">
    <w:pPr>
      <w:pStyle w:val="Header"/>
      <w:spacing w:after="240"/>
    </w:pPr>
    <w:r>
      <w:rPr>
        <w:bCs/>
      </w:rPr>
      <w:t>C18/45</w:t>
    </w:r>
    <w:r w:rsidRPr="00623AE3">
      <w:rPr>
        <w:bCs/>
      </w:rPr>
      <w:t>-</w:t>
    </w:r>
    <w:r>
      <w:rPr>
        <w:rFonts w:hint="eastAsia"/>
        <w:bCs/>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121B2C"/>
    <w:multiLevelType w:val="hybridMultilevel"/>
    <w:tmpl w:val="DBFC0A32"/>
    <w:lvl w:ilvl="0" w:tplc="3076ABAE">
      <w:numFmt w:val="bullet"/>
      <w:lvlText w:val="–"/>
      <w:lvlJc w:val="left"/>
      <w:pPr>
        <w:ind w:left="1155" w:hanging="795"/>
      </w:pPr>
      <w:rPr>
        <w:rFonts w:ascii="Calibri" w:eastAsia="SimSun" w:hAnsi="Calibri" w:cs="Times New Roman" w:hint="default"/>
        <w:b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F225C31"/>
    <w:multiLevelType w:val="hybridMultilevel"/>
    <w:tmpl w:val="01347FCC"/>
    <w:lvl w:ilvl="0" w:tplc="9D347A3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9F"/>
    <w:rsid w:val="00001B77"/>
    <w:rsid w:val="0000517A"/>
    <w:rsid w:val="00031E72"/>
    <w:rsid w:val="000404D2"/>
    <w:rsid w:val="000853C0"/>
    <w:rsid w:val="000903B2"/>
    <w:rsid w:val="000A1C21"/>
    <w:rsid w:val="000B14D7"/>
    <w:rsid w:val="000C181E"/>
    <w:rsid w:val="000D15EA"/>
    <w:rsid w:val="000E44E1"/>
    <w:rsid w:val="00100D84"/>
    <w:rsid w:val="00122423"/>
    <w:rsid w:val="00124C9D"/>
    <w:rsid w:val="00157773"/>
    <w:rsid w:val="00164008"/>
    <w:rsid w:val="00177002"/>
    <w:rsid w:val="0018251A"/>
    <w:rsid w:val="00190272"/>
    <w:rsid w:val="00193244"/>
    <w:rsid w:val="00195C6C"/>
    <w:rsid w:val="00195FED"/>
    <w:rsid w:val="001A4BD6"/>
    <w:rsid w:val="001C2F3E"/>
    <w:rsid w:val="001D5A18"/>
    <w:rsid w:val="001E6916"/>
    <w:rsid w:val="001F27A7"/>
    <w:rsid w:val="001F2F0F"/>
    <w:rsid w:val="00280EB8"/>
    <w:rsid w:val="002A5095"/>
    <w:rsid w:val="002A6670"/>
    <w:rsid w:val="00303502"/>
    <w:rsid w:val="00303A97"/>
    <w:rsid w:val="00310A1C"/>
    <w:rsid w:val="00325C25"/>
    <w:rsid w:val="00336796"/>
    <w:rsid w:val="00372C8F"/>
    <w:rsid w:val="00376AAC"/>
    <w:rsid w:val="00380ECE"/>
    <w:rsid w:val="00393DDF"/>
    <w:rsid w:val="00397F55"/>
    <w:rsid w:val="003A299D"/>
    <w:rsid w:val="003B4343"/>
    <w:rsid w:val="003B4454"/>
    <w:rsid w:val="003C2E37"/>
    <w:rsid w:val="003D0B5B"/>
    <w:rsid w:val="003F1415"/>
    <w:rsid w:val="0040144C"/>
    <w:rsid w:val="00403EB7"/>
    <w:rsid w:val="00430BF0"/>
    <w:rsid w:val="004672E6"/>
    <w:rsid w:val="00474ED1"/>
    <w:rsid w:val="00493085"/>
    <w:rsid w:val="004A36EC"/>
    <w:rsid w:val="004D163F"/>
    <w:rsid w:val="004D229B"/>
    <w:rsid w:val="004E4BFF"/>
    <w:rsid w:val="004F2598"/>
    <w:rsid w:val="00500650"/>
    <w:rsid w:val="005403F7"/>
    <w:rsid w:val="00540632"/>
    <w:rsid w:val="00541CF4"/>
    <w:rsid w:val="005441B5"/>
    <w:rsid w:val="005451E8"/>
    <w:rsid w:val="005507F2"/>
    <w:rsid w:val="0057339C"/>
    <w:rsid w:val="005757F9"/>
    <w:rsid w:val="005759CC"/>
    <w:rsid w:val="005820DC"/>
    <w:rsid w:val="00595A9F"/>
    <w:rsid w:val="005A72E1"/>
    <w:rsid w:val="005B311F"/>
    <w:rsid w:val="005C6632"/>
    <w:rsid w:val="005C691C"/>
    <w:rsid w:val="005D1C9E"/>
    <w:rsid w:val="005E0567"/>
    <w:rsid w:val="00607C75"/>
    <w:rsid w:val="00632D09"/>
    <w:rsid w:val="00642B92"/>
    <w:rsid w:val="00654257"/>
    <w:rsid w:val="0065435A"/>
    <w:rsid w:val="00665E07"/>
    <w:rsid w:val="00686C68"/>
    <w:rsid w:val="006A2DD3"/>
    <w:rsid w:val="006A5AF8"/>
    <w:rsid w:val="006C36CD"/>
    <w:rsid w:val="006D3FAF"/>
    <w:rsid w:val="006F4B6C"/>
    <w:rsid w:val="00700D1F"/>
    <w:rsid w:val="007205CB"/>
    <w:rsid w:val="00726073"/>
    <w:rsid w:val="00734FE8"/>
    <w:rsid w:val="007360CE"/>
    <w:rsid w:val="00772315"/>
    <w:rsid w:val="00775157"/>
    <w:rsid w:val="007813AE"/>
    <w:rsid w:val="007A37DB"/>
    <w:rsid w:val="007E189D"/>
    <w:rsid w:val="00811259"/>
    <w:rsid w:val="00813AA2"/>
    <w:rsid w:val="008173A3"/>
    <w:rsid w:val="008439D1"/>
    <w:rsid w:val="00850E5D"/>
    <w:rsid w:val="0086059C"/>
    <w:rsid w:val="00864589"/>
    <w:rsid w:val="008808D9"/>
    <w:rsid w:val="00890AFB"/>
    <w:rsid w:val="00890FC4"/>
    <w:rsid w:val="00895905"/>
    <w:rsid w:val="009164A9"/>
    <w:rsid w:val="009258CB"/>
    <w:rsid w:val="0093362E"/>
    <w:rsid w:val="009415FE"/>
    <w:rsid w:val="00942A20"/>
    <w:rsid w:val="00944563"/>
    <w:rsid w:val="00953160"/>
    <w:rsid w:val="009625D8"/>
    <w:rsid w:val="0098459B"/>
    <w:rsid w:val="00997185"/>
    <w:rsid w:val="009C2458"/>
    <w:rsid w:val="009C40FC"/>
    <w:rsid w:val="009C4A7B"/>
    <w:rsid w:val="009C6123"/>
    <w:rsid w:val="009D1E3B"/>
    <w:rsid w:val="009F1E3E"/>
    <w:rsid w:val="00A1213C"/>
    <w:rsid w:val="00A272FF"/>
    <w:rsid w:val="00A47688"/>
    <w:rsid w:val="00A5354B"/>
    <w:rsid w:val="00AA1E89"/>
    <w:rsid w:val="00AB42C1"/>
    <w:rsid w:val="00AC516F"/>
    <w:rsid w:val="00AC7B3B"/>
    <w:rsid w:val="00AE2926"/>
    <w:rsid w:val="00AF5E3E"/>
    <w:rsid w:val="00B003D8"/>
    <w:rsid w:val="00B0184B"/>
    <w:rsid w:val="00B035CD"/>
    <w:rsid w:val="00B0769D"/>
    <w:rsid w:val="00B217F8"/>
    <w:rsid w:val="00B332EA"/>
    <w:rsid w:val="00B40A53"/>
    <w:rsid w:val="00B45365"/>
    <w:rsid w:val="00B45CDB"/>
    <w:rsid w:val="00B46A65"/>
    <w:rsid w:val="00B60184"/>
    <w:rsid w:val="00B62D20"/>
    <w:rsid w:val="00B76D67"/>
    <w:rsid w:val="00B81E75"/>
    <w:rsid w:val="00BB4569"/>
    <w:rsid w:val="00BC3A9A"/>
    <w:rsid w:val="00BC56EB"/>
    <w:rsid w:val="00BD1A5A"/>
    <w:rsid w:val="00BD7A9B"/>
    <w:rsid w:val="00BD7BE1"/>
    <w:rsid w:val="00BE1EB7"/>
    <w:rsid w:val="00BF416B"/>
    <w:rsid w:val="00C0402A"/>
    <w:rsid w:val="00C11CA4"/>
    <w:rsid w:val="00C27BE1"/>
    <w:rsid w:val="00C64E4E"/>
    <w:rsid w:val="00C66E64"/>
    <w:rsid w:val="00C761A0"/>
    <w:rsid w:val="00C85F7E"/>
    <w:rsid w:val="00CD47F0"/>
    <w:rsid w:val="00CD5566"/>
    <w:rsid w:val="00CD64D7"/>
    <w:rsid w:val="00CE6F22"/>
    <w:rsid w:val="00CF41F6"/>
    <w:rsid w:val="00CF7D3E"/>
    <w:rsid w:val="00D02B4E"/>
    <w:rsid w:val="00D12012"/>
    <w:rsid w:val="00D177F0"/>
    <w:rsid w:val="00D31924"/>
    <w:rsid w:val="00D36817"/>
    <w:rsid w:val="00D5666C"/>
    <w:rsid w:val="00D666BC"/>
    <w:rsid w:val="00D7462A"/>
    <w:rsid w:val="00D83542"/>
    <w:rsid w:val="00D92F45"/>
    <w:rsid w:val="00D94637"/>
    <w:rsid w:val="00D96ADD"/>
    <w:rsid w:val="00D9725C"/>
    <w:rsid w:val="00DA7006"/>
    <w:rsid w:val="00DC6427"/>
    <w:rsid w:val="00DD66A1"/>
    <w:rsid w:val="00DE196D"/>
    <w:rsid w:val="00DF6B49"/>
    <w:rsid w:val="00E00F6F"/>
    <w:rsid w:val="00E067C5"/>
    <w:rsid w:val="00E265BF"/>
    <w:rsid w:val="00E378D8"/>
    <w:rsid w:val="00E43A12"/>
    <w:rsid w:val="00E55171"/>
    <w:rsid w:val="00E67C67"/>
    <w:rsid w:val="00E70D28"/>
    <w:rsid w:val="00E77476"/>
    <w:rsid w:val="00E8228B"/>
    <w:rsid w:val="00E85110"/>
    <w:rsid w:val="00EE5706"/>
    <w:rsid w:val="00EF373D"/>
    <w:rsid w:val="00F11595"/>
    <w:rsid w:val="00F13BC9"/>
    <w:rsid w:val="00F357B2"/>
    <w:rsid w:val="00F36556"/>
    <w:rsid w:val="00F6537C"/>
    <w:rsid w:val="00F705DF"/>
    <w:rsid w:val="00F70622"/>
    <w:rsid w:val="00F8136E"/>
    <w:rsid w:val="00F84D07"/>
    <w:rsid w:val="00F85624"/>
    <w:rsid w:val="00F87C05"/>
    <w:rsid w:val="00F93191"/>
    <w:rsid w:val="00F93A17"/>
    <w:rsid w:val="00FA25A9"/>
    <w:rsid w:val="00FA2AE1"/>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D15A6E5-52E9-4D75-95C5-DBEBA9D7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locked/>
    <w:rsid w:val="00B003D8"/>
    <w:rPr>
      <w:rFonts w:ascii="Calibri" w:eastAsia="Times New Roman" w:hAnsi="Calibri"/>
      <w:sz w:val="24"/>
      <w:lang w:val="en-GB" w:eastAsia="en-US"/>
    </w:rPr>
  </w:style>
  <w:style w:type="character" w:customStyle="1" w:styleId="HeaderChar">
    <w:name w:val="Header Char"/>
    <w:basedOn w:val="DefaultParagraphFont"/>
    <w:link w:val="Header"/>
    <w:uiPriority w:val="99"/>
    <w:rsid w:val="006D3FAF"/>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5A728-DF3F-4916-89C4-EC691BA0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7</Pages>
  <Words>2736</Words>
  <Characters>989</Characters>
  <Application>Microsoft Office Word</Application>
  <DocSecurity>4</DocSecurity>
  <Lines>8</Lines>
  <Paragraphs>7</Paragraphs>
  <ScaleCrop>false</ScaleCrop>
  <HeadingPairs>
    <vt:vector size="2" baseType="variant">
      <vt:variant>
        <vt:lpstr>Title</vt:lpstr>
      </vt:variant>
      <vt:variant>
        <vt:i4>1</vt:i4>
      </vt:variant>
    </vt:vector>
  </HeadingPairs>
  <TitlesOfParts>
    <vt:vector size="1" baseType="lpstr">
      <vt:lpstr>Efficiency measures</vt:lpstr>
    </vt:vector>
  </TitlesOfParts>
  <Manager>General Secretariat - Pool</Manager>
  <Company>International Telecommunication Union (ITU)</Company>
  <LinksUpToDate>false</LinksUpToDate>
  <CharactersWithSpaces>3718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Efficiency measures</dc:title>
  <dc:subject>Council 2017</dc:subject>
  <dc:creator>Wang, Yujia</dc:creator>
  <cp:keywords>C2018, C18</cp:keywords>
  <dc:description/>
  <cp:lastModifiedBy>Janin</cp:lastModifiedBy>
  <cp:revision>2</cp:revision>
  <cp:lastPrinted>2018-03-07T10:11:00Z</cp:lastPrinted>
  <dcterms:created xsi:type="dcterms:W3CDTF">2018-03-12T10:02:00Z</dcterms:created>
  <dcterms:modified xsi:type="dcterms:W3CDTF">2018-03-12T10:02:00Z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