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142" w:tblpY="-675"/>
        <w:tblW w:w="9889" w:type="dxa"/>
        <w:tblLayout w:type="fixed"/>
        <w:tblLook w:val="0000" w:firstRow="0" w:lastRow="0" w:firstColumn="0" w:lastColumn="0" w:noHBand="0" w:noVBand="0"/>
      </w:tblPr>
      <w:tblGrid>
        <w:gridCol w:w="6769"/>
        <w:gridCol w:w="3120"/>
      </w:tblGrid>
      <w:tr w:rsidR="00AE02CB" w:rsidRPr="00813E5E" w:rsidTr="00AE02CB">
        <w:trPr>
          <w:cantSplit/>
        </w:trPr>
        <w:tc>
          <w:tcPr>
            <w:tcW w:w="6769" w:type="dxa"/>
          </w:tcPr>
          <w:p w:rsidR="00AE02CB" w:rsidRPr="00813E5E" w:rsidRDefault="00AE02CB" w:rsidP="009B0CD8">
            <w:pPr>
              <w:spacing w:before="360" w:after="48" w:line="240" w:lineRule="atLeast"/>
              <w:rPr>
                <w:position w:val="6"/>
              </w:rPr>
            </w:pPr>
            <w:bookmarkStart w:id="0" w:name="dc06"/>
            <w:bookmarkStart w:id="1" w:name="_GoBack"/>
            <w:bookmarkEnd w:id="0"/>
            <w:bookmarkEnd w:id="1"/>
            <w:r w:rsidRPr="00E85629">
              <w:rPr>
                <w:b/>
                <w:bCs/>
                <w:position w:val="6"/>
                <w:sz w:val="30"/>
                <w:szCs w:val="30"/>
                <w:lang w:val="fr-CH"/>
              </w:rPr>
              <w:t>Council 201</w:t>
            </w:r>
            <w:r>
              <w:rPr>
                <w:b/>
                <w:bCs/>
                <w:position w:val="6"/>
                <w:sz w:val="30"/>
                <w:szCs w:val="30"/>
                <w:lang w:val="fr-CH"/>
              </w:rPr>
              <w:t>8</w:t>
            </w:r>
            <w:r w:rsidRPr="00E85629">
              <w:rPr>
                <w:rFonts w:cs="Times"/>
                <w:b/>
                <w:position w:val="6"/>
                <w:sz w:val="26"/>
                <w:szCs w:val="26"/>
                <w:lang w:val="en-US"/>
              </w:rPr>
              <w:br/>
            </w:r>
            <w:r w:rsidRPr="00E85629">
              <w:rPr>
                <w:b/>
                <w:bCs/>
                <w:position w:val="6"/>
                <w:szCs w:val="24"/>
                <w:lang w:val="fr-CH"/>
              </w:rPr>
              <w:t>Geneva, 1</w:t>
            </w:r>
            <w:r w:rsidR="009B0CD8">
              <w:rPr>
                <w:b/>
                <w:bCs/>
                <w:position w:val="6"/>
                <w:szCs w:val="24"/>
                <w:lang w:val="fr-CH"/>
              </w:rPr>
              <w:t>7</w:t>
            </w:r>
            <w:r w:rsidR="00521DA3">
              <w:rPr>
                <w:b/>
                <w:bCs/>
                <w:position w:val="6"/>
                <w:szCs w:val="24"/>
                <w:lang w:val="fr-CH"/>
              </w:rPr>
              <w:t xml:space="preserve"> </w:t>
            </w:r>
            <w:r w:rsidRPr="00E85629">
              <w:rPr>
                <w:b/>
                <w:bCs/>
                <w:position w:val="6"/>
                <w:szCs w:val="24"/>
                <w:lang w:val="fr-CH"/>
              </w:rPr>
              <w:t>-</w:t>
            </w:r>
            <w:r w:rsidR="00521DA3">
              <w:rPr>
                <w:b/>
                <w:bCs/>
                <w:position w:val="6"/>
                <w:szCs w:val="24"/>
                <w:lang w:val="fr-CH"/>
              </w:rPr>
              <w:t xml:space="preserve"> </w:t>
            </w:r>
            <w:r w:rsidRPr="00E85629">
              <w:rPr>
                <w:b/>
                <w:bCs/>
                <w:position w:val="6"/>
                <w:szCs w:val="24"/>
                <w:lang w:val="fr-CH"/>
              </w:rPr>
              <w:t>2</w:t>
            </w:r>
            <w:r>
              <w:rPr>
                <w:b/>
                <w:bCs/>
                <w:position w:val="6"/>
                <w:szCs w:val="24"/>
                <w:lang w:val="fr-CH"/>
              </w:rPr>
              <w:t>7</w:t>
            </w:r>
            <w:r w:rsidRPr="00E85629">
              <w:rPr>
                <w:b/>
                <w:bCs/>
                <w:position w:val="6"/>
                <w:szCs w:val="24"/>
                <w:lang w:val="fr-CH"/>
              </w:rPr>
              <w:t xml:space="preserve"> </w:t>
            </w:r>
            <w:r>
              <w:rPr>
                <w:b/>
                <w:bCs/>
                <w:position w:val="6"/>
                <w:szCs w:val="24"/>
                <w:lang w:val="fr-CH"/>
              </w:rPr>
              <w:t>April</w:t>
            </w:r>
            <w:r w:rsidRPr="00E85629">
              <w:rPr>
                <w:b/>
                <w:bCs/>
                <w:position w:val="6"/>
                <w:szCs w:val="24"/>
                <w:lang w:val="fr-CH"/>
              </w:rPr>
              <w:t xml:space="preserve"> 201</w:t>
            </w:r>
            <w:r>
              <w:rPr>
                <w:b/>
                <w:bCs/>
                <w:position w:val="6"/>
                <w:szCs w:val="24"/>
                <w:lang w:val="fr-CH"/>
              </w:rPr>
              <w:t>8</w:t>
            </w:r>
          </w:p>
        </w:tc>
        <w:tc>
          <w:tcPr>
            <w:tcW w:w="3120" w:type="dxa"/>
          </w:tcPr>
          <w:p w:rsidR="00AE02CB" w:rsidRPr="00813E5E" w:rsidRDefault="00AE02CB" w:rsidP="00AE02CB">
            <w:pPr>
              <w:spacing w:before="0" w:line="240" w:lineRule="atLeast"/>
              <w:jc w:val="right"/>
            </w:pPr>
            <w:bookmarkStart w:id="2" w:name="ditulogo"/>
            <w:bookmarkEnd w:id="2"/>
            <w:r w:rsidRPr="00F21593">
              <w:rPr>
                <w:rFonts w:ascii="Verdana" w:hAnsi="Verdana"/>
                <w:noProof/>
                <w:color w:val="FFFFFF"/>
                <w:sz w:val="26"/>
                <w:szCs w:val="26"/>
                <w:lang w:val="en-US" w:eastAsia="zh-CN"/>
              </w:rPr>
              <w:drawing>
                <wp:inline distT="0" distB="0" distL="0" distR="0" wp14:anchorId="28732120" wp14:editId="63CA9640">
                  <wp:extent cx="1765300" cy="742950"/>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AE02CB" w:rsidRPr="00813E5E" w:rsidTr="00AE02CB">
        <w:trPr>
          <w:cantSplit/>
        </w:trPr>
        <w:tc>
          <w:tcPr>
            <w:tcW w:w="6769" w:type="dxa"/>
            <w:tcBorders>
              <w:bottom w:val="single" w:sz="12" w:space="0" w:color="auto"/>
            </w:tcBorders>
          </w:tcPr>
          <w:p w:rsidR="00AE02CB" w:rsidRPr="00813E5E" w:rsidRDefault="00AE02CB" w:rsidP="00AE02CB">
            <w:pPr>
              <w:spacing w:before="0" w:after="48" w:line="240" w:lineRule="atLeast"/>
              <w:rPr>
                <w:b/>
                <w:smallCaps/>
                <w:szCs w:val="24"/>
              </w:rPr>
            </w:pPr>
          </w:p>
        </w:tc>
        <w:tc>
          <w:tcPr>
            <w:tcW w:w="3120" w:type="dxa"/>
            <w:tcBorders>
              <w:bottom w:val="single" w:sz="12" w:space="0" w:color="auto"/>
            </w:tcBorders>
          </w:tcPr>
          <w:p w:rsidR="00AE02CB" w:rsidRPr="00813E5E" w:rsidRDefault="00AE02CB" w:rsidP="00AE02CB">
            <w:pPr>
              <w:spacing w:before="0" w:line="240" w:lineRule="atLeast"/>
              <w:rPr>
                <w:szCs w:val="24"/>
              </w:rPr>
            </w:pPr>
          </w:p>
        </w:tc>
      </w:tr>
      <w:tr w:rsidR="00AE02CB" w:rsidRPr="00813E5E" w:rsidTr="00AE02CB">
        <w:trPr>
          <w:cantSplit/>
        </w:trPr>
        <w:tc>
          <w:tcPr>
            <w:tcW w:w="6769" w:type="dxa"/>
            <w:tcBorders>
              <w:top w:val="single" w:sz="12" w:space="0" w:color="auto"/>
            </w:tcBorders>
          </w:tcPr>
          <w:p w:rsidR="00AE02CB" w:rsidRPr="00813E5E" w:rsidRDefault="00AE02CB" w:rsidP="00AE02CB">
            <w:pPr>
              <w:spacing w:before="0" w:after="48" w:line="240" w:lineRule="atLeast"/>
              <w:rPr>
                <w:b/>
                <w:smallCaps/>
                <w:szCs w:val="24"/>
              </w:rPr>
            </w:pPr>
          </w:p>
        </w:tc>
        <w:tc>
          <w:tcPr>
            <w:tcW w:w="3120" w:type="dxa"/>
            <w:tcBorders>
              <w:top w:val="single" w:sz="12" w:space="0" w:color="auto"/>
            </w:tcBorders>
          </w:tcPr>
          <w:p w:rsidR="00AE02CB" w:rsidRPr="00813E5E" w:rsidRDefault="00AE02CB" w:rsidP="00521DA3">
            <w:pPr>
              <w:snapToGrid w:val="0"/>
              <w:spacing w:before="0"/>
              <w:rPr>
                <w:szCs w:val="24"/>
              </w:rPr>
            </w:pPr>
          </w:p>
        </w:tc>
      </w:tr>
      <w:tr w:rsidR="00AE02CB" w:rsidRPr="00813E5E" w:rsidTr="00AE02CB">
        <w:trPr>
          <w:cantSplit/>
          <w:trHeight w:val="23"/>
        </w:trPr>
        <w:tc>
          <w:tcPr>
            <w:tcW w:w="6769" w:type="dxa"/>
            <w:vMerge w:val="restart"/>
          </w:tcPr>
          <w:p w:rsidR="00AE02CB" w:rsidRPr="00E85629" w:rsidRDefault="00BE7792" w:rsidP="00B04A09">
            <w:pPr>
              <w:tabs>
                <w:tab w:val="left" w:pos="851"/>
              </w:tabs>
              <w:spacing w:before="0"/>
              <w:rPr>
                <w:b/>
              </w:rPr>
            </w:pPr>
            <w:bookmarkStart w:id="3" w:name="dmeeting" w:colFirst="0" w:colLast="0"/>
            <w:bookmarkStart w:id="4" w:name="dnum" w:colFirst="1" w:colLast="1"/>
            <w:r>
              <w:rPr>
                <w:b/>
              </w:rPr>
              <w:t>Agenda item:  ADM 11</w:t>
            </w:r>
          </w:p>
        </w:tc>
        <w:tc>
          <w:tcPr>
            <w:tcW w:w="3120" w:type="dxa"/>
          </w:tcPr>
          <w:p w:rsidR="00AE02CB" w:rsidRPr="00E85629" w:rsidRDefault="00AE02CB" w:rsidP="00521DA3">
            <w:pPr>
              <w:tabs>
                <w:tab w:val="left" w:pos="851"/>
              </w:tabs>
              <w:snapToGrid w:val="0"/>
              <w:spacing w:before="0"/>
              <w:rPr>
                <w:b/>
              </w:rPr>
            </w:pPr>
            <w:r>
              <w:rPr>
                <w:b/>
              </w:rPr>
              <w:t>Document C18/</w:t>
            </w:r>
            <w:r w:rsidR="006527FB">
              <w:rPr>
                <w:b/>
              </w:rPr>
              <w:t>42</w:t>
            </w:r>
            <w:r>
              <w:rPr>
                <w:b/>
              </w:rPr>
              <w:t>-E</w:t>
            </w:r>
          </w:p>
        </w:tc>
      </w:tr>
      <w:tr w:rsidR="00AE02CB" w:rsidRPr="00813E5E" w:rsidTr="00AE02CB">
        <w:trPr>
          <w:cantSplit/>
          <w:trHeight w:val="23"/>
        </w:trPr>
        <w:tc>
          <w:tcPr>
            <w:tcW w:w="6769" w:type="dxa"/>
            <w:vMerge/>
          </w:tcPr>
          <w:p w:rsidR="00AE02CB" w:rsidRPr="00813E5E" w:rsidRDefault="00AE02CB" w:rsidP="00AE02CB">
            <w:pPr>
              <w:tabs>
                <w:tab w:val="left" w:pos="851"/>
              </w:tabs>
              <w:spacing w:line="240" w:lineRule="atLeast"/>
              <w:rPr>
                <w:b/>
              </w:rPr>
            </w:pPr>
            <w:bookmarkStart w:id="5" w:name="ddate" w:colFirst="1" w:colLast="1"/>
            <w:bookmarkEnd w:id="3"/>
            <w:bookmarkEnd w:id="4"/>
          </w:p>
        </w:tc>
        <w:tc>
          <w:tcPr>
            <w:tcW w:w="3120" w:type="dxa"/>
          </w:tcPr>
          <w:p w:rsidR="00AE02CB" w:rsidRPr="003E61B9" w:rsidRDefault="00A30C49" w:rsidP="00A30C49">
            <w:pPr>
              <w:tabs>
                <w:tab w:val="left" w:pos="993"/>
              </w:tabs>
              <w:snapToGrid w:val="0"/>
              <w:spacing w:before="0"/>
              <w:rPr>
                <w:rFonts w:cs="Calibri"/>
                <w:b/>
              </w:rPr>
            </w:pPr>
            <w:r>
              <w:rPr>
                <w:b/>
              </w:rPr>
              <w:t>4</w:t>
            </w:r>
            <w:r w:rsidR="00521DA3">
              <w:rPr>
                <w:b/>
              </w:rPr>
              <w:t xml:space="preserve"> April </w:t>
            </w:r>
            <w:r w:rsidR="00AE02CB">
              <w:rPr>
                <w:b/>
              </w:rPr>
              <w:t>2018</w:t>
            </w:r>
          </w:p>
        </w:tc>
      </w:tr>
      <w:tr w:rsidR="00AE02CB" w:rsidRPr="00813E5E" w:rsidTr="00AE02CB">
        <w:trPr>
          <w:cantSplit/>
          <w:trHeight w:val="23"/>
        </w:trPr>
        <w:tc>
          <w:tcPr>
            <w:tcW w:w="6769" w:type="dxa"/>
            <w:vMerge/>
          </w:tcPr>
          <w:p w:rsidR="00AE02CB" w:rsidRPr="00813E5E" w:rsidRDefault="00AE02CB" w:rsidP="00AE02CB">
            <w:pPr>
              <w:tabs>
                <w:tab w:val="left" w:pos="851"/>
              </w:tabs>
              <w:spacing w:line="240" w:lineRule="atLeast"/>
              <w:rPr>
                <w:b/>
              </w:rPr>
            </w:pPr>
            <w:bookmarkStart w:id="6" w:name="dorlang" w:colFirst="1" w:colLast="1"/>
            <w:bookmarkEnd w:id="5"/>
          </w:p>
        </w:tc>
        <w:tc>
          <w:tcPr>
            <w:tcW w:w="3120" w:type="dxa"/>
          </w:tcPr>
          <w:p w:rsidR="00AE02CB" w:rsidRPr="003E61B9" w:rsidRDefault="00AE02CB" w:rsidP="00521DA3">
            <w:pPr>
              <w:tabs>
                <w:tab w:val="left" w:pos="993"/>
              </w:tabs>
              <w:snapToGrid w:val="0"/>
              <w:spacing w:before="0"/>
              <w:rPr>
                <w:rFonts w:cs="Calibri"/>
                <w:b/>
              </w:rPr>
            </w:pPr>
            <w:r>
              <w:rPr>
                <w:b/>
              </w:rPr>
              <w:t xml:space="preserve">Original: </w:t>
            </w:r>
            <w:r w:rsidR="00521DA3">
              <w:rPr>
                <w:b/>
              </w:rPr>
              <w:t xml:space="preserve"> </w:t>
            </w:r>
            <w:r>
              <w:rPr>
                <w:b/>
              </w:rPr>
              <w:t>English</w:t>
            </w:r>
          </w:p>
        </w:tc>
      </w:tr>
      <w:tr w:rsidR="001D3DC0" w:rsidRPr="00813E5E" w:rsidTr="00AE02CB">
        <w:trPr>
          <w:cantSplit/>
        </w:trPr>
        <w:tc>
          <w:tcPr>
            <w:tcW w:w="9889" w:type="dxa"/>
            <w:gridSpan w:val="2"/>
          </w:tcPr>
          <w:p w:rsidR="001D3DC0" w:rsidRPr="00813E5E" w:rsidRDefault="001D3DC0" w:rsidP="00AE02CB">
            <w:pPr>
              <w:pStyle w:val="Source"/>
            </w:pPr>
            <w:bookmarkStart w:id="7" w:name="dsource" w:colFirst="0" w:colLast="0"/>
            <w:bookmarkEnd w:id="6"/>
            <w:r>
              <w:t>Report by the Secretary-General</w:t>
            </w:r>
          </w:p>
        </w:tc>
      </w:tr>
      <w:tr w:rsidR="001D3DC0" w:rsidRPr="00813E5E" w:rsidTr="00AE02CB">
        <w:trPr>
          <w:cantSplit/>
        </w:trPr>
        <w:tc>
          <w:tcPr>
            <w:tcW w:w="9889" w:type="dxa"/>
            <w:gridSpan w:val="2"/>
          </w:tcPr>
          <w:p w:rsidR="001D3DC0" w:rsidRPr="00813E5E" w:rsidRDefault="001D3DC0" w:rsidP="003A03B8">
            <w:pPr>
              <w:pStyle w:val="Title1"/>
            </w:pPr>
            <w:bookmarkStart w:id="8" w:name="dtitle1" w:colFirst="0" w:colLast="0"/>
            <w:bookmarkEnd w:id="7"/>
            <w:r w:rsidRPr="001C2A98">
              <w:rPr>
                <w:szCs w:val="28"/>
                <w:lang w:val="en-US"/>
              </w:rPr>
              <w:t>financial operating report</w:t>
            </w:r>
            <w:r>
              <w:rPr>
                <w:szCs w:val="28"/>
                <w:lang w:val="en-US"/>
              </w:rPr>
              <w:br/>
            </w:r>
            <w:r w:rsidRPr="001C2A98">
              <w:rPr>
                <w:szCs w:val="28"/>
                <w:lang w:val="en-US"/>
              </w:rPr>
              <w:t xml:space="preserve">for </w:t>
            </w:r>
            <w:r>
              <w:rPr>
                <w:szCs w:val="28"/>
                <w:lang w:val="en-US"/>
              </w:rPr>
              <w:t xml:space="preserve">the </w:t>
            </w:r>
            <w:r w:rsidRPr="001C2A98">
              <w:rPr>
                <w:szCs w:val="28"/>
                <w:lang w:val="en-US"/>
              </w:rPr>
              <w:t>financial year 201</w:t>
            </w:r>
            <w:r w:rsidR="003A03B8">
              <w:rPr>
                <w:szCs w:val="28"/>
                <w:lang w:val="en-US"/>
              </w:rPr>
              <w:t>7</w:t>
            </w:r>
            <w:r w:rsidR="00EE7A94">
              <w:rPr>
                <w:szCs w:val="28"/>
                <w:lang w:val="en-US"/>
              </w:rPr>
              <w:t xml:space="preserve"> (</w:t>
            </w:r>
            <w:r w:rsidR="00EE7A94" w:rsidRPr="00EE7A94">
              <w:rPr>
                <w:i/>
                <w:iCs/>
                <w:szCs w:val="28"/>
                <w:lang w:val="en-US"/>
              </w:rPr>
              <w:t>UNAUDITED</w:t>
            </w:r>
            <w:r w:rsidR="00EE7A94">
              <w:rPr>
                <w:szCs w:val="28"/>
                <w:lang w:val="en-US"/>
              </w:rPr>
              <w:t>)</w:t>
            </w:r>
          </w:p>
        </w:tc>
      </w:tr>
    </w:tbl>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1D3DC0" w:rsidRPr="001C2A98" w:rsidTr="0076062A">
        <w:trPr>
          <w:trHeight w:val="3372"/>
        </w:trPr>
        <w:tc>
          <w:tcPr>
            <w:tcW w:w="8080" w:type="dxa"/>
            <w:tcBorders>
              <w:top w:val="single" w:sz="12" w:space="0" w:color="auto"/>
              <w:left w:val="single" w:sz="12" w:space="0" w:color="auto"/>
              <w:bottom w:val="single" w:sz="12" w:space="0" w:color="auto"/>
              <w:right w:val="single" w:sz="12" w:space="0" w:color="auto"/>
            </w:tcBorders>
          </w:tcPr>
          <w:p w:rsidR="001D3DC0" w:rsidRPr="001C2A98" w:rsidRDefault="001D3DC0" w:rsidP="0076062A">
            <w:pPr>
              <w:pStyle w:val="Headingb"/>
              <w:rPr>
                <w:lang w:val="en-US"/>
              </w:rPr>
            </w:pPr>
            <w:bookmarkStart w:id="9" w:name="_Toc305764050"/>
            <w:bookmarkEnd w:id="8"/>
            <w:r w:rsidRPr="001C2A98">
              <w:rPr>
                <w:lang w:val="en-US"/>
              </w:rPr>
              <w:t>Summary</w:t>
            </w:r>
            <w:bookmarkEnd w:id="9"/>
          </w:p>
          <w:p w:rsidR="001D3DC0" w:rsidRPr="00D128FC" w:rsidRDefault="001D3DC0" w:rsidP="0076062A">
            <w:pPr>
              <w:tabs>
                <w:tab w:val="left" w:pos="851"/>
                <w:tab w:val="left" w:pos="1418"/>
              </w:tabs>
              <w:spacing w:after="120"/>
              <w:rPr>
                <w:rFonts w:cs="Calibri"/>
                <w:lang w:val="en-US"/>
              </w:rPr>
            </w:pPr>
            <w:r w:rsidRPr="00D128FC">
              <w:rPr>
                <w:rFonts w:cs="Calibri"/>
                <w:lang w:val="en-US"/>
              </w:rPr>
              <w:t>Under No. 101 of the Convention of the International Telecommunication Union and Article 30 of the Financial Regulations of the Union, the Secretary-General is requested to submit a financial operating report each year to the Council.</w:t>
            </w:r>
          </w:p>
          <w:p w:rsidR="001D3DC0" w:rsidRPr="00D128FC" w:rsidRDefault="001D3DC0" w:rsidP="003A03B8">
            <w:pPr>
              <w:tabs>
                <w:tab w:val="left" w:pos="851"/>
                <w:tab w:val="left" w:pos="1418"/>
              </w:tabs>
              <w:rPr>
                <w:rFonts w:cs="Calibri"/>
                <w:lang w:val="en-US"/>
              </w:rPr>
            </w:pPr>
            <w:r w:rsidRPr="00D128FC">
              <w:rPr>
                <w:rFonts w:cs="Calibri"/>
                <w:lang w:val="en-US"/>
              </w:rPr>
              <w:t xml:space="preserve">The </w:t>
            </w:r>
            <w:r>
              <w:rPr>
                <w:rFonts w:cs="Calibri"/>
                <w:lang w:val="en-US"/>
              </w:rPr>
              <w:t>F</w:t>
            </w:r>
            <w:r w:rsidRPr="00D128FC">
              <w:rPr>
                <w:rFonts w:cs="Calibri"/>
                <w:lang w:val="en-US"/>
              </w:rPr>
              <w:t>inanci</w:t>
            </w:r>
            <w:r>
              <w:rPr>
                <w:rFonts w:cs="Calibri"/>
                <w:lang w:val="en-US"/>
              </w:rPr>
              <w:t>al Operating Report for the 201</w:t>
            </w:r>
            <w:r w:rsidR="003A03B8">
              <w:rPr>
                <w:rFonts w:cs="Calibri"/>
                <w:lang w:val="en-US"/>
              </w:rPr>
              <w:t>7</w:t>
            </w:r>
            <w:r w:rsidRPr="00D128FC">
              <w:rPr>
                <w:rFonts w:cs="Calibri"/>
                <w:lang w:val="en-US"/>
              </w:rPr>
              <w:t xml:space="preserve"> financial year covers:</w:t>
            </w:r>
          </w:p>
          <w:p w:rsidR="001D3DC0" w:rsidRPr="00D128FC" w:rsidRDefault="001D3DC0" w:rsidP="003A03B8">
            <w:pPr>
              <w:tabs>
                <w:tab w:val="left" w:pos="851"/>
                <w:tab w:val="left" w:pos="1418"/>
              </w:tabs>
              <w:ind w:left="567" w:hanging="533"/>
              <w:jc w:val="both"/>
              <w:rPr>
                <w:rFonts w:cs="Calibri"/>
                <w:lang w:val="en-US"/>
              </w:rPr>
            </w:pPr>
            <w:r w:rsidRPr="00D128FC">
              <w:rPr>
                <w:rFonts w:cs="Calibri"/>
                <w:lang w:val="en-US"/>
              </w:rPr>
              <w:t>•</w:t>
            </w:r>
            <w:r w:rsidRPr="00D128FC">
              <w:rPr>
                <w:rFonts w:cs="Calibri"/>
                <w:lang w:val="en-US"/>
              </w:rPr>
              <w:tab/>
              <w:t>T</w:t>
            </w:r>
            <w:r>
              <w:rPr>
                <w:rFonts w:cs="Calibri"/>
                <w:lang w:val="en-US"/>
              </w:rPr>
              <w:t xml:space="preserve">he </w:t>
            </w:r>
            <w:r w:rsidR="00CE5346">
              <w:rPr>
                <w:rFonts w:cs="Calibri"/>
                <w:lang w:val="en-US"/>
              </w:rPr>
              <w:t>un</w:t>
            </w:r>
            <w:r>
              <w:rPr>
                <w:rFonts w:cs="Calibri"/>
                <w:lang w:val="en-US"/>
              </w:rPr>
              <w:t>audited accounts for the 201</w:t>
            </w:r>
            <w:r w:rsidR="003A03B8">
              <w:rPr>
                <w:rFonts w:cs="Calibri"/>
                <w:lang w:val="en-US"/>
              </w:rPr>
              <w:t>7</w:t>
            </w:r>
            <w:r w:rsidRPr="00D128FC">
              <w:rPr>
                <w:rFonts w:cs="Calibri"/>
                <w:lang w:val="en-US"/>
              </w:rPr>
              <w:t xml:space="preserve"> financial year of the budget of the Union.</w:t>
            </w:r>
          </w:p>
          <w:p w:rsidR="001D3DC0" w:rsidRDefault="001D3DC0" w:rsidP="003A03B8">
            <w:pPr>
              <w:tabs>
                <w:tab w:val="left" w:pos="601"/>
                <w:tab w:val="left" w:pos="794"/>
                <w:tab w:val="left" w:pos="1191"/>
                <w:tab w:val="left" w:pos="1588"/>
                <w:tab w:val="left" w:pos="1985"/>
                <w:tab w:val="center" w:pos="8789"/>
              </w:tabs>
              <w:ind w:left="601" w:hanging="601"/>
              <w:jc w:val="both"/>
              <w:rPr>
                <w:rFonts w:cs="Calibri"/>
                <w:bCs/>
                <w:lang w:val="en-US"/>
              </w:rPr>
            </w:pPr>
            <w:r>
              <w:rPr>
                <w:rFonts w:cs="Calibri"/>
                <w:bCs/>
                <w:lang w:val="en-US"/>
              </w:rPr>
              <w:t>•</w:t>
            </w:r>
            <w:r>
              <w:rPr>
                <w:rFonts w:cs="Calibri"/>
                <w:bCs/>
                <w:lang w:val="en-US"/>
              </w:rPr>
              <w:tab/>
              <w:t xml:space="preserve">The </w:t>
            </w:r>
            <w:r w:rsidR="00CE5346">
              <w:rPr>
                <w:rFonts w:cs="Calibri"/>
                <w:bCs/>
                <w:lang w:val="en-US"/>
              </w:rPr>
              <w:t>un</w:t>
            </w:r>
            <w:r>
              <w:rPr>
                <w:rFonts w:cs="Calibri"/>
                <w:bCs/>
                <w:lang w:val="en-US"/>
              </w:rPr>
              <w:t>audited accounts for 201</w:t>
            </w:r>
            <w:r w:rsidR="003A03B8">
              <w:rPr>
                <w:rFonts w:cs="Calibri"/>
                <w:bCs/>
                <w:lang w:val="en-US"/>
              </w:rPr>
              <w:t>7</w:t>
            </w:r>
            <w:r w:rsidRPr="00D128FC">
              <w:rPr>
                <w:rFonts w:cs="Calibri"/>
                <w:bCs/>
                <w:lang w:val="en-US"/>
              </w:rPr>
              <w:t xml:space="preserve"> for technical cooperation projects, voluntary contributions and the ITU Staff Superannuation and Benevolent Funds.</w:t>
            </w:r>
          </w:p>
          <w:p w:rsidR="001D3DC0" w:rsidRPr="00D128FC" w:rsidRDefault="001D3DC0" w:rsidP="003A03B8">
            <w:pPr>
              <w:tabs>
                <w:tab w:val="left" w:pos="601"/>
                <w:tab w:val="left" w:pos="794"/>
                <w:tab w:val="left" w:pos="1191"/>
                <w:tab w:val="left" w:pos="1588"/>
                <w:tab w:val="left" w:pos="1985"/>
                <w:tab w:val="center" w:pos="8789"/>
              </w:tabs>
              <w:ind w:left="601" w:hanging="601"/>
              <w:rPr>
                <w:rFonts w:cs="Calibri"/>
                <w:bCs/>
                <w:lang w:val="en-US"/>
              </w:rPr>
            </w:pPr>
            <w:r>
              <w:rPr>
                <w:rFonts w:cs="Calibri"/>
                <w:bCs/>
                <w:lang w:val="en-US"/>
              </w:rPr>
              <w:t>•</w:t>
            </w:r>
            <w:r>
              <w:rPr>
                <w:rFonts w:cs="Calibri"/>
                <w:bCs/>
                <w:lang w:val="en-US"/>
              </w:rPr>
              <w:tab/>
            </w:r>
            <w:r w:rsidRPr="00B230A1">
              <w:rPr>
                <w:rFonts w:cs="Calibri"/>
                <w:bCs/>
                <w:lang w:val="en-US"/>
              </w:rPr>
              <w:t xml:space="preserve">The </w:t>
            </w:r>
            <w:r w:rsidR="00CE5346">
              <w:rPr>
                <w:rFonts w:cs="Calibri"/>
                <w:bCs/>
                <w:lang w:val="en-US"/>
              </w:rPr>
              <w:t xml:space="preserve">unaudited </w:t>
            </w:r>
            <w:r w:rsidRPr="00B230A1">
              <w:rPr>
                <w:rFonts w:cs="Calibri"/>
                <w:bCs/>
                <w:lang w:val="en-US"/>
              </w:rPr>
              <w:t>ITU TELECOM World 201</w:t>
            </w:r>
            <w:r w:rsidR="003A03B8">
              <w:rPr>
                <w:rFonts w:cs="Calibri"/>
                <w:bCs/>
                <w:lang w:val="en-US"/>
              </w:rPr>
              <w:t>7</w:t>
            </w:r>
            <w:r w:rsidRPr="00B230A1">
              <w:rPr>
                <w:rFonts w:cs="Calibri"/>
                <w:bCs/>
                <w:lang w:val="en-US"/>
              </w:rPr>
              <w:t xml:space="preserve"> event.</w:t>
            </w:r>
          </w:p>
          <w:p w:rsidR="0087761F" w:rsidRPr="006F47A2" w:rsidRDefault="0087761F" w:rsidP="0087761F">
            <w:pPr>
              <w:pStyle w:val="Headingb"/>
              <w:rPr>
                <w:lang w:val="en-US"/>
              </w:rPr>
            </w:pPr>
            <w:bookmarkStart w:id="10" w:name="_Toc305764051"/>
            <w:r w:rsidRPr="006F47A2">
              <w:rPr>
                <w:lang w:val="en-US"/>
              </w:rPr>
              <w:t>Action required</w:t>
            </w:r>
            <w:bookmarkEnd w:id="10"/>
          </w:p>
          <w:p w:rsidR="0087761F" w:rsidRPr="008C516C" w:rsidRDefault="0087761F" w:rsidP="007F6BB1">
            <w:pPr>
              <w:tabs>
                <w:tab w:val="left" w:pos="851"/>
                <w:tab w:val="left" w:pos="1418"/>
              </w:tabs>
              <w:spacing w:after="120"/>
            </w:pPr>
            <w:r w:rsidRPr="008C516C">
              <w:rPr>
                <w:szCs w:val="24"/>
              </w:rPr>
              <w:t>The audited accounts of the Union for the 20</w:t>
            </w:r>
            <w:r>
              <w:rPr>
                <w:szCs w:val="24"/>
              </w:rPr>
              <w:t>17</w:t>
            </w:r>
            <w:r w:rsidRPr="008C516C">
              <w:rPr>
                <w:szCs w:val="24"/>
              </w:rPr>
              <w:t xml:space="preserve"> </w:t>
            </w:r>
            <w:r>
              <w:rPr>
                <w:szCs w:val="24"/>
              </w:rPr>
              <w:t xml:space="preserve">financial year </w:t>
            </w:r>
            <w:r w:rsidRPr="008C516C">
              <w:rPr>
                <w:szCs w:val="24"/>
              </w:rPr>
              <w:t xml:space="preserve">will be submitted to the Council for examination and approval at its </w:t>
            </w:r>
            <w:r w:rsidR="007F6BB1">
              <w:rPr>
                <w:szCs w:val="24"/>
              </w:rPr>
              <w:t xml:space="preserve">final </w:t>
            </w:r>
            <w:r w:rsidRPr="008C516C">
              <w:rPr>
                <w:szCs w:val="24"/>
              </w:rPr>
              <w:t>se</w:t>
            </w:r>
            <w:r>
              <w:rPr>
                <w:szCs w:val="24"/>
              </w:rPr>
              <w:t>ss</w:t>
            </w:r>
            <w:r w:rsidRPr="008C516C">
              <w:rPr>
                <w:szCs w:val="24"/>
              </w:rPr>
              <w:t>ion in 201</w:t>
            </w:r>
            <w:r>
              <w:rPr>
                <w:szCs w:val="24"/>
              </w:rPr>
              <w:t>8</w:t>
            </w:r>
            <w:r w:rsidRPr="008C516C">
              <w:rPr>
                <w:szCs w:val="24"/>
              </w:rPr>
              <w:t>.</w:t>
            </w:r>
          </w:p>
          <w:p w:rsidR="0087761F" w:rsidRPr="008C516C" w:rsidRDefault="0087761F" w:rsidP="0087761F">
            <w:r w:rsidRPr="008C516C">
              <w:rPr>
                <w:szCs w:val="24"/>
              </w:rPr>
              <w:t xml:space="preserve">The Council is invited to </w:t>
            </w:r>
            <w:r w:rsidRPr="008C516C">
              <w:rPr>
                <w:b/>
                <w:bCs/>
                <w:szCs w:val="24"/>
              </w:rPr>
              <w:t>take note</w:t>
            </w:r>
            <w:r w:rsidRPr="008C516C">
              <w:rPr>
                <w:szCs w:val="24"/>
              </w:rPr>
              <w:t xml:space="preserve"> of this unaudited financial operating report.</w:t>
            </w:r>
          </w:p>
          <w:p w:rsidR="001D3DC0" w:rsidRPr="001C2A98" w:rsidRDefault="001D3DC0" w:rsidP="0076062A">
            <w:pPr>
              <w:pStyle w:val="Table"/>
              <w:keepNext w:val="0"/>
              <w:snapToGrid w:val="0"/>
              <w:spacing w:before="0" w:after="0"/>
              <w:rPr>
                <w:rFonts w:ascii="Calibri" w:hAnsi="Calibri"/>
                <w:caps w:val="0"/>
                <w:sz w:val="22"/>
                <w:lang w:val="en-US"/>
              </w:rPr>
            </w:pPr>
            <w:r w:rsidRPr="001C2A98">
              <w:rPr>
                <w:rFonts w:ascii="Calibri" w:hAnsi="Calibri"/>
                <w:caps w:val="0"/>
                <w:sz w:val="22"/>
                <w:lang w:val="en-US"/>
              </w:rPr>
              <w:t>____________</w:t>
            </w:r>
          </w:p>
          <w:p w:rsidR="001D3DC0" w:rsidRPr="001C2A98" w:rsidRDefault="001D3DC0" w:rsidP="0076062A">
            <w:pPr>
              <w:pStyle w:val="Headingb"/>
              <w:snapToGrid w:val="0"/>
              <w:spacing w:before="0"/>
              <w:rPr>
                <w:lang w:val="en-US"/>
              </w:rPr>
            </w:pPr>
            <w:bookmarkStart w:id="11" w:name="_Toc305764052"/>
            <w:r w:rsidRPr="001C2A98">
              <w:rPr>
                <w:lang w:val="en-US"/>
              </w:rPr>
              <w:t>References</w:t>
            </w:r>
            <w:bookmarkEnd w:id="11"/>
          </w:p>
          <w:p w:rsidR="001D3DC0" w:rsidRPr="001C2A98" w:rsidRDefault="001D3DC0" w:rsidP="0076062A">
            <w:pPr>
              <w:tabs>
                <w:tab w:val="left" w:pos="794"/>
                <w:tab w:val="left" w:pos="1191"/>
                <w:tab w:val="left" w:pos="1588"/>
                <w:tab w:val="left" w:pos="1985"/>
              </w:tabs>
              <w:snapToGrid w:val="0"/>
              <w:spacing w:before="0"/>
              <w:rPr>
                <w:i/>
                <w:iCs/>
                <w:lang w:val="en-US"/>
              </w:rPr>
            </w:pPr>
            <w:r w:rsidRPr="00D128FC">
              <w:rPr>
                <w:rFonts w:cs="Calibri"/>
                <w:i/>
                <w:iCs/>
                <w:lang w:val="en-US"/>
              </w:rPr>
              <w:t xml:space="preserve">Convention: </w:t>
            </w:r>
            <w:r w:rsidR="00A177FF">
              <w:rPr>
                <w:rFonts w:cs="Calibri"/>
                <w:i/>
                <w:iCs/>
                <w:lang w:val="en-US"/>
              </w:rPr>
              <w:t xml:space="preserve"> </w:t>
            </w:r>
            <w:r w:rsidRPr="00D128FC">
              <w:rPr>
                <w:rFonts w:cs="Calibri"/>
                <w:i/>
                <w:iCs/>
                <w:lang w:val="en-US"/>
              </w:rPr>
              <w:t xml:space="preserve">No. </w:t>
            </w:r>
            <w:hyperlink r:id="rId9" w:anchor="cv101" w:history="1">
              <w:r w:rsidRPr="00D128FC">
                <w:rPr>
                  <w:rFonts w:cs="Calibri"/>
                  <w:i/>
                  <w:iCs/>
                  <w:color w:val="0000FF"/>
                  <w:u w:val="single"/>
                  <w:lang w:val="en-US"/>
                </w:rPr>
                <w:t>101</w:t>
              </w:r>
            </w:hyperlink>
            <w:r w:rsidRPr="00D128FC">
              <w:rPr>
                <w:rFonts w:cs="Calibri"/>
                <w:i/>
                <w:iCs/>
                <w:lang w:val="en-US"/>
              </w:rPr>
              <w:br/>
              <w:t xml:space="preserve">Financial Regulations of the Union: </w:t>
            </w:r>
            <w:hyperlink r:id="rId10" w:history="1">
              <w:r w:rsidRPr="00D128FC">
                <w:rPr>
                  <w:rFonts w:cs="Calibri"/>
                  <w:i/>
                  <w:iCs/>
                  <w:color w:val="0000FF"/>
                  <w:u w:val="single"/>
                  <w:lang w:val="en-US"/>
                </w:rPr>
                <w:t>Article 30</w:t>
              </w:r>
            </w:hyperlink>
          </w:p>
          <w:p w:rsidR="001D3DC0" w:rsidRPr="001C2A98" w:rsidRDefault="001D3DC0" w:rsidP="0076062A">
            <w:pPr>
              <w:rPr>
                <w:i/>
                <w:iCs/>
                <w:lang w:val="en-US"/>
              </w:rPr>
            </w:pPr>
          </w:p>
        </w:tc>
      </w:tr>
    </w:tbl>
    <w:p w:rsidR="001D3DC0" w:rsidRDefault="001D3DC0" w:rsidP="001D3DC0">
      <w:pPr>
        <w:rPr>
          <w:lang w:val="en-US"/>
        </w:rPr>
      </w:pPr>
    </w:p>
    <w:p w:rsidR="002074E5" w:rsidRDefault="002074E5" w:rsidP="001D3DC0">
      <w:pPr>
        <w:rPr>
          <w:lang w:val="en-US"/>
        </w:rPr>
      </w:pPr>
    </w:p>
    <w:p w:rsidR="002074E5" w:rsidRPr="001C2A98" w:rsidRDefault="002074E5" w:rsidP="001D3DC0">
      <w:pPr>
        <w:rPr>
          <w:lang w:val="en-US"/>
        </w:rPr>
      </w:pPr>
    </w:p>
    <w:p w:rsidR="001D3DC0" w:rsidRPr="007E37EB" w:rsidRDefault="001D3DC0" w:rsidP="007F4BA7">
      <w:pPr>
        <w:rPr>
          <w:lang w:val="en-US"/>
        </w:rPr>
      </w:pPr>
      <w:r w:rsidRPr="001C2A98">
        <w:rPr>
          <w:b/>
          <w:bCs/>
          <w:lang w:val="en-US"/>
        </w:rPr>
        <w:t>Annexes:</w:t>
      </w:r>
      <w:r>
        <w:rPr>
          <w:b/>
          <w:bCs/>
          <w:lang w:val="en-US"/>
        </w:rPr>
        <w:t xml:space="preserve">  </w:t>
      </w:r>
      <w:r w:rsidRPr="00BA312F">
        <w:rPr>
          <w:lang w:val="en-US"/>
        </w:rPr>
        <w:t>1</w:t>
      </w:r>
      <w:r w:rsidR="007F4BA7">
        <w:rPr>
          <w:lang w:val="en-US"/>
        </w:rPr>
        <w:t>0</w:t>
      </w:r>
    </w:p>
    <w:p w:rsidR="008908AB" w:rsidRDefault="008908AB" w:rsidP="008908AB">
      <w:pPr>
        <w:rPr>
          <w:lang w:val="en-US"/>
        </w:rPr>
      </w:pPr>
    </w:p>
    <w:p w:rsidR="008908AB" w:rsidRDefault="008908AB" w:rsidP="008908AB">
      <w:pPr>
        <w:rPr>
          <w:lang w:val="en-US"/>
        </w:rPr>
      </w:pPr>
    </w:p>
    <w:p w:rsidR="008908AB" w:rsidRDefault="008908AB" w:rsidP="008908AB">
      <w:pPr>
        <w:rPr>
          <w:lang w:val="en-US"/>
        </w:rPr>
      </w:pPr>
    </w:p>
    <w:p w:rsidR="008908AB" w:rsidRDefault="008908AB" w:rsidP="008908AB">
      <w:pPr>
        <w:rPr>
          <w:lang w:val="en-US"/>
        </w:rPr>
      </w:pPr>
    </w:p>
    <w:p w:rsidR="008908AB" w:rsidRPr="008908AB" w:rsidRDefault="008908AB" w:rsidP="008908AB">
      <w:pPr>
        <w:rPr>
          <w:lang w:val="en-US"/>
        </w:rPr>
      </w:pPr>
    </w:p>
    <w:p w:rsidR="0022373A" w:rsidRPr="00D128FC" w:rsidRDefault="001171B2" w:rsidP="005D3458">
      <w:pPr>
        <w:pStyle w:val="Annexref"/>
        <w:rPr>
          <w:sz w:val="23"/>
          <w:szCs w:val="23"/>
          <w:lang w:val="en-US"/>
        </w:rPr>
      </w:pPr>
      <w:r>
        <w:rPr>
          <w:noProof/>
          <w:lang w:val="en-US" w:eastAsia="zh-CN"/>
        </w:rPr>
        <w:drawing>
          <wp:inline distT="0" distB="0" distL="0" distR="0" wp14:anchorId="6DF2F5FB" wp14:editId="1CD38B22">
            <wp:extent cx="600075" cy="685800"/>
            <wp:effectExtent l="0" t="0" r="9525" b="0"/>
            <wp:docPr id="2" name="Picture 2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0075" cy="685800"/>
                    </a:xfrm>
                    <a:prstGeom prst="rect">
                      <a:avLst/>
                    </a:prstGeom>
                    <a:noFill/>
                    <a:ln>
                      <a:noFill/>
                    </a:ln>
                  </pic:spPr>
                </pic:pic>
              </a:graphicData>
            </a:graphic>
          </wp:inline>
        </w:drawing>
      </w:r>
    </w:p>
    <w:p w:rsidR="0022373A" w:rsidRPr="00D128FC" w:rsidRDefault="0022373A" w:rsidP="005D3458">
      <w:pPr>
        <w:keepNext/>
        <w:keepLines/>
        <w:tabs>
          <w:tab w:val="left" w:pos="794"/>
          <w:tab w:val="left" w:pos="1191"/>
          <w:tab w:val="left" w:pos="1588"/>
          <w:tab w:val="left" w:pos="1985"/>
        </w:tabs>
        <w:spacing w:before="960" w:after="480"/>
        <w:jc w:val="center"/>
        <w:rPr>
          <w:rFonts w:cs="Calibri"/>
          <w:b/>
          <w:sz w:val="36"/>
          <w:szCs w:val="36"/>
          <w:lang w:val="en-US"/>
        </w:rPr>
      </w:pPr>
      <w:r w:rsidRPr="00D128FC">
        <w:rPr>
          <w:rFonts w:cs="Calibri"/>
          <w:b/>
          <w:sz w:val="36"/>
          <w:szCs w:val="36"/>
          <w:lang w:val="en-US"/>
        </w:rPr>
        <w:t>Financial operating report</w:t>
      </w:r>
    </w:p>
    <w:p w:rsidR="000267BA" w:rsidRDefault="0022373A" w:rsidP="00EA6CD7">
      <w:pPr>
        <w:jc w:val="both"/>
        <w:rPr>
          <w:lang w:val="en-US"/>
        </w:rPr>
      </w:pPr>
      <w:r w:rsidRPr="001C2A98">
        <w:rPr>
          <w:lang w:val="en-US"/>
        </w:rPr>
        <w:t>In accordance with Article 30 of the Financial Regulations of the Union</w:t>
      </w:r>
      <w:r w:rsidR="000267BA">
        <w:rPr>
          <w:lang w:val="en-US"/>
        </w:rPr>
        <w:t xml:space="preserve"> </w:t>
      </w:r>
      <w:r w:rsidR="000267BA" w:rsidRPr="00B7401A">
        <w:rPr>
          <w:lang w:val="en-US" w:eastAsia="fr-FR"/>
        </w:rPr>
        <w:sym w:font="Symbol" w:char="F02D"/>
      </w:r>
      <w:r w:rsidR="000267BA" w:rsidRPr="00B7401A">
        <w:rPr>
          <w:lang w:val="en-US" w:eastAsia="fr-FR"/>
        </w:rPr>
        <w:t xml:space="preserve"> </w:t>
      </w:r>
      <w:r w:rsidR="000267BA">
        <w:rPr>
          <w:lang w:val="en-US" w:eastAsia="fr-FR"/>
        </w:rPr>
        <w:t>E</w:t>
      </w:r>
      <w:r w:rsidR="000267BA" w:rsidRPr="00B7401A">
        <w:rPr>
          <w:lang w:val="en-US" w:eastAsia="fr-FR"/>
        </w:rPr>
        <w:t>dition</w:t>
      </w:r>
      <w:r w:rsidR="004353B0">
        <w:rPr>
          <w:lang w:val="en-US" w:eastAsia="fr-FR"/>
        </w:rPr>
        <w:t xml:space="preserve"> 2010</w:t>
      </w:r>
      <w:r w:rsidRPr="001C2A98">
        <w:rPr>
          <w:lang w:val="en-US"/>
        </w:rPr>
        <w:t>, this financial operating report on the</w:t>
      </w:r>
      <w:r w:rsidR="00EA6CD7">
        <w:rPr>
          <w:lang w:val="en-US"/>
        </w:rPr>
        <w:t xml:space="preserve"> un</w:t>
      </w:r>
      <w:r w:rsidRPr="001C2A98">
        <w:rPr>
          <w:lang w:val="en-US"/>
        </w:rPr>
        <w:t>audited accounts gives the finan</w:t>
      </w:r>
      <w:r w:rsidR="00D05A51">
        <w:rPr>
          <w:lang w:val="en-US"/>
        </w:rPr>
        <w:t xml:space="preserve">cial results at 31 December </w:t>
      </w:r>
      <w:r w:rsidR="00111BDD">
        <w:rPr>
          <w:lang w:val="en-US"/>
        </w:rPr>
        <w:t>201</w:t>
      </w:r>
      <w:r w:rsidR="003A03B8">
        <w:rPr>
          <w:lang w:val="en-US"/>
        </w:rPr>
        <w:t>7</w:t>
      </w:r>
      <w:r w:rsidRPr="001C2A98">
        <w:rPr>
          <w:lang w:val="en-US"/>
        </w:rPr>
        <w:t xml:space="preserve"> for accounts held by the Internationa</w:t>
      </w:r>
      <w:r w:rsidR="00585034">
        <w:rPr>
          <w:lang w:val="en-US"/>
        </w:rPr>
        <w:t>l Telecommunication Union (ITU</w:t>
      </w:r>
      <w:r w:rsidR="00585034" w:rsidRPr="000267BA">
        <w:rPr>
          <w:lang w:val="en-US"/>
        </w:rPr>
        <w:t>).</w:t>
      </w:r>
    </w:p>
    <w:p w:rsidR="0022373A" w:rsidRDefault="00585034" w:rsidP="00784558">
      <w:pPr>
        <w:jc w:val="both"/>
        <w:rPr>
          <w:lang w:val="en-US"/>
        </w:rPr>
      </w:pPr>
      <w:r w:rsidRPr="000267BA">
        <w:rPr>
          <w:lang w:val="en-US"/>
        </w:rPr>
        <w:t>The 201</w:t>
      </w:r>
      <w:r w:rsidR="003A03B8">
        <w:rPr>
          <w:lang w:val="en-US"/>
        </w:rPr>
        <w:t>7</w:t>
      </w:r>
      <w:r w:rsidR="00F653D4">
        <w:rPr>
          <w:lang w:val="en-US"/>
        </w:rPr>
        <w:t xml:space="preserve"> </w:t>
      </w:r>
      <w:r w:rsidRPr="000267BA">
        <w:rPr>
          <w:lang w:val="en-US"/>
        </w:rPr>
        <w:t>Financial Statements have been prepared in accordance with the International Public Sector Accounting Standards (IPSAS). The 201</w:t>
      </w:r>
      <w:r w:rsidR="003A03B8">
        <w:rPr>
          <w:lang w:val="en-US"/>
        </w:rPr>
        <w:t>7</w:t>
      </w:r>
      <w:r w:rsidRPr="000267BA">
        <w:rPr>
          <w:lang w:val="en-US"/>
        </w:rPr>
        <w:t xml:space="preserve"> Financial Statements constitute the </w:t>
      </w:r>
      <w:r w:rsidR="00F653D4" w:rsidRPr="00784558">
        <w:rPr>
          <w:lang w:val="en-US"/>
        </w:rPr>
        <w:t xml:space="preserve">ninth </w:t>
      </w:r>
      <w:r w:rsidRPr="00784558">
        <w:rPr>
          <w:lang w:val="en-US"/>
        </w:rPr>
        <w:t>set of</w:t>
      </w:r>
      <w:r w:rsidRPr="000267BA">
        <w:rPr>
          <w:lang w:val="en-US"/>
        </w:rPr>
        <w:t xml:space="preserve"> financial statements to have been prepared in accordance with IPSAS</w:t>
      </w:r>
      <w:r w:rsidRPr="00585034">
        <w:rPr>
          <w:lang w:val="en-US"/>
        </w:rPr>
        <w:t xml:space="preserve"> </w:t>
      </w:r>
      <w:r w:rsidR="0022373A" w:rsidRPr="001C2A98">
        <w:rPr>
          <w:lang w:val="en-US"/>
        </w:rPr>
        <w:t>and cover the following:</w:t>
      </w:r>
    </w:p>
    <w:p w:rsidR="00585034" w:rsidRPr="001C2A98" w:rsidRDefault="00585034" w:rsidP="00585034">
      <w:pPr>
        <w:rPr>
          <w:lang w:val="en-US"/>
        </w:rPr>
      </w:pPr>
    </w:p>
    <w:p w:rsidR="0022373A" w:rsidRPr="001C2A98" w:rsidRDefault="00320DDE" w:rsidP="00585034">
      <w:pPr>
        <w:pStyle w:val="enumlev1"/>
        <w:rPr>
          <w:lang w:val="en-US"/>
        </w:rPr>
      </w:pPr>
      <w:r>
        <w:rPr>
          <w:lang w:val="en-US"/>
        </w:rPr>
        <w:t>–</w:t>
      </w:r>
      <w:r>
        <w:rPr>
          <w:lang w:val="en-US"/>
        </w:rPr>
        <w:tab/>
      </w:r>
      <w:proofErr w:type="gramStart"/>
      <w:r w:rsidR="0022373A" w:rsidRPr="001C2A98">
        <w:rPr>
          <w:lang w:val="en-US"/>
        </w:rPr>
        <w:t>the</w:t>
      </w:r>
      <w:proofErr w:type="gramEnd"/>
      <w:r w:rsidR="0022373A" w:rsidRPr="001C2A98">
        <w:rPr>
          <w:lang w:val="en-US"/>
        </w:rPr>
        <w:t xml:space="preserve"> Union</w:t>
      </w:r>
      <w:r w:rsidR="007A552E">
        <w:rPr>
          <w:lang w:val="en-US"/>
        </w:rPr>
        <w:t>’</w:t>
      </w:r>
      <w:r w:rsidR="00102375">
        <w:rPr>
          <w:lang w:val="en-US"/>
        </w:rPr>
        <w:t xml:space="preserve">s financial year </w:t>
      </w:r>
      <w:r w:rsidR="003A03B8">
        <w:rPr>
          <w:lang w:val="en-US"/>
        </w:rPr>
        <w:t>2017</w:t>
      </w:r>
    </w:p>
    <w:p w:rsidR="0022373A" w:rsidRPr="001C2A98" w:rsidRDefault="00320DDE" w:rsidP="00585034">
      <w:pPr>
        <w:pStyle w:val="enumlev1"/>
        <w:rPr>
          <w:lang w:val="en-US"/>
        </w:rPr>
      </w:pPr>
      <w:r>
        <w:rPr>
          <w:lang w:val="en-US"/>
        </w:rPr>
        <w:t>–</w:t>
      </w:r>
      <w:r>
        <w:rPr>
          <w:lang w:val="en-US"/>
        </w:rPr>
        <w:tab/>
      </w:r>
      <w:proofErr w:type="gramStart"/>
      <w:r w:rsidR="0022373A" w:rsidRPr="001C2A98">
        <w:rPr>
          <w:lang w:val="en-US"/>
        </w:rPr>
        <w:t>the</w:t>
      </w:r>
      <w:proofErr w:type="gramEnd"/>
      <w:r w:rsidR="0022373A" w:rsidRPr="001C2A98">
        <w:rPr>
          <w:lang w:val="en-US"/>
        </w:rPr>
        <w:t xml:space="preserve"> ITU Staff Superannuati</w:t>
      </w:r>
      <w:r w:rsidR="00102375">
        <w:rPr>
          <w:lang w:val="en-US"/>
        </w:rPr>
        <w:t xml:space="preserve">on and Benevolent Funds for </w:t>
      </w:r>
      <w:r w:rsidR="003A03B8">
        <w:rPr>
          <w:lang w:val="en-US"/>
        </w:rPr>
        <w:t>2017</w:t>
      </w:r>
    </w:p>
    <w:p w:rsidR="0022373A" w:rsidRPr="001C2A98" w:rsidRDefault="00320DDE" w:rsidP="00585034">
      <w:pPr>
        <w:pStyle w:val="enumlev1"/>
        <w:rPr>
          <w:lang w:val="en-US"/>
        </w:rPr>
      </w:pPr>
      <w:r>
        <w:rPr>
          <w:lang w:val="en-US"/>
        </w:rPr>
        <w:t>–</w:t>
      </w:r>
      <w:r>
        <w:rPr>
          <w:lang w:val="en-US"/>
        </w:rPr>
        <w:tab/>
      </w:r>
      <w:proofErr w:type="gramStart"/>
      <w:r w:rsidR="0022373A" w:rsidRPr="001C2A98">
        <w:rPr>
          <w:lang w:val="en-US"/>
        </w:rPr>
        <w:t>the</w:t>
      </w:r>
      <w:proofErr w:type="gramEnd"/>
      <w:r w:rsidR="0022373A" w:rsidRPr="001C2A98">
        <w:rPr>
          <w:lang w:val="en-US"/>
        </w:rPr>
        <w:t xml:space="preserve"> United Nations J</w:t>
      </w:r>
      <w:r w:rsidR="00102375">
        <w:rPr>
          <w:lang w:val="en-US"/>
        </w:rPr>
        <w:t xml:space="preserve">oint Staff Pension Fund for </w:t>
      </w:r>
      <w:r w:rsidR="003A03B8">
        <w:rPr>
          <w:lang w:val="en-US"/>
        </w:rPr>
        <w:t>2017</w:t>
      </w:r>
    </w:p>
    <w:p w:rsidR="0022373A" w:rsidRPr="001C2A98" w:rsidRDefault="00320DDE" w:rsidP="00585034">
      <w:pPr>
        <w:pStyle w:val="enumlev1"/>
        <w:rPr>
          <w:lang w:val="en-US"/>
        </w:rPr>
      </w:pPr>
      <w:r>
        <w:rPr>
          <w:lang w:val="en-US"/>
        </w:rPr>
        <w:t>–</w:t>
      </w:r>
      <w:r>
        <w:rPr>
          <w:lang w:val="en-US"/>
        </w:rPr>
        <w:tab/>
      </w:r>
      <w:proofErr w:type="gramStart"/>
      <w:r w:rsidR="0022373A" w:rsidRPr="001C2A98">
        <w:rPr>
          <w:lang w:val="en-US"/>
        </w:rPr>
        <w:t>technical</w:t>
      </w:r>
      <w:proofErr w:type="gramEnd"/>
      <w:r w:rsidR="0022373A" w:rsidRPr="001C2A98">
        <w:rPr>
          <w:lang w:val="en-US"/>
        </w:rPr>
        <w:t xml:space="preserve"> cooperation projects funded by the United Nations Devel</w:t>
      </w:r>
      <w:r w:rsidR="00102375">
        <w:rPr>
          <w:lang w:val="en-US"/>
        </w:rPr>
        <w:t xml:space="preserve">opment </w:t>
      </w:r>
      <w:proofErr w:type="spellStart"/>
      <w:r w:rsidR="00472919">
        <w:rPr>
          <w:lang w:val="en-US"/>
        </w:rPr>
        <w:t>Program</w:t>
      </w:r>
      <w:r w:rsidR="00AC4F1A">
        <w:rPr>
          <w:lang w:val="en-US"/>
        </w:rPr>
        <w:t>me</w:t>
      </w:r>
      <w:proofErr w:type="spellEnd"/>
      <w:r w:rsidR="00472919">
        <w:rPr>
          <w:lang w:val="en-US"/>
        </w:rPr>
        <w:t xml:space="preserve"> </w:t>
      </w:r>
      <w:r w:rsidR="00102375">
        <w:rPr>
          <w:lang w:val="en-US"/>
        </w:rPr>
        <w:t xml:space="preserve">(UNDP) for </w:t>
      </w:r>
      <w:r w:rsidR="003A03B8">
        <w:rPr>
          <w:lang w:val="en-US"/>
        </w:rPr>
        <w:t>2017</w:t>
      </w:r>
    </w:p>
    <w:p w:rsidR="0022373A" w:rsidRPr="001C2A98" w:rsidRDefault="00320DDE" w:rsidP="00585034">
      <w:pPr>
        <w:pStyle w:val="enumlev1"/>
        <w:rPr>
          <w:lang w:val="en-US"/>
        </w:rPr>
      </w:pPr>
      <w:r>
        <w:rPr>
          <w:lang w:val="en-US"/>
        </w:rPr>
        <w:t>–</w:t>
      </w:r>
      <w:r>
        <w:rPr>
          <w:lang w:val="en-US"/>
        </w:rPr>
        <w:tab/>
      </w:r>
      <w:proofErr w:type="gramStart"/>
      <w:r w:rsidR="00102375">
        <w:rPr>
          <w:lang w:val="en-US"/>
        </w:rPr>
        <w:t>trust</w:t>
      </w:r>
      <w:proofErr w:type="gramEnd"/>
      <w:r w:rsidR="00102375">
        <w:rPr>
          <w:lang w:val="en-US"/>
        </w:rPr>
        <w:t xml:space="preserve"> funds for </w:t>
      </w:r>
      <w:r w:rsidR="003A03B8">
        <w:rPr>
          <w:lang w:val="en-US"/>
        </w:rPr>
        <w:t>2017</w:t>
      </w:r>
    </w:p>
    <w:p w:rsidR="0022373A" w:rsidRDefault="00320DDE" w:rsidP="00585034">
      <w:pPr>
        <w:pStyle w:val="enumlev1"/>
        <w:rPr>
          <w:lang w:val="en-US"/>
        </w:rPr>
      </w:pPr>
      <w:r>
        <w:rPr>
          <w:lang w:val="en-US"/>
        </w:rPr>
        <w:t>–</w:t>
      </w:r>
      <w:r>
        <w:rPr>
          <w:lang w:val="en-US"/>
        </w:rPr>
        <w:tab/>
      </w:r>
      <w:proofErr w:type="gramStart"/>
      <w:r w:rsidR="0022373A" w:rsidRPr="001C2A98">
        <w:rPr>
          <w:lang w:val="en-US"/>
        </w:rPr>
        <w:t>voluntary</w:t>
      </w:r>
      <w:proofErr w:type="gramEnd"/>
      <w:r w:rsidR="0022373A" w:rsidRPr="001C2A98">
        <w:rPr>
          <w:lang w:val="en-US"/>
        </w:rPr>
        <w:t xml:space="preserve"> contri</w:t>
      </w:r>
      <w:r w:rsidR="00970740">
        <w:rPr>
          <w:lang w:val="en-US"/>
        </w:rPr>
        <w:t>butions</w:t>
      </w:r>
      <w:r w:rsidR="00102375">
        <w:rPr>
          <w:lang w:val="en-US"/>
        </w:rPr>
        <w:t xml:space="preserve"> for </w:t>
      </w:r>
      <w:r w:rsidR="003A03B8">
        <w:rPr>
          <w:lang w:val="en-US"/>
        </w:rPr>
        <w:t>2017</w:t>
      </w:r>
    </w:p>
    <w:p w:rsidR="00472919" w:rsidRPr="001C2A98" w:rsidRDefault="00472919" w:rsidP="00585034">
      <w:pPr>
        <w:pStyle w:val="enumlev1"/>
        <w:rPr>
          <w:lang w:val="en-US"/>
        </w:rPr>
      </w:pPr>
      <w:r>
        <w:rPr>
          <w:lang w:val="en-US"/>
        </w:rPr>
        <w:t>–</w:t>
      </w:r>
      <w:r>
        <w:rPr>
          <w:lang w:val="en-US"/>
        </w:rPr>
        <w:tab/>
      </w:r>
      <w:proofErr w:type="gramStart"/>
      <w:r w:rsidRPr="001C2A98">
        <w:rPr>
          <w:lang w:val="en-US"/>
        </w:rPr>
        <w:t>t</w:t>
      </w:r>
      <w:r>
        <w:rPr>
          <w:lang w:val="en-US"/>
        </w:rPr>
        <w:t>he</w:t>
      </w:r>
      <w:proofErr w:type="gramEnd"/>
      <w:r>
        <w:rPr>
          <w:lang w:val="en-US"/>
        </w:rPr>
        <w:t xml:space="preserve"> ICT Development Fund for </w:t>
      </w:r>
      <w:r w:rsidR="003A03B8">
        <w:rPr>
          <w:lang w:val="en-US"/>
        </w:rPr>
        <w:t>2017</w:t>
      </w:r>
    </w:p>
    <w:p w:rsidR="00472919" w:rsidRDefault="00320DDE" w:rsidP="00585034">
      <w:pPr>
        <w:pStyle w:val="enumlev1"/>
        <w:ind w:left="0" w:firstLine="0"/>
        <w:rPr>
          <w:lang w:val="en-US"/>
        </w:rPr>
      </w:pPr>
      <w:r>
        <w:rPr>
          <w:lang w:val="en-US"/>
        </w:rPr>
        <w:t>–</w:t>
      </w:r>
      <w:r>
        <w:rPr>
          <w:lang w:val="en-US"/>
        </w:rPr>
        <w:tab/>
      </w:r>
      <w:proofErr w:type="gramStart"/>
      <w:r w:rsidR="00302A22">
        <w:rPr>
          <w:lang w:val="en-US"/>
        </w:rPr>
        <w:t>t</w:t>
      </w:r>
      <w:r w:rsidR="00472919" w:rsidRPr="004037B0">
        <w:rPr>
          <w:lang w:val="en-US"/>
        </w:rPr>
        <w:t>he</w:t>
      </w:r>
      <w:proofErr w:type="gramEnd"/>
      <w:r w:rsidR="00472919" w:rsidRPr="004037B0">
        <w:rPr>
          <w:lang w:val="en-US"/>
        </w:rPr>
        <w:t xml:space="preserve"> ITU TELECOM World </w:t>
      </w:r>
      <w:r w:rsidR="003A03B8">
        <w:rPr>
          <w:lang w:val="en-US"/>
        </w:rPr>
        <w:t>2017</w:t>
      </w:r>
      <w:r w:rsidR="003930B3">
        <w:rPr>
          <w:lang w:val="en-US"/>
        </w:rPr>
        <w:t xml:space="preserve"> </w:t>
      </w:r>
      <w:r w:rsidR="00472919" w:rsidRPr="004037B0">
        <w:rPr>
          <w:lang w:val="en-US"/>
        </w:rPr>
        <w:t>event</w:t>
      </w:r>
    </w:p>
    <w:p w:rsidR="00C66BAD" w:rsidRDefault="00C66BAD" w:rsidP="00302A22">
      <w:pPr>
        <w:pStyle w:val="enumlev1"/>
        <w:ind w:left="0" w:firstLine="0"/>
        <w:rPr>
          <w:lang w:val="en-US"/>
        </w:rPr>
      </w:pPr>
      <w:r>
        <w:rPr>
          <w:lang w:val="en-US"/>
        </w:rPr>
        <w:t>–</w:t>
      </w:r>
      <w:r>
        <w:rPr>
          <w:lang w:val="en-US"/>
        </w:rPr>
        <w:tab/>
      </w:r>
      <w:proofErr w:type="gramStart"/>
      <w:r w:rsidR="00302A22">
        <w:rPr>
          <w:lang w:val="en-US"/>
        </w:rPr>
        <w:t>t</w:t>
      </w:r>
      <w:r w:rsidRPr="004037B0">
        <w:rPr>
          <w:lang w:val="en-US"/>
        </w:rPr>
        <w:t>he</w:t>
      </w:r>
      <w:proofErr w:type="gramEnd"/>
      <w:r w:rsidRPr="004037B0">
        <w:rPr>
          <w:lang w:val="en-US"/>
        </w:rPr>
        <w:t xml:space="preserve"> </w:t>
      </w:r>
      <w:r>
        <w:rPr>
          <w:lang w:val="en-US"/>
        </w:rPr>
        <w:t>new building Project.</w:t>
      </w:r>
    </w:p>
    <w:p w:rsidR="00C66BAD" w:rsidRDefault="00C66BAD" w:rsidP="00585034">
      <w:pPr>
        <w:pStyle w:val="enumlev1"/>
        <w:ind w:left="0" w:firstLine="0"/>
        <w:rPr>
          <w:lang w:val="en-US"/>
        </w:rPr>
      </w:pPr>
    </w:p>
    <w:p w:rsidR="00EA6CD7" w:rsidRPr="001C2A98" w:rsidRDefault="00EA6CD7" w:rsidP="00C841E9">
      <w:pPr>
        <w:pStyle w:val="enumlev1"/>
        <w:rPr>
          <w:lang w:val="en-US"/>
        </w:rPr>
      </w:pPr>
    </w:p>
    <w:p w:rsidR="0022373A" w:rsidRDefault="0022373A" w:rsidP="00472919">
      <w:pPr>
        <w:pStyle w:val="enumlev1"/>
        <w:rPr>
          <w:lang w:val="en-US"/>
        </w:rPr>
      </w:pPr>
    </w:p>
    <w:p w:rsidR="00472919" w:rsidRDefault="00472919" w:rsidP="00320DDE">
      <w:pPr>
        <w:pStyle w:val="enumlev1"/>
        <w:rPr>
          <w:lang w:val="en-US"/>
        </w:rPr>
      </w:pPr>
    </w:p>
    <w:p w:rsidR="0022373A" w:rsidRPr="00D128FC" w:rsidRDefault="0022373A" w:rsidP="005D3458">
      <w:pPr>
        <w:spacing w:after="200"/>
        <w:rPr>
          <w:sz w:val="23"/>
          <w:szCs w:val="23"/>
          <w:lang w:val="en-US"/>
        </w:rPr>
      </w:pPr>
    </w:p>
    <w:p w:rsidR="0022373A" w:rsidRPr="00D128FC" w:rsidRDefault="0022373A" w:rsidP="005D3458">
      <w:pPr>
        <w:spacing w:after="200"/>
        <w:rPr>
          <w:sz w:val="23"/>
          <w:szCs w:val="23"/>
          <w:lang w:val="en-US"/>
        </w:rPr>
      </w:pPr>
    </w:p>
    <w:p w:rsidR="0022373A" w:rsidRPr="00D128FC" w:rsidRDefault="0022373A" w:rsidP="005D3458">
      <w:pPr>
        <w:spacing w:after="200"/>
        <w:rPr>
          <w:sz w:val="23"/>
          <w:szCs w:val="23"/>
          <w:lang w:val="en-US"/>
        </w:rPr>
      </w:pPr>
      <w:r w:rsidRPr="00D128FC">
        <w:rPr>
          <w:sz w:val="23"/>
          <w:szCs w:val="23"/>
          <w:lang w:val="en-US"/>
        </w:rPr>
        <w:br w:type="page"/>
      </w:r>
    </w:p>
    <w:p w:rsidR="0022373A" w:rsidRPr="00D128FC" w:rsidRDefault="0022373A" w:rsidP="005D3458">
      <w:pPr>
        <w:spacing w:after="200"/>
        <w:jc w:val="center"/>
        <w:rPr>
          <w:rFonts w:cs="Palatino Linotype"/>
          <w:w w:val="105"/>
          <w:sz w:val="28"/>
          <w:szCs w:val="28"/>
          <w:lang w:val="en-US"/>
        </w:rPr>
      </w:pPr>
      <w:r w:rsidRPr="00D128FC">
        <w:rPr>
          <w:rFonts w:cs="Palatino Linotype"/>
          <w:w w:val="105"/>
          <w:sz w:val="28"/>
          <w:szCs w:val="28"/>
          <w:lang w:val="en-US"/>
        </w:rPr>
        <w:t>TABLE OF CONTENTS</w:t>
      </w:r>
    </w:p>
    <w:p w:rsidR="0022373A" w:rsidRPr="00A858C8" w:rsidRDefault="0022373A" w:rsidP="00336641">
      <w:pPr>
        <w:tabs>
          <w:tab w:val="left" w:pos="851"/>
          <w:tab w:val="left" w:pos="8647"/>
        </w:tabs>
        <w:ind w:right="709"/>
        <w:jc w:val="right"/>
        <w:rPr>
          <w:rFonts w:cs="Palatino Linotype"/>
          <w:b/>
          <w:bCs/>
          <w:w w:val="105"/>
          <w:lang w:val="en-US"/>
        </w:rPr>
      </w:pPr>
      <w:r w:rsidRPr="00A858C8">
        <w:rPr>
          <w:rFonts w:cs="Palatino Linotype"/>
          <w:b/>
          <w:bCs/>
          <w:w w:val="105"/>
          <w:lang w:val="en-US"/>
        </w:rPr>
        <w:t>Page</w:t>
      </w:r>
    </w:p>
    <w:p w:rsidR="00323967" w:rsidRPr="00A858C8" w:rsidRDefault="0022373A" w:rsidP="00CE3541">
      <w:pPr>
        <w:pStyle w:val="TOC1"/>
        <w:rPr>
          <w:rFonts w:eastAsia="SimSun" w:cs="Arial"/>
          <w:noProof/>
          <w:sz w:val="22"/>
          <w:szCs w:val="22"/>
          <w:lang w:val="en-US" w:eastAsia="zh-CN"/>
        </w:rPr>
      </w:pPr>
      <w:r w:rsidRPr="00A858C8">
        <w:rPr>
          <w:rFonts w:cs="Palatino Linotype"/>
          <w:w w:val="105"/>
          <w:lang w:val="en-US"/>
        </w:rPr>
        <w:fldChar w:fldCharType="begin"/>
      </w:r>
      <w:r w:rsidRPr="00A858C8">
        <w:rPr>
          <w:rFonts w:cs="Palatino Linotype"/>
          <w:w w:val="105"/>
          <w:lang w:val="en-US"/>
        </w:rPr>
        <w:instrText xml:space="preserve"> TOC \h \z \u \t "Heading 9;1" </w:instrText>
      </w:r>
      <w:r w:rsidRPr="00A858C8">
        <w:rPr>
          <w:rFonts w:cs="Palatino Linotype"/>
          <w:w w:val="105"/>
          <w:lang w:val="en-US"/>
        </w:rPr>
        <w:fldChar w:fldCharType="separate"/>
      </w:r>
      <w:hyperlink w:anchor="_Toc357005994" w:history="1">
        <w:r w:rsidR="00323967" w:rsidRPr="00A858C8">
          <w:rPr>
            <w:rStyle w:val="Hyperlink"/>
            <w:noProof/>
            <w:w w:val="105"/>
            <w:lang w:val="en-US"/>
          </w:rPr>
          <w:t>Foreword by the Secretary-General</w:t>
        </w:r>
        <w:r w:rsidR="00323967" w:rsidRPr="00A858C8">
          <w:rPr>
            <w:noProof/>
            <w:webHidden/>
          </w:rPr>
          <w:tab/>
        </w:r>
        <w:r w:rsidR="00CE3541">
          <w:rPr>
            <w:noProof/>
            <w:webHidden/>
          </w:rPr>
          <w:t>4</w:t>
        </w:r>
      </w:hyperlink>
    </w:p>
    <w:p w:rsidR="00323967" w:rsidRPr="00A858C8" w:rsidRDefault="006A5037" w:rsidP="00C6572F">
      <w:pPr>
        <w:pStyle w:val="TOC1"/>
        <w:rPr>
          <w:rStyle w:val="Hyperlink"/>
          <w:noProof/>
          <w:color w:val="auto"/>
        </w:rPr>
      </w:pPr>
      <w:hyperlink w:anchor="_Toc357005995" w:history="1">
        <w:r w:rsidR="00323967" w:rsidRPr="00A858C8">
          <w:rPr>
            <w:rStyle w:val="Hyperlink"/>
            <w:noProof/>
            <w:w w:val="105"/>
            <w:lang w:val="en-US"/>
          </w:rPr>
          <w:t xml:space="preserve">Management Report </w:t>
        </w:r>
        <w:r w:rsidR="00111BDD">
          <w:rPr>
            <w:rStyle w:val="Hyperlink"/>
            <w:noProof/>
            <w:w w:val="105"/>
            <w:lang w:val="en-US"/>
          </w:rPr>
          <w:t>201</w:t>
        </w:r>
        <w:r w:rsidR="00C6572F">
          <w:rPr>
            <w:rStyle w:val="Hyperlink"/>
            <w:noProof/>
            <w:w w:val="105"/>
            <w:lang w:val="en-US"/>
          </w:rPr>
          <w:t>7</w:t>
        </w:r>
        <w:r w:rsidR="00323967" w:rsidRPr="00A858C8">
          <w:rPr>
            <w:noProof/>
            <w:webHidden/>
          </w:rPr>
          <w:tab/>
        </w:r>
        <w:r w:rsidR="00E343E7">
          <w:rPr>
            <w:noProof/>
            <w:webHidden/>
          </w:rPr>
          <w:t>1</w:t>
        </w:r>
        <w:r w:rsidR="00A45CE6">
          <w:rPr>
            <w:noProof/>
            <w:webHidden/>
          </w:rPr>
          <w:t>4</w:t>
        </w:r>
      </w:hyperlink>
    </w:p>
    <w:p w:rsidR="00790ECF" w:rsidRDefault="00790ECF" w:rsidP="00C6572F">
      <w:pPr>
        <w:pStyle w:val="TOC1"/>
        <w:rPr>
          <w:rStyle w:val="Hyperlink"/>
          <w:noProof/>
          <w:color w:val="auto"/>
          <w:u w:val="none"/>
        </w:rPr>
      </w:pPr>
      <w:r w:rsidRPr="00326677">
        <w:rPr>
          <w:rStyle w:val="Hyperlink"/>
          <w:noProof/>
          <w:color w:val="auto"/>
          <w:u w:val="none"/>
        </w:rPr>
        <w:t>Statement o</w:t>
      </w:r>
      <w:r w:rsidR="00D64E99">
        <w:rPr>
          <w:rStyle w:val="Hyperlink"/>
          <w:noProof/>
          <w:color w:val="auto"/>
          <w:u w:val="none"/>
        </w:rPr>
        <w:t>n</w:t>
      </w:r>
      <w:r w:rsidRPr="00326677">
        <w:rPr>
          <w:rStyle w:val="Hyperlink"/>
          <w:noProof/>
          <w:color w:val="auto"/>
          <w:u w:val="none"/>
        </w:rPr>
        <w:t xml:space="preserve"> Internal Control for </w:t>
      </w:r>
      <w:r w:rsidR="00111BDD">
        <w:rPr>
          <w:rStyle w:val="Hyperlink"/>
          <w:noProof/>
          <w:color w:val="auto"/>
          <w:u w:val="none"/>
        </w:rPr>
        <w:t>201</w:t>
      </w:r>
      <w:r w:rsidR="00C6572F">
        <w:rPr>
          <w:rStyle w:val="Hyperlink"/>
          <w:noProof/>
          <w:color w:val="auto"/>
          <w:u w:val="none"/>
        </w:rPr>
        <w:t>7</w:t>
      </w:r>
      <w:r w:rsidRPr="00A858C8">
        <w:rPr>
          <w:rStyle w:val="Hyperlink"/>
          <w:noProof/>
          <w:color w:val="auto"/>
          <w:u w:val="none"/>
        </w:rPr>
        <w:tab/>
      </w:r>
      <w:r w:rsidR="00CE3541">
        <w:rPr>
          <w:rStyle w:val="Hyperlink"/>
          <w:noProof/>
          <w:color w:val="auto"/>
          <w:u w:val="none"/>
        </w:rPr>
        <w:t>1</w:t>
      </w:r>
      <w:r w:rsidR="00A45CE6">
        <w:rPr>
          <w:rStyle w:val="Hyperlink"/>
          <w:noProof/>
          <w:color w:val="auto"/>
          <w:u w:val="none"/>
        </w:rPr>
        <w:t>6</w:t>
      </w:r>
    </w:p>
    <w:p w:rsidR="00432B3E" w:rsidRPr="00A858C8" w:rsidRDefault="00432B3E" w:rsidP="00C6572F">
      <w:pPr>
        <w:pStyle w:val="TOC1"/>
        <w:rPr>
          <w:rFonts w:eastAsia="SimSun" w:cs="Arial"/>
          <w:noProof/>
          <w:sz w:val="22"/>
          <w:szCs w:val="22"/>
          <w:lang w:val="en-US" w:eastAsia="zh-CN"/>
        </w:rPr>
      </w:pPr>
      <w:r w:rsidRPr="00E44B6A">
        <w:rPr>
          <w:rStyle w:val="Hyperlink"/>
          <w:noProof/>
          <w:color w:val="auto"/>
          <w:u w:val="none"/>
        </w:rPr>
        <w:t>Certification of the financial statements for the year ended 31 December 201</w:t>
      </w:r>
      <w:r w:rsidR="00C6572F">
        <w:rPr>
          <w:rStyle w:val="Hyperlink"/>
          <w:noProof/>
          <w:color w:val="auto"/>
          <w:u w:val="none"/>
        </w:rPr>
        <w:t>7</w:t>
      </w:r>
      <w:r w:rsidRPr="00E44B6A">
        <w:rPr>
          <w:rStyle w:val="Hyperlink"/>
          <w:noProof/>
          <w:color w:val="auto"/>
          <w:u w:val="none"/>
        </w:rPr>
        <w:tab/>
      </w:r>
      <w:r w:rsidR="00A45CE6">
        <w:rPr>
          <w:rStyle w:val="Hyperlink"/>
          <w:noProof/>
          <w:color w:val="auto"/>
          <w:u w:val="none"/>
        </w:rPr>
        <w:t>20</w:t>
      </w:r>
    </w:p>
    <w:p w:rsidR="00323967" w:rsidRPr="00A858C8" w:rsidRDefault="006A5037" w:rsidP="00E343E7">
      <w:pPr>
        <w:pStyle w:val="TOC1"/>
        <w:rPr>
          <w:rFonts w:eastAsia="SimSun" w:cs="Arial"/>
          <w:noProof/>
          <w:sz w:val="22"/>
          <w:szCs w:val="22"/>
          <w:lang w:val="en-US" w:eastAsia="zh-CN"/>
        </w:rPr>
      </w:pPr>
      <w:hyperlink w:anchor="_Toc357005996" w:history="1">
        <w:r w:rsidR="00323967" w:rsidRPr="00A858C8">
          <w:rPr>
            <w:rStyle w:val="Hyperlink"/>
            <w:noProof/>
            <w:w w:val="105"/>
            <w:lang w:val="en-US"/>
          </w:rPr>
          <w:t>FINANCIAL STATEMENTS</w:t>
        </w:r>
        <w:r w:rsidR="00323967" w:rsidRPr="00A858C8">
          <w:rPr>
            <w:noProof/>
            <w:webHidden/>
          </w:rPr>
          <w:tab/>
        </w:r>
        <w:r w:rsidR="00323967" w:rsidRPr="00A858C8">
          <w:rPr>
            <w:noProof/>
            <w:webHidden/>
          </w:rPr>
          <w:fldChar w:fldCharType="begin"/>
        </w:r>
        <w:r w:rsidR="00323967" w:rsidRPr="00A858C8">
          <w:rPr>
            <w:noProof/>
            <w:webHidden/>
          </w:rPr>
          <w:instrText xml:space="preserve"> PAGEREF _Toc357005996 \h </w:instrText>
        </w:r>
        <w:r w:rsidR="00323967" w:rsidRPr="00A858C8">
          <w:rPr>
            <w:noProof/>
            <w:webHidden/>
          </w:rPr>
        </w:r>
        <w:r w:rsidR="00323967" w:rsidRPr="00A858C8">
          <w:rPr>
            <w:noProof/>
            <w:webHidden/>
          </w:rPr>
          <w:fldChar w:fldCharType="separate"/>
        </w:r>
        <w:r w:rsidR="00370AAC">
          <w:rPr>
            <w:noProof/>
            <w:webHidden/>
          </w:rPr>
          <w:t>21</w:t>
        </w:r>
        <w:r w:rsidR="00323967" w:rsidRPr="00A858C8">
          <w:rPr>
            <w:noProof/>
            <w:webHidden/>
          </w:rPr>
          <w:fldChar w:fldCharType="end"/>
        </w:r>
      </w:hyperlink>
    </w:p>
    <w:p w:rsidR="00323967" w:rsidRDefault="006A5037" w:rsidP="00CF77B2">
      <w:pPr>
        <w:pStyle w:val="TOC1"/>
        <w:rPr>
          <w:noProof/>
        </w:rPr>
      </w:pPr>
      <w:hyperlink w:anchor="_Toc357005997" w:history="1">
        <w:r w:rsidR="00323967" w:rsidRPr="00A858C8">
          <w:rPr>
            <w:rStyle w:val="Hyperlink"/>
            <w:noProof/>
            <w:w w:val="105"/>
            <w:lang w:val="en-US"/>
          </w:rPr>
          <w:t>I</w:t>
        </w:r>
        <w:r w:rsidR="00323967" w:rsidRPr="00A858C8">
          <w:rPr>
            <w:rFonts w:eastAsia="SimSun" w:cs="Arial"/>
            <w:noProof/>
            <w:sz w:val="22"/>
            <w:szCs w:val="22"/>
            <w:lang w:val="en-US" w:eastAsia="zh-CN"/>
          </w:rPr>
          <w:tab/>
        </w:r>
        <w:r w:rsidR="00323967" w:rsidRPr="00A858C8">
          <w:rPr>
            <w:rStyle w:val="Hyperlink"/>
            <w:noProof/>
            <w:w w:val="105"/>
            <w:lang w:val="en-US"/>
          </w:rPr>
          <w:t xml:space="preserve">REGULAR BUDGET </w:t>
        </w:r>
        <w:r w:rsidR="004037B0" w:rsidRPr="004037B0">
          <w:rPr>
            <w:rStyle w:val="Hyperlink"/>
            <w:noProof/>
            <w:w w:val="105"/>
            <w:lang w:val="en-US"/>
          </w:rPr>
          <w:t xml:space="preserve">(ANNEX </w:t>
        </w:r>
        <w:r w:rsidR="00F0476F">
          <w:rPr>
            <w:rStyle w:val="Hyperlink"/>
            <w:noProof/>
            <w:w w:val="105"/>
            <w:lang w:val="en-US"/>
          </w:rPr>
          <w:t>A</w:t>
        </w:r>
        <w:r w:rsidR="004037B0" w:rsidRPr="004037B0">
          <w:rPr>
            <w:rStyle w:val="Hyperlink"/>
            <w:noProof/>
            <w:w w:val="105"/>
            <w:lang w:val="en-US"/>
          </w:rPr>
          <w:t>1)</w:t>
        </w:r>
        <w:r w:rsidR="00323967" w:rsidRPr="00A858C8">
          <w:rPr>
            <w:noProof/>
            <w:webHidden/>
          </w:rPr>
          <w:tab/>
        </w:r>
      </w:hyperlink>
      <w:r w:rsidR="0039718D" w:rsidRPr="00A858C8">
        <w:rPr>
          <w:noProof/>
        </w:rPr>
        <w:t>6</w:t>
      </w:r>
      <w:r w:rsidR="00CF77B2">
        <w:rPr>
          <w:noProof/>
        </w:rPr>
        <w:t>8</w:t>
      </w:r>
    </w:p>
    <w:p w:rsidR="009C1B6C" w:rsidRPr="00A858C8" w:rsidRDefault="009C1B6C" w:rsidP="009C1B6C">
      <w:pPr>
        <w:pStyle w:val="TOC1"/>
        <w:rPr>
          <w:rFonts w:eastAsia="SimSun" w:cs="Arial"/>
          <w:noProof/>
          <w:sz w:val="22"/>
          <w:szCs w:val="22"/>
          <w:lang w:val="en-US" w:eastAsia="zh-CN"/>
        </w:rPr>
      </w:pPr>
      <w:r>
        <w:rPr>
          <w:noProof/>
        </w:rPr>
        <w:t>II</w:t>
      </w:r>
      <w:r>
        <w:rPr>
          <w:noProof/>
        </w:rPr>
        <w:tab/>
        <w:t>NEW HEADQUARTERS PREMISES (ANNEX A2)</w:t>
      </w:r>
      <w:r>
        <w:rPr>
          <w:noProof/>
        </w:rPr>
        <w:tab/>
      </w:r>
      <w:r w:rsidR="00AD7FAD">
        <w:rPr>
          <w:noProof/>
        </w:rPr>
        <w:t>71</w:t>
      </w:r>
    </w:p>
    <w:p w:rsidR="00323967" w:rsidRPr="00A858C8" w:rsidRDefault="006A5037" w:rsidP="00C74288">
      <w:pPr>
        <w:pStyle w:val="TOC1"/>
        <w:rPr>
          <w:rFonts w:eastAsia="SimSun" w:cs="Arial"/>
          <w:noProof/>
          <w:sz w:val="22"/>
          <w:szCs w:val="22"/>
          <w:lang w:val="en-US" w:eastAsia="zh-CN"/>
        </w:rPr>
      </w:pPr>
      <w:hyperlink w:anchor="_Toc357005998" w:history="1">
        <w:r w:rsidR="00323967" w:rsidRPr="00A858C8">
          <w:rPr>
            <w:rStyle w:val="Hyperlink"/>
            <w:noProof/>
            <w:w w:val="105"/>
            <w:lang w:val="en-US"/>
          </w:rPr>
          <w:t>II</w:t>
        </w:r>
        <w:r w:rsidR="00C74288">
          <w:rPr>
            <w:rStyle w:val="Hyperlink"/>
            <w:noProof/>
            <w:w w:val="105"/>
            <w:lang w:val="en-US"/>
          </w:rPr>
          <w:t>I</w:t>
        </w:r>
        <w:r w:rsidR="00323967" w:rsidRPr="00A858C8">
          <w:rPr>
            <w:rFonts w:eastAsia="SimSun" w:cs="Arial"/>
            <w:noProof/>
            <w:sz w:val="22"/>
            <w:szCs w:val="22"/>
            <w:lang w:val="en-US" w:eastAsia="zh-CN"/>
          </w:rPr>
          <w:tab/>
        </w:r>
        <w:r w:rsidR="00323967" w:rsidRPr="00A858C8">
          <w:rPr>
            <w:rStyle w:val="Hyperlink"/>
            <w:noProof/>
            <w:w w:val="105"/>
            <w:lang w:val="en-US"/>
          </w:rPr>
          <w:t xml:space="preserve">STAFF SUPERANNUATION AND BENEVOLENT FUNDS (ANNEX </w:t>
        </w:r>
        <w:r w:rsidR="00F0476F">
          <w:rPr>
            <w:rStyle w:val="Hyperlink"/>
            <w:noProof/>
            <w:w w:val="105"/>
            <w:lang w:val="en-US"/>
          </w:rPr>
          <w:t>A</w:t>
        </w:r>
        <w:r w:rsidR="00C74288">
          <w:rPr>
            <w:rStyle w:val="Hyperlink"/>
            <w:noProof/>
            <w:w w:val="105"/>
            <w:lang w:val="en-US"/>
          </w:rPr>
          <w:t>3</w:t>
        </w:r>
        <w:r w:rsidR="00323967" w:rsidRPr="00A858C8">
          <w:rPr>
            <w:rStyle w:val="Hyperlink"/>
            <w:noProof/>
            <w:w w:val="105"/>
            <w:lang w:val="en-US"/>
          </w:rPr>
          <w:t>)</w:t>
        </w:r>
        <w:r w:rsidR="00323967" w:rsidRPr="00A858C8">
          <w:rPr>
            <w:noProof/>
            <w:webHidden/>
          </w:rPr>
          <w:tab/>
        </w:r>
      </w:hyperlink>
      <w:r w:rsidR="00A45CE6">
        <w:rPr>
          <w:noProof/>
        </w:rPr>
        <w:t>71</w:t>
      </w:r>
    </w:p>
    <w:p w:rsidR="00323967" w:rsidRPr="00A858C8" w:rsidRDefault="006A5037" w:rsidP="00CF77B2">
      <w:pPr>
        <w:pStyle w:val="TOC1"/>
        <w:rPr>
          <w:rFonts w:eastAsia="SimSun" w:cs="Arial"/>
          <w:noProof/>
          <w:sz w:val="22"/>
          <w:szCs w:val="22"/>
          <w:lang w:val="en-US" w:eastAsia="zh-CN"/>
        </w:rPr>
      </w:pPr>
      <w:hyperlink w:anchor="_Toc357005999" w:history="1">
        <w:r w:rsidR="00821A48">
          <w:rPr>
            <w:rStyle w:val="Hyperlink"/>
            <w:noProof/>
            <w:w w:val="105"/>
            <w:lang w:val="en-US"/>
          </w:rPr>
          <w:t>IV</w:t>
        </w:r>
        <w:r w:rsidR="00323967" w:rsidRPr="00A858C8">
          <w:rPr>
            <w:rFonts w:eastAsia="SimSun" w:cs="Arial"/>
            <w:noProof/>
            <w:sz w:val="22"/>
            <w:szCs w:val="22"/>
            <w:lang w:val="en-US" w:eastAsia="zh-CN"/>
          </w:rPr>
          <w:tab/>
        </w:r>
        <w:r w:rsidR="001B42C1" w:rsidRPr="001B42C1">
          <w:rPr>
            <w:rStyle w:val="Hyperlink"/>
            <w:noProof/>
            <w:w w:val="105"/>
            <w:lang w:val="en-US"/>
          </w:rPr>
          <w:t>UNITED NATIONS DEVELOPMENT PROGRAMME (ANNEX </w:t>
        </w:r>
        <w:r w:rsidR="00F0476F">
          <w:rPr>
            <w:rStyle w:val="Hyperlink"/>
            <w:noProof/>
            <w:w w:val="105"/>
            <w:lang w:val="en-US"/>
          </w:rPr>
          <w:t>A</w:t>
        </w:r>
        <w:r w:rsidR="00C74288">
          <w:rPr>
            <w:rStyle w:val="Hyperlink"/>
            <w:noProof/>
            <w:w w:val="105"/>
            <w:lang w:val="en-US"/>
          </w:rPr>
          <w:t>4</w:t>
        </w:r>
        <w:r w:rsidR="001B42C1" w:rsidRPr="001B42C1">
          <w:rPr>
            <w:rStyle w:val="Hyperlink"/>
            <w:noProof/>
            <w:w w:val="105"/>
            <w:lang w:val="en-US"/>
          </w:rPr>
          <w:t>)</w:t>
        </w:r>
        <w:r w:rsidR="00323967" w:rsidRPr="00A858C8">
          <w:rPr>
            <w:noProof/>
            <w:webHidden/>
          </w:rPr>
          <w:tab/>
        </w:r>
      </w:hyperlink>
      <w:r w:rsidR="00A45CE6">
        <w:rPr>
          <w:noProof/>
        </w:rPr>
        <w:t>7</w:t>
      </w:r>
      <w:r w:rsidR="00CF77B2">
        <w:rPr>
          <w:noProof/>
        </w:rPr>
        <w:t>1</w:t>
      </w:r>
    </w:p>
    <w:p w:rsidR="00323967" w:rsidRPr="00A858C8" w:rsidRDefault="006A5037" w:rsidP="00C74288">
      <w:pPr>
        <w:pStyle w:val="TOC1"/>
        <w:rPr>
          <w:rFonts w:eastAsia="SimSun" w:cs="Arial"/>
          <w:noProof/>
          <w:sz w:val="22"/>
          <w:szCs w:val="22"/>
          <w:lang w:val="en-US" w:eastAsia="zh-CN"/>
        </w:rPr>
      </w:pPr>
      <w:hyperlink w:anchor="_Toc357006000" w:history="1">
        <w:r w:rsidR="00323967" w:rsidRPr="00A858C8">
          <w:rPr>
            <w:rStyle w:val="Hyperlink"/>
            <w:noProof/>
            <w:w w:val="105"/>
            <w:lang w:val="en-US"/>
          </w:rPr>
          <w:t>V</w:t>
        </w:r>
        <w:r w:rsidR="00323967" w:rsidRPr="00A858C8">
          <w:rPr>
            <w:rFonts w:eastAsia="SimSun" w:cs="Arial"/>
            <w:noProof/>
            <w:sz w:val="22"/>
            <w:szCs w:val="22"/>
            <w:lang w:val="en-US" w:eastAsia="zh-CN"/>
          </w:rPr>
          <w:tab/>
        </w:r>
        <w:r w:rsidR="001B42C1" w:rsidRPr="001B42C1">
          <w:rPr>
            <w:rStyle w:val="Hyperlink"/>
            <w:noProof/>
            <w:w w:val="105"/>
            <w:lang w:val="en-US"/>
          </w:rPr>
          <w:t xml:space="preserve">TRUST FUNDS (ANNEX </w:t>
        </w:r>
        <w:r w:rsidR="00F0476F">
          <w:rPr>
            <w:rStyle w:val="Hyperlink"/>
            <w:noProof/>
            <w:w w:val="105"/>
            <w:lang w:val="en-US"/>
          </w:rPr>
          <w:t>A</w:t>
        </w:r>
        <w:r w:rsidR="00C74288">
          <w:rPr>
            <w:rStyle w:val="Hyperlink"/>
            <w:noProof/>
            <w:w w:val="105"/>
            <w:lang w:val="en-US"/>
          </w:rPr>
          <w:t>5</w:t>
        </w:r>
        <w:r w:rsidR="00323967" w:rsidRPr="00A858C8">
          <w:rPr>
            <w:rStyle w:val="Hyperlink"/>
            <w:noProof/>
            <w:w w:val="105"/>
            <w:lang w:val="en-US"/>
          </w:rPr>
          <w:t>)</w:t>
        </w:r>
        <w:r w:rsidR="00323967" w:rsidRPr="00A858C8">
          <w:rPr>
            <w:noProof/>
            <w:webHidden/>
          </w:rPr>
          <w:tab/>
        </w:r>
      </w:hyperlink>
      <w:r w:rsidR="00A45CE6">
        <w:rPr>
          <w:noProof/>
        </w:rPr>
        <w:t>72</w:t>
      </w:r>
    </w:p>
    <w:p w:rsidR="000A12B9" w:rsidRDefault="006A5037" w:rsidP="00CF77B2">
      <w:pPr>
        <w:pStyle w:val="TOC1"/>
        <w:rPr>
          <w:noProof/>
        </w:rPr>
      </w:pPr>
      <w:hyperlink w:anchor="_Toc357006001" w:history="1">
        <w:r w:rsidR="00323967" w:rsidRPr="00A858C8">
          <w:rPr>
            <w:rStyle w:val="Hyperlink"/>
            <w:noProof/>
            <w:w w:val="105"/>
            <w:lang w:val="en-US"/>
          </w:rPr>
          <w:t>V</w:t>
        </w:r>
        <w:r w:rsidR="00821A48">
          <w:rPr>
            <w:rStyle w:val="Hyperlink"/>
            <w:noProof/>
            <w:w w:val="105"/>
            <w:lang w:val="en-US"/>
          </w:rPr>
          <w:t>I</w:t>
        </w:r>
        <w:r w:rsidR="00323967" w:rsidRPr="00A858C8">
          <w:rPr>
            <w:rFonts w:eastAsia="SimSun" w:cs="Arial"/>
            <w:noProof/>
            <w:sz w:val="22"/>
            <w:szCs w:val="22"/>
            <w:lang w:val="en-US" w:eastAsia="zh-CN"/>
          </w:rPr>
          <w:tab/>
        </w:r>
        <w:r w:rsidR="001B42C1" w:rsidRPr="001B42C1">
          <w:rPr>
            <w:rStyle w:val="Hyperlink"/>
            <w:noProof/>
            <w:w w:val="105"/>
            <w:lang w:val="en-US"/>
          </w:rPr>
          <w:t xml:space="preserve">VOLUNTARY CONTRIBUTIONS (ANNEX </w:t>
        </w:r>
        <w:r w:rsidR="00F0476F">
          <w:rPr>
            <w:rStyle w:val="Hyperlink"/>
            <w:noProof/>
            <w:w w:val="105"/>
            <w:lang w:val="en-US"/>
          </w:rPr>
          <w:t>A</w:t>
        </w:r>
        <w:r w:rsidR="00C74288">
          <w:rPr>
            <w:rStyle w:val="Hyperlink"/>
            <w:noProof/>
            <w:w w:val="105"/>
            <w:lang w:val="en-US"/>
          </w:rPr>
          <w:t>6</w:t>
        </w:r>
        <w:r w:rsidR="001B42C1" w:rsidRPr="001B42C1">
          <w:rPr>
            <w:rStyle w:val="Hyperlink"/>
            <w:noProof/>
            <w:w w:val="105"/>
            <w:lang w:val="en-US"/>
          </w:rPr>
          <w:t>)</w:t>
        </w:r>
        <w:r w:rsidR="00323967" w:rsidRPr="00A858C8">
          <w:rPr>
            <w:noProof/>
            <w:webHidden/>
          </w:rPr>
          <w:tab/>
        </w:r>
      </w:hyperlink>
      <w:r w:rsidR="00CE3541">
        <w:rPr>
          <w:noProof/>
        </w:rPr>
        <w:t>7</w:t>
      </w:r>
      <w:r w:rsidR="00CF77B2">
        <w:rPr>
          <w:noProof/>
        </w:rPr>
        <w:t>2</w:t>
      </w:r>
    </w:p>
    <w:p w:rsidR="00323967" w:rsidRDefault="006A5037" w:rsidP="00C74288">
      <w:pPr>
        <w:pStyle w:val="TOC1"/>
        <w:rPr>
          <w:noProof/>
        </w:rPr>
      </w:pPr>
      <w:hyperlink w:anchor="_Toc357006003" w:history="1">
        <w:r w:rsidR="00323967" w:rsidRPr="00A858C8">
          <w:rPr>
            <w:rStyle w:val="Hyperlink"/>
            <w:noProof/>
            <w:w w:val="105"/>
            <w:lang w:val="en-US"/>
          </w:rPr>
          <w:t>VI</w:t>
        </w:r>
        <w:r w:rsidR="00821A48">
          <w:rPr>
            <w:rStyle w:val="Hyperlink"/>
            <w:noProof/>
            <w:w w:val="105"/>
            <w:lang w:val="en-US"/>
          </w:rPr>
          <w:t>I</w:t>
        </w:r>
        <w:r w:rsidR="00323967" w:rsidRPr="00A858C8">
          <w:rPr>
            <w:rFonts w:eastAsia="SimSun" w:cs="Arial"/>
            <w:noProof/>
            <w:sz w:val="22"/>
            <w:szCs w:val="22"/>
            <w:lang w:val="en-US" w:eastAsia="zh-CN"/>
          </w:rPr>
          <w:tab/>
        </w:r>
        <w:r w:rsidR="00323967" w:rsidRPr="00A858C8">
          <w:rPr>
            <w:rStyle w:val="Hyperlink"/>
            <w:noProof/>
            <w:w w:val="105"/>
            <w:lang w:val="en-US"/>
          </w:rPr>
          <w:t xml:space="preserve">ICT DEVELOPMENT FUND (ANNEX </w:t>
        </w:r>
        <w:r w:rsidR="00F0476F">
          <w:rPr>
            <w:rStyle w:val="Hyperlink"/>
            <w:noProof/>
            <w:w w:val="105"/>
            <w:lang w:val="en-US"/>
          </w:rPr>
          <w:t>A</w:t>
        </w:r>
        <w:r w:rsidR="00C74288">
          <w:rPr>
            <w:rStyle w:val="Hyperlink"/>
            <w:noProof/>
            <w:w w:val="105"/>
            <w:lang w:val="en-US"/>
          </w:rPr>
          <w:t>7</w:t>
        </w:r>
        <w:r w:rsidR="00323967" w:rsidRPr="00A858C8">
          <w:rPr>
            <w:rStyle w:val="Hyperlink"/>
            <w:noProof/>
            <w:w w:val="105"/>
            <w:lang w:val="en-US"/>
          </w:rPr>
          <w:t>)</w:t>
        </w:r>
        <w:r w:rsidR="00323967" w:rsidRPr="00A858C8">
          <w:rPr>
            <w:noProof/>
            <w:webHidden/>
          </w:rPr>
          <w:tab/>
        </w:r>
      </w:hyperlink>
      <w:r w:rsidR="000A12B9">
        <w:rPr>
          <w:noProof/>
        </w:rPr>
        <w:t>7</w:t>
      </w:r>
      <w:r w:rsidR="00A45CE6">
        <w:rPr>
          <w:noProof/>
        </w:rPr>
        <w:t>3</w:t>
      </w:r>
    </w:p>
    <w:p w:rsidR="00983DD0" w:rsidRDefault="00983DD0" w:rsidP="00CF3D11">
      <w:pPr>
        <w:pStyle w:val="TOC1"/>
        <w:rPr>
          <w:noProof/>
        </w:rPr>
      </w:pPr>
      <w:r>
        <w:rPr>
          <w:noProof/>
        </w:rPr>
        <w:t>VII</w:t>
      </w:r>
      <w:r w:rsidR="00821A48">
        <w:rPr>
          <w:noProof/>
        </w:rPr>
        <w:t>I</w:t>
      </w:r>
      <w:r>
        <w:rPr>
          <w:noProof/>
        </w:rPr>
        <w:tab/>
        <w:t>ITU TELECOM</w:t>
      </w:r>
      <w:r w:rsidR="00F67C49">
        <w:rPr>
          <w:noProof/>
        </w:rPr>
        <w:t xml:space="preserve"> </w:t>
      </w:r>
      <w:r w:rsidR="000A4004">
        <w:rPr>
          <w:noProof/>
        </w:rPr>
        <w:t xml:space="preserve">WORLD 2017 </w:t>
      </w:r>
      <w:r w:rsidR="00F67C49" w:rsidRPr="004037B0">
        <w:rPr>
          <w:noProof/>
        </w:rPr>
        <w:t xml:space="preserve">(ANNEX </w:t>
      </w:r>
      <w:r w:rsidR="000A4004">
        <w:rPr>
          <w:noProof/>
        </w:rPr>
        <w:t>A8</w:t>
      </w:r>
      <w:r w:rsidR="00CF3D11">
        <w:rPr>
          <w:noProof/>
        </w:rPr>
        <w:t>)</w:t>
      </w:r>
      <w:r w:rsidR="00FA45D2">
        <w:rPr>
          <w:noProof/>
        </w:rPr>
        <w:t>…..</w:t>
      </w:r>
      <w:r w:rsidR="00E42B9F">
        <w:rPr>
          <w:noProof/>
        </w:rPr>
        <w:t>………………………………………</w:t>
      </w:r>
      <w:r w:rsidR="00CF3D11">
        <w:rPr>
          <w:noProof/>
        </w:rPr>
        <w:t>…. …..…..…..</w:t>
      </w:r>
      <w:r w:rsidR="00E343E7">
        <w:rPr>
          <w:noProof/>
        </w:rPr>
        <w:t>7</w:t>
      </w:r>
      <w:r w:rsidR="00A45CE6">
        <w:rPr>
          <w:noProof/>
        </w:rPr>
        <w:t>3</w:t>
      </w:r>
    </w:p>
    <w:p w:rsidR="00CF77B2" w:rsidRPr="00A858C8" w:rsidRDefault="00CF77B2" w:rsidP="00CE077E">
      <w:pPr>
        <w:pStyle w:val="TOC1"/>
        <w:rPr>
          <w:rFonts w:eastAsia="SimSun" w:cs="Arial"/>
          <w:noProof/>
          <w:sz w:val="22"/>
          <w:szCs w:val="22"/>
          <w:lang w:val="en-US" w:eastAsia="zh-CN"/>
        </w:rPr>
      </w:pPr>
      <w:r>
        <w:rPr>
          <w:noProof/>
        </w:rPr>
        <w:t>IX</w:t>
      </w:r>
      <w:r>
        <w:rPr>
          <w:noProof/>
        </w:rPr>
        <w:tab/>
        <w:t>EXTERNAL AUDIT OF THE UNION'S ACCOUNTS</w:t>
      </w:r>
      <w:r>
        <w:rPr>
          <w:noProof/>
        </w:rPr>
        <w:tab/>
        <w:t>7</w:t>
      </w:r>
      <w:r w:rsidR="00CE077E">
        <w:rPr>
          <w:noProof/>
        </w:rPr>
        <w:t>4</w:t>
      </w:r>
    </w:p>
    <w:p w:rsidR="00323967" w:rsidRPr="00FB5FC7" w:rsidRDefault="006A5037" w:rsidP="00FB5FC7">
      <w:pPr>
        <w:pStyle w:val="TOC1"/>
        <w:rPr>
          <w:rFonts w:eastAsia="SimSun" w:cs="Arial"/>
          <w:noProof/>
          <w:sz w:val="22"/>
          <w:szCs w:val="22"/>
          <w:lang w:val="en-US" w:eastAsia="zh-CN"/>
        </w:rPr>
      </w:pPr>
      <w:hyperlink w:anchor="_Toc357006005" w:history="1">
        <w:r w:rsidR="00323967" w:rsidRPr="00A858C8">
          <w:rPr>
            <w:rStyle w:val="Hyperlink"/>
            <w:bCs/>
            <w:noProof/>
            <w:w w:val="105"/>
            <w:lang w:val="en-US"/>
          </w:rPr>
          <w:t xml:space="preserve">ANNEX </w:t>
        </w:r>
        <w:r w:rsidR="00F0476F">
          <w:rPr>
            <w:rStyle w:val="Hyperlink"/>
            <w:bCs/>
            <w:noProof/>
            <w:w w:val="105"/>
            <w:lang w:val="en-US"/>
          </w:rPr>
          <w:t>A</w:t>
        </w:r>
        <w:r w:rsidR="008A0BF3" w:rsidRPr="00A858C8">
          <w:rPr>
            <w:rStyle w:val="Hyperlink"/>
            <w:bCs/>
            <w:noProof/>
            <w:w w:val="105"/>
            <w:lang w:val="en-US"/>
          </w:rPr>
          <w:t>1</w:t>
        </w:r>
        <w:r w:rsidR="00323967" w:rsidRPr="00A858C8">
          <w:rPr>
            <w:rStyle w:val="Hyperlink"/>
            <w:bCs/>
            <w:noProof/>
            <w:w w:val="105"/>
            <w:lang w:val="en-US"/>
          </w:rPr>
          <w:tab/>
        </w:r>
      </w:hyperlink>
      <w:r w:rsidR="00FB5FC7" w:rsidRPr="00FB5FC7">
        <w:rPr>
          <w:rStyle w:val="Hyperlink"/>
          <w:bCs/>
          <w:noProof/>
          <w:color w:val="auto"/>
          <w:w w:val="105"/>
          <w:u w:val="none"/>
          <w:lang w:val="en-US"/>
        </w:rPr>
        <w:t>77</w:t>
      </w:r>
    </w:p>
    <w:p w:rsidR="00323967" w:rsidRPr="00A858C8" w:rsidRDefault="006A5037" w:rsidP="00FB5FC7">
      <w:pPr>
        <w:pStyle w:val="TOC1"/>
        <w:rPr>
          <w:rFonts w:eastAsia="SimSun" w:cs="Arial"/>
          <w:noProof/>
          <w:sz w:val="22"/>
          <w:szCs w:val="22"/>
          <w:lang w:val="en-US" w:eastAsia="zh-CN"/>
        </w:rPr>
      </w:pPr>
      <w:hyperlink w:anchor="_Toc357006006" w:history="1">
        <w:r w:rsidR="00323967" w:rsidRPr="00A858C8">
          <w:rPr>
            <w:rStyle w:val="Hyperlink"/>
            <w:bCs/>
            <w:noProof/>
            <w:w w:val="105"/>
            <w:lang w:val="en-US"/>
          </w:rPr>
          <w:t xml:space="preserve">ANNEX </w:t>
        </w:r>
        <w:r w:rsidR="00F0476F">
          <w:rPr>
            <w:rStyle w:val="Hyperlink"/>
            <w:bCs/>
            <w:noProof/>
            <w:w w:val="105"/>
            <w:lang w:val="en-US"/>
          </w:rPr>
          <w:t>A</w:t>
        </w:r>
        <w:r w:rsidR="000B1C1D">
          <w:rPr>
            <w:rStyle w:val="Hyperlink"/>
            <w:bCs/>
            <w:noProof/>
            <w:w w:val="105"/>
            <w:lang w:val="en-US"/>
          </w:rPr>
          <w:t>2</w:t>
        </w:r>
        <w:r w:rsidR="00323967" w:rsidRPr="00A858C8">
          <w:rPr>
            <w:noProof/>
            <w:webHidden/>
          </w:rPr>
          <w:tab/>
        </w:r>
      </w:hyperlink>
      <w:r w:rsidR="00FB5FC7">
        <w:rPr>
          <w:noProof/>
        </w:rPr>
        <w:t>78</w:t>
      </w:r>
    </w:p>
    <w:p w:rsidR="00323967" w:rsidRPr="00A858C8" w:rsidRDefault="006A5037" w:rsidP="00FB5FC7">
      <w:pPr>
        <w:pStyle w:val="TOC1"/>
        <w:rPr>
          <w:rFonts w:eastAsia="SimSun" w:cs="Arial"/>
          <w:noProof/>
          <w:sz w:val="22"/>
          <w:szCs w:val="22"/>
          <w:lang w:val="en-US" w:eastAsia="zh-CN"/>
        </w:rPr>
      </w:pPr>
      <w:hyperlink w:anchor="_Toc357006007" w:history="1">
        <w:r w:rsidR="00323967" w:rsidRPr="00A858C8">
          <w:rPr>
            <w:rStyle w:val="Hyperlink"/>
            <w:bCs/>
            <w:noProof/>
            <w:w w:val="105"/>
            <w:lang w:val="en-US"/>
          </w:rPr>
          <w:t xml:space="preserve">ANNEX </w:t>
        </w:r>
        <w:r w:rsidR="00F0476F">
          <w:rPr>
            <w:rStyle w:val="Hyperlink"/>
            <w:bCs/>
            <w:noProof/>
            <w:w w:val="105"/>
            <w:lang w:val="en-US"/>
          </w:rPr>
          <w:t>A</w:t>
        </w:r>
        <w:r w:rsidR="008A0BF3" w:rsidRPr="00A858C8">
          <w:rPr>
            <w:rStyle w:val="Hyperlink"/>
            <w:bCs/>
            <w:noProof/>
            <w:w w:val="105"/>
            <w:lang w:val="en-US"/>
          </w:rPr>
          <w:t>3</w:t>
        </w:r>
        <w:r w:rsidR="00323967" w:rsidRPr="00A858C8">
          <w:rPr>
            <w:noProof/>
            <w:webHidden/>
          </w:rPr>
          <w:tab/>
        </w:r>
      </w:hyperlink>
      <w:r w:rsidR="00FB5FC7">
        <w:rPr>
          <w:noProof/>
        </w:rPr>
        <w:t>79</w:t>
      </w:r>
    </w:p>
    <w:p w:rsidR="00323967" w:rsidRPr="00446B7A" w:rsidRDefault="006A5037" w:rsidP="00FB5FC7">
      <w:pPr>
        <w:pStyle w:val="TOC1"/>
        <w:rPr>
          <w:rFonts w:eastAsia="SimSun" w:cs="Arial"/>
          <w:noProof/>
          <w:sz w:val="22"/>
          <w:szCs w:val="22"/>
          <w:lang w:val="en-US" w:eastAsia="zh-CN"/>
        </w:rPr>
      </w:pPr>
      <w:hyperlink w:anchor="_Toc357006008" w:history="1">
        <w:r w:rsidR="00323967" w:rsidRPr="00446B7A">
          <w:rPr>
            <w:rStyle w:val="Hyperlink"/>
            <w:bCs/>
            <w:noProof/>
            <w:w w:val="105"/>
            <w:lang w:val="en-US"/>
          </w:rPr>
          <w:t xml:space="preserve">ANNEX </w:t>
        </w:r>
        <w:r w:rsidR="00F0476F" w:rsidRPr="00446B7A">
          <w:rPr>
            <w:rStyle w:val="Hyperlink"/>
            <w:bCs/>
            <w:noProof/>
            <w:w w:val="105"/>
            <w:lang w:val="en-US"/>
          </w:rPr>
          <w:t>A</w:t>
        </w:r>
        <w:r w:rsidR="008A0BF3" w:rsidRPr="00446B7A">
          <w:rPr>
            <w:rStyle w:val="Hyperlink"/>
            <w:bCs/>
            <w:noProof/>
            <w:w w:val="105"/>
            <w:lang w:val="en-US"/>
          </w:rPr>
          <w:t>4</w:t>
        </w:r>
        <w:r w:rsidR="00323967" w:rsidRPr="00446B7A">
          <w:rPr>
            <w:noProof/>
            <w:webHidden/>
            <w:lang w:val="en-US"/>
          </w:rPr>
          <w:tab/>
        </w:r>
        <w:r w:rsidR="000A12B9" w:rsidRPr="00446B7A">
          <w:rPr>
            <w:noProof/>
            <w:webHidden/>
            <w:lang w:val="en-US"/>
          </w:rPr>
          <w:t>8</w:t>
        </w:r>
      </w:hyperlink>
      <w:r w:rsidR="00FB5FC7">
        <w:rPr>
          <w:noProof/>
          <w:lang w:val="en-US"/>
        </w:rPr>
        <w:t>0</w:t>
      </w:r>
    </w:p>
    <w:p w:rsidR="00323967" w:rsidRPr="00446B7A" w:rsidRDefault="006A5037" w:rsidP="00FB5FC7">
      <w:pPr>
        <w:pStyle w:val="TOC1"/>
        <w:rPr>
          <w:rFonts w:eastAsia="SimSun" w:cs="Arial"/>
          <w:noProof/>
          <w:sz w:val="22"/>
          <w:szCs w:val="22"/>
          <w:lang w:val="en-US" w:eastAsia="zh-CN"/>
        </w:rPr>
      </w:pPr>
      <w:hyperlink w:anchor="_Toc357006009" w:history="1">
        <w:r w:rsidR="00323967" w:rsidRPr="00446B7A">
          <w:rPr>
            <w:rStyle w:val="Hyperlink"/>
            <w:bCs/>
            <w:noProof/>
            <w:w w:val="105"/>
            <w:lang w:val="en-US"/>
          </w:rPr>
          <w:t xml:space="preserve">ANNEX </w:t>
        </w:r>
        <w:r w:rsidR="00F0476F" w:rsidRPr="00446B7A">
          <w:rPr>
            <w:rStyle w:val="Hyperlink"/>
            <w:bCs/>
            <w:noProof/>
            <w:w w:val="105"/>
            <w:lang w:val="en-US"/>
          </w:rPr>
          <w:t>A</w:t>
        </w:r>
        <w:r w:rsidR="008A0BF3" w:rsidRPr="00446B7A">
          <w:rPr>
            <w:rStyle w:val="Hyperlink"/>
            <w:bCs/>
            <w:noProof/>
            <w:w w:val="105"/>
            <w:lang w:val="en-US"/>
          </w:rPr>
          <w:t>5</w:t>
        </w:r>
        <w:r w:rsidR="00323967" w:rsidRPr="00446B7A">
          <w:rPr>
            <w:noProof/>
            <w:webHidden/>
            <w:lang w:val="en-US"/>
          </w:rPr>
          <w:tab/>
        </w:r>
      </w:hyperlink>
      <w:r w:rsidR="00FB5FC7">
        <w:rPr>
          <w:noProof/>
          <w:lang w:val="en-US"/>
        </w:rPr>
        <w:t>81</w:t>
      </w:r>
    </w:p>
    <w:p w:rsidR="00323967" w:rsidRPr="00446B7A" w:rsidRDefault="006A5037" w:rsidP="00FB5FC7">
      <w:pPr>
        <w:pStyle w:val="TOC1"/>
        <w:rPr>
          <w:noProof/>
          <w:lang w:val="en-US"/>
        </w:rPr>
      </w:pPr>
      <w:hyperlink w:anchor="_Toc357006011" w:history="1">
        <w:r w:rsidR="00323967" w:rsidRPr="00446B7A">
          <w:rPr>
            <w:rStyle w:val="Hyperlink"/>
            <w:bCs/>
            <w:noProof/>
            <w:w w:val="105"/>
            <w:lang w:val="en-US"/>
          </w:rPr>
          <w:t xml:space="preserve">ANNEX </w:t>
        </w:r>
        <w:r w:rsidR="00F0476F" w:rsidRPr="00446B7A">
          <w:rPr>
            <w:rStyle w:val="Hyperlink"/>
            <w:bCs/>
            <w:noProof/>
            <w:w w:val="105"/>
            <w:lang w:val="en-US"/>
          </w:rPr>
          <w:t>A</w:t>
        </w:r>
        <w:r w:rsidR="004037B0" w:rsidRPr="00446B7A">
          <w:rPr>
            <w:rStyle w:val="Hyperlink"/>
            <w:bCs/>
            <w:noProof/>
            <w:w w:val="105"/>
            <w:lang w:val="en-US"/>
          </w:rPr>
          <w:t>6</w:t>
        </w:r>
        <w:r w:rsidR="008A0BF3" w:rsidRPr="00446B7A">
          <w:rPr>
            <w:rStyle w:val="Hyperlink"/>
            <w:bCs/>
            <w:noProof/>
            <w:w w:val="105"/>
            <w:lang w:val="en-US"/>
          </w:rPr>
          <w:tab/>
        </w:r>
      </w:hyperlink>
      <w:r w:rsidR="00FB5FC7" w:rsidRPr="00FB5FC7">
        <w:rPr>
          <w:rStyle w:val="Hyperlink"/>
          <w:bCs/>
          <w:noProof/>
          <w:color w:val="auto"/>
          <w:w w:val="105"/>
          <w:u w:val="none"/>
          <w:lang w:val="en-US"/>
        </w:rPr>
        <w:t>87</w:t>
      </w:r>
    </w:p>
    <w:p w:rsidR="00323967" w:rsidRDefault="006A5037" w:rsidP="00FB5FC7">
      <w:pPr>
        <w:pStyle w:val="TOC1"/>
        <w:rPr>
          <w:rStyle w:val="Hyperlink"/>
          <w:noProof/>
          <w:color w:val="auto"/>
          <w:u w:val="none"/>
          <w:lang w:val="en-US"/>
        </w:rPr>
      </w:pPr>
      <w:hyperlink w:anchor="_Toc357006012" w:history="1">
        <w:r w:rsidR="00323967" w:rsidRPr="00446B7A">
          <w:rPr>
            <w:rStyle w:val="Hyperlink"/>
            <w:noProof/>
            <w:lang w:val="en-US"/>
          </w:rPr>
          <w:t>ANNEX</w:t>
        </w:r>
        <w:r w:rsidR="00B75881" w:rsidRPr="00446B7A">
          <w:rPr>
            <w:rStyle w:val="Hyperlink"/>
            <w:noProof/>
            <w:lang w:val="en-US"/>
          </w:rPr>
          <w:t xml:space="preserve"> </w:t>
        </w:r>
        <w:r w:rsidR="00F0476F" w:rsidRPr="00446B7A">
          <w:rPr>
            <w:rStyle w:val="Hyperlink"/>
            <w:noProof/>
            <w:lang w:val="en-US"/>
          </w:rPr>
          <w:t>A</w:t>
        </w:r>
        <w:r w:rsidR="004037B0" w:rsidRPr="00446B7A">
          <w:rPr>
            <w:rStyle w:val="Hyperlink"/>
            <w:noProof/>
            <w:lang w:val="en-US"/>
          </w:rPr>
          <w:t>7</w:t>
        </w:r>
        <w:r w:rsidR="00B75881" w:rsidRPr="00446B7A">
          <w:rPr>
            <w:rStyle w:val="Hyperlink"/>
            <w:noProof/>
            <w:lang w:val="en-US"/>
          </w:rPr>
          <w:tab/>
        </w:r>
      </w:hyperlink>
      <w:r w:rsidR="0003422E" w:rsidRPr="00446B7A">
        <w:rPr>
          <w:rStyle w:val="Hyperlink"/>
          <w:noProof/>
          <w:color w:val="auto"/>
          <w:u w:val="none"/>
          <w:lang w:val="en-US"/>
        </w:rPr>
        <w:t>9</w:t>
      </w:r>
      <w:r w:rsidR="00FB5FC7">
        <w:rPr>
          <w:rStyle w:val="Hyperlink"/>
          <w:noProof/>
          <w:color w:val="auto"/>
          <w:u w:val="none"/>
          <w:lang w:val="en-US"/>
        </w:rPr>
        <w:t>1</w:t>
      </w:r>
    </w:p>
    <w:p w:rsidR="00807EA7" w:rsidRPr="00446B7A" w:rsidRDefault="00807EA7" w:rsidP="00F0476F">
      <w:pPr>
        <w:pStyle w:val="TOC1"/>
        <w:rPr>
          <w:rStyle w:val="Hyperlink"/>
          <w:noProof/>
          <w:color w:val="auto"/>
          <w:u w:val="none"/>
          <w:lang w:val="en-US"/>
        </w:rPr>
      </w:pPr>
      <w:r>
        <w:rPr>
          <w:rStyle w:val="Hyperlink"/>
          <w:noProof/>
          <w:color w:val="auto"/>
          <w:u w:val="none"/>
          <w:lang w:val="en-US"/>
        </w:rPr>
        <w:t>ANNEX A8</w:t>
      </w:r>
      <w:r>
        <w:rPr>
          <w:rStyle w:val="Hyperlink"/>
          <w:noProof/>
          <w:color w:val="auto"/>
          <w:u w:val="none"/>
          <w:lang w:val="en-US"/>
        </w:rPr>
        <w:tab/>
      </w:r>
      <w:r w:rsidR="00E40591">
        <w:rPr>
          <w:rStyle w:val="Hyperlink"/>
          <w:noProof/>
          <w:color w:val="auto"/>
          <w:u w:val="none"/>
          <w:lang w:val="en-US"/>
        </w:rPr>
        <w:t>92</w:t>
      </w:r>
    </w:p>
    <w:p w:rsidR="00E53A79" w:rsidRPr="00446B7A" w:rsidRDefault="00E53A79" w:rsidP="00FB5FC7">
      <w:pPr>
        <w:pStyle w:val="TOC1"/>
        <w:rPr>
          <w:rStyle w:val="Hyperlink"/>
          <w:noProof/>
          <w:color w:val="auto"/>
          <w:u w:val="none"/>
          <w:lang w:val="en-US"/>
        </w:rPr>
      </w:pPr>
      <w:r w:rsidRPr="00446B7A">
        <w:rPr>
          <w:rStyle w:val="Hyperlink"/>
          <w:noProof/>
          <w:color w:val="auto"/>
          <w:u w:val="none"/>
          <w:lang w:val="en-US"/>
        </w:rPr>
        <w:t xml:space="preserve">ANNEX </w:t>
      </w:r>
      <w:r w:rsidR="00F0476F" w:rsidRPr="00446B7A">
        <w:rPr>
          <w:rStyle w:val="Hyperlink"/>
          <w:noProof/>
          <w:color w:val="auto"/>
          <w:u w:val="none"/>
          <w:lang w:val="en-US"/>
        </w:rPr>
        <w:t>B</w:t>
      </w:r>
      <w:r w:rsidRPr="00446B7A">
        <w:rPr>
          <w:rStyle w:val="Hyperlink"/>
          <w:noProof/>
          <w:color w:val="auto"/>
          <w:u w:val="none"/>
          <w:lang w:val="en-US"/>
        </w:rPr>
        <w:t>……………………………………………………………………………………………………………………………</w:t>
      </w:r>
      <w:r w:rsidR="002D7702" w:rsidRPr="00446B7A">
        <w:rPr>
          <w:rStyle w:val="Hyperlink"/>
          <w:noProof/>
          <w:color w:val="auto"/>
          <w:u w:val="none"/>
          <w:lang w:val="en-US"/>
        </w:rPr>
        <w:t>..</w:t>
      </w:r>
      <w:r w:rsidR="000A12B9" w:rsidRPr="00446B7A">
        <w:rPr>
          <w:rStyle w:val="Hyperlink"/>
          <w:noProof/>
          <w:color w:val="auto"/>
          <w:u w:val="none"/>
          <w:lang w:val="en-US"/>
        </w:rPr>
        <w:t>9</w:t>
      </w:r>
      <w:r w:rsidR="00FB5FC7">
        <w:rPr>
          <w:rStyle w:val="Hyperlink"/>
          <w:noProof/>
          <w:color w:val="auto"/>
          <w:u w:val="none"/>
          <w:lang w:val="en-US"/>
        </w:rPr>
        <w:t>3</w:t>
      </w:r>
    </w:p>
    <w:p w:rsidR="00E53A79" w:rsidRPr="00446B7A" w:rsidRDefault="00E53A79" w:rsidP="00B86F6A">
      <w:pPr>
        <w:pStyle w:val="TOC1"/>
        <w:rPr>
          <w:rStyle w:val="Hyperlink"/>
          <w:noProof/>
          <w:color w:val="auto"/>
          <w:u w:val="none"/>
          <w:lang w:val="en-US"/>
        </w:rPr>
      </w:pPr>
      <w:r w:rsidRPr="00446B7A">
        <w:rPr>
          <w:rStyle w:val="Hyperlink"/>
          <w:noProof/>
          <w:color w:val="auto"/>
          <w:u w:val="none"/>
          <w:lang w:val="en-US"/>
        </w:rPr>
        <w:t xml:space="preserve">ANNEX </w:t>
      </w:r>
      <w:r w:rsidR="00F0476F" w:rsidRPr="00446B7A">
        <w:rPr>
          <w:rStyle w:val="Hyperlink"/>
          <w:noProof/>
          <w:color w:val="auto"/>
          <w:u w:val="none"/>
          <w:lang w:val="en-US"/>
        </w:rPr>
        <w:t>C</w:t>
      </w:r>
      <w:r w:rsidRPr="00446B7A">
        <w:rPr>
          <w:rStyle w:val="Hyperlink"/>
          <w:noProof/>
          <w:color w:val="auto"/>
          <w:u w:val="none"/>
          <w:lang w:val="en-US"/>
        </w:rPr>
        <w:t>………………………………………</w:t>
      </w:r>
      <w:r w:rsidR="00B86F6A" w:rsidRPr="00446B7A">
        <w:rPr>
          <w:rStyle w:val="Hyperlink"/>
          <w:noProof/>
          <w:color w:val="auto"/>
          <w:u w:val="none"/>
          <w:lang w:val="en-US"/>
        </w:rPr>
        <w:t>…</w:t>
      </w:r>
      <w:r w:rsidRPr="00446B7A">
        <w:rPr>
          <w:rStyle w:val="Hyperlink"/>
          <w:noProof/>
          <w:color w:val="auto"/>
          <w:u w:val="none"/>
          <w:lang w:val="en-US"/>
        </w:rPr>
        <w:t>………………………………………………………………………………</w:t>
      </w:r>
      <w:r w:rsidR="00DC26F2" w:rsidRPr="00446B7A">
        <w:rPr>
          <w:rStyle w:val="Hyperlink"/>
          <w:noProof/>
          <w:color w:val="auto"/>
          <w:u w:val="none"/>
          <w:lang w:val="en-US"/>
        </w:rPr>
        <w:t>..</w:t>
      </w:r>
      <w:r w:rsidR="002D7702" w:rsidRPr="00446B7A">
        <w:rPr>
          <w:rStyle w:val="Hyperlink"/>
          <w:noProof/>
          <w:color w:val="auto"/>
          <w:u w:val="none"/>
          <w:lang w:val="en-US"/>
        </w:rPr>
        <w:t>..</w:t>
      </w:r>
      <w:r w:rsidRPr="00446B7A">
        <w:rPr>
          <w:rStyle w:val="Hyperlink"/>
          <w:noProof/>
          <w:color w:val="auto"/>
          <w:u w:val="none"/>
          <w:lang w:val="en-US"/>
        </w:rPr>
        <w:t>10</w:t>
      </w:r>
      <w:r w:rsidR="0017188F">
        <w:rPr>
          <w:rStyle w:val="Hyperlink"/>
          <w:noProof/>
          <w:color w:val="auto"/>
          <w:u w:val="none"/>
          <w:lang w:val="en-US"/>
        </w:rPr>
        <w:t>5</w:t>
      </w:r>
    </w:p>
    <w:p w:rsidR="004037B0" w:rsidRPr="00446B7A" w:rsidRDefault="004037B0" w:rsidP="00B86F6A">
      <w:pPr>
        <w:pStyle w:val="TOC1"/>
        <w:rPr>
          <w:rStyle w:val="Hyperlink"/>
          <w:noProof/>
          <w:color w:val="auto"/>
          <w:u w:val="none"/>
          <w:lang w:val="en-US"/>
        </w:rPr>
      </w:pPr>
      <w:r w:rsidRPr="00446B7A">
        <w:rPr>
          <w:rStyle w:val="Hyperlink"/>
          <w:noProof/>
          <w:color w:val="auto"/>
          <w:u w:val="none"/>
          <w:lang w:val="en-US"/>
        </w:rPr>
        <w:t xml:space="preserve">ANNEX </w:t>
      </w:r>
      <w:r w:rsidR="00F0476F" w:rsidRPr="00446B7A">
        <w:rPr>
          <w:rStyle w:val="Hyperlink"/>
          <w:noProof/>
          <w:color w:val="auto"/>
          <w:u w:val="none"/>
          <w:lang w:val="en-US"/>
        </w:rPr>
        <w:t>D</w:t>
      </w:r>
      <w:r w:rsidRPr="00446B7A">
        <w:rPr>
          <w:rStyle w:val="Hyperlink"/>
          <w:noProof/>
          <w:color w:val="auto"/>
          <w:u w:val="none"/>
          <w:lang w:val="en-US"/>
        </w:rPr>
        <w:t>……………………………………………………………………………………………………………………………</w:t>
      </w:r>
      <w:r w:rsidR="00DC26F2">
        <w:rPr>
          <w:rStyle w:val="Hyperlink"/>
          <w:noProof/>
          <w:color w:val="auto"/>
          <w:u w:val="none"/>
          <w:lang w:val="en-US"/>
        </w:rPr>
        <w:t>.</w:t>
      </w:r>
      <w:r w:rsidRPr="00446B7A">
        <w:rPr>
          <w:rStyle w:val="Hyperlink"/>
          <w:noProof/>
          <w:color w:val="auto"/>
          <w:u w:val="none"/>
          <w:lang w:val="en-US"/>
        </w:rPr>
        <w:t>1</w:t>
      </w:r>
      <w:r w:rsidR="0017188F">
        <w:rPr>
          <w:rStyle w:val="Hyperlink"/>
          <w:noProof/>
          <w:color w:val="auto"/>
          <w:u w:val="none"/>
          <w:lang w:val="en-US"/>
        </w:rPr>
        <w:t>0</w:t>
      </w:r>
      <w:r w:rsidR="00B86F6A">
        <w:rPr>
          <w:rStyle w:val="Hyperlink"/>
          <w:noProof/>
          <w:color w:val="auto"/>
          <w:u w:val="none"/>
          <w:lang w:val="en-US"/>
        </w:rPr>
        <w:t>8</w:t>
      </w:r>
    </w:p>
    <w:p w:rsidR="00E1539E" w:rsidRPr="00446B7A" w:rsidRDefault="00E1539E">
      <w:pPr>
        <w:tabs>
          <w:tab w:val="clear" w:pos="567"/>
          <w:tab w:val="clear" w:pos="1134"/>
          <w:tab w:val="clear" w:pos="1701"/>
          <w:tab w:val="clear" w:pos="2268"/>
          <w:tab w:val="clear" w:pos="2835"/>
        </w:tabs>
        <w:overflowPunct/>
        <w:autoSpaceDE/>
        <w:autoSpaceDN/>
        <w:adjustRightInd/>
        <w:spacing w:before="0"/>
        <w:textAlignment w:val="auto"/>
        <w:rPr>
          <w:rStyle w:val="Hyperlink"/>
          <w:noProof/>
          <w:color w:val="auto"/>
          <w:u w:val="none"/>
          <w:lang w:val="en-US"/>
        </w:rPr>
      </w:pPr>
      <w:r w:rsidRPr="00446B7A">
        <w:rPr>
          <w:rStyle w:val="Hyperlink"/>
          <w:noProof/>
          <w:color w:val="auto"/>
          <w:u w:val="none"/>
          <w:lang w:val="en-US"/>
        </w:rPr>
        <w:br w:type="page"/>
      </w:r>
    </w:p>
    <w:p w:rsidR="0022373A" w:rsidRDefault="0022373A" w:rsidP="004B707A">
      <w:pPr>
        <w:pStyle w:val="TOC1"/>
        <w:snapToGrid w:val="0"/>
        <w:spacing w:before="120"/>
        <w:ind w:hanging="822"/>
        <w:rPr>
          <w:w w:val="105"/>
          <w:sz w:val="28"/>
          <w:szCs w:val="28"/>
          <w:lang w:val="en-US"/>
        </w:rPr>
      </w:pPr>
      <w:r w:rsidRPr="00A858C8">
        <w:rPr>
          <w:rFonts w:cs="Palatino Linotype"/>
          <w:w w:val="105"/>
          <w:lang w:val="en-US"/>
        </w:rPr>
        <w:fldChar w:fldCharType="end"/>
      </w:r>
      <w:bookmarkStart w:id="12" w:name="_Toc357005994"/>
      <w:r w:rsidRPr="001C2A98">
        <w:rPr>
          <w:w w:val="105"/>
          <w:sz w:val="28"/>
          <w:szCs w:val="28"/>
          <w:lang w:val="en-US"/>
        </w:rPr>
        <w:t>Foreword by the Secretary-General</w:t>
      </w:r>
      <w:bookmarkEnd w:id="12"/>
    </w:p>
    <w:p w:rsidR="00AA4485" w:rsidRPr="004B707A" w:rsidRDefault="00AA4485" w:rsidP="002762FD">
      <w:pPr>
        <w:pStyle w:val="TOC1"/>
        <w:snapToGrid w:val="0"/>
        <w:spacing w:before="0"/>
        <w:rPr>
          <w:szCs w:val="24"/>
          <w:lang w:val="en-US"/>
        </w:rPr>
      </w:pPr>
    </w:p>
    <w:p w:rsidR="0022373A" w:rsidRDefault="0022373A" w:rsidP="00C841E9">
      <w:pPr>
        <w:pStyle w:val="ListParagraph"/>
        <w:numPr>
          <w:ilvl w:val="0"/>
          <w:numId w:val="6"/>
        </w:numPr>
        <w:tabs>
          <w:tab w:val="left" w:pos="851"/>
        </w:tabs>
        <w:snapToGrid w:val="0"/>
        <w:ind w:left="0" w:firstLine="0"/>
        <w:contextualSpacing w:val="0"/>
        <w:jc w:val="both"/>
        <w:rPr>
          <w:rFonts w:ascii="Calibri" w:eastAsia="Times New Roman" w:hAnsi="Calibri"/>
          <w:szCs w:val="20"/>
          <w:lang w:eastAsia="en-US"/>
        </w:rPr>
      </w:pPr>
      <w:r w:rsidRPr="00ED1CDA">
        <w:rPr>
          <w:rFonts w:ascii="Calibri" w:eastAsia="Times New Roman" w:hAnsi="Calibri"/>
          <w:szCs w:val="20"/>
          <w:lang w:eastAsia="en-US"/>
        </w:rPr>
        <w:t xml:space="preserve">I have the </w:t>
      </w:r>
      <w:r w:rsidR="000267BA" w:rsidRPr="00ED1CDA">
        <w:rPr>
          <w:rFonts w:ascii="Calibri" w:eastAsia="Times New Roman" w:hAnsi="Calibri"/>
          <w:szCs w:val="20"/>
          <w:lang w:eastAsia="en-US"/>
        </w:rPr>
        <w:t>honor</w:t>
      </w:r>
      <w:r w:rsidRPr="00ED1CDA">
        <w:rPr>
          <w:rFonts w:ascii="Calibri" w:eastAsia="Times New Roman" w:hAnsi="Calibri"/>
          <w:szCs w:val="20"/>
          <w:lang w:eastAsia="en-US"/>
        </w:rPr>
        <w:t xml:space="preserve"> to present to the Council for </w:t>
      </w:r>
      <w:r w:rsidR="00FA34A4">
        <w:rPr>
          <w:rFonts w:ascii="Calibri" w:eastAsia="Times New Roman" w:hAnsi="Calibri"/>
          <w:szCs w:val="20"/>
          <w:lang w:eastAsia="en-US"/>
        </w:rPr>
        <w:t>examination</w:t>
      </w:r>
      <w:r w:rsidRPr="00ED1CDA">
        <w:rPr>
          <w:rFonts w:ascii="Calibri" w:eastAsia="Times New Roman" w:hAnsi="Calibri"/>
          <w:szCs w:val="20"/>
          <w:lang w:eastAsia="en-US"/>
        </w:rPr>
        <w:t>, in accordance with Article 30 of the Financial Regulations of the Union</w:t>
      </w:r>
      <w:r w:rsidR="000267BA" w:rsidRPr="00ED1CDA">
        <w:rPr>
          <w:rFonts w:ascii="Calibri" w:eastAsia="Times New Roman" w:hAnsi="Calibri"/>
          <w:szCs w:val="20"/>
          <w:lang w:eastAsia="en-US"/>
        </w:rPr>
        <w:t xml:space="preserve"> </w:t>
      </w:r>
      <w:r w:rsidR="000267BA" w:rsidRPr="00ED1CDA">
        <w:rPr>
          <w:rFonts w:ascii="Calibri" w:eastAsia="Times New Roman" w:hAnsi="Calibri"/>
          <w:szCs w:val="20"/>
          <w:lang w:eastAsia="en-US"/>
        </w:rPr>
        <w:sym w:font="Symbol" w:char="F02D"/>
      </w:r>
      <w:r w:rsidR="000267BA" w:rsidRPr="00ED1CDA">
        <w:rPr>
          <w:rFonts w:ascii="Calibri" w:eastAsia="Times New Roman" w:hAnsi="Calibri"/>
          <w:szCs w:val="20"/>
          <w:lang w:eastAsia="en-US"/>
        </w:rPr>
        <w:t xml:space="preserve"> </w:t>
      </w:r>
      <w:r w:rsidR="008C6139">
        <w:rPr>
          <w:rFonts w:ascii="Calibri" w:eastAsia="Times New Roman" w:hAnsi="Calibri"/>
          <w:szCs w:val="20"/>
          <w:lang w:eastAsia="en-US"/>
        </w:rPr>
        <w:t>Edition 2010, t</w:t>
      </w:r>
      <w:r w:rsidR="000267BA" w:rsidRPr="00ED1CDA">
        <w:rPr>
          <w:rFonts w:ascii="Calibri" w:eastAsia="Times New Roman" w:hAnsi="Calibri"/>
          <w:szCs w:val="20"/>
          <w:lang w:eastAsia="en-US"/>
        </w:rPr>
        <w:t>he</w:t>
      </w:r>
      <w:r w:rsidRPr="00ED1CDA">
        <w:rPr>
          <w:rFonts w:ascii="Calibri" w:eastAsia="Times New Roman" w:hAnsi="Calibri"/>
          <w:szCs w:val="20"/>
          <w:lang w:eastAsia="en-US"/>
        </w:rPr>
        <w:t xml:space="preserve"> </w:t>
      </w:r>
      <w:r w:rsidR="00EA6CD7">
        <w:rPr>
          <w:rFonts w:ascii="Calibri" w:eastAsia="Times New Roman" w:hAnsi="Calibri"/>
          <w:szCs w:val="20"/>
          <w:lang w:eastAsia="en-US"/>
        </w:rPr>
        <w:t xml:space="preserve">unaudited </w:t>
      </w:r>
      <w:r w:rsidRPr="00ED1CDA">
        <w:rPr>
          <w:rFonts w:ascii="Calibri" w:eastAsia="Times New Roman" w:hAnsi="Calibri"/>
          <w:szCs w:val="20"/>
          <w:lang w:eastAsia="en-US"/>
        </w:rPr>
        <w:t xml:space="preserve">financial statements for the financial year </w:t>
      </w:r>
      <w:r w:rsidR="00102375" w:rsidRPr="00ED1CDA">
        <w:rPr>
          <w:rFonts w:ascii="Calibri" w:eastAsia="Times New Roman" w:hAnsi="Calibri"/>
          <w:szCs w:val="20"/>
          <w:lang w:eastAsia="en-US"/>
        </w:rPr>
        <w:t xml:space="preserve">which closed on 31 December </w:t>
      </w:r>
      <w:r w:rsidR="00111BDD" w:rsidRPr="00ED1CDA">
        <w:rPr>
          <w:rFonts w:ascii="Calibri" w:eastAsia="Times New Roman" w:hAnsi="Calibri"/>
          <w:szCs w:val="20"/>
          <w:lang w:eastAsia="en-US"/>
        </w:rPr>
        <w:t>201</w:t>
      </w:r>
      <w:r w:rsidR="00C6572F">
        <w:rPr>
          <w:rFonts w:ascii="Calibri" w:eastAsia="Times New Roman" w:hAnsi="Calibri"/>
          <w:szCs w:val="20"/>
          <w:lang w:eastAsia="en-US"/>
        </w:rPr>
        <w:t>7</w:t>
      </w:r>
      <w:r w:rsidRPr="00ED1CDA">
        <w:rPr>
          <w:rFonts w:ascii="Calibri" w:eastAsia="Times New Roman" w:hAnsi="Calibri"/>
          <w:szCs w:val="20"/>
          <w:lang w:eastAsia="en-US"/>
        </w:rPr>
        <w:t>.</w:t>
      </w:r>
    </w:p>
    <w:p w:rsidR="00F443CC" w:rsidRDefault="00F443CC" w:rsidP="00C841E9">
      <w:pPr>
        <w:pStyle w:val="ListParagraph"/>
        <w:tabs>
          <w:tab w:val="left" w:pos="851"/>
        </w:tabs>
        <w:snapToGrid w:val="0"/>
        <w:ind w:left="0"/>
        <w:contextualSpacing w:val="0"/>
        <w:jc w:val="both"/>
        <w:rPr>
          <w:rFonts w:ascii="Calibri" w:eastAsia="Times New Roman" w:hAnsi="Calibri"/>
          <w:szCs w:val="20"/>
          <w:lang w:eastAsia="en-US"/>
        </w:rPr>
      </w:pPr>
    </w:p>
    <w:p w:rsidR="0022373A" w:rsidRPr="00966288" w:rsidRDefault="0022373A" w:rsidP="00E21937">
      <w:pPr>
        <w:pStyle w:val="ListParagraph"/>
        <w:numPr>
          <w:ilvl w:val="0"/>
          <w:numId w:val="6"/>
        </w:numPr>
        <w:tabs>
          <w:tab w:val="left" w:pos="851"/>
        </w:tabs>
        <w:snapToGrid w:val="0"/>
        <w:ind w:left="0" w:firstLine="0"/>
        <w:contextualSpacing w:val="0"/>
        <w:jc w:val="both"/>
        <w:rPr>
          <w:rFonts w:ascii="Calibri" w:eastAsia="Times New Roman" w:hAnsi="Calibri"/>
          <w:szCs w:val="20"/>
          <w:lang w:eastAsia="en-US"/>
        </w:rPr>
      </w:pPr>
      <w:r w:rsidRPr="00ED1CDA">
        <w:rPr>
          <w:rFonts w:ascii="Calibri" w:eastAsia="Times New Roman" w:hAnsi="Calibri"/>
          <w:szCs w:val="20"/>
          <w:lang w:eastAsia="en-US"/>
        </w:rPr>
        <w:t>The Report of the External Auditor on the financ</w:t>
      </w:r>
      <w:r w:rsidR="00102375" w:rsidRPr="00ED1CDA">
        <w:rPr>
          <w:rFonts w:ascii="Calibri" w:eastAsia="Times New Roman" w:hAnsi="Calibri"/>
          <w:szCs w:val="20"/>
          <w:lang w:eastAsia="en-US"/>
        </w:rPr>
        <w:t xml:space="preserve">ial statements for </w:t>
      </w:r>
      <w:r w:rsidR="00111BDD" w:rsidRPr="00ED1CDA">
        <w:rPr>
          <w:rFonts w:ascii="Calibri" w:eastAsia="Times New Roman" w:hAnsi="Calibri"/>
          <w:szCs w:val="20"/>
          <w:lang w:eastAsia="en-US"/>
        </w:rPr>
        <w:t>201</w:t>
      </w:r>
      <w:r w:rsidR="00C6572F">
        <w:rPr>
          <w:rFonts w:ascii="Calibri" w:eastAsia="Times New Roman" w:hAnsi="Calibri"/>
          <w:szCs w:val="20"/>
          <w:lang w:eastAsia="en-US"/>
        </w:rPr>
        <w:t>7</w:t>
      </w:r>
      <w:r w:rsidRPr="00ED1CDA">
        <w:rPr>
          <w:rFonts w:ascii="Calibri" w:eastAsia="Times New Roman" w:hAnsi="Calibri"/>
          <w:szCs w:val="20"/>
          <w:lang w:eastAsia="en-US"/>
        </w:rPr>
        <w:t xml:space="preserve">, as well as his opinion on the financial statements, as required by Article 28 of, and Annex 1 to, the Financial Regulations of the Union, </w:t>
      </w:r>
      <w:r w:rsidR="009E18CA" w:rsidRPr="00ED1CDA">
        <w:rPr>
          <w:rFonts w:ascii="Calibri" w:eastAsia="Times New Roman" w:hAnsi="Calibri"/>
          <w:szCs w:val="20"/>
          <w:lang w:eastAsia="en-US"/>
        </w:rPr>
        <w:t xml:space="preserve">will be </w:t>
      </w:r>
      <w:r w:rsidRPr="00ED1CDA">
        <w:rPr>
          <w:rFonts w:ascii="Calibri" w:eastAsia="Times New Roman" w:hAnsi="Calibri"/>
          <w:szCs w:val="20"/>
          <w:lang w:eastAsia="en-US"/>
        </w:rPr>
        <w:t xml:space="preserve">submitted to the </w:t>
      </w:r>
      <w:r w:rsidR="007F6BB1">
        <w:rPr>
          <w:rFonts w:ascii="Calibri" w:eastAsia="Times New Roman" w:hAnsi="Calibri"/>
          <w:szCs w:val="20"/>
          <w:lang w:eastAsia="en-US"/>
        </w:rPr>
        <w:t xml:space="preserve">final </w:t>
      </w:r>
      <w:r w:rsidR="00D1001F">
        <w:rPr>
          <w:rFonts w:ascii="Calibri" w:eastAsia="Times New Roman" w:hAnsi="Calibri"/>
          <w:szCs w:val="20"/>
          <w:lang w:eastAsia="en-US"/>
        </w:rPr>
        <w:t>session of the Coun</w:t>
      </w:r>
      <w:r w:rsidRPr="00ED1CDA">
        <w:rPr>
          <w:rFonts w:ascii="Calibri" w:eastAsia="Times New Roman" w:hAnsi="Calibri"/>
          <w:szCs w:val="20"/>
          <w:lang w:eastAsia="en-US"/>
        </w:rPr>
        <w:t xml:space="preserve">cil </w:t>
      </w:r>
      <w:r w:rsidR="00D1001F">
        <w:rPr>
          <w:rFonts w:ascii="Calibri" w:eastAsia="Times New Roman" w:hAnsi="Calibri"/>
          <w:szCs w:val="20"/>
          <w:lang w:eastAsia="en-US"/>
        </w:rPr>
        <w:t xml:space="preserve">which will be held in Dubai </w:t>
      </w:r>
      <w:r w:rsidR="00273B29">
        <w:rPr>
          <w:rFonts w:ascii="Calibri" w:eastAsia="Times New Roman" w:hAnsi="Calibri"/>
          <w:szCs w:val="20"/>
          <w:lang w:eastAsia="en-US"/>
        </w:rPr>
        <w:t>on</w:t>
      </w:r>
      <w:r w:rsidR="00D1001F">
        <w:rPr>
          <w:rFonts w:ascii="Calibri" w:eastAsia="Times New Roman" w:hAnsi="Calibri"/>
          <w:szCs w:val="20"/>
          <w:lang w:eastAsia="en-US"/>
        </w:rPr>
        <w:t xml:space="preserve"> </w:t>
      </w:r>
      <w:r w:rsidR="00D1001F" w:rsidRPr="00966288">
        <w:rPr>
          <w:rFonts w:ascii="Calibri" w:eastAsia="Times New Roman" w:hAnsi="Calibri"/>
          <w:szCs w:val="20"/>
          <w:lang w:eastAsia="en-US"/>
        </w:rPr>
        <w:t>27</w:t>
      </w:r>
      <w:r w:rsidR="00F653D4" w:rsidRPr="00966288">
        <w:rPr>
          <w:rFonts w:ascii="Calibri" w:eastAsia="Times New Roman" w:hAnsi="Calibri"/>
          <w:szCs w:val="20"/>
          <w:lang w:eastAsia="en-US"/>
        </w:rPr>
        <w:t> </w:t>
      </w:r>
      <w:r w:rsidR="00D1001F" w:rsidRPr="00966288">
        <w:rPr>
          <w:rFonts w:ascii="Calibri" w:eastAsia="Times New Roman" w:hAnsi="Calibri"/>
          <w:szCs w:val="20"/>
          <w:lang w:eastAsia="en-US"/>
        </w:rPr>
        <w:t>October</w:t>
      </w:r>
      <w:r w:rsidR="00273B29" w:rsidRPr="00966288">
        <w:rPr>
          <w:rFonts w:ascii="Calibri" w:eastAsia="Times New Roman" w:hAnsi="Calibri"/>
          <w:szCs w:val="20"/>
          <w:lang w:eastAsia="en-US"/>
        </w:rPr>
        <w:t> </w:t>
      </w:r>
      <w:r w:rsidR="00D1001F" w:rsidRPr="00966288">
        <w:rPr>
          <w:rFonts w:ascii="Calibri" w:eastAsia="Times New Roman" w:hAnsi="Calibri"/>
          <w:szCs w:val="20"/>
          <w:lang w:eastAsia="en-US"/>
        </w:rPr>
        <w:t>201</w:t>
      </w:r>
      <w:r w:rsidR="00E21937" w:rsidRPr="00966288">
        <w:rPr>
          <w:rFonts w:ascii="Calibri" w:eastAsia="Times New Roman" w:hAnsi="Calibri"/>
          <w:szCs w:val="20"/>
          <w:lang w:eastAsia="en-US"/>
        </w:rPr>
        <w:t>8</w:t>
      </w:r>
      <w:r w:rsidR="00273B29" w:rsidRPr="00966288">
        <w:rPr>
          <w:rFonts w:ascii="Calibri" w:eastAsia="Times New Roman" w:hAnsi="Calibri"/>
          <w:szCs w:val="20"/>
          <w:lang w:eastAsia="en-US"/>
        </w:rPr>
        <w:t>.</w:t>
      </w:r>
    </w:p>
    <w:p w:rsidR="00F443CC" w:rsidRPr="00ED1CDA" w:rsidRDefault="00F443CC" w:rsidP="00C841E9">
      <w:pPr>
        <w:pStyle w:val="ListParagraph"/>
        <w:tabs>
          <w:tab w:val="left" w:pos="851"/>
        </w:tabs>
        <w:snapToGrid w:val="0"/>
        <w:ind w:left="0"/>
        <w:contextualSpacing w:val="0"/>
        <w:jc w:val="both"/>
        <w:rPr>
          <w:rFonts w:ascii="Calibri" w:eastAsia="Times New Roman" w:hAnsi="Calibri"/>
          <w:szCs w:val="20"/>
          <w:lang w:eastAsia="en-US"/>
        </w:rPr>
      </w:pPr>
    </w:p>
    <w:p w:rsidR="00F443CC" w:rsidRDefault="000267BA" w:rsidP="00C841E9">
      <w:pPr>
        <w:pStyle w:val="ListParagraph"/>
        <w:numPr>
          <w:ilvl w:val="0"/>
          <w:numId w:val="6"/>
        </w:numPr>
        <w:tabs>
          <w:tab w:val="left" w:pos="851"/>
        </w:tabs>
        <w:snapToGrid w:val="0"/>
        <w:ind w:left="0" w:firstLine="0"/>
        <w:contextualSpacing w:val="0"/>
        <w:jc w:val="both"/>
        <w:rPr>
          <w:rFonts w:ascii="Calibri" w:eastAsia="Times New Roman" w:hAnsi="Calibri"/>
          <w:szCs w:val="20"/>
          <w:lang w:eastAsia="en-US"/>
        </w:rPr>
      </w:pPr>
      <w:r w:rsidRPr="00ED1CDA">
        <w:rPr>
          <w:rFonts w:ascii="Calibri" w:eastAsia="Times New Roman" w:hAnsi="Calibri"/>
          <w:szCs w:val="20"/>
          <w:lang w:eastAsia="en-US"/>
        </w:rPr>
        <w:t>The 201</w:t>
      </w:r>
      <w:r w:rsidR="00C6572F">
        <w:rPr>
          <w:rFonts w:ascii="Calibri" w:eastAsia="Times New Roman" w:hAnsi="Calibri"/>
          <w:szCs w:val="20"/>
          <w:lang w:eastAsia="en-US"/>
        </w:rPr>
        <w:t>7</w:t>
      </w:r>
      <w:r w:rsidRPr="00ED1CDA">
        <w:rPr>
          <w:rFonts w:ascii="Calibri" w:eastAsia="Times New Roman" w:hAnsi="Calibri"/>
          <w:szCs w:val="20"/>
          <w:lang w:eastAsia="en-US"/>
        </w:rPr>
        <w:t xml:space="preserve"> Financial Statements have been prepared in accordance with the International Public Sector Accounting Standards (IPSAS). </w:t>
      </w:r>
      <w:r w:rsidR="008C6139">
        <w:rPr>
          <w:rFonts w:ascii="Calibri" w:eastAsia="Times New Roman" w:hAnsi="Calibri"/>
          <w:szCs w:val="20"/>
          <w:lang w:eastAsia="en-US"/>
        </w:rPr>
        <w:t xml:space="preserve"> </w:t>
      </w:r>
      <w:r w:rsidRPr="00ED1CDA">
        <w:rPr>
          <w:rFonts w:ascii="Calibri" w:eastAsia="Times New Roman" w:hAnsi="Calibri"/>
          <w:szCs w:val="20"/>
          <w:lang w:eastAsia="en-US"/>
        </w:rPr>
        <w:t xml:space="preserve">The Financial Regulations </w:t>
      </w:r>
      <w:r w:rsidR="004B707A">
        <w:rPr>
          <w:rFonts w:ascii="Calibri" w:eastAsia="Times New Roman" w:hAnsi="Calibri"/>
          <w:szCs w:val="20"/>
          <w:lang w:eastAsia="en-US"/>
        </w:rPr>
        <w:t xml:space="preserve">stipulate </w:t>
      </w:r>
      <w:r w:rsidRPr="00ED1CDA">
        <w:rPr>
          <w:rFonts w:ascii="Calibri" w:eastAsia="Times New Roman" w:hAnsi="Calibri"/>
          <w:szCs w:val="20"/>
          <w:lang w:eastAsia="en-US"/>
        </w:rPr>
        <w:t xml:space="preserve">a biennial </w:t>
      </w:r>
      <w:r w:rsidR="0062532D">
        <w:rPr>
          <w:rFonts w:ascii="Calibri" w:eastAsia="Times New Roman" w:hAnsi="Calibri"/>
          <w:szCs w:val="20"/>
          <w:lang w:eastAsia="en-US"/>
        </w:rPr>
        <w:t>budgetary</w:t>
      </w:r>
      <w:r w:rsidRPr="00ED1CDA">
        <w:rPr>
          <w:rFonts w:ascii="Calibri" w:eastAsia="Times New Roman" w:hAnsi="Calibri"/>
          <w:szCs w:val="20"/>
          <w:lang w:eastAsia="en-US"/>
        </w:rPr>
        <w:t xml:space="preserve"> period; however for </w:t>
      </w:r>
      <w:r w:rsidR="00DC44AD">
        <w:rPr>
          <w:rFonts w:ascii="Calibri" w:eastAsia="Times New Roman" w:hAnsi="Calibri"/>
          <w:szCs w:val="20"/>
          <w:lang w:eastAsia="en-US"/>
        </w:rPr>
        <w:t>a full implementation of the IPSAS</w:t>
      </w:r>
      <w:r w:rsidRPr="00ED1CDA">
        <w:rPr>
          <w:rFonts w:ascii="Calibri" w:eastAsia="Times New Roman" w:hAnsi="Calibri"/>
          <w:szCs w:val="20"/>
          <w:lang w:eastAsia="en-US"/>
        </w:rPr>
        <w:t xml:space="preserve">, </w:t>
      </w:r>
      <w:r w:rsidR="00DC44AD">
        <w:rPr>
          <w:rFonts w:ascii="Calibri" w:eastAsia="Times New Roman" w:hAnsi="Calibri"/>
          <w:szCs w:val="20"/>
          <w:lang w:eastAsia="en-US"/>
        </w:rPr>
        <w:t>the</w:t>
      </w:r>
      <w:r w:rsidR="00DC44AD" w:rsidRPr="00ED1CDA">
        <w:rPr>
          <w:rFonts w:ascii="Calibri" w:eastAsia="Times New Roman" w:hAnsi="Calibri"/>
          <w:szCs w:val="20"/>
          <w:lang w:eastAsia="en-US"/>
        </w:rPr>
        <w:t xml:space="preserve"> </w:t>
      </w:r>
      <w:r w:rsidRPr="00ED1CDA">
        <w:rPr>
          <w:rFonts w:ascii="Calibri" w:eastAsia="Times New Roman" w:hAnsi="Calibri"/>
          <w:szCs w:val="20"/>
          <w:lang w:eastAsia="en-US"/>
        </w:rPr>
        <w:t xml:space="preserve">financial statements are </w:t>
      </w:r>
      <w:r w:rsidR="000B1E0A" w:rsidRPr="00ED1CDA">
        <w:rPr>
          <w:rFonts w:ascii="Calibri" w:eastAsia="Times New Roman" w:hAnsi="Calibri"/>
          <w:szCs w:val="20"/>
          <w:lang w:eastAsia="en-US"/>
        </w:rPr>
        <w:t>p</w:t>
      </w:r>
      <w:r w:rsidRPr="00ED1CDA">
        <w:rPr>
          <w:rFonts w:ascii="Calibri" w:eastAsia="Times New Roman" w:hAnsi="Calibri"/>
          <w:szCs w:val="20"/>
          <w:lang w:eastAsia="en-US"/>
        </w:rPr>
        <w:t>resented</w:t>
      </w:r>
      <w:r w:rsidR="00DC44AD">
        <w:rPr>
          <w:rFonts w:ascii="Calibri" w:eastAsia="Times New Roman" w:hAnsi="Calibri"/>
          <w:szCs w:val="20"/>
          <w:lang w:eastAsia="en-US"/>
        </w:rPr>
        <w:t xml:space="preserve"> on </w:t>
      </w:r>
      <w:r w:rsidR="008C6139">
        <w:rPr>
          <w:rFonts w:ascii="Calibri" w:eastAsia="Times New Roman" w:hAnsi="Calibri"/>
          <w:szCs w:val="20"/>
          <w:lang w:eastAsia="en-US"/>
        </w:rPr>
        <w:t xml:space="preserve">an </w:t>
      </w:r>
      <w:r w:rsidR="00DC44AD">
        <w:rPr>
          <w:rFonts w:ascii="Calibri" w:eastAsia="Times New Roman" w:hAnsi="Calibri"/>
          <w:szCs w:val="20"/>
          <w:lang w:eastAsia="en-US"/>
        </w:rPr>
        <w:t>annual basis.</w:t>
      </w:r>
    </w:p>
    <w:p w:rsidR="00DC44AD" w:rsidRPr="004B707A" w:rsidRDefault="00DC44AD" w:rsidP="00C841E9">
      <w:pPr>
        <w:tabs>
          <w:tab w:val="left" w:pos="851"/>
        </w:tabs>
        <w:snapToGrid w:val="0"/>
        <w:spacing w:before="0"/>
        <w:rPr>
          <w:lang w:val="en-US"/>
        </w:rPr>
      </w:pPr>
    </w:p>
    <w:p w:rsidR="00451977" w:rsidRPr="00451977" w:rsidRDefault="00DC44AD" w:rsidP="00C841E9">
      <w:pPr>
        <w:pStyle w:val="ListParagraph"/>
        <w:numPr>
          <w:ilvl w:val="0"/>
          <w:numId w:val="6"/>
        </w:numPr>
        <w:tabs>
          <w:tab w:val="left" w:pos="851"/>
        </w:tabs>
        <w:snapToGrid w:val="0"/>
        <w:ind w:left="0" w:firstLine="0"/>
        <w:contextualSpacing w:val="0"/>
        <w:jc w:val="both"/>
        <w:rPr>
          <w:rFonts w:ascii="Calibri" w:eastAsia="Times New Roman" w:hAnsi="Calibri"/>
          <w:szCs w:val="20"/>
          <w:lang w:eastAsia="en-US"/>
        </w:rPr>
      </w:pPr>
      <w:r w:rsidRPr="00DC44AD">
        <w:rPr>
          <w:rFonts w:ascii="Calibri" w:eastAsia="Times New Roman" w:hAnsi="Calibri"/>
          <w:szCs w:val="20"/>
          <w:lang w:eastAsia="en-US"/>
        </w:rPr>
        <w:t>The 201</w:t>
      </w:r>
      <w:r w:rsidR="00C6572F">
        <w:rPr>
          <w:rFonts w:ascii="Calibri" w:eastAsia="Times New Roman" w:hAnsi="Calibri"/>
          <w:szCs w:val="20"/>
          <w:lang w:eastAsia="en-US"/>
        </w:rPr>
        <w:t>7</w:t>
      </w:r>
      <w:r w:rsidRPr="00DC44AD">
        <w:rPr>
          <w:rFonts w:ascii="Calibri" w:eastAsia="Times New Roman" w:hAnsi="Calibri"/>
          <w:szCs w:val="20"/>
          <w:lang w:eastAsia="en-US"/>
        </w:rPr>
        <w:t xml:space="preserve"> Financial Statements constitute the</w:t>
      </w:r>
      <w:r w:rsidR="00C6572F">
        <w:rPr>
          <w:rFonts w:ascii="Calibri" w:eastAsia="Times New Roman" w:hAnsi="Calibri"/>
          <w:szCs w:val="20"/>
          <w:lang w:eastAsia="en-US"/>
        </w:rPr>
        <w:t xml:space="preserve"> ninth</w:t>
      </w:r>
      <w:r w:rsidRPr="00DC44AD">
        <w:rPr>
          <w:rFonts w:ascii="Calibri" w:eastAsia="Times New Roman" w:hAnsi="Calibri"/>
          <w:szCs w:val="20"/>
          <w:lang w:eastAsia="en-US"/>
        </w:rPr>
        <w:t xml:space="preserve"> set of financial statements to have been prepared in accordance with IPSAS.</w:t>
      </w:r>
      <w:r w:rsidR="00451977" w:rsidRPr="00451977">
        <w:rPr>
          <w:rFonts w:ascii="Calibri" w:eastAsia="Times New Roman" w:hAnsi="Calibri"/>
          <w:szCs w:val="20"/>
          <w:lang w:eastAsia="en-US"/>
        </w:rPr>
        <w:t xml:space="preserve"> </w:t>
      </w:r>
      <w:r w:rsidR="00925335">
        <w:rPr>
          <w:rFonts w:ascii="Calibri" w:eastAsia="Times New Roman" w:hAnsi="Calibri"/>
          <w:szCs w:val="20"/>
          <w:lang w:eastAsia="en-US"/>
        </w:rPr>
        <w:t xml:space="preserve"> </w:t>
      </w:r>
      <w:r w:rsidR="00451977" w:rsidRPr="00451977">
        <w:rPr>
          <w:rFonts w:ascii="Calibri" w:eastAsia="Times New Roman" w:hAnsi="Calibri"/>
          <w:szCs w:val="20"/>
          <w:lang w:eastAsia="en-US"/>
        </w:rPr>
        <w:t>ITU has applied the IPSAS standards in force at 1 January 201</w:t>
      </w:r>
      <w:r w:rsidR="00C6572F">
        <w:rPr>
          <w:rFonts w:ascii="Calibri" w:eastAsia="Times New Roman" w:hAnsi="Calibri"/>
          <w:szCs w:val="20"/>
          <w:lang w:eastAsia="en-US"/>
        </w:rPr>
        <w:t>7</w:t>
      </w:r>
      <w:r w:rsidR="00451977" w:rsidRPr="00451977">
        <w:rPr>
          <w:rFonts w:ascii="Calibri" w:eastAsia="Times New Roman" w:hAnsi="Calibri"/>
          <w:szCs w:val="20"/>
          <w:lang w:eastAsia="en-US"/>
        </w:rPr>
        <w:t xml:space="preserve">, and the accounting principles applied are described in Note 2. The only derogation made in the financial statements presented is the non-capitalization of direct </w:t>
      </w:r>
      <w:r w:rsidR="00FA34A4" w:rsidRPr="00451977">
        <w:rPr>
          <w:rFonts w:ascii="Calibri" w:eastAsia="Times New Roman" w:hAnsi="Calibri"/>
          <w:szCs w:val="20"/>
          <w:lang w:eastAsia="en-US"/>
        </w:rPr>
        <w:t>la</w:t>
      </w:r>
      <w:r w:rsidR="00FA34A4">
        <w:rPr>
          <w:rFonts w:ascii="Calibri" w:eastAsia="Times New Roman" w:hAnsi="Calibri"/>
          <w:szCs w:val="20"/>
          <w:lang w:eastAsia="en-US"/>
        </w:rPr>
        <w:t>b</w:t>
      </w:r>
      <w:r w:rsidR="00FA34A4" w:rsidRPr="00451977">
        <w:rPr>
          <w:rFonts w:ascii="Calibri" w:eastAsia="Times New Roman" w:hAnsi="Calibri"/>
          <w:szCs w:val="20"/>
          <w:lang w:eastAsia="en-US"/>
        </w:rPr>
        <w:t>or</w:t>
      </w:r>
      <w:r w:rsidR="00451977" w:rsidRPr="00451977">
        <w:rPr>
          <w:rFonts w:ascii="Calibri" w:eastAsia="Times New Roman" w:hAnsi="Calibri"/>
          <w:szCs w:val="20"/>
          <w:lang w:eastAsia="en-US"/>
        </w:rPr>
        <w:t xml:space="preserve"> costs in the valuation of publication, contrary to the requirements of IPSAS 12. </w:t>
      </w:r>
      <w:r w:rsidR="00925335">
        <w:rPr>
          <w:rFonts w:ascii="Calibri" w:eastAsia="Times New Roman" w:hAnsi="Calibri"/>
          <w:szCs w:val="20"/>
          <w:lang w:eastAsia="en-US"/>
        </w:rPr>
        <w:t xml:space="preserve"> </w:t>
      </w:r>
      <w:r w:rsidR="00451977" w:rsidRPr="00451977">
        <w:rPr>
          <w:rFonts w:ascii="Calibri" w:eastAsia="Times New Roman" w:hAnsi="Calibri"/>
          <w:szCs w:val="20"/>
          <w:lang w:eastAsia="en-US"/>
        </w:rPr>
        <w:t xml:space="preserve">The capitalization of </w:t>
      </w:r>
      <w:r w:rsidR="00FA34A4" w:rsidRPr="00451977">
        <w:rPr>
          <w:rFonts w:ascii="Calibri" w:eastAsia="Times New Roman" w:hAnsi="Calibri"/>
          <w:szCs w:val="20"/>
          <w:lang w:eastAsia="en-US"/>
        </w:rPr>
        <w:t>labor</w:t>
      </w:r>
      <w:r w:rsidR="00451977" w:rsidRPr="00451977">
        <w:rPr>
          <w:rFonts w:ascii="Calibri" w:eastAsia="Times New Roman" w:hAnsi="Calibri"/>
          <w:szCs w:val="20"/>
          <w:lang w:eastAsia="en-US"/>
        </w:rPr>
        <w:t xml:space="preserve"> costs might result in a valuation of publications significantly above net realizable value based on current publication pricing and thus in an impairment to apply the lower of cost or net realizable value, respectively current replacement cost.</w:t>
      </w:r>
    </w:p>
    <w:p w:rsidR="00F443CC" w:rsidRPr="00F443CC" w:rsidRDefault="00F443CC" w:rsidP="00C841E9">
      <w:pPr>
        <w:pStyle w:val="ListParagraph"/>
        <w:tabs>
          <w:tab w:val="left" w:pos="851"/>
        </w:tabs>
        <w:snapToGrid w:val="0"/>
        <w:ind w:left="0"/>
        <w:contextualSpacing w:val="0"/>
        <w:jc w:val="both"/>
        <w:rPr>
          <w:rFonts w:ascii="Calibri" w:eastAsia="Times New Roman" w:hAnsi="Calibri"/>
          <w:szCs w:val="20"/>
          <w:lang w:eastAsia="en-US"/>
        </w:rPr>
      </w:pPr>
    </w:p>
    <w:p w:rsidR="00F443CC" w:rsidRDefault="006C0DBF" w:rsidP="00C841E9">
      <w:pPr>
        <w:pStyle w:val="ListParagraph"/>
        <w:numPr>
          <w:ilvl w:val="0"/>
          <w:numId w:val="6"/>
        </w:numPr>
        <w:tabs>
          <w:tab w:val="left" w:pos="851"/>
        </w:tabs>
        <w:snapToGrid w:val="0"/>
        <w:ind w:left="0" w:firstLine="0"/>
        <w:contextualSpacing w:val="0"/>
        <w:jc w:val="both"/>
        <w:rPr>
          <w:rFonts w:ascii="Calibri" w:eastAsia="Times New Roman" w:hAnsi="Calibri"/>
          <w:szCs w:val="20"/>
          <w:lang w:eastAsia="en-US"/>
        </w:rPr>
      </w:pPr>
      <w:r w:rsidRPr="00ED1CDA">
        <w:rPr>
          <w:rFonts w:ascii="Calibri" w:eastAsia="Times New Roman" w:hAnsi="Calibri"/>
          <w:szCs w:val="20"/>
          <w:lang w:eastAsia="en-US"/>
        </w:rPr>
        <w:t>Document C11/INF/9 sets out the definitions of several key financial terms that will facilitate the readers’ use and understanding of the financial statement</w:t>
      </w:r>
      <w:r w:rsidR="005D05E8">
        <w:rPr>
          <w:rFonts w:ascii="Calibri" w:eastAsia="Times New Roman" w:hAnsi="Calibri"/>
          <w:szCs w:val="20"/>
          <w:lang w:eastAsia="en-US"/>
        </w:rPr>
        <w:t>s</w:t>
      </w:r>
      <w:r w:rsidR="00F443CC">
        <w:rPr>
          <w:rFonts w:ascii="Calibri" w:eastAsia="Times New Roman" w:hAnsi="Calibri"/>
          <w:szCs w:val="20"/>
          <w:lang w:eastAsia="en-US"/>
        </w:rPr>
        <w:t>.</w:t>
      </w:r>
    </w:p>
    <w:p w:rsidR="0022373A" w:rsidRPr="00ED1CDA" w:rsidRDefault="0022373A" w:rsidP="00C841E9">
      <w:pPr>
        <w:pStyle w:val="ListParagraph"/>
        <w:tabs>
          <w:tab w:val="left" w:pos="851"/>
        </w:tabs>
        <w:adjustRightInd w:val="0"/>
        <w:snapToGrid w:val="0"/>
        <w:ind w:left="0"/>
        <w:contextualSpacing w:val="0"/>
        <w:jc w:val="both"/>
        <w:rPr>
          <w:rFonts w:ascii="Calibri" w:eastAsia="Times New Roman" w:hAnsi="Calibri"/>
          <w:szCs w:val="20"/>
          <w:lang w:eastAsia="en-US"/>
        </w:rPr>
      </w:pPr>
    </w:p>
    <w:p w:rsidR="0022373A" w:rsidRDefault="00102375" w:rsidP="00C841E9">
      <w:pPr>
        <w:pStyle w:val="Headingb"/>
        <w:snapToGrid w:val="0"/>
        <w:spacing w:before="0"/>
        <w:ind w:left="0" w:firstLine="0"/>
        <w:jc w:val="both"/>
        <w:rPr>
          <w:bCs/>
          <w:lang w:val="en-US"/>
        </w:rPr>
      </w:pPr>
      <w:bookmarkStart w:id="13" w:name="_Toc305764054"/>
      <w:r w:rsidRPr="00ED1CDA">
        <w:rPr>
          <w:bCs/>
          <w:lang w:val="en-US"/>
        </w:rPr>
        <w:t xml:space="preserve">Key events during the </w:t>
      </w:r>
      <w:r w:rsidR="00111BDD" w:rsidRPr="00ED1CDA">
        <w:rPr>
          <w:bCs/>
          <w:lang w:val="en-US"/>
        </w:rPr>
        <w:t>201</w:t>
      </w:r>
      <w:r w:rsidR="00C6572F">
        <w:rPr>
          <w:bCs/>
          <w:lang w:val="en-US"/>
        </w:rPr>
        <w:t>7</w:t>
      </w:r>
      <w:r w:rsidR="0022373A" w:rsidRPr="00ED1CDA">
        <w:rPr>
          <w:bCs/>
          <w:lang w:val="en-US"/>
        </w:rPr>
        <w:t xml:space="preserve"> financial period</w:t>
      </w:r>
      <w:bookmarkEnd w:id="13"/>
    </w:p>
    <w:p w:rsidR="00AA4485" w:rsidRPr="00AA4485" w:rsidRDefault="00AA4485" w:rsidP="00C841E9">
      <w:pPr>
        <w:tabs>
          <w:tab w:val="left" w:pos="851"/>
        </w:tabs>
        <w:snapToGrid w:val="0"/>
        <w:spacing w:before="0"/>
        <w:rPr>
          <w:lang w:val="en-US"/>
        </w:rPr>
      </w:pPr>
    </w:p>
    <w:p w:rsidR="00004716" w:rsidRDefault="0022373A" w:rsidP="00C841E9">
      <w:pPr>
        <w:pStyle w:val="ListParagraph"/>
        <w:numPr>
          <w:ilvl w:val="0"/>
          <w:numId w:val="6"/>
        </w:numPr>
        <w:tabs>
          <w:tab w:val="left" w:pos="851"/>
        </w:tabs>
        <w:adjustRightInd w:val="0"/>
        <w:snapToGrid w:val="0"/>
        <w:ind w:left="0" w:firstLine="0"/>
        <w:contextualSpacing w:val="0"/>
        <w:jc w:val="both"/>
        <w:rPr>
          <w:rFonts w:ascii="Calibri" w:eastAsia="Times New Roman" w:hAnsi="Calibri"/>
          <w:szCs w:val="20"/>
          <w:lang w:eastAsia="en-US"/>
        </w:rPr>
      </w:pPr>
      <w:r w:rsidRPr="00ED1CDA">
        <w:rPr>
          <w:rFonts w:ascii="Calibri" w:eastAsia="Times New Roman" w:hAnsi="Calibri"/>
          <w:szCs w:val="20"/>
          <w:lang w:eastAsia="en-US"/>
        </w:rPr>
        <w:t xml:space="preserve">The </w:t>
      </w:r>
      <w:proofErr w:type="spellStart"/>
      <w:r w:rsidRPr="00ED1CDA">
        <w:rPr>
          <w:rFonts w:ascii="Calibri" w:eastAsia="Times New Roman" w:hAnsi="Calibri"/>
          <w:szCs w:val="20"/>
          <w:lang w:eastAsia="en-US"/>
        </w:rPr>
        <w:t>programme</w:t>
      </w:r>
      <w:proofErr w:type="spellEnd"/>
      <w:r w:rsidRPr="00ED1CDA">
        <w:rPr>
          <w:rFonts w:ascii="Calibri" w:eastAsia="Times New Roman" w:hAnsi="Calibri"/>
          <w:szCs w:val="20"/>
          <w:lang w:eastAsia="en-US"/>
        </w:rPr>
        <w:t xml:space="preserve"> of activities </w:t>
      </w:r>
      <w:r w:rsidR="005A587B" w:rsidRPr="00ED1CDA">
        <w:rPr>
          <w:rFonts w:ascii="Calibri" w:eastAsia="Times New Roman" w:hAnsi="Calibri"/>
          <w:szCs w:val="20"/>
          <w:lang w:eastAsia="en-US"/>
        </w:rPr>
        <w:t xml:space="preserve">carried out by the Union in </w:t>
      </w:r>
      <w:r w:rsidR="00111BDD" w:rsidRPr="00ED1CDA">
        <w:rPr>
          <w:rFonts w:ascii="Calibri" w:eastAsia="Times New Roman" w:hAnsi="Calibri"/>
          <w:szCs w:val="20"/>
          <w:lang w:eastAsia="en-US"/>
        </w:rPr>
        <w:t>201</w:t>
      </w:r>
      <w:r w:rsidR="00C6572F">
        <w:rPr>
          <w:rFonts w:ascii="Calibri" w:eastAsia="Times New Roman" w:hAnsi="Calibri"/>
          <w:szCs w:val="20"/>
          <w:lang w:eastAsia="en-US"/>
        </w:rPr>
        <w:t>7</w:t>
      </w:r>
      <w:r w:rsidRPr="00ED1CDA">
        <w:rPr>
          <w:rFonts w:ascii="Calibri" w:eastAsia="Times New Roman" w:hAnsi="Calibri"/>
          <w:szCs w:val="20"/>
          <w:lang w:eastAsia="en-US"/>
        </w:rPr>
        <w:t xml:space="preserve"> </w:t>
      </w:r>
      <w:r w:rsidR="006A5BA7" w:rsidRPr="00ED1CDA">
        <w:rPr>
          <w:rFonts w:ascii="Calibri" w:eastAsia="Times New Roman" w:hAnsi="Calibri"/>
          <w:szCs w:val="20"/>
          <w:lang w:eastAsia="en-US"/>
        </w:rPr>
        <w:t>included</w:t>
      </w:r>
      <w:r w:rsidRPr="00ED1CDA">
        <w:rPr>
          <w:rFonts w:ascii="Calibri" w:eastAsia="Times New Roman" w:hAnsi="Calibri"/>
          <w:szCs w:val="20"/>
          <w:lang w:eastAsia="en-US"/>
        </w:rPr>
        <w:t xml:space="preserve"> </w:t>
      </w:r>
      <w:r w:rsidR="00B36EF5" w:rsidRPr="00ED1CDA">
        <w:rPr>
          <w:rFonts w:ascii="Calibri" w:eastAsia="Times New Roman" w:hAnsi="Calibri"/>
          <w:szCs w:val="20"/>
          <w:lang w:eastAsia="en-US"/>
        </w:rPr>
        <w:t xml:space="preserve">among </w:t>
      </w:r>
      <w:r w:rsidRPr="00ED1CDA">
        <w:rPr>
          <w:rFonts w:ascii="Calibri" w:eastAsia="Times New Roman" w:hAnsi="Calibri"/>
          <w:szCs w:val="20"/>
          <w:lang w:eastAsia="en-US"/>
        </w:rPr>
        <w:t>numerous</w:t>
      </w:r>
      <w:r w:rsidR="00E77549">
        <w:rPr>
          <w:rFonts w:ascii="Calibri" w:eastAsia="Times New Roman" w:hAnsi="Calibri"/>
          <w:szCs w:val="20"/>
          <w:lang w:eastAsia="en-US"/>
        </w:rPr>
        <w:t xml:space="preserve"> </w:t>
      </w:r>
      <w:r w:rsidRPr="00ED1CDA">
        <w:rPr>
          <w:rFonts w:ascii="Calibri" w:eastAsia="Times New Roman" w:hAnsi="Calibri"/>
          <w:szCs w:val="20"/>
          <w:lang w:eastAsia="en-US"/>
        </w:rPr>
        <w:t xml:space="preserve">meetings and conferences, </w:t>
      </w:r>
      <w:r w:rsidR="008060D0" w:rsidRPr="00ED1CDA">
        <w:rPr>
          <w:rFonts w:ascii="Calibri" w:eastAsia="Times New Roman" w:hAnsi="Calibri"/>
          <w:szCs w:val="20"/>
          <w:lang w:eastAsia="en-US"/>
        </w:rPr>
        <w:t>the following main events:</w:t>
      </w:r>
    </w:p>
    <w:p w:rsidR="009B1B15" w:rsidRDefault="009B1B15" w:rsidP="00C841E9">
      <w:pPr>
        <w:pStyle w:val="ListParagraph"/>
        <w:tabs>
          <w:tab w:val="left" w:pos="851"/>
        </w:tabs>
        <w:adjustRightInd w:val="0"/>
        <w:snapToGrid w:val="0"/>
        <w:ind w:left="0"/>
        <w:contextualSpacing w:val="0"/>
        <w:jc w:val="both"/>
        <w:rPr>
          <w:rFonts w:ascii="Calibri" w:eastAsia="Times New Roman" w:hAnsi="Calibri"/>
          <w:szCs w:val="20"/>
          <w:lang w:eastAsia="en-US"/>
        </w:rPr>
      </w:pPr>
    </w:p>
    <w:p w:rsidR="00BC01CB" w:rsidRDefault="009B1B15" w:rsidP="005866F3">
      <w:pPr>
        <w:pStyle w:val="ListParagraph"/>
        <w:numPr>
          <w:ilvl w:val="0"/>
          <w:numId w:val="6"/>
        </w:numPr>
        <w:tabs>
          <w:tab w:val="left" w:pos="851"/>
        </w:tabs>
        <w:adjustRightInd w:val="0"/>
        <w:snapToGrid w:val="0"/>
        <w:ind w:left="0" w:firstLine="0"/>
        <w:contextualSpacing w:val="0"/>
        <w:jc w:val="both"/>
        <w:rPr>
          <w:rFonts w:ascii="Calibri" w:eastAsia="Times New Roman" w:hAnsi="Calibri"/>
          <w:szCs w:val="20"/>
          <w:lang w:eastAsia="en-US"/>
        </w:rPr>
      </w:pPr>
      <w:r w:rsidRPr="00D1001F">
        <w:rPr>
          <w:rFonts w:ascii="Calibri" w:eastAsia="Times New Roman" w:hAnsi="Calibri"/>
          <w:szCs w:val="20"/>
          <w:lang w:eastAsia="en-US"/>
        </w:rPr>
        <w:t>The International Girls in ICT Day takes place every fourth Thursday of April to encourage more girls and young women to take up ICT careers and studies. From its launch in 2011 through 2017, the campaign had reached 300,000 girls in 166 countries. In 2017</w:t>
      </w:r>
      <w:r w:rsidR="005866F3">
        <w:rPr>
          <w:rFonts w:ascii="Calibri" w:eastAsia="Times New Roman" w:hAnsi="Calibri"/>
          <w:szCs w:val="20"/>
          <w:lang w:eastAsia="en-US"/>
        </w:rPr>
        <w:t>,</w:t>
      </w:r>
      <w:r w:rsidRPr="00D1001F">
        <w:rPr>
          <w:rFonts w:ascii="Calibri" w:eastAsia="Times New Roman" w:hAnsi="Calibri"/>
          <w:szCs w:val="20"/>
          <w:lang w:eastAsia="en-US"/>
        </w:rPr>
        <w:t xml:space="preserve"> the day saw more than 2,100 events in 134 countries in which more than 70,000 girls and young women took part. The flagship Girls in ICT Day event organized in Geneva was connected with the Girls in ICT Day event organized in Vilnius, Lithuania during RPM-EUR and an event organized by Alfa Telecom in Beirut, Lebanon.</w:t>
      </w:r>
      <w:r w:rsidR="00BC01CB" w:rsidRPr="00D1001F">
        <w:rPr>
          <w:rFonts w:ascii="Calibri" w:eastAsia="Times New Roman" w:hAnsi="Calibri"/>
          <w:szCs w:val="20"/>
          <w:lang w:eastAsia="en-US"/>
        </w:rPr>
        <w:t xml:space="preserve"> </w:t>
      </w:r>
    </w:p>
    <w:p w:rsidR="00804464" w:rsidRDefault="00804464" w:rsidP="00C841E9">
      <w:pPr>
        <w:pStyle w:val="ListParagraph"/>
        <w:tabs>
          <w:tab w:val="left" w:pos="851"/>
        </w:tabs>
        <w:adjustRightInd w:val="0"/>
        <w:snapToGrid w:val="0"/>
        <w:ind w:left="0"/>
        <w:contextualSpacing w:val="0"/>
        <w:jc w:val="both"/>
        <w:rPr>
          <w:rFonts w:ascii="Calibri" w:eastAsia="Times New Roman" w:hAnsi="Calibri"/>
          <w:szCs w:val="20"/>
          <w:lang w:eastAsia="en-US"/>
        </w:rPr>
      </w:pPr>
    </w:p>
    <w:p w:rsidR="00DD32F4" w:rsidRPr="00DD32F4" w:rsidRDefault="00DD32F4" w:rsidP="005866F3">
      <w:pPr>
        <w:pStyle w:val="ListParagraph"/>
        <w:numPr>
          <w:ilvl w:val="0"/>
          <w:numId w:val="6"/>
        </w:numPr>
        <w:tabs>
          <w:tab w:val="left" w:pos="851"/>
        </w:tabs>
        <w:adjustRightInd w:val="0"/>
        <w:snapToGrid w:val="0"/>
        <w:ind w:left="0" w:firstLine="0"/>
        <w:contextualSpacing w:val="0"/>
        <w:jc w:val="both"/>
        <w:rPr>
          <w:rFonts w:ascii="Calibri" w:eastAsia="Times New Roman" w:hAnsi="Calibri"/>
          <w:szCs w:val="20"/>
          <w:lang w:eastAsia="en-US"/>
        </w:rPr>
      </w:pPr>
      <w:r w:rsidRPr="00DD32F4">
        <w:rPr>
          <w:rFonts w:ascii="Calibri" w:eastAsia="Times New Roman" w:hAnsi="Calibri"/>
          <w:szCs w:val="20"/>
          <w:lang w:eastAsia="en-US"/>
        </w:rPr>
        <w:t>The WSIS Forum 2017 was held from 12</w:t>
      </w:r>
      <w:r w:rsidR="005866F3">
        <w:rPr>
          <w:rFonts w:ascii="Calibri" w:eastAsia="Times New Roman" w:hAnsi="Calibri"/>
          <w:szCs w:val="20"/>
          <w:lang w:eastAsia="en-US"/>
        </w:rPr>
        <w:t xml:space="preserve"> to </w:t>
      </w:r>
      <w:r w:rsidRPr="00DD32F4">
        <w:rPr>
          <w:rFonts w:ascii="Calibri" w:eastAsia="Times New Roman" w:hAnsi="Calibri"/>
          <w:szCs w:val="20"/>
          <w:lang w:eastAsia="en-US"/>
        </w:rPr>
        <w:t>16 June 2017 in Geneva.  It represents the world's largest annual multi-stakeholder gathering of the ICT for development community, and is co-organized by ITU, UNESCO, UNCTAD and UNDP, in close collaboration with all UN agencies.  The Forum focused on sustainable development trends and inclusive ICT initiatives in key SDG priority areas such as health, education, gender empowerment, the environment, infrastructure and innovation.  It has proven to be an efficient mechanism for coordination of multi-stakeholder implementation activities, information exchange, creation of knowledge, sharing of best practices and continues to provide assistance in developing multi-stakeholder and public/private partnerships to advance development goals.</w:t>
      </w:r>
    </w:p>
    <w:p w:rsidR="00BC01CB" w:rsidRDefault="00BC01CB" w:rsidP="00C841E9">
      <w:pPr>
        <w:pStyle w:val="ListParagraph"/>
        <w:tabs>
          <w:tab w:val="left" w:pos="851"/>
        </w:tabs>
        <w:adjustRightInd w:val="0"/>
        <w:snapToGrid w:val="0"/>
        <w:ind w:left="0"/>
        <w:contextualSpacing w:val="0"/>
        <w:jc w:val="both"/>
        <w:rPr>
          <w:rFonts w:ascii="Calibri" w:eastAsia="Times New Roman" w:hAnsi="Calibri"/>
          <w:szCs w:val="20"/>
          <w:lang w:eastAsia="en-US"/>
        </w:rPr>
      </w:pPr>
    </w:p>
    <w:p w:rsidR="009F294E" w:rsidRPr="009F294E" w:rsidRDefault="009F294E" w:rsidP="00C841E9">
      <w:pPr>
        <w:pStyle w:val="ListParagraph"/>
        <w:ind w:left="0"/>
        <w:rPr>
          <w:rFonts w:ascii="Calibri" w:eastAsia="Times New Roman" w:hAnsi="Calibri"/>
          <w:szCs w:val="20"/>
          <w:lang w:eastAsia="en-US"/>
        </w:rPr>
      </w:pPr>
    </w:p>
    <w:p w:rsidR="00373677" w:rsidRDefault="009F294E" w:rsidP="00351254">
      <w:pPr>
        <w:pStyle w:val="ListParagraph"/>
        <w:numPr>
          <w:ilvl w:val="0"/>
          <w:numId w:val="6"/>
        </w:numPr>
        <w:tabs>
          <w:tab w:val="left" w:pos="851"/>
        </w:tabs>
        <w:adjustRightInd w:val="0"/>
        <w:snapToGrid w:val="0"/>
        <w:ind w:left="0" w:firstLine="0"/>
        <w:contextualSpacing w:val="0"/>
        <w:jc w:val="both"/>
        <w:rPr>
          <w:rFonts w:ascii="Calibri" w:eastAsia="Times New Roman" w:hAnsi="Calibri"/>
          <w:szCs w:val="20"/>
          <w:lang w:eastAsia="en-US"/>
        </w:rPr>
      </w:pPr>
      <w:r w:rsidRPr="009F294E">
        <w:rPr>
          <w:rFonts w:ascii="Calibri" w:eastAsia="Times New Roman" w:hAnsi="Calibri"/>
          <w:szCs w:val="20"/>
          <w:lang w:eastAsia="en-US"/>
        </w:rPr>
        <w:t xml:space="preserve">The ITU TELECOM WORLD 2017 was held in Busan, </w:t>
      </w:r>
      <w:r w:rsidR="00351254">
        <w:rPr>
          <w:rFonts w:ascii="Calibri" w:eastAsia="Times New Roman" w:hAnsi="Calibri"/>
          <w:szCs w:val="20"/>
          <w:lang w:eastAsia="en-US"/>
        </w:rPr>
        <w:t xml:space="preserve">Republic of </w:t>
      </w:r>
      <w:r w:rsidRPr="009F294E">
        <w:rPr>
          <w:rFonts w:ascii="Calibri" w:eastAsia="Times New Roman" w:hAnsi="Calibri"/>
          <w:szCs w:val="20"/>
          <w:lang w:eastAsia="en-US"/>
        </w:rPr>
        <w:t>Korea, from 25</w:t>
      </w:r>
      <w:r w:rsidR="00351254">
        <w:rPr>
          <w:rFonts w:ascii="Calibri" w:eastAsia="Times New Roman" w:hAnsi="Calibri"/>
          <w:szCs w:val="20"/>
          <w:lang w:eastAsia="en-US"/>
        </w:rPr>
        <w:t> to </w:t>
      </w:r>
      <w:r w:rsidRPr="009F294E">
        <w:rPr>
          <w:rFonts w:ascii="Calibri" w:eastAsia="Times New Roman" w:hAnsi="Calibri"/>
          <w:szCs w:val="20"/>
          <w:lang w:eastAsia="en-US"/>
        </w:rPr>
        <w:t>28</w:t>
      </w:r>
      <w:r w:rsidR="00351254">
        <w:rPr>
          <w:rFonts w:ascii="Calibri" w:eastAsia="Times New Roman" w:hAnsi="Calibri"/>
          <w:szCs w:val="20"/>
          <w:lang w:eastAsia="en-US"/>
        </w:rPr>
        <w:t> </w:t>
      </w:r>
      <w:r w:rsidRPr="009F294E">
        <w:rPr>
          <w:rFonts w:ascii="Calibri" w:eastAsia="Times New Roman" w:hAnsi="Calibri"/>
          <w:szCs w:val="20"/>
          <w:lang w:eastAsia="en-US"/>
        </w:rPr>
        <w:t>September</w:t>
      </w:r>
      <w:r w:rsidR="00351254">
        <w:rPr>
          <w:rFonts w:ascii="Calibri" w:eastAsia="Times New Roman" w:hAnsi="Calibri"/>
          <w:szCs w:val="20"/>
          <w:lang w:eastAsia="en-US"/>
        </w:rPr>
        <w:t> 2017</w:t>
      </w:r>
      <w:r w:rsidRPr="009F294E">
        <w:rPr>
          <w:rFonts w:ascii="Calibri" w:eastAsia="Times New Roman" w:hAnsi="Calibri"/>
          <w:szCs w:val="20"/>
          <w:lang w:eastAsia="en-US"/>
        </w:rPr>
        <w:t>, on the theme of “Smart digital transformation, global opportunities”. As the global platform for accelerating ICT innovation for social good, it brought together governments, corporates and small and medium enterprises (SMEs) from emerging and developed markets around the world</w:t>
      </w:r>
      <w:r>
        <w:rPr>
          <w:rFonts w:ascii="Calibri" w:eastAsia="Times New Roman" w:hAnsi="Calibri"/>
          <w:szCs w:val="20"/>
          <w:lang w:eastAsia="en-US"/>
        </w:rPr>
        <w:t xml:space="preserve">. </w:t>
      </w:r>
      <w:r w:rsidR="00031036" w:rsidRPr="00701F73">
        <w:rPr>
          <w:rFonts w:ascii="Calibri" w:eastAsia="Times New Roman" w:hAnsi="Calibri"/>
          <w:szCs w:val="20"/>
          <w:lang w:eastAsia="en-US"/>
        </w:rPr>
        <w:t xml:space="preserve">It combined an exhibition for digital solutions, a forum for sharing knowledge, an Awards </w:t>
      </w:r>
      <w:proofErr w:type="spellStart"/>
      <w:r w:rsidR="00031036" w:rsidRPr="00701F73">
        <w:rPr>
          <w:rFonts w:ascii="Calibri" w:eastAsia="Times New Roman" w:hAnsi="Calibri"/>
          <w:szCs w:val="20"/>
          <w:lang w:eastAsia="en-US"/>
        </w:rPr>
        <w:t>programme</w:t>
      </w:r>
      <w:proofErr w:type="spellEnd"/>
      <w:r w:rsidR="00031036" w:rsidRPr="00701F73">
        <w:rPr>
          <w:rFonts w:ascii="Calibri" w:eastAsia="Times New Roman" w:hAnsi="Calibri"/>
          <w:szCs w:val="20"/>
          <w:lang w:eastAsia="en-US"/>
        </w:rPr>
        <w:t xml:space="preserve"> recognizing excellence and innovation in ICT solutions with social impact, and a networking hub for nations, organizations and individuals. </w:t>
      </w:r>
      <w:r>
        <w:rPr>
          <w:rFonts w:ascii="Calibri" w:eastAsia="Times New Roman" w:hAnsi="Calibri"/>
          <w:szCs w:val="20"/>
          <w:lang w:eastAsia="en-US"/>
        </w:rPr>
        <w:t>In numbers ITU TELECOM WORLD 2017 represented 9100 participants from 126 countries, 459 exhibitors and 125 speakers for 41 countries.</w:t>
      </w:r>
    </w:p>
    <w:p w:rsidR="00373677" w:rsidRPr="00373677" w:rsidRDefault="00373677" w:rsidP="00373677">
      <w:pPr>
        <w:pStyle w:val="ListParagraph"/>
        <w:tabs>
          <w:tab w:val="left" w:pos="851"/>
        </w:tabs>
        <w:adjustRightInd w:val="0"/>
        <w:snapToGrid w:val="0"/>
        <w:ind w:left="0"/>
        <w:contextualSpacing w:val="0"/>
        <w:jc w:val="both"/>
        <w:rPr>
          <w:rFonts w:ascii="Calibri" w:eastAsia="Times New Roman" w:hAnsi="Calibri"/>
          <w:szCs w:val="20"/>
          <w:lang w:eastAsia="en-US"/>
        </w:rPr>
      </w:pPr>
    </w:p>
    <w:p w:rsidR="001F0AA7" w:rsidRDefault="00BD46C5" w:rsidP="00BD46C5">
      <w:pPr>
        <w:pStyle w:val="Pa8"/>
        <w:numPr>
          <w:ilvl w:val="0"/>
          <w:numId w:val="6"/>
        </w:numPr>
        <w:tabs>
          <w:tab w:val="left" w:pos="851"/>
        </w:tabs>
        <w:snapToGrid w:val="0"/>
        <w:spacing w:line="240" w:lineRule="auto"/>
        <w:ind w:left="0" w:firstLine="0"/>
        <w:jc w:val="both"/>
        <w:rPr>
          <w:rFonts w:ascii="Calibri" w:hAnsi="Calibri"/>
          <w:szCs w:val="20"/>
          <w:lang w:eastAsia="en-US"/>
        </w:rPr>
      </w:pPr>
      <w:r>
        <w:rPr>
          <w:rFonts w:ascii="Calibri" w:hAnsi="Calibri"/>
          <w:szCs w:val="20"/>
          <w:lang w:eastAsia="en-US"/>
        </w:rPr>
        <w:t>T</w:t>
      </w:r>
      <w:r w:rsidRPr="001F0AA7">
        <w:rPr>
          <w:rFonts w:ascii="Calibri" w:hAnsi="Calibri"/>
          <w:szCs w:val="20"/>
          <w:lang w:eastAsia="en-US"/>
        </w:rPr>
        <w:t xml:space="preserve">he </w:t>
      </w:r>
      <w:r>
        <w:rPr>
          <w:rFonts w:ascii="Calibri" w:hAnsi="Calibri"/>
          <w:szCs w:val="20"/>
          <w:lang w:eastAsia="en-US"/>
        </w:rPr>
        <w:t>S</w:t>
      </w:r>
      <w:r w:rsidRPr="001F0AA7">
        <w:rPr>
          <w:rFonts w:ascii="Calibri" w:hAnsi="Calibri"/>
          <w:szCs w:val="20"/>
          <w:lang w:eastAsia="en-US"/>
        </w:rPr>
        <w:t xml:space="preserve">eventh World Telecommunication Development </w:t>
      </w:r>
      <w:r>
        <w:rPr>
          <w:rFonts w:ascii="Calibri" w:hAnsi="Calibri"/>
          <w:szCs w:val="20"/>
          <w:lang w:eastAsia="en-US"/>
        </w:rPr>
        <w:t>C</w:t>
      </w:r>
      <w:r w:rsidRPr="001F0AA7">
        <w:rPr>
          <w:rFonts w:ascii="Calibri" w:hAnsi="Calibri"/>
          <w:szCs w:val="20"/>
          <w:lang w:eastAsia="en-US"/>
        </w:rPr>
        <w:t>onference</w:t>
      </w:r>
      <w:r>
        <w:rPr>
          <w:rFonts w:ascii="Calibri" w:hAnsi="Calibri"/>
          <w:szCs w:val="20"/>
          <w:lang w:eastAsia="en-US"/>
        </w:rPr>
        <w:t xml:space="preserve"> (WTDC-17)</w:t>
      </w:r>
      <w:r w:rsidRPr="001F0AA7">
        <w:rPr>
          <w:rFonts w:ascii="Calibri" w:hAnsi="Calibri"/>
          <w:szCs w:val="20"/>
          <w:lang w:eastAsia="en-US"/>
        </w:rPr>
        <w:t xml:space="preserve"> </w:t>
      </w:r>
      <w:r>
        <w:rPr>
          <w:rFonts w:ascii="Calibri" w:hAnsi="Calibri"/>
          <w:szCs w:val="20"/>
          <w:lang w:eastAsia="en-US"/>
        </w:rPr>
        <w:t>was held f</w:t>
      </w:r>
      <w:r w:rsidR="001F0AA7" w:rsidRPr="001F0AA7">
        <w:rPr>
          <w:rFonts w:ascii="Calibri" w:hAnsi="Calibri"/>
          <w:szCs w:val="20"/>
          <w:lang w:eastAsia="en-US"/>
        </w:rPr>
        <w:t>rom 9</w:t>
      </w:r>
      <w:r>
        <w:rPr>
          <w:rFonts w:ascii="Calibri" w:hAnsi="Calibri"/>
          <w:szCs w:val="20"/>
          <w:lang w:eastAsia="en-US"/>
        </w:rPr>
        <w:t> to </w:t>
      </w:r>
      <w:r w:rsidR="001F0AA7" w:rsidRPr="001F0AA7">
        <w:rPr>
          <w:rFonts w:ascii="Calibri" w:hAnsi="Calibri"/>
          <w:szCs w:val="20"/>
          <w:lang w:eastAsia="en-US"/>
        </w:rPr>
        <w:t>20</w:t>
      </w:r>
      <w:r>
        <w:rPr>
          <w:rFonts w:ascii="Calibri" w:hAnsi="Calibri"/>
          <w:szCs w:val="20"/>
          <w:lang w:eastAsia="en-US"/>
        </w:rPr>
        <w:t> </w:t>
      </w:r>
      <w:r w:rsidR="001F0AA7" w:rsidRPr="001F0AA7">
        <w:rPr>
          <w:rFonts w:ascii="Calibri" w:hAnsi="Calibri"/>
          <w:szCs w:val="20"/>
          <w:lang w:eastAsia="en-US"/>
        </w:rPr>
        <w:t>October 2017 in Buenos Aires, Argentina</w:t>
      </w:r>
      <w:r>
        <w:rPr>
          <w:rFonts w:ascii="Calibri" w:hAnsi="Calibri"/>
          <w:szCs w:val="20"/>
          <w:lang w:eastAsia="en-US"/>
        </w:rPr>
        <w:t>.  This Conference provides m</w:t>
      </w:r>
      <w:r w:rsidR="001F0AA7" w:rsidRPr="001F0AA7">
        <w:rPr>
          <w:rFonts w:ascii="Calibri" w:hAnsi="Calibri"/>
          <w:szCs w:val="20"/>
          <w:lang w:eastAsia="en-US"/>
        </w:rPr>
        <w:t xml:space="preserve">embership the opportunity to debate the latest trends in telecommunication/ICT development and to establish the priorities of the ITU Telecommunication Development Sector (ITU-D) for the interval between two WTDCs. </w:t>
      </w:r>
      <w:r>
        <w:rPr>
          <w:rFonts w:ascii="Calibri" w:hAnsi="Calibri"/>
          <w:szCs w:val="20"/>
          <w:lang w:eastAsia="en-US"/>
        </w:rPr>
        <w:t xml:space="preserve"> It also </w:t>
      </w:r>
      <w:r w:rsidR="001F0AA7" w:rsidRPr="001F0AA7">
        <w:rPr>
          <w:rFonts w:ascii="Calibri" w:hAnsi="Calibri"/>
          <w:szCs w:val="20"/>
          <w:lang w:eastAsia="en-US"/>
        </w:rPr>
        <w:t>provide</w:t>
      </w:r>
      <w:r>
        <w:rPr>
          <w:rFonts w:ascii="Calibri" w:hAnsi="Calibri"/>
          <w:szCs w:val="20"/>
          <w:lang w:eastAsia="en-US"/>
        </w:rPr>
        <w:t>s</w:t>
      </w:r>
      <w:r w:rsidR="001F0AA7" w:rsidRPr="001F0AA7">
        <w:rPr>
          <w:rFonts w:ascii="Calibri" w:hAnsi="Calibri"/>
          <w:szCs w:val="20"/>
          <w:lang w:eastAsia="en-US"/>
        </w:rPr>
        <w:t xml:space="preserve"> the opportunity to compare the initiatives developed at the regional level during the preparatory process and to integrate them into worldwide development efforts and plans. It attracted over 1360 participants, including over 1010 government delegates from 134 Member States and 2 representatives from Palestine.</w:t>
      </w:r>
      <w:r w:rsidR="001F0AA7">
        <w:rPr>
          <w:rFonts w:ascii="Calibri" w:hAnsi="Calibri"/>
          <w:szCs w:val="20"/>
          <w:lang w:eastAsia="en-US"/>
        </w:rPr>
        <w:t xml:space="preserve"> The </w:t>
      </w:r>
      <w:r>
        <w:rPr>
          <w:rFonts w:ascii="Calibri" w:hAnsi="Calibri"/>
          <w:szCs w:val="20"/>
          <w:lang w:eastAsia="en-US"/>
        </w:rPr>
        <w:t>C</w:t>
      </w:r>
      <w:r w:rsidR="001F0AA7">
        <w:rPr>
          <w:rFonts w:ascii="Calibri" w:hAnsi="Calibri"/>
          <w:szCs w:val="20"/>
          <w:lang w:eastAsia="en-US"/>
        </w:rPr>
        <w:t xml:space="preserve">onference </w:t>
      </w:r>
      <w:r w:rsidR="001F0AA7" w:rsidRPr="001F0AA7">
        <w:rPr>
          <w:rFonts w:ascii="Calibri" w:hAnsi="Calibri"/>
          <w:szCs w:val="20"/>
          <w:lang w:eastAsia="en-US"/>
        </w:rPr>
        <w:t xml:space="preserve">endorsed a strategic plan which will guide the BDT in </w:t>
      </w:r>
      <w:r w:rsidR="001F0AA7">
        <w:rPr>
          <w:rFonts w:ascii="Calibri" w:hAnsi="Calibri"/>
          <w:szCs w:val="20"/>
          <w:lang w:eastAsia="en-US"/>
        </w:rPr>
        <w:t>its</w:t>
      </w:r>
      <w:r w:rsidR="001F0AA7" w:rsidRPr="001F0AA7">
        <w:rPr>
          <w:rFonts w:ascii="Calibri" w:hAnsi="Calibri"/>
          <w:szCs w:val="20"/>
          <w:lang w:eastAsia="en-US"/>
        </w:rPr>
        <w:t xml:space="preserve"> work</w:t>
      </w:r>
      <w:r w:rsidR="001F0AA7">
        <w:rPr>
          <w:rFonts w:ascii="Calibri" w:hAnsi="Calibri"/>
          <w:szCs w:val="20"/>
          <w:lang w:eastAsia="en-US"/>
        </w:rPr>
        <w:t xml:space="preserve"> for 2020-2023</w:t>
      </w:r>
      <w:r w:rsidR="001F0AA7" w:rsidRPr="001F0AA7">
        <w:rPr>
          <w:rFonts w:ascii="Calibri" w:hAnsi="Calibri"/>
          <w:szCs w:val="20"/>
          <w:lang w:eastAsia="en-US"/>
        </w:rPr>
        <w:t xml:space="preserve">. Five regional initiatives per region were also adopted </w:t>
      </w:r>
      <w:r>
        <w:rPr>
          <w:rFonts w:ascii="Calibri" w:hAnsi="Calibri"/>
          <w:szCs w:val="20"/>
          <w:lang w:eastAsia="en-US"/>
        </w:rPr>
        <w:t xml:space="preserve">and </w:t>
      </w:r>
      <w:r w:rsidR="001F0AA7" w:rsidRPr="001F0AA7">
        <w:rPr>
          <w:rFonts w:ascii="Calibri" w:hAnsi="Calibri"/>
          <w:szCs w:val="20"/>
          <w:lang w:eastAsia="en-US"/>
        </w:rPr>
        <w:t xml:space="preserve">will be </w:t>
      </w:r>
      <w:r w:rsidR="001F0AA7">
        <w:rPr>
          <w:rFonts w:ascii="Calibri" w:hAnsi="Calibri"/>
          <w:szCs w:val="20"/>
          <w:lang w:eastAsia="en-US"/>
        </w:rPr>
        <w:t>trans</w:t>
      </w:r>
      <w:r>
        <w:rPr>
          <w:rFonts w:ascii="Calibri" w:hAnsi="Calibri"/>
          <w:szCs w:val="20"/>
          <w:lang w:eastAsia="en-US"/>
        </w:rPr>
        <w:t xml:space="preserve">formed </w:t>
      </w:r>
      <w:r w:rsidR="001F0AA7" w:rsidRPr="001F0AA7">
        <w:rPr>
          <w:rFonts w:ascii="Calibri" w:hAnsi="Calibri"/>
          <w:szCs w:val="20"/>
          <w:lang w:eastAsia="en-US"/>
        </w:rPr>
        <w:t>into concrete projects, 13 side events have been organized on themes related to ICT for SDGs, and the 25th anniversary of the ITU Telecommunication Development Sector (ITU–D) w</w:t>
      </w:r>
      <w:r>
        <w:rPr>
          <w:rFonts w:ascii="Calibri" w:hAnsi="Calibri"/>
          <w:szCs w:val="20"/>
          <w:lang w:eastAsia="en-US"/>
        </w:rPr>
        <w:t>as</w:t>
      </w:r>
      <w:r w:rsidR="001F0AA7" w:rsidRPr="001F0AA7">
        <w:rPr>
          <w:rFonts w:ascii="Calibri" w:hAnsi="Calibri"/>
          <w:szCs w:val="20"/>
          <w:lang w:eastAsia="en-US"/>
        </w:rPr>
        <w:t xml:space="preserve"> celebrated.</w:t>
      </w:r>
    </w:p>
    <w:p w:rsidR="001F5D3E" w:rsidRPr="00BD46C5" w:rsidRDefault="001F5D3E" w:rsidP="00373677">
      <w:pPr>
        <w:tabs>
          <w:tab w:val="left" w:pos="851"/>
        </w:tabs>
        <w:snapToGrid w:val="0"/>
        <w:spacing w:before="0"/>
        <w:rPr>
          <w:lang w:val="en-US"/>
        </w:rPr>
      </w:pPr>
    </w:p>
    <w:p w:rsidR="00AE0341" w:rsidRDefault="00AE0341" w:rsidP="00373677">
      <w:pPr>
        <w:pStyle w:val="ListParagraph"/>
        <w:numPr>
          <w:ilvl w:val="0"/>
          <w:numId w:val="6"/>
        </w:numPr>
        <w:tabs>
          <w:tab w:val="left" w:pos="851"/>
        </w:tabs>
        <w:adjustRightInd w:val="0"/>
        <w:snapToGrid w:val="0"/>
        <w:ind w:left="0" w:firstLine="0"/>
        <w:contextualSpacing w:val="0"/>
        <w:jc w:val="both"/>
        <w:rPr>
          <w:rFonts w:ascii="Calibri" w:eastAsia="Times New Roman" w:hAnsi="Calibri"/>
          <w:szCs w:val="20"/>
          <w:lang w:eastAsia="en-US"/>
        </w:rPr>
      </w:pPr>
      <w:r w:rsidRPr="00ED1CDA">
        <w:rPr>
          <w:rFonts w:ascii="Calibri" w:eastAsia="Times New Roman" w:hAnsi="Calibri"/>
          <w:szCs w:val="20"/>
          <w:lang w:eastAsia="en-US"/>
        </w:rPr>
        <w:t>These achievements and implementations have been possible thanks to consistent and optimum management of the Union’s financial resources.</w:t>
      </w:r>
    </w:p>
    <w:p w:rsidR="00985154" w:rsidRPr="00BD321E" w:rsidRDefault="00985154" w:rsidP="00373677">
      <w:pPr>
        <w:tabs>
          <w:tab w:val="left" w:pos="851"/>
        </w:tabs>
        <w:snapToGrid w:val="0"/>
        <w:spacing w:before="0"/>
      </w:pPr>
    </w:p>
    <w:p w:rsidR="00985154" w:rsidRPr="00D37833" w:rsidRDefault="00985154" w:rsidP="00373677">
      <w:pPr>
        <w:pStyle w:val="ListParagraph"/>
        <w:numPr>
          <w:ilvl w:val="0"/>
          <w:numId w:val="6"/>
        </w:numPr>
        <w:tabs>
          <w:tab w:val="left" w:pos="851"/>
        </w:tabs>
        <w:adjustRightInd w:val="0"/>
        <w:snapToGrid w:val="0"/>
        <w:ind w:left="0" w:firstLine="0"/>
        <w:contextualSpacing w:val="0"/>
        <w:jc w:val="both"/>
        <w:rPr>
          <w:rFonts w:ascii="Calibri" w:eastAsia="Times New Roman" w:hAnsi="Calibri"/>
          <w:szCs w:val="20"/>
          <w:lang w:eastAsia="en-US"/>
        </w:rPr>
      </w:pPr>
      <w:r w:rsidRPr="00D37833">
        <w:rPr>
          <w:rFonts w:ascii="Calibri" w:eastAsia="Times New Roman" w:hAnsi="Calibri"/>
          <w:szCs w:val="20"/>
          <w:lang w:eastAsia="en-US"/>
        </w:rPr>
        <w:t>During 201</w:t>
      </w:r>
      <w:r w:rsidR="000C7AEF">
        <w:rPr>
          <w:rFonts w:ascii="Calibri" w:eastAsia="Times New Roman" w:hAnsi="Calibri"/>
          <w:szCs w:val="20"/>
          <w:lang w:eastAsia="en-US"/>
        </w:rPr>
        <w:t>7</w:t>
      </w:r>
      <w:r w:rsidRPr="00D37833">
        <w:rPr>
          <w:rFonts w:ascii="Calibri" w:eastAsia="Times New Roman" w:hAnsi="Calibri"/>
          <w:szCs w:val="20"/>
          <w:lang w:eastAsia="en-US"/>
        </w:rPr>
        <w:t xml:space="preserve">, the Union continued its coordinated process improvements and cost saving efforts as requested </w:t>
      </w:r>
      <w:r w:rsidR="00BD321E">
        <w:rPr>
          <w:rFonts w:ascii="Calibri" w:eastAsia="Times New Roman" w:hAnsi="Calibri"/>
          <w:szCs w:val="20"/>
          <w:lang w:eastAsia="en-US"/>
        </w:rPr>
        <w:t xml:space="preserve">by </w:t>
      </w:r>
      <w:r w:rsidRPr="00D37833">
        <w:rPr>
          <w:rFonts w:ascii="Calibri" w:eastAsia="Times New Roman" w:hAnsi="Calibri"/>
          <w:szCs w:val="20"/>
          <w:lang w:eastAsia="en-US"/>
        </w:rPr>
        <w:t xml:space="preserve">Decision </w:t>
      </w:r>
      <w:r w:rsidR="00BD321E">
        <w:rPr>
          <w:rFonts w:ascii="Calibri" w:eastAsia="Times New Roman" w:hAnsi="Calibri"/>
          <w:szCs w:val="20"/>
          <w:lang w:eastAsia="en-US"/>
        </w:rPr>
        <w:t xml:space="preserve">5, Annex 2 </w:t>
      </w:r>
      <w:r w:rsidRPr="00D37833">
        <w:rPr>
          <w:rFonts w:ascii="Calibri" w:eastAsia="Times New Roman" w:hAnsi="Calibri"/>
          <w:szCs w:val="20"/>
          <w:lang w:eastAsia="en-US"/>
        </w:rPr>
        <w:t>(Rev. Busan, 2014).</w:t>
      </w:r>
    </w:p>
    <w:p w:rsidR="00985154" w:rsidRPr="00BD321E" w:rsidRDefault="00985154" w:rsidP="00373677">
      <w:pPr>
        <w:tabs>
          <w:tab w:val="left" w:pos="851"/>
        </w:tabs>
        <w:snapToGrid w:val="0"/>
        <w:spacing w:before="0"/>
        <w:rPr>
          <w:lang w:val="en-US"/>
        </w:rPr>
      </w:pPr>
    </w:p>
    <w:p w:rsidR="00985154" w:rsidRDefault="00985154" w:rsidP="00373677">
      <w:pPr>
        <w:pStyle w:val="ListParagraph"/>
        <w:numPr>
          <w:ilvl w:val="0"/>
          <w:numId w:val="6"/>
        </w:numPr>
        <w:tabs>
          <w:tab w:val="left" w:pos="851"/>
        </w:tabs>
        <w:adjustRightInd w:val="0"/>
        <w:snapToGrid w:val="0"/>
        <w:ind w:left="0" w:firstLine="0"/>
        <w:contextualSpacing w:val="0"/>
        <w:jc w:val="both"/>
        <w:rPr>
          <w:rFonts w:ascii="Calibri" w:eastAsia="Times New Roman" w:hAnsi="Calibri"/>
          <w:szCs w:val="20"/>
          <w:lang w:eastAsia="en-US"/>
        </w:rPr>
      </w:pPr>
      <w:r w:rsidRPr="00ED1CDA">
        <w:rPr>
          <w:rFonts w:ascii="Calibri" w:eastAsia="Times New Roman" w:hAnsi="Calibri"/>
          <w:szCs w:val="20"/>
          <w:lang w:eastAsia="en-US"/>
        </w:rPr>
        <w:t>ITU is an active participant in the United Nations Jointly Financed Activities. Recent initiatives have resulted in cost reductions for participating entities, i.e. lower costs for electricity, office supplies, fuel and postal services, and negotiated prices with airline companies</w:t>
      </w:r>
      <w:r>
        <w:rPr>
          <w:rFonts w:ascii="Calibri" w:eastAsia="Times New Roman" w:hAnsi="Calibri"/>
          <w:szCs w:val="20"/>
          <w:lang w:eastAsia="en-US"/>
        </w:rPr>
        <w:t>.</w:t>
      </w:r>
    </w:p>
    <w:p w:rsidR="00AE0341" w:rsidRPr="008F5DD6" w:rsidRDefault="00AE0341" w:rsidP="00373677">
      <w:pPr>
        <w:tabs>
          <w:tab w:val="left" w:pos="851"/>
        </w:tabs>
        <w:snapToGrid w:val="0"/>
        <w:spacing w:before="0"/>
        <w:jc w:val="both"/>
      </w:pPr>
    </w:p>
    <w:p w:rsidR="00985154" w:rsidRPr="00AD540D" w:rsidRDefault="00985154" w:rsidP="00BD46C5">
      <w:pPr>
        <w:pStyle w:val="Headingb"/>
        <w:snapToGrid w:val="0"/>
        <w:spacing w:before="0"/>
        <w:jc w:val="both"/>
        <w:rPr>
          <w:spacing w:val="-6"/>
          <w:w w:val="105"/>
          <w:lang w:val="en-US"/>
        </w:rPr>
      </w:pPr>
      <w:r w:rsidRPr="00D37833">
        <w:rPr>
          <w:w w:val="105"/>
          <w:lang w:val="en-US"/>
        </w:rPr>
        <w:t xml:space="preserve">Financial </w:t>
      </w:r>
      <w:r w:rsidR="00BD46C5">
        <w:rPr>
          <w:w w:val="105"/>
          <w:lang w:val="en-US"/>
        </w:rPr>
        <w:t>o</w:t>
      </w:r>
      <w:r w:rsidRPr="00D37833">
        <w:rPr>
          <w:w w:val="105"/>
          <w:lang w:val="en-US"/>
        </w:rPr>
        <w:t>perating report highlights</w:t>
      </w:r>
    </w:p>
    <w:p w:rsidR="00985154" w:rsidRPr="008F5DD6" w:rsidRDefault="00985154" w:rsidP="00373677">
      <w:pPr>
        <w:snapToGrid w:val="0"/>
        <w:spacing w:before="0"/>
        <w:jc w:val="both"/>
      </w:pPr>
    </w:p>
    <w:p w:rsidR="00985154" w:rsidRDefault="00985154" w:rsidP="00373677">
      <w:pPr>
        <w:pStyle w:val="ListParagraph"/>
        <w:numPr>
          <w:ilvl w:val="0"/>
          <w:numId w:val="6"/>
        </w:numPr>
        <w:tabs>
          <w:tab w:val="left" w:pos="851"/>
        </w:tabs>
        <w:adjustRightInd w:val="0"/>
        <w:snapToGrid w:val="0"/>
        <w:ind w:left="0" w:firstLine="0"/>
        <w:contextualSpacing w:val="0"/>
        <w:jc w:val="both"/>
        <w:rPr>
          <w:rFonts w:ascii="Calibri" w:eastAsia="Times New Roman" w:hAnsi="Calibri"/>
          <w:szCs w:val="20"/>
          <w:lang w:eastAsia="en-US"/>
        </w:rPr>
      </w:pPr>
      <w:r w:rsidRPr="00D37833">
        <w:rPr>
          <w:rFonts w:ascii="Calibri" w:eastAsia="Times New Roman" w:hAnsi="Calibri"/>
          <w:szCs w:val="20"/>
          <w:lang w:eastAsia="en-US"/>
        </w:rPr>
        <w:t>The Union’s accounts are kept in Swiss francs. The financial statements presented include the Extra-budgetary activities of the Union.</w:t>
      </w:r>
    </w:p>
    <w:p w:rsidR="00985154" w:rsidRPr="00D37833" w:rsidRDefault="00985154" w:rsidP="00373677">
      <w:pPr>
        <w:pStyle w:val="ListParagraph"/>
        <w:tabs>
          <w:tab w:val="left" w:pos="851"/>
        </w:tabs>
        <w:adjustRightInd w:val="0"/>
        <w:snapToGrid w:val="0"/>
        <w:ind w:left="0"/>
        <w:contextualSpacing w:val="0"/>
        <w:jc w:val="both"/>
        <w:rPr>
          <w:rFonts w:ascii="Calibri" w:eastAsia="Times New Roman" w:hAnsi="Calibri"/>
          <w:szCs w:val="20"/>
          <w:lang w:eastAsia="en-US"/>
        </w:rPr>
      </w:pPr>
    </w:p>
    <w:p w:rsidR="001427DD" w:rsidRPr="001427DD" w:rsidRDefault="00985154" w:rsidP="00373677">
      <w:pPr>
        <w:pStyle w:val="ListParagraph"/>
        <w:numPr>
          <w:ilvl w:val="0"/>
          <w:numId w:val="6"/>
        </w:numPr>
        <w:tabs>
          <w:tab w:val="left" w:pos="851"/>
        </w:tabs>
        <w:adjustRightInd w:val="0"/>
        <w:snapToGrid w:val="0"/>
        <w:ind w:left="0" w:firstLine="0"/>
        <w:contextualSpacing w:val="0"/>
        <w:jc w:val="both"/>
        <w:rPr>
          <w:rFonts w:ascii="Calibri" w:eastAsia="Times New Roman" w:hAnsi="Calibri"/>
          <w:szCs w:val="20"/>
          <w:lang w:eastAsia="en-US"/>
        </w:rPr>
      </w:pPr>
      <w:r w:rsidRPr="00BE797B">
        <w:rPr>
          <w:rFonts w:ascii="Calibri" w:eastAsia="Times New Roman" w:hAnsi="Calibri"/>
          <w:szCs w:val="20"/>
          <w:lang w:eastAsia="en-US"/>
        </w:rPr>
        <w:t>The table below summarizes the financial situation of the ITU in 201</w:t>
      </w:r>
      <w:r w:rsidR="000C7AEF">
        <w:rPr>
          <w:rFonts w:ascii="Calibri" w:eastAsia="Times New Roman" w:hAnsi="Calibri"/>
          <w:szCs w:val="20"/>
          <w:lang w:eastAsia="en-US"/>
        </w:rPr>
        <w:t>7</w:t>
      </w:r>
      <w:r w:rsidRPr="00BE797B">
        <w:rPr>
          <w:rFonts w:ascii="Calibri" w:eastAsia="Times New Roman" w:hAnsi="Calibri"/>
          <w:szCs w:val="20"/>
          <w:lang w:eastAsia="en-US"/>
        </w:rPr>
        <w:t xml:space="preserve"> as compared to 201</w:t>
      </w:r>
      <w:r w:rsidR="000C7AEF">
        <w:rPr>
          <w:rFonts w:ascii="Calibri" w:eastAsia="Times New Roman" w:hAnsi="Calibri"/>
          <w:szCs w:val="20"/>
          <w:lang w:eastAsia="en-US"/>
        </w:rPr>
        <w:t>6</w:t>
      </w:r>
      <w:r w:rsidRPr="00BE797B">
        <w:rPr>
          <w:rFonts w:ascii="Calibri" w:eastAsia="Times New Roman" w:hAnsi="Calibri"/>
          <w:szCs w:val="20"/>
          <w:lang w:eastAsia="en-US"/>
        </w:rPr>
        <w:t>.</w:t>
      </w:r>
    </w:p>
    <w:p w:rsidR="009F55B6" w:rsidRPr="001427DD" w:rsidRDefault="005F14DE" w:rsidP="001427DD">
      <w:pPr>
        <w:tabs>
          <w:tab w:val="left" w:pos="851"/>
        </w:tabs>
        <w:snapToGrid w:val="0"/>
        <w:jc w:val="both"/>
        <w:rPr>
          <w:lang w:val="en-US"/>
        </w:rPr>
      </w:pPr>
      <w:r w:rsidRPr="00BE797B">
        <w:fldChar w:fldCharType="begin"/>
      </w:r>
      <w:r w:rsidRPr="00BE797B">
        <w:instrText xml:space="preserve"> LINK </w:instrText>
      </w:r>
      <w:r w:rsidR="003C548D">
        <w:instrText xml:space="preserve">Excel.Sheet.12 "C:\\COMPTA GENERALE\\BOUCLEMENT\\2016\\MAQUETTE BOUCLEMENT 2016-claire.xlsx" "Financial Highlights!R5C1:R16C4" </w:instrText>
      </w:r>
      <w:r w:rsidRPr="00BE797B">
        <w:instrText xml:space="preserve">\a \f 4 \h  \* MERGEFORMAT </w:instrText>
      </w:r>
      <w:r w:rsidRPr="00BE797B">
        <w:fldChar w:fldCharType="separate"/>
      </w:r>
    </w:p>
    <w:tbl>
      <w:tblPr>
        <w:tblW w:w="6615" w:type="dxa"/>
        <w:tblInd w:w="1841" w:type="dxa"/>
        <w:tblLook w:val="04A0" w:firstRow="1" w:lastRow="0" w:firstColumn="1" w:lastColumn="0" w:noHBand="0" w:noVBand="1"/>
      </w:tblPr>
      <w:tblGrid>
        <w:gridCol w:w="1095"/>
        <w:gridCol w:w="976"/>
        <w:gridCol w:w="2276"/>
        <w:gridCol w:w="2268"/>
      </w:tblGrid>
      <w:tr w:rsidR="009F55B6" w:rsidRPr="009F55B6" w:rsidTr="009F55B6">
        <w:trPr>
          <w:divId w:val="562253702"/>
          <w:trHeight w:val="510"/>
        </w:trPr>
        <w:tc>
          <w:tcPr>
            <w:tcW w:w="1095" w:type="dxa"/>
            <w:tcBorders>
              <w:top w:val="single" w:sz="8" w:space="0" w:color="auto"/>
              <w:left w:val="single" w:sz="8" w:space="0" w:color="auto"/>
              <w:bottom w:val="single" w:sz="8" w:space="0" w:color="auto"/>
              <w:right w:val="nil"/>
            </w:tcBorders>
            <w:shd w:val="clear" w:color="auto" w:fill="auto"/>
            <w:noWrap/>
            <w:vAlign w:val="center"/>
            <w:hideMark/>
          </w:tcPr>
          <w:p w:rsidR="009F55B6" w:rsidRPr="009F55B6" w:rsidRDefault="009F55B6" w:rsidP="009F55B6">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0"/>
                <w:lang w:val="en-US" w:eastAsia="zh-CN"/>
              </w:rPr>
            </w:pPr>
            <w:r w:rsidRPr="009F55B6">
              <w:rPr>
                <w:rFonts w:cs="Arial"/>
                <w:b/>
                <w:bCs/>
                <w:color w:val="000000"/>
                <w:sz w:val="20"/>
                <w:lang w:val="en-US" w:eastAsia="zh-CN"/>
              </w:rPr>
              <w:t>KCHF</w:t>
            </w:r>
          </w:p>
        </w:tc>
        <w:tc>
          <w:tcPr>
            <w:tcW w:w="976" w:type="dxa"/>
            <w:tcBorders>
              <w:top w:val="single" w:sz="8" w:space="0" w:color="auto"/>
              <w:left w:val="nil"/>
              <w:bottom w:val="single" w:sz="8" w:space="0" w:color="auto"/>
              <w:right w:val="nil"/>
            </w:tcBorders>
            <w:shd w:val="clear" w:color="auto" w:fill="auto"/>
            <w:noWrap/>
            <w:vAlign w:val="center"/>
            <w:hideMark/>
          </w:tcPr>
          <w:p w:rsidR="009F55B6" w:rsidRPr="009F55B6" w:rsidRDefault="009F55B6" w:rsidP="009F55B6">
            <w:pPr>
              <w:tabs>
                <w:tab w:val="clear" w:pos="567"/>
                <w:tab w:val="clear" w:pos="1134"/>
                <w:tab w:val="clear" w:pos="1701"/>
                <w:tab w:val="clear" w:pos="2268"/>
                <w:tab w:val="clear" w:pos="2835"/>
              </w:tabs>
              <w:overflowPunct/>
              <w:autoSpaceDE/>
              <w:autoSpaceDN/>
              <w:adjustRightInd/>
              <w:spacing w:before="0"/>
              <w:jc w:val="center"/>
              <w:textAlignment w:val="auto"/>
              <w:rPr>
                <w:rFonts w:cs="Arial"/>
                <w:color w:val="000000"/>
                <w:sz w:val="20"/>
                <w:lang w:val="en-US" w:eastAsia="zh-CN"/>
              </w:rPr>
            </w:pPr>
            <w:r w:rsidRPr="009F55B6">
              <w:rPr>
                <w:rFonts w:cs="Arial"/>
                <w:color w:val="000000"/>
                <w:sz w:val="20"/>
                <w:lang w:val="en-US" w:eastAsia="zh-CN"/>
              </w:rPr>
              <w:t> </w:t>
            </w:r>
          </w:p>
        </w:tc>
        <w:tc>
          <w:tcPr>
            <w:tcW w:w="2276" w:type="dxa"/>
            <w:tcBorders>
              <w:top w:val="single" w:sz="8" w:space="0" w:color="auto"/>
              <w:left w:val="nil"/>
              <w:bottom w:val="single" w:sz="8" w:space="0" w:color="auto"/>
              <w:right w:val="nil"/>
            </w:tcBorders>
            <w:shd w:val="clear" w:color="auto" w:fill="auto"/>
            <w:noWrap/>
            <w:vAlign w:val="center"/>
            <w:hideMark/>
          </w:tcPr>
          <w:p w:rsidR="009F55B6" w:rsidRPr="009F55B6" w:rsidRDefault="009F55B6" w:rsidP="001427D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9F55B6">
              <w:rPr>
                <w:rFonts w:cs="Arial"/>
                <w:b/>
                <w:bCs/>
                <w:color w:val="000000"/>
                <w:sz w:val="20"/>
                <w:lang w:val="en-US" w:eastAsia="zh-CN"/>
              </w:rPr>
              <w:t>201</w:t>
            </w:r>
            <w:r w:rsidR="001427DD">
              <w:rPr>
                <w:rFonts w:cs="Arial"/>
                <w:b/>
                <w:bCs/>
                <w:color w:val="000000"/>
                <w:sz w:val="20"/>
                <w:lang w:val="en-US" w:eastAsia="zh-CN"/>
              </w:rPr>
              <w:t>7</w:t>
            </w:r>
          </w:p>
        </w:tc>
        <w:tc>
          <w:tcPr>
            <w:tcW w:w="2268" w:type="dxa"/>
            <w:tcBorders>
              <w:top w:val="single" w:sz="8" w:space="0" w:color="auto"/>
              <w:left w:val="nil"/>
              <w:bottom w:val="single" w:sz="8" w:space="0" w:color="auto"/>
              <w:right w:val="single" w:sz="8" w:space="0" w:color="auto"/>
            </w:tcBorders>
            <w:shd w:val="clear" w:color="auto" w:fill="auto"/>
            <w:noWrap/>
            <w:vAlign w:val="center"/>
            <w:hideMark/>
          </w:tcPr>
          <w:p w:rsidR="009F55B6" w:rsidRPr="009F55B6" w:rsidRDefault="009F55B6" w:rsidP="001427D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9F55B6">
              <w:rPr>
                <w:rFonts w:cs="Arial"/>
                <w:b/>
                <w:bCs/>
                <w:color w:val="000000"/>
                <w:sz w:val="20"/>
                <w:lang w:val="en-US" w:eastAsia="zh-CN"/>
              </w:rPr>
              <w:t>201</w:t>
            </w:r>
            <w:r w:rsidR="001427DD">
              <w:rPr>
                <w:rFonts w:cs="Arial"/>
                <w:b/>
                <w:bCs/>
                <w:color w:val="000000"/>
                <w:sz w:val="20"/>
                <w:lang w:val="en-US" w:eastAsia="zh-CN"/>
              </w:rPr>
              <w:t>6</w:t>
            </w:r>
          </w:p>
        </w:tc>
      </w:tr>
      <w:tr w:rsidR="00F214B8" w:rsidRPr="009F55B6" w:rsidTr="009F55B6">
        <w:trPr>
          <w:divId w:val="562253702"/>
          <w:trHeight w:val="255"/>
        </w:trPr>
        <w:tc>
          <w:tcPr>
            <w:tcW w:w="1095" w:type="dxa"/>
            <w:tcBorders>
              <w:top w:val="nil"/>
              <w:left w:val="single" w:sz="8" w:space="0" w:color="auto"/>
              <w:bottom w:val="nil"/>
              <w:right w:val="nil"/>
            </w:tcBorders>
            <w:shd w:val="clear" w:color="auto" w:fill="auto"/>
            <w:noWrap/>
            <w:vAlign w:val="bottom"/>
            <w:hideMark/>
          </w:tcPr>
          <w:p w:rsidR="00F214B8" w:rsidRPr="009F55B6" w:rsidRDefault="00F214B8" w:rsidP="00F214B8">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9F55B6">
              <w:rPr>
                <w:rFonts w:cs="Arial"/>
                <w:color w:val="000000"/>
                <w:sz w:val="20"/>
                <w:lang w:val="en-US" w:eastAsia="zh-CN"/>
              </w:rPr>
              <w:t>Revenue</w:t>
            </w:r>
          </w:p>
        </w:tc>
        <w:tc>
          <w:tcPr>
            <w:tcW w:w="976" w:type="dxa"/>
            <w:tcBorders>
              <w:top w:val="nil"/>
              <w:left w:val="nil"/>
              <w:bottom w:val="nil"/>
              <w:right w:val="nil"/>
            </w:tcBorders>
            <w:shd w:val="clear" w:color="auto" w:fill="auto"/>
            <w:noWrap/>
            <w:vAlign w:val="bottom"/>
            <w:hideMark/>
          </w:tcPr>
          <w:p w:rsidR="00F214B8" w:rsidRPr="009F55B6" w:rsidRDefault="00F214B8" w:rsidP="00F214B8">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p>
        </w:tc>
        <w:tc>
          <w:tcPr>
            <w:tcW w:w="2276" w:type="dxa"/>
            <w:tcBorders>
              <w:top w:val="nil"/>
              <w:left w:val="nil"/>
              <w:bottom w:val="nil"/>
              <w:right w:val="nil"/>
            </w:tcBorders>
            <w:shd w:val="clear" w:color="auto" w:fill="auto"/>
            <w:noWrap/>
            <w:vAlign w:val="bottom"/>
            <w:hideMark/>
          </w:tcPr>
          <w:p w:rsidR="00F214B8" w:rsidRPr="00F214B8" w:rsidRDefault="00F214B8" w:rsidP="00F214B8">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F214B8">
              <w:rPr>
                <w:rFonts w:cs="Arial"/>
                <w:color w:val="000000"/>
                <w:sz w:val="20"/>
                <w:lang w:val="en-US" w:eastAsia="zh-CN"/>
              </w:rPr>
              <w:t>178,537</w:t>
            </w:r>
          </w:p>
        </w:tc>
        <w:tc>
          <w:tcPr>
            <w:tcW w:w="2268" w:type="dxa"/>
            <w:tcBorders>
              <w:top w:val="nil"/>
              <w:left w:val="nil"/>
              <w:bottom w:val="nil"/>
              <w:right w:val="single" w:sz="8" w:space="0" w:color="auto"/>
            </w:tcBorders>
            <w:shd w:val="clear" w:color="auto" w:fill="auto"/>
            <w:noWrap/>
            <w:vAlign w:val="bottom"/>
            <w:hideMark/>
          </w:tcPr>
          <w:p w:rsidR="00F214B8" w:rsidRPr="009F55B6" w:rsidRDefault="00F214B8" w:rsidP="00F214B8">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9F55B6">
              <w:rPr>
                <w:rFonts w:cs="Arial"/>
                <w:color w:val="000000"/>
                <w:sz w:val="20"/>
                <w:lang w:val="en-US" w:eastAsia="zh-CN"/>
              </w:rPr>
              <w:t>176,502</w:t>
            </w:r>
          </w:p>
        </w:tc>
      </w:tr>
      <w:tr w:rsidR="00F214B8" w:rsidRPr="009F55B6" w:rsidTr="009F55B6">
        <w:trPr>
          <w:divId w:val="562253702"/>
          <w:trHeight w:val="255"/>
        </w:trPr>
        <w:tc>
          <w:tcPr>
            <w:tcW w:w="1095" w:type="dxa"/>
            <w:tcBorders>
              <w:top w:val="nil"/>
              <w:left w:val="single" w:sz="8" w:space="0" w:color="auto"/>
              <w:bottom w:val="nil"/>
              <w:right w:val="nil"/>
            </w:tcBorders>
            <w:shd w:val="clear" w:color="auto" w:fill="auto"/>
            <w:noWrap/>
            <w:vAlign w:val="bottom"/>
            <w:hideMark/>
          </w:tcPr>
          <w:p w:rsidR="00F214B8" w:rsidRPr="009F55B6" w:rsidRDefault="00F214B8" w:rsidP="00F214B8">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9F55B6">
              <w:rPr>
                <w:rFonts w:cs="Arial"/>
                <w:color w:val="000000"/>
                <w:sz w:val="20"/>
                <w:lang w:val="en-US" w:eastAsia="zh-CN"/>
              </w:rPr>
              <w:t>Expenses</w:t>
            </w:r>
          </w:p>
        </w:tc>
        <w:tc>
          <w:tcPr>
            <w:tcW w:w="976" w:type="dxa"/>
            <w:tcBorders>
              <w:top w:val="nil"/>
              <w:left w:val="nil"/>
              <w:bottom w:val="nil"/>
              <w:right w:val="nil"/>
            </w:tcBorders>
            <w:shd w:val="clear" w:color="auto" w:fill="auto"/>
            <w:noWrap/>
            <w:vAlign w:val="bottom"/>
            <w:hideMark/>
          </w:tcPr>
          <w:p w:rsidR="00F214B8" w:rsidRPr="009F55B6" w:rsidRDefault="00F214B8" w:rsidP="00F214B8">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p>
        </w:tc>
        <w:tc>
          <w:tcPr>
            <w:tcW w:w="2276" w:type="dxa"/>
            <w:tcBorders>
              <w:top w:val="nil"/>
              <w:left w:val="nil"/>
              <w:bottom w:val="nil"/>
              <w:right w:val="nil"/>
            </w:tcBorders>
            <w:shd w:val="clear" w:color="auto" w:fill="auto"/>
            <w:noWrap/>
            <w:vAlign w:val="bottom"/>
            <w:hideMark/>
          </w:tcPr>
          <w:p w:rsidR="00F214B8" w:rsidRPr="00F214B8" w:rsidRDefault="00F214B8" w:rsidP="00F214B8">
            <w:pPr>
              <w:jc w:val="right"/>
              <w:rPr>
                <w:rFonts w:cs="Arial"/>
                <w:color w:val="000000"/>
                <w:sz w:val="20"/>
                <w:lang w:val="en-US" w:eastAsia="zh-CN"/>
              </w:rPr>
            </w:pPr>
            <w:r w:rsidRPr="00F214B8">
              <w:rPr>
                <w:rFonts w:cs="Arial"/>
                <w:color w:val="000000"/>
                <w:sz w:val="20"/>
                <w:lang w:val="en-US" w:eastAsia="zh-CN"/>
              </w:rPr>
              <w:t>195,615</w:t>
            </w:r>
          </w:p>
        </w:tc>
        <w:tc>
          <w:tcPr>
            <w:tcW w:w="2268" w:type="dxa"/>
            <w:tcBorders>
              <w:top w:val="nil"/>
              <w:left w:val="nil"/>
              <w:bottom w:val="nil"/>
              <w:right w:val="single" w:sz="8" w:space="0" w:color="auto"/>
            </w:tcBorders>
            <w:shd w:val="clear" w:color="auto" w:fill="auto"/>
            <w:noWrap/>
            <w:vAlign w:val="bottom"/>
            <w:hideMark/>
          </w:tcPr>
          <w:p w:rsidR="00F214B8" w:rsidRPr="009F55B6" w:rsidRDefault="00F214B8" w:rsidP="00F214B8">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9F55B6">
              <w:rPr>
                <w:rFonts w:cs="Arial"/>
                <w:color w:val="000000"/>
                <w:sz w:val="20"/>
                <w:lang w:val="en-US" w:eastAsia="zh-CN"/>
              </w:rPr>
              <w:t>188,195</w:t>
            </w:r>
          </w:p>
        </w:tc>
      </w:tr>
      <w:tr w:rsidR="009F55B6" w:rsidRPr="009F55B6" w:rsidTr="009F55B6">
        <w:trPr>
          <w:divId w:val="562253702"/>
          <w:trHeight w:val="270"/>
        </w:trPr>
        <w:tc>
          <w:tcPr>
            <w:tcW w:w="2071" w:type="dxa"/>
            <w:gridSpan w:val="2"/>
            <w:tcBorders>
              <w:top w:val="single" w:sz="8" w:space="0" w:color="auto"/>
              <w:left w:val="single" w:sz="8" w:space="0" w:color="auto"/>
              <w:bottom w:val="single" w:sz="8" w:space="0" w:color="auto"/>
              <w:right w:val="nil"/>
            </w:tcBorders>
            <w:shd w:val="clear" w:color="auto" w:fill="auto"/>
            <w:noWrap/>
            <w:vAlign w:val="bottom"/>
            <w:hideMark/>
          </w:tcPr>
          <w:p w:rsidR="009F55B6" w:rsidRPr="009F55B6" w:rsidRDefault="009F55B6" w:rsidP="009F55B6">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9F55B6">
              <w:rPr>
                <w:rFonts w:cs="Arial"/>
                <w:b/>
                <w:bCs/>
                <w:color w:val="000000"/>
                <w:sz w:val="20"/>
                <w:lang w:val="en-US" w:eastAsia="zh-CN"/>
              </w:rPr>
              <w:t>Surplus (Deficit)</w:t>
            </w:r>
          </w:p>
        </w:tc>
        <w:tc>
          <w:tcPr>
            <w:tcW w:w="2276" w:type="dxa"/>
            <w:tcBorders>
              <w:top w:val="single" w:sz="8" w:space="0" w:color="auto"/>
              <w:left w:val="nil"/>
              <w:bottom w:val="single" w:sz="8" w:space="0" w:color="auto"/>
              <w:right w:val="nil"/>
            </w:tcBorders>
            <w:shd w:val="clear" w:color="auto" w:fill="auto"/>
            <w:noWrap/>
            <w:vAlign w:val="bottom"/>
            <w:hideMark/>
          </w:tcPr>
          <w:p w:rsidR="009F55B6" w:rsidRPr="009F55B6" w:rsidRDefault="009F55B6" w:rsidP="00F214B8">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9F55B6">
              <w:rPr>
                <w:rFonts w:cs="Arial"/>
                <w:b/>
                <w:bCs/>
                <w:color w:val="000000"/>
                <w:sz w:val="20"/>
                <w:lang w:val="en-US" w:eastAsia="zh-CN"/>
              </w:rPr>
              <w:t>-1</w:t>
            </w:r>
            <w:r w:rsidR="00F214B8">
              <w:rPr>
                <w:rFonts w:cs="Arial"/>
                <w:b/>
                <w:bCs/>
                <w:color w:val="000000"/>
                <w:sz w:val="20"/>
                <w:lang w:val="en-US" w:eastAsia="zh-CN"/>
              </w:rPr>
              <w:t>7</w:t>
            </w:r>
            <w:r w:rsidRPr="009F55B6">
              <w:rPr>
                <w:rFonts w:cs="Arial"/>
                <w:b/>
                <w:bCs/>
                <w:color w:val="000000"/>
                <w:sz w:val="20"/>
                <w:lang w:val="en-US" w:eastAsia="zh-CN"/>
              </w:rPr>
              <w:t>,</w:t>
            </w:r>
            <w:r w:rsidR="00F214B8">
              <w:rPr>
                <w:rFonts w:cs="Arial"/>
                <w:b/>
                <w:bCs/>
                <w:color w:val="000000"/>
                <w:sz w:val="20"/>
                <w:lang w:val="en-US" w:eastAsia="zh-CN"/>
              </w:rPr>
              <w:t>078</w:t>
            </w:r>
          </w:p>
        </w:tc>
        <w:tc>
          <w:tcPr>
            <w:tcW w:w="2268" w:type="dxa"/>
            <w:tcBorders>
              <w:top w:val="single" w:sz="8" w:space="0" w:color="auto"/>
              <w:left w:val="nil"/>
              <w:bottom w:val="single" w:sz="8" w:space="0" w:color="auto"/>
              <w:right w:val="single" w:sz="8" w:space="0" w:color="auto"/>
            </w:tcBorders>
            <w:shd w:val="clear" w:color="auto" w:fill="auto"/>
            <w:noWrap/>
            <w:vAlign w:val="bottom"/>
            <w:hideMark/>
          </w:tcPr>
          <w:p w:rsidR="009F55B6" w:rsidRPr="009F55B6" w:rsidRDefault="009F55B6" w:rsidP="00F214B8">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9F55B6">
              <w:rPr>
                <w:rFonts w:cs="Arial"/>
                <w:b/>
                <w:bCs/>
                <w:color w:val="000000"/>
                <w:sz w:val="20"/>
                <w:lang w:val="en-US" w:eastAsia="zh-CN"/>
              </w:rPr>
              <w:t>-1</w:t>
            </w:r>
            <w:r w:rsidR="00F214B8">
              <w:rPr>
                <w:rFonts w:cs="Arial"/>
                <w:b/>
                <w:bCs/>
                <w:color w:val="000000"/>
                <w:sz w:val="20"/>
                <w:lang w:val="en-US" w:eastAsia="zh-CN"/>
              </w:rPr>
              <w:t>1</w:t>
            </w:r>
            <w:r w:rsidRPr="009F55B6">
              <w:rPr>
                <w:rFonts w:cs="Arial"/>
                <w:b/>
                <w:bCs/>
                <w:color w:val="000000"/>
                <w:sz w:val="20"/>
                <w:lang w:val="en-US" w:eastAsia="zh-CN"/>
              </w:rPr>
              <w:t>,</w:t>
            </w:r>
            <w:r w:rsidR="00F214B8">
              <w:rPr>
                <w:rFonts w:cs="Arial"/>
                <w:b/>
                <w:bCs/>
                <w:color w:val="000000"/>
                <w:sz w:val="20"/>
                <w:lang w:val="en-US" w:eastAsia="zh-CN"/>
              </w:rPr>
              <w:t>693</w:t>
            </w:r>
          </w:p>
        </w:tc>
      </w:tr>
      <w:tr w:rsidR="00F214B8" w:rsidRPr="009F55B6" w:rsidTr="009F55B6">
        <w:trPr>
          <w:divId w:val="562253702"/>
          <w:trHeight w:val="255"/>
        </w:trPr>
        <w:tc>
          <w:tcPr>
            <w:tcW w:w="1095" w:type="dxa"/>
            <w:tcBorders>
              <w:top w:val="nil"/>
              <w:left w:val="single" w:sz="8" w:space="0" w:color="auto"/>
              <w:bottom w:val="nil"/>
              <w:right w:val="nil"/>
            </w:tcBorders>
            <w:shd w:val="clear" w:color="auto" w:fill="auto"/>
            <w:noWrap/>
            <w:vAlign w:val="bottom"/>
            <w:hideMark/>
          </w:tcPr>
          <w:p w:rsidR="00F214B8" w:rsidRPr="009F55B6" w:rsidRDefault="00F214B8" w:rsidP="00F214B8">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9F55B6">
              <w:rPr>
                <w:rFonts w:cs="Arial"/>
                <w:color w:val="000000"/>
                <w:sz w:val="20"/>
                <w:lang w:val="en-US" w:eastAsia="zh-CN"/>
              </w:rPr>
              <w:t>Asset</w:t>
            </w:r>
          </w:p>
        </w:tc>
        <w:tc>
          <w:tcPr>
            <w:tcW w:w="976" w:type="dxa"/>
            <w:tcBorders>
              <w:top w:val="nil"/>
              <w:left w:val="nil"/>
              <w:bottom w:val="nil"/>
              <w:right w:val="nil"/>
            </w:tcBorders>
            <w:shd w:val="clear" w:color="auto" w:fill="auto"/>
            <w:noWrap/>
            <w:vAlign w:val="bottom"/>
            <w:hideMark/>
          </w:tcPr>
          <w:p w:rsidR="00F214B8" w:rsidRPr="009F55B6" w:rsidRDefault="00F214B8" w:rsidP="00F214B8">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p>
        </w:tc>
        <w:tc>
          <w:tcPr>
            <w:tcW w:w="2276" w:type="dxa"/>
            <w:tcBorders>
              <w:top w:val="nil"/>
              <w:left w:val="nil"/>
              <w:bottom w:val="nil"/>
              <w:right w:val="nil"/>
            </w:tcBorders>
            <w:shd w:val="clear" w:color="auto" w:fill="auto"/>
            <w:noWrap/>
            <w:vAlign w:val="bottom"/>
            <w:hideMark/>
          </w:tcPr>
          <w:p w:rsidR="00F214B8" w:rsidRPr="00F214B8" w:rsidRDefault="00F214B8" w:rsidP="00F214B8">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F214B8">
              <w:rPr>
                <w:rFonts w:cs="Arial"/>
                <w:color w:val="000000"/>
                <w:sz w:val="20"/>
                <w:lang w:val="en-US" w:eastAsia="zh-CN"/>
              </w:rPr>
              <w:t xml:space="preserve">                       372,774 </w:t>
            </w:r>
          </w:p>
        </w:tc>
        <w:tc>
          <w:tcPr>
            <w:tcW w:w="2268" w:type="dxa"/>
            <w:tcBorders>
              <w:top w:val="nil"/>
              <w:left w:val="nil"/>
              <w:bottom w:val="nil"/>
              <w:right w:val="single" w:sz="8" w:space="0" w:color="auto"/>
            </w:tcBorders>
            <w:shd w:val="clear" w:color="auto" w:fill="auto"/>
            <w:noWrap/>
            <w:vAlign w:val="bottom"/>
            <w:hideMark/>
          </w:tcPr>
          <w:p w:rsidR="00F214B8" w:rsidRPr="009F55B6" w:rsidRDefault="00F214B8" w:rsidP="00F214B8">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9F55B6">
              <w:rPr>
                <w:rFonts w:cs="Arial"/>
                <w:color w:val="000000"/>
                <w:sz w:val="20"/>
                <w:lang w:val="en-US" w:eastAsia="zh-CN"/>
              </w:rPr>
              <w:t xml:space="preserve">                       372,976 </w:t>
            </w:r>
          </w:p>
        </w:tc>
      </w:tr>
      <w:tr w:rsidR="00F214B8" w:rsidRPr="009F55B6" w:rsidTr="009F55B6">
        <w:trPr>
          <w:divId w:val="562253702"/>
          <w:trHeight w:val="255"/>
        </w:trPr>
        <w:tc>
          <w:tcPr>
            <w:tcW w:w="1095" w:type="dxa"/>
            <w:tcBorders>
              <w:top w:val="nil"/>
              <w:left w:val="single" w:sz="8" w:space="0" w:color="auto"/>
              <w:bottom w:val="nil"/>
              <w:right w:val="nil"/>
            </w:tcBorders>
            <w:shd w:val="clear" w:color="auto" w:fill="auto"/>
            <w:noWrap/>
            <w:vAlign w:val="bottom"/>
            <w:hideMark/>
          </w:tcPr>
          <w:p w:rsidR="00F214B8" w:rsidRPr="009F55B6" w:rsidRDefault="00F214B8" w:rsidP="00F214B8">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9F55B6">
              <w:rPr>
                <w:rFonts w:cs="Arial"/>
                <w:color w:val="000000"/>
                <w:sz w:val="20"/>
                <w:lang w:val="en-US" w:eastAsia="zh-CN"/>
              </w:rPr>
              <w:t>Liabilities</w:t>
            </w:r>
          </w:p>
        </w:tc>
        <w:tc>
          <w:tcPr>
            <w:tcW w:w="976" w:type="dxa"/>
            <w:tcBorders>
              <w:top w:val="nil"/>
              <w:left w:val="nil"/>
              <w:bottom w:val="nil"/>
              <w:right w:val="nil"/>
            </w:tcBorders>
            <w:shd w:val="clear" w:color="auto" w:fill="auto"/>
            <w:noWrap/>
            <w:vAlign w:val="bottom"/>
            <w:hideMark/>
          </w:tcPr>
          <w:p w:rsidR="00F214B8" w:rsidRPr="009F55B6" w:rsidRDefault="00F214B8" w:rsidP="00F214B8">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p>
        </w:tc>
        <w:tc>
          <w:tcPr>
            <w:tcW w:w="2276" w:type="dxa"/>
            <w:tcBorders>
              <w:top w:val="nil"/>
              <w:left w:val="nil"/>
              <w:bottom w:val="nil"/>
              <w:right w:val="nil"/>
            </w:tcBorders>
            <w:shd w:val="clear" w:color="auto" w:fill="auto"/>
            <w:noWrap/>
            <w:vAlign w:val="bottom"/>
            <w:hideMark/>
          </w:tcPr>
          <w:p w:rsidR="00F214B8" w:rsidRPr="00F214B8" w:rsidRDefault="00F214B8" w:rsidP="00F214B8">
            <w:pPr>
              <w:jc w:val="right"/>
              <w:rPr>
                <w:rFonts w:cs="Arial"/>
                <w:color w:val="000000"/>
                <w:sz w:val="20"/>
                <w:lang w:val="en-US" w:eastAsia="zh-CN"/>
              </w:rPr>
            </w:pPr>
            <w:r w:rsidRPr="00F214B8">
              <w:rPr>
                <w:rFonts w:cs="Arial"/>
                <w:color w:val="000000"/>
                <w:sz w:val="20"/>
                <w:lang w:val="en-US" w:eastAsia="zh-CN"/>
              </w:rPr>
              <w:t xml:space="preserve">                       855,297 </w:t>
            </w:r>
          </w:p>
        </w:tc>
        <w:tc>
          <w:tcPr>
            <w:tcW w:w="2268" w:type="dxa"/>
            <w:tcBorders>
              <w:top w:val="nil"/>
              <w:left w:val="nil"/>
              <w:bottom w:val="nil"/>
              <w:right w:val="single" w:sz="8" w:space="0" w:color="auto"/>
            </w:tcBorders>
            <w:shd w:val="clear" w:color="auto" w:fill="auto"/>
            <w:noWrap/>
            <w:vAlign w:val="bottom"/>
            <w:hideMark/>
          </w:tcPr>
          <w:p w:rsidR="00F214B8" w:rsidRPr="009F55B6" w:rsidRDefault="00F214B8" w:rsidP="00F214B8">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9F55B6">
              <w:rPr>
                <w:rFonts w:cs="Arial"/>
                <w:color w:val="000000"/>
                <w:sz w:val="20"/>
                <w:lang w:val="en-US" w:eastAsia="zh-CN"/>
              </w:rPr>
              <w:t xml:space="preserve">                       792,131 </w:t>
            </w:r>
          </w:p>
        </w:tc>
      </w:tr>
      <w:tr w:rsidR="009F55B6" w:rsidRPr="009F55B6" w:rsidTr="009F55B6">
        <w:trPr>
          <w:divId w:val="562253702"/>
          <w:trHeight w:val="270"/>
        </w:trPr>
        <w:tc>
          <w:tcPr>
            <w:tcW w:w="2071" w:type="dxa"/>
            <w:gridSpan w:val="2"/>
            <w:tcBorders>
              <w:top w:val="single" w:sz="8" w:space="0" w:color="auto"/>
              <w:left w:val="single" w:sz="8" w:space="0" w:color="auto"/>
              <w:bottom w:val="single" w:sz="8" w:space="0" w:color="auto"/>
              <w:right w:val="nil"/>
            </w:tcBorders>
            <w:shd w:val="clear" w:color="auto" w:fill="auto"/>
            <w:noWrap/>
            <w:vAlign w:val="bottom"/>
            <w:hideMark/>
          </w:tcPr>
          <w:p w:rsidR="009F55B6" w:rsidRPr="009F55B6" w:rsidRDefault="009F55B6" w:rsidP="009F55B6">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9F55B6">
              <w:rPr>
                <w:rFonts w:cs="Arial"/>
                <w:b/>
                <w:bCs/>
                <w:color w:val="000000"/>
                <w:sz w:val="20"/>
                <w:lang w:val="en-US" w:eastAsia="zh-CN"/>
              </w:rPr>
              <w:t>Net assets</w:t>
            </w:r>
          </w:p>
        </w:tc>
        <w:tc>
          <w:tcPr>
            <w:tcW w:w="2276" w:type="dxa"/>
            <w:tcBorders>
              <w:top w:val="single" w:sz="8" w:space="0" w:color="auto"/>
              <w:left w:val="nil"/>
              <w:bottom w:val="single" w:sz="8" w:space="0" w:color="auto"/>
              <w:right w:val="nil"/>
            </w:tcBorders>
            <w:shd w:val="clear" w:color="auto" w:fill="auto"/>
            <w:noWrap/>
            <w:vAlign w:val="bottom"/>
            <w:hideMark/>
          </w:tcPr>
          <w:p w:rsidR="009F55B6" w:rsidRPr="009F55B6" w:rsidRDefault="009F55B6" w:rsidP="00F214B8">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9F55B6">
              <w:rPr>
                <w:rFonts w:cs="Arial"/>
                <w:b/>
                <w:bCs/>
                <w:color w:val="000000"/>
                <w:sz w:val="20"/>
                <w:lang w:val="en-US" w:eastAsia="zh-CN"/>
              </w:rPr>
              <w:t xml:space="preserve">                       4</w:t>
            </w:r>
            <w:r w:rsidR="00F214B8">
              <w:rPr>
                <w:rFonts w:cs="Arial"/>
                <w:b/>
                <w:bCs/>
                <w:color w:val="000000"/>
                <w:sz w:val="20"/>
                <w:lang w:val="en-US" w:eastAsia="zh-CN"/>
              </w:rPr>
              <w:t>82</w:t>
            </w:r>
            <w:r w:rsidRPr="009F55B6">
              <w:rPr>
                <w:rFonts w:cs="Arial"/>
                <w:b/>
                <w:bCs/>
                <w:color w:val="000000"/>
                <w:sz w:val="20"/>
                <w:lang w:val="en-US" w:eastAsia="zh-CN"/>
              </w:rPr>
              <w:t>,</w:t>
            </w:r>
            <w:r w:rsidR="00F214B8">
              <w:rPr>
                <w:rFonts w:cs="Arial"/>
                <w:b/>
                <w:bCs/>
                <w:color w:val="000000"/>
                <w:sz w:val="20"/>
                <w:lang w:val="en-US" w:eastAsia="zh-CN"/>
              </w:rPr>
              <w:t>583</w:t>
            </w:r>
            <w:r w:rsidRPr="009F55B6">
              <w:rPr>
                <w:rFonts w:cs="Arial"/>
                <w:b/>
                <w:bCs/>
                <w:color w:val="000000"/>
                <w:sz w:val="20"/>
                <w:lang w:val="en-US" w:eastAsia="zh-CN"/>
              </w:rPr>
              <w:t xml:space="preserve"> </w:t>
            </w:r>
          </w:p>
        </w:tc>
        <w:tc>
          <w:tcPr>
            <w:tcW w:w="2268" w:type="dxa"/>
            <w:tcBorders>
              <w:top w:val="single" w:sz="8" w:space="0" w:color="auto"/>
              <w:left w:val="nil"/>
              <w:bottom w:val="single" w:sz="8" w:space="0" w:color="auto"/>
              <w:right w:val="single" w:sz="8" w:space="0" w:color="auto"/>
            </w:tcBorders>
            <w:shd w:val="clear" w:color="auto" w:fill="auto"/>
            <w:noWrap/>
            <w:vAlign w:val="bottom"/>
            <w:hideMark/>
          </w:tcPr>
          <w:p w:rsidR="009F55B6" w:rsidRPr="009F55B6" w:rsidRDefault="009F55B6" w:rsidP="00F214B8">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9F55B6">
              <w:rPr>
                <w:rFonts w:cs="Arial"/>
                <w:b/>
                <w:bCs/>
                <w:color w:val="000000"/>
                <w:sz w:val="20"/>
                <w:lang w:val="en-US" w:eastAsia="zh-CN"/>
              </w:rPr>
              <w:t xml:space="preserve">                       </w:t>
            </w:r>
            <w:r w:rsidR="00F214B8">
              <w:rPr>
                <w:rFonts w:cs="Arial"/>
                <w:b/>
                <w:bCs/>
                <w:color w:val="000000"/>
                <w:sz w:val="20"/>
                <w:lang w:val="en-US" w:eastAsia="zh-CN"/>
              </w:rPr>
              <w:t>419</w:t>
            </w:r>
            <w:r w:rsidRPr="009F55B6">
              <w:rPr>
                <w:rFonts w:cs="Arial"/>
                <w:b/>
                <w:bCs/>
                <w:color w:val="000000"/>
                <w:sz w:val="20"/>
                <w:lang w:val="en-US" w:eastAsia="zh-CN"/>
              </w:rPr>
              <w:t>,</w:t>
            </w:r>
            <w:r w:rsidR="00F214B8">
              <w:rPr>
                <w:rFonts w:cs="Arial"/>
                <w:b/>
                <w:bCs/>
                <w:color w:val="000000"/>
                <w:sz w:val="20"/>
                <w:lang w:val="en-US" w:eastAsia="zh-CN"/>
              </w:rPr>
              <w:t>155</w:t>
            </w:r>
            <w:r w:rsidRPr="009F55B6">
              <w:rPr>
                <w:rFonts w:cs="Arial"/>
                <w:b/>
                <w:bCs/>
                <w:color w:val="000000"/>
                <w:sz w:val="20"/>
                <w:lang w:val="en-US" w:eastAsia="zh-CN"/>
              </w:rPr>
              <w:t xml:space="preserve"> </w:t>
            </w:r>
          </w:p>
        </w:tc>
      </w:tr>
    </w:tbl>
    <w:p w:rsidR="00985154" w:rsidRDefault="005F14DE" w:rsidP="00DF5DD9">
      <w:pPr>
        <w:snapToGrid w:val="0"/>
        <w:spacing w:before="0"/>
      </w:pPr>
      <w:r w:rsidRPr="00BE797B">
        <w:fldChar w:fldCharType="end"/>
      </w:r>
    </w:p>
    <w:p w:rsidR="009C658D" w:rsidRDefault="005C6F65" w:rsidP="002753A3">
      <w:pPr>
        <w:tabs>
          <w:tab w:val="clear" w:pos="567"/>
          <w:tab w:val="clear" w:pos="1134"/>
          <w:tab w:val="clear" w:pos="1701"/>
          <w:tab w:val="clear" w:pos="2268"/>
          <w:tab w:val="clear" w:pos="2835"/>
          <w:tab w:val="left" w:pos="851"/>
        </w:tabs>
        <w:spacing w:before="0"/>
        <w:jc w:val="both"/>
      </w:pPr>
      <w:r>
        <w:t>16</w:t>
      </w:r>
      <w:r>
        <w:tab/>
      </w:r>
      <w:r w:rsidR="009C658D">
        <w:t>The financial results shown in the table above include some non-budgeted items such as Depreciation</w:t>
      </w:r>
      <w:r w:rsidR="00EF1549">
        <w:t xml:space="preserve"> and </w:t>
      </w:r>
      <w:r w:rsidR="009C658D">
        <w:t xml:space="preserve">Adjustment of the ASHI provision. As per the requirement of IPSAS 24, the comparison of budgeted amounts and actuals amounts </w:t>
      </w:r>
      <w:r w:rsidR="00451382">
        <w:t xml:space="preserve">on a comparable basis </w:t>
      </w:r>
      <w:r w:rsidR="009C658D">
        <w:t xml:space="preserve">is presented in </w:t>
      </w:r>
      <w:r w:rsidR="00EF1549">
        <w:t>T</w:t>
      </w:r>
      <w:r w:rsidR="009C658D">
        <w:t>able</w:t>
      </w:r>
      <w:r w:rsidR="00A21D2D">
        <w:t> </w:t>
      </w:r>
      <w:r w:rsidR="009C658D">
        <w:t>V of the financial statements.</w:t>
      </w:r>
    </w:p>
    <w:p w:rsidR="002039FB" w:rsidRDefault="002039FB" w:rsidP="00DF5DD9">
      <w:pPr>
        <w:tabs>
          <w:tab w:val="clear" w:pos="567"/>
          <w:tab w:val="clear" w:pos="1134"/>
          <w:tab w:val="clear" w:pos="1701"/>
          <w:tab w:val="clear" w:pos="2268"/>
          <w:tab w:val="clear" w:pos="2835"/>
          <w:tab w:val="left" w:pos="851"/>
        </w:tabs>
        <w:spacing w:before="0"/>
        <w:jc w:val="both"/>
      </w:pPr>
    </w:p>
    <w:p w:rsidR="00FF78D0" w:rsidRDefault="005C6F65">
      <w:pPr>
        <w:tabs>
          <w:tab w:val="clear" w:pos="567"/>
          <w:tab w:val="left" w:pos="851"/>
        </w:tabs>
        <w:snapToGrid w:val="0"/>
        <w:spacing w:before="0"/>
        <w:jc w:val="both"/>
        <w:rPr>
          <w:lang w:val="en-US"/>
        </w:rPr>
      </w:pPr>
      <w:r w:rsidRPr="00726B3A">
        <w:t>17</w:t>
      </w:r>
      <w:r w:rsidRPr="00726B3A">
        <w:tab/>
      </w:r>
      <w:r w:rsidR="009C658D" w:rsidRPr="00726B3A">
        <w:t>On a budgetary basis, t</w:t>
      </w:r>
      <w:r w:rsidR="00574941" w:rsidRPr="00726B3A">
        <w:t xml:space="preserve">he Union presents a CHF </w:t>
      </w:r>
      <w:r w:rsidR="009913CF">
        <w:t>11</w:t>
      </w:r>
      <w:r w:rsidR="003656A7" w:rsidRPr="00726B3A">
        <w:t>.</w:t>
      </w:r>
      <w:r w:rsidR="009913CF">
        <w:t>36</w:t>
      </w:r>
      <w:r w:rsidR="00574941" w:rsidRPr="00726B3A">
        <w:t xml:space="preserve"> million surplus for the year 201</w:t>
      </w:r>
      <w:r w:rsidR="000C7AEF">
        <w:t>7</w:t>
      </w:r>
      <w:r w:rsidR="00574941" w:rsidRPr="00726B3A">
        <w:t xml:space="preserve">. </w:t>
      </w:r>
      <w:r w:rsidR="00EF1549" w:rsidRPr="00726B3A">
        <w:t xml:space="preserve"> </w:t>
      </w:r>
      <w:r w:rsidR="004930EA" w:rsidRPr="00726B3A">
        <w:rPr>
          <w:lang w:val="en-US"/>
        </w:rPr>
        <w:t xml:space="preserve">In accordance with the Financial Regulations and Financial Rules, Article 10, paragraph 5 and Article 12 paragraph 4, the Secretary-General authorized </w:t>
      </w:r>
      <w:r w:rsidR="00EA6CD7">
        <w:rPr>
          <w:lang w:val="en-US"/>
        </w:rPr>
        <w:t xml:space="preserve">and proposed </w:t>
      </w:r>
      <w:r w:rsidR="004930EA" w:rsidRPr="00726B3A">
        <w:rPr>
          <w:lang w:val="en-US"/>
        </w:rPr>
        <w:t>the following allocation</w:t>
      </w:r>
      <w:r w:rsidR="003B7E8E" w:rsidRPr="00726B3A">
        <w:rPr>
          <w:lang w:val="en-US"/>
        </w:rPr>
        <w:t>s</w:t>
      </w:r>
      <w:r w:rsidR="004930EA" w:rsidRPr="00726B3A">
        <w:rPr>
          <w:lang w:val="en-US"/>
        </w:rPr>
        <w:t xml:space="preserve"> of the 201</w:t>
      </w:r>
      <w:r w:rsidR="000C7AEF">
        <w:rPr>
          <w:lang w:val="en-US"/>
        </w:rPr>
        <w:t>7</w:t>
      </w:r>
      <w:r w:rsidR="004930EA" w:rsidRPr="00726B3A">
        <w:rPr>
          <w:lang w:val="en-US"/>
        </w:rPr>
        <w:t xml:space="preserve"> budgetary surplus.</w:t>
      </w:r>
      <w:r w:rsidR="00FF78D0" w:rsidRPr="00726B3A">
        <w:rPr>
          <w:lang w:val="en-US"/>
        </w:rPr>
        <w:t xml:space="preserve"> </w:t>
      </w:r>
      <w:r w:rsidR="00C3006A">
        <w:rPr>
          <w:lang w:val="en-US"/>
        </w:rPr>
        <w:t>CHF 3.415 million paid as per Res</w:t>
      </w:r>
      <w:r w:rsidR="00451382">
        <w:rPr>
          <w:lang w:val="en-US"/>
        </w:rPr>
        <w:t>olution</w:t>
      </w:r>
      <w:r w:rsidR="00C3006A">
        <w:rPr>
          <w:lang w:val="en-US"/>
        </w:rPr>
        <w:t xml:space="preserve"> 1387, </w:t>
      </w:r>
      <w:r w:rsidR="002039FB" w:rsidRPr="00B51CF4">
        <w:rPr>
          <w:lang w:val="en-US"/>
        </w:rPr>
        <w:t xml:space="preserve">CHF </w:t>
      </w:r>
      <w:r w:rsidR="00C3006A" w:rsidRPr="00B51CF4">
        <w:rPr>
          <w:lang w:val="en-US"/>
        </w:rPr>
        <w:t>1</w:t>
      </w:r>
      <w:r w:rsidR="002039FB" w:rsidRPr="00B51CF4">
        <w:rPr>
          <w:lang w:val="en-US"/>
        </w:rPr>
        <w:t xml:space="preserve"> million paid to the ICT capital fund</w:t>
      </w:r>
      <w:r w:rsidR="00EA6CD7">
        <w:rPr>
          <w:lang w:val="en-US"/>
        </w:rPr>
        <w:t xml:space="preserve"> to finance the new upgrade of the software </w:t>
      </w:r>
      <w:r w:rsidR="002039FB" w:rsidRPr="00B51CF4">
        <w:rPr>
          <w:lang w:val="en-US"/>
        </w:rPr>
        <w:t xml:space="preserve">, </w:t>
      </w:r>
      <w:r w:rsidR="00B5011D" w:rsidRPr="00B51CF4">
        <w:rPr>
          <w:lang w:val="en-US"/>
        </w:rPr>
        <w:t xml:space="preserve">CHF </w:t>
      </w:r>
      <w:r w:rsidR="00C3006A" w:rsidRPr="00B51CF4">
        <w:rPr>
          <w:lang w:val="en-US"/>
        </w:rPr>
        <w:t>2</w:t>
      </w:r>
      <w:r w:rsidR="00B5011D" w:rsidRPr="00B51CF4">
        <w:rPr>
          <w:lang w:val="en-US"/>
        </w:rPr>
        <w:t xml:space="preserve"> million for the </w:t>
      </w:r>
      <w:r w:rsidR="00C3006A" w:rsidRPr="00B51CF4">
        <w:rPr>
          <w:lang w:val="en-US"/>
        </w:rPr>
        <w:t xml:space="preserve">Regional Initiatives, </w:t>
      </w:r>
      <w:r w:rsidR="00B51CF4">
        <w:rPr>
          <w:lang w:val="en-US"/>
        </w:rPr>
        <w:t>K</w:t>
      </w:r>
      <w:r w:rsidR="00C3006A" w:rsidRPr="00B51CF4">
        <w:rPr>
          <w:lang w:val="en-US"/>
        </w:rPr>
        <w:t>CHF</w:t>
      </w:r>
      <w:r w:rsidR="00451382">
        <w:rPr>
          <w:lang w:val="en-US"/>
        </w:rPr>
        <w:t> </w:t>
      </w:r>
      <w:r w:rsidR="00B51CF4">
        <w:rPr>
          <w:lang w:val="en-US"/>
        </w:rPr>
        <w:t>260</w:t>
      </w:r>
      <w:r w:rsidR="00451382">
        <w:rPr>
          <w:lang w:val="en-US"/>
        </w:rPr>
        <w:t> </w:t>
      </w:r>
      <w:r w:rsidR="00C3006A" w:rsidRPr="00B51CF4">
        <w:rPr>
          <w:lang w:val="en-US"/>
        </w:rPr>
        <w:t xml:space="preserve">for a G5 for the </w:t>
      </w:r>
      <w:r w:rsidR="00451382">
        <w:rPr>
          <w:lang w:val="en-US"/>
        </w:rPr>
        <w:t>S</w:t>
      </w:r>
      <w:r w:rsidR="00C3006A" w:rsidRPr="00B51CF4">
        <w:rPr>
          <w:lang w:val="en-US"/>
        </w:rPr>
        <w:t xml:space="preserve">taff </w:t>
      </w:r>
      <w:r w:rsidR="00451382">
        <w:rPr>
          <w:lang w:val="en-US"/>
        </w:rPr>
        <w:t>C</w:t>
      </w:r>
      <w:r w:rsidR="00C3006A" w:rsidRPr="00B51CF4">
        <w:rPr>
          <w:lang w:val="en-US"/>
        </w:rPr>
        <w:t xml:space="preserve">ouncil, </w:t>
      </w:r>
      <w:r w:rsidR="00B51CF4">
        <w:rPr>
          <w:lang w:val="en-US"/>
        </w:rPr>
        <w:t>K</w:t>
      </w:r>
      <w:r w:rsidR="00C3006A" w:rsidRPr="00B51CF4">
        <w:rPr>
          <w:lang w:val="en-US"/>
        </w:rPr>
        <w:t>CHF</w:t>
      </w:r>
      <w:r w:rsidR="00451382">
        <w:rPr>
          <w:lang w:val="en-US"/>
        </w:rPr>
        <w:t> </w:t>
      </w:r>
      <w:r w:rsidR="00B51CF4">
        <w:rPr>
          <w:lang w:val="en-US"/>
        </w:rPr>
        <w:t>45</w:t>
      </w:r>
      <w:r w:rsidR="00B51CF4" w:rsidRPr="00B51CF4">
        <w:rPr>
          <w:lang w:val="en-US"/>
        </w:rPr>
        <w:t xml:space="preserve"> for branding initiatives, </w:t>
      </w:r>
      <w:r w:rsidR="00B51CF4">
        <w:rPr>
          <w:lang w:val="en-US"/>
        </w:rPr>
        <w:t>K</w:t>
      </w:r>
      <w:r w:rsidR="00B51CF4" w:rsidRPr="00B51CF4">
        <w:rPr>
          <w:lang w:val="en-US"/>
        </w:rPr>
        <w:t>CHF</w:t>
      </w:r>
      <w:r w:rsidR="00451382">
        <w:rPr>
          <w:lang w:val="en-US"/>
        </w:rPr>
        <w:t> </w:t>
      </w:r>
      <w:r w:rsidR="00B51CF4">
        <w:rPr>
          <w:lang w:val="en-US"/>
        </w:rPr>
        <w:t>44</w:t>
      </w:r>
      <w:r w:rsidR="00B51CF4" w:rsidRPr="00B51CF4">
        <w:rPr>
          <w:lang w:val="en-US"/>
        </w:rPr>
        <w:t xml:space="preserve"> for Security </w:t>
      </w:r>
      <w:r w:rsidR="00B51CF4" w:rsidRPr="00966288">
        <w:rPr>
          <w:lang w:val="en-US"/>
        </w:rPr>
        <w:t>assessment missions, K</w:t>
      </w:r>
      <w:r w:rsidR="00B5011D" w:rsidRPr="00966288">
        <w:rPr>
          <w:lang w:val="en-US"/>
        </w:rPr>
        <w:t>CHF</w:t>
      </w:r>
      <w:r w:rsidR="003B7E8E" w:rsidRPr="00966288">
        <w:rPr>
          <w:lang w:val="en-US"/>
        </w:rPr>
        <w:t> </w:t>
      </w:r>
      <w:r w:rsidR="00B51CF4" w:rsidRPr="00966288">
        <w:rPr>
          <w:lang w:val="en-US"/>
        </w:rPr>
        <w:t>200</w:t>
      </w:r>
      <w:r w:rsidR="003B7E8E" w:rsidRPr="00966288">
        <w:rPr>
          <w:lang w:val="en-US"/>
        </w:rPr>
        <w:t> </w:t>
      </w:r>
      <w:r w:rsidR="00B5011D" w:rsidRPr="00966288">
        <w:rPr>
          <w:lang w:val="en-US"/>
        </w:rPr>
        <w:t xml:space="preserve"> for</w:t>
      </w:r>
      <w:r w:rsidR="003B7E8E" w:rsidRPr="00966288">
        <w:rPr>
          <w:lang w:val="en-US"/>
        </w:rPr>
        <w:t xml:space="preserve"> </w:t>
      </w:r>
      <w:r w:rsidR="00B51CF4" w:rsidRPr="00966288">
        <w:rPr>
          <w:lang w:val="en-US"/>
        </w:rPr>
        <w:t xml:space="preserve">BDT Digital identity, </w:t>
      </w:r>
      <w:r w:rsidR="00274EB1" w:rsidRPr="00966288">
        <w:rPr>
          <w:lang w:val="en-US"/>
        </w:rPr>
        <w:t>KCHF</w:t>
      </w:r>
      <w:r w:rsidR="00451382" w:rsidRPr="00966288">
        <w:rPr>
          <w:lang w:val="en-US"/>
        </w:rPr>
        <w:t> </w:t>
      </w:r>
      <w:r w:rsidR="00274EB1" w:rsidRPr="00966288">
        <w:rPr>
          <w:lang w:val="en-US"/>
        </w:rPr>
        <w:t>47 for BDT E-waste statistic</w:t>
      </w:r>
      <w:r w:rsidR="00274EB1">
        <w:rPr>
          <w:lang w:val="en-US"/>
        </w:rPr>
        <w:t xml:space="preserve"> project, KCHF</w:t>
      </w:r>
      <w:r w:rsidR="00451382">
        <w:rPr>
          <w:lang w:val="en-US"/>
        </w:rPr>
        <w:t> </w:t>
      </w:r>
      <w:r w:rsidR="00274EB1">
        <w:rPr>
          <w:lang w:val="en-US"/>
        </w:rPr>
        <w:t>500 for BDT enhancement of National emergency, K</w:t>
      </w:r>
      <w:r w:rsidR="00B5011D" w:rsidRPr="00B51CF4">
        <w:rPr>
          <w:lang w:val="en-US"/>
        </w:rPr>
        <w:t>CHF</w:t>
      </w:r>
      <w:r w:rsidR="00451382">
        <w:rPr>
          <w:lang w:val="en-US"/>
        </w:rPr>
        <w:t> </w:t>
      </w:r>
      <w:r w:rsidR="00274EB1">
        <w:rPr>
          <w:lang w:val="en-US"/>
        </w:rPr>
        <w:t>527</w:t>
      </w:r>
      <w:r w:rsidR="00B5011D" w:rsidRPr="00B51CF4">
        <w:rPr>
          <w:lang w:val="en-US"/>
        </w:rPr>
        <w:t xml:space="preserve"> for TSB projects, 1</w:t>
      </w:r>
      <w:r w:rsidR="00C3006A" w:rsidRPr="00B51CF4">
        <w:rPr>
          <w:lang w:val="en-US"/>
        </w:rPr>
        <w:t>.5</w:t>
      </w:r>
      <w:r w:rsidR="00451382">
        <w:rPr>
          <w:lang w:val="en-US"/>
        </w:rPr>
        <w:t> </w:t>
      </w:r>
      <w:r w:rsidR="00B5011D" w:rsidRPr="00B51CF4">
        <w:rPr>
          <w:lang w:val="en-US"/>
        </w:rPr>
        <w:t xml:space="preserve">million to the Health insurance fund, CHF </w:t>
      </w:r>
      <w:r w:rsidR="00C3006A" w:rsidRPr="00B51CF4">
        <w:rPr>
          <w:lang w:val="en-US"/>
        </w:rPr>
        <w:t>1</w:t>
      </w:r>
      <w:r w:rsidR="00451382">
        <w:rPr>
          <w:lang w:val="en-US"/>
        </w:rPr>
        <w:t> </w:t>
      </w:r>
      <w:r w:rsidR="00B5011D" w:rsidRPr="00B51CF4">
        <w:rPr>
          <w:lang w:val="en-US"/>
        </w:rPr>
        <w:t xml:space="preserve">million to the ASHI fund. </w:t>
      </w:r>
      <w:r w:rsidR="00FF78D0" w:rsidRPr="00B51CF4">
        <w:rPr>
          <w:lang w:val="en-US"/>
        </w:rPr>
        <w:t>After the allocation</w:t>
      </w:r>
      <w:r w:rsidR="003B7E8E" w:rsidRPr="00B51CF4">
        <w:rPr>
          <w:lang w:val="en-US"/>
        </w:rPr>
        <w:t>s</w:t>
      </w:r>
      <w:r w:rsidR="00FF78D0" w:rsidRPr="00B51CF4">
        <w:rPr>
          <w:lang w:val="en-US"/>
        </w:rPr>
        <w:t xml:space="preserve"> </w:t>
      </w:r>
      <w:r w:rsidR="003B7E8E" w:rsidRPr="00B51CF4">
        <w:rPr>
          <w:lang w:val="en-US"/>
        </w:rPr>
        <w:t>were made</w:t>
      </w:r>
      <w:r w:rsidR="002039FB" w:rsidRPr="00B51CF4">
        <w:rPr>
          <w:lang w:val="en-US"/>
        </w:rPr>
        <w:t>,</w:t>
      </w:r>
      <w:r w:rsidR="00FF78D0" w:rsidRPr="00B51CF4">
        <w:rPr>
          <w:lang w:val="en-US"/>
        </w:rPr>
        <w:t xml:space="preserve"> </w:t>
      </w:r>
      <w:r w:rsidR="002039FB" w:rsidRPr="00B51CF4">
        <w:rPr>
          <w:lang w:val="en-US"/>
        </w:rPr>
        <w:t>CHF</w:t>
      </w:r>
      <w:r w:rsidR="00451382">
        <w:rPr>
          <w:lang w:val="en-US"/>
        </w:rPr>
        <w:t> </w:t>
      </w:r>
      <w:r w:rsidR="002039FB" w:rsidRPr="00B51CF4">
        <w:rPr>
          <w:lang w:val="en-US"/>
        </w:rPr>
        <w:t>0.</w:t>
      </w:r>
      <w:r w:rsidR="00C3006A" w:rsidRPr="00B51CF4">
        <w:rPr>
          <w:lang w:val="en-US"/>
        </w:rPr>
        <w:t>682</w:t>
      </w:r>
      <w:r w:rsidR="00451382">
        <w:rPr>
          <w:lang w:val="en-US"/>
        </w:rPr>
        <w:t> </w:t>
      </w:r>
      <w:r w:rsidR="002039FB" w:rsidRPr="00B51CF4">
        <w:rPr>
          <w:lang w:val="en-US"/>
        </w:rPr>
        <w:t xml:space="preserve">million were paid </w:t>
      </w:r>
      <w:r w:rsidR="00451382">
        <w:rPr>
          <w:lang w:val="en-US"/>
        </w:rPr>
        <w:t>in</w:t>
      </w:r>
      <w:r w:rsidR="002039FB" w:rsidRPr="00B51CF4">
        <w:rPr>
          <w:lang w:val="en-US"/>
        </w:rPr>
        <w:t xml:space="preserve">to </w:t>
      </w:r>
      <w:r w:rsidR="00C3006A" w:rsidRPr="00B51CF4">
        <w:rPr>
          <w:lang w:val="en-US"/>
        </w:rPr>
        <w:t>the Reserve Account</w:t>
      </w:r>
      <w:r w:rsidR="00E23E3E" w:rsidRPr="00B51CF4">
        <w:rPr>
          <w:lang w:val="en-US"/>
        </w:rPr>
        <w:t xml:space="preserve">. </w:t>
      </w:r>
      <w:r w:rsidR="008A11D0" w:rsidRPr="00B51CF4">
        <w:rPr>
          <w:lang w:val="en-US"/>
        </w:rPr>
        <w:t xml:space="preserve"> </w:t>
      </w:r>
      <w:r w:rsidR="00E23E3E" w:rsidRPr="00B51CF4">
        <w:rPr>
          <w:lang w:val="en-US"/>
        </w:rPr>
        <w:t>At 31</w:t>
      </w:r>
      <w:r w:rsidR="003B7E8E" w:rsidRPr="00B51CF4">
        <w:rPr>
          <w:lang w:val="en-US"/>
        </w:rPr>
        <w:t xml:space="preserve"> December </w:t>
      </w:r>
      <w:r w:rsidR="00E23E3E" w:rsidRPr="00B51CF4">
        <w:rPr>
          <w:lang w:val="en-US"/>
        </w:rPr>
        <w:t>201</w:t>
      </w:r>
      <w:r w:rsidR="00274EB1">
        <w:rPr>
          <w:lang w:val="en-US"/>
        </w:rPr>
        <w:t>7</w:t>
      </w:r>
      <w:r w:rsidR="00E23E3E" w:rsidRPr="00B51CF4">
        <w:rPr>
          <w:lang w:val="en-US"/>
        </w:rPr>
        <w:t xml:space="preserve">, the </w:t>
      </w:r>
      <w:r w:rsidR="003B7E8E" w:rsidRPr="00B51CF4">
        <w:rPr>
          <w:lang w:val="en-US"/>
        </w:rPr>
        <w:t>R</w:t>
      </w:r>
      <w:r w:rsidR="00E23E3E" w:rsidRPr="00B51CF4">
        <w:rPr>
          <w:lang w:val="en-US"/>
        </w:rPr>
        <w:t xml:space="preserve">eserve </w:t>
      </w:r>
      <w:r w:rsidR="003B7E8E" w:rsidRPr="00B51CF4">
        <w:rPr>
          <w:lang w:val="en-US"/>
        </w:rPr>
        <w:t>A</w:t>
      </w:r>
      <w:r w:rsidR="00E23E3E" w:rsidRPr="00B51CF4">
        <w:rPr>
          <w:lang w:val="en-US"/>
        </w:rPr>
        <w:t>ccount</w:t>
      </w:r>
      <w:r w:rsidR="00B5011D" w:rsidRPr="00B51CF4">
        <w:rPr>
          <w:lang w:val="en-US"/>
        </w:rPr>
        <w:t xml:space="preserve"> shows a balance of CHF 27.</w:t>
      </w:r>
      <w:r w:rsidR="00274EB1">
        <w:rPr>
          <w:lang w:val="en-US"/>
        </w:rPr>
        <w:t>7</w:t>
      </w:r>
      <w:r w:rsidR="008F4145">
        <w:rPr>
          <w:lang w:val="en-US"/>
        </w:rPr>
        <w:t xml:space="preserve"> million</w:t>
      </w:r>
      <w:r w:rsidR="00B5011D" w:rsidRPr="00B51CF4">
        <w:rPr>
          <w:lang w:val="en-US"/>
        </w:rPr>
        <w:t>, corresponding to 1</w:t>
      </w:r>
      <w:r w:rsidR="00274EB1">
        <w:rPr>
          <w:lang w:val="en-US"/>
        </w:rPr>
        <w:t>7.2</w:t>
      </w:r>
      <w:r w:rsidR="00B5011D" w:rsidRPr="00B51CF4">
        <w:rPr>
          <w:lang w:val="en-US"/>
        </w:rPr>
        <w:t xml:space="preserve"> per cent of the budget for 201</w:t>
      </w:r>
      <w:r w:rsidR="00274EB1">
        <w:rPr>
          <w:lang w:val="en-US"/>
        </w:rPr>
        <w:t>7</w:t>
      </w:r>
      <w:r w:rsidR="00B5011D" w:rsidRPr="00B51CF4">
        <w:rPr>
          <w:lang w:val="en-US"/>
        </w:rPr>
        <w:t xml:space="preserve"> (CHF</w:t>
      </w:r>
      <w:r w:rsidR="00451382">
        <w:rPr>
          <w:lang w:val="en-US"/>
        </w:rPr>
        <w:t> </w:t>
      </w:r>
      <w:r w:rsidR="00B5011D" w:rsidRPr="00B51CF4">
        <w:rPr>
          <w:lang w:val="en-US"/>
        </w:rPr>
        <w:t>27.</w:t>
      </w:r>
      <w:r w:rsidR="00274EB1">
        <w:rPr>
          <w:lang w:val="en-US"/>
        </w:rPr>
        <w:t>1</w:t>
      </w:r>
      <w:r w:rsidR="00451382">
        <w:rPr>
          <w:lang w:val="en-US"/>
        </w:rPr>
        <w:t> </w:t>
      </w:r>
      <w:r w:rsidR="00B5011D" w:rsidRPr="00B51CF4">
        <w:rPr>
          <w:lang w:val="en-US"/>
        </w:rPr>
        <w:t>million for 201</w:t>
      </w:r>
      <w:r w:rsidR="00274EB1">
        <w:rPr>
          <w:lang w:val="en-US"/>
        </w:rPr>
        <w:t>6</w:t>
      </w:r>
      <w:r w:rsidR="00B5011D" w:rsidRPr="00B51CF4">
        <w:rPr>
          <w:lang w:val="en-US"/>
        </w:rPr>
        <w:t>)</w:t>
      </w:r>
      <w:r w:rsidR="002039FB" w:rsidRPr="00B51CF4">
        <w:rPr>
          <w:lang w:val="en-US"/>
        </w:rPr>
        <w:t>.</w:t>
      </w:r>
    </w:p>
    <w:p w:rsidR="00273504" w:rsidRDefault="00273504" w:rsidP="008F5DD6">
      <w:pPr>
        <w:snapToGrid w:val="0"/>
        <w:spacing w:before="0"/>
        <w:jc w:val="both"/>
        <w:rPr>
          <w:lang w:val="en-US"/>
        </w:rPr>
      </w:pPr>
    </w:p>
    <w:p w:rsidR="00F94F61" w:rsidRDefault="00F94F61" w:rsidP="008F5DD6">
      <w:pPr>
        <w:tabs>
          <w:tab w:val="clear" w:pos="567"/>
          <w:tab w:val="left" w:pos="851"/>
        </w:tabs>
        <w:snapToGrid w:val="0"/>
        <w:spacing w:before="0"/>
        <w:jc w:val="both"/>
      </w:pPr>
      <w:r>
        <w:t>18</w:t>
      </w:r>
      <w:r>
        <w:tab/>
      </w:r>
      <w:r w:rsidRPr="005C6F65">
        <w:t>In 201</w:t>
      </w:r>
      <w:r>
        <w:t>7</w:t>
      </w:r>
      <w:r w:rsidRPr="005C6F65">
        <w:t>, the ITU revenues amounted to KCHF 17</w:t>
      </w:r>
      <w:r>
        <w:t>8</w:t>
      </w:r>
      <w:r w:rsidRPr="005C6F65">
        <w:t>’5</w:t>
      </w:r>
      <w:r>
        <w:t>37</w:t>
      </w:r>
      <w:r w:rsidRPr="005C6F65">
        <w:t xml:space="preserve"> (KCHF 17</w:t>
      </w:r>
      <w:r>
        <w:t>6</w:t>
      </w:r>
      <w:r w:rsidRPr="005C6F65">
        <w:t>’</w:t>
      </w:r>
      <w:r>
        <w:t>502</w:t>
      </w:r>
      <w:r w:rsidRPr="005C6F65">
        <w:t xml:space="preserve"> in 201</w:t>
      </w:r>
      <w:r>
        <w:t>6</w:t>
      </w:r>
      <w:r w:rsidRPr="005C6F65">
        <w:t>) reflected as follows:</w:t>
      </w:r>
    </w:p>
    <w:p w:rsidR="00F94F61" w:rsidRPr="005C6F65" w:rsidRDefault="00F94F61" w:rsidP="00F94F61">
      <w:pPr>
        <w:tabs>
          <w:tab w:val="clear" w:pos="567"/>
          <w:tab w:val="left" w:pos="851"/>
        </w:tabs>
        <w:snapToGrid w:val="0"/>
        <w:spacing w:after="120"/>
        <w:jc w:val="both"/>
      </w:pPr>
    </w:p>
    <w:p w:rsidR="00B66ED1" w:rsidRDefault="00334699" w:rsidP="00AB5D27">
      <w:pPr>
        <w:snapToGrid w:val="0"/>
        <w:spacing w:after="120"/>
        <w:jc w:val="center"/>
      </w:pPr>
      <w:r>
        <w:rPr>
          <w:noProof/>
          <w:lang w:val="en-US" w:eastAsia="zh-CN"/>
        </w:rPr>
        <w:drawing>
          <wp:inline distT="0" distB="0" distL="0" distR="0" wp14:anchorId="7A8D4F05" wp14:editId="1A1D7173">
            <wp:extent cx="4800600" cy="2743200"/>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F5DD6" w:rsidRDefault="008F5DD6" w:rsidP="00C94915">
      <w:pPr>
        <w:tabs>
          <w:tab w:val="clear" w:pos="567"/>
          <w:tab w:val="clear" w:pos="1134"/>
          <w:tab w:val="clear" w:pos="1701"/>
          <w:tab w:val="clear" w:pos="2268"/>
          <w:tab w:val="clear" w:pos="2835"/>
          <w:tab w:val="left" w:pos="851"/>
        </w:tabs>
        <w:snapToGrid w:val="0"/>
        <w:spacing w:before="0"/>
        <w:jc w:val="both"/>
      </w:pPr>
    </w:p>
    <w:p w:rsidR="00F94F61" w:rsidRPr="00F94F61" w:rsidRDefault="00C94915" w:rsidP="00966288">
      <w:pPr>
        <w:tabs>
          <w:tab w:val="clear" w:pos="567"/>
          <w:tab w:val="clear" w:pos="1134"/>
          <w:tab w:val="clear" w:pos="1701"/>
          <w:tab w:val="clear" w:pos="2268"/>
          <w:tab w:val="clear" w:pos="2835"/>
          <w:tab w:val="left" w:pos="851"/>
        </w:tabs>
        <w:snapToGrid w:val="0"/>
        <w:spacing w:before="0"/>
        <w:jc w:val="both"/>
      </w:pPr>
      <w:r>
        <w:t>19</w:t>
      </w:r>
      <w:r w:rsidR="00F94F61">
        <w:tab/>
      </w:r>
      <w:r w:rsidR="00B66ED1" w:rsidRPr="00F94F61">
        <w:t xml:space="preserve">The main source of revenue </w:t>
      </w:r>
      <w:r w:rsidR="00134657" w:rsidRPr="00F94F61">
        <w:t xml:space="preserve">comes from </w:t>
      </w:r>
      <w:r w:rsidR="00B66ED1" w:rsidRPr="00F94F61">
        <w:t>assessed contribution</w:t>
      </w:r>
      <w:r w:rsidR="00134657" w:rsidRPr="00F94F61">
        <w:t>s</w:t>
      </w:r>
      <w:r w:rsidR="00B66ED1" w:rsidRPr="00F94F61">
        <w:t xml:space="preserve"> represent</w:t>
      </w:r>
      <w:r w:rsidR="00134657" w:rsidRPr="00F94F61">
        <w:t>ing</w:t>
      </w:r>
      <w:r w:rsidR="00B66ED1" w:rsidRPr="00F94F61">
        <w:t xml:space="preserve"> 70</w:t>
      </w:r>
      <w:r w:rsidR="00B4202F" w:rsidRPr="00F94F61">
        <w:t> per cent</w:t>
      </w:r>
      <w:r w:rsidR="00B66ED1" w:rsidRPr="00F94F61">
        <w:t xml:space="preserve"> in </w:t>
      </w:r>
      <w:r w:rsidR="00966288">
        <w:t xml:space="preserve">2017 </w:t>
      </w:r>
      <w:r w:rsidR="00F94F61">
        <w:t>which is stable compared with 2016</w:t>
      </w:r>
      <w:r w:rsidR="00B66ED1" w:rsidRPr="00F94F61">
        <w:t xml:space="preserve">, followed by the operating revenue </w:t>
      </w:r>
      <w:r w:rsidR="00134657" w:rsidRPr="00F94F61">
        <w:t xml:space="preserve">representing </w:t>
      </w:r>
      <w:r w:rsidR="00F94F61">
        <w:t>2</w:t>
      </w:r>
      <w:r w:rsidR="00A43A1C">
        <w:t>5</w:t>
      </w:r>
      <w:r w:rsidR="00B4202F" w:rsidRPr="00F94F61">
        <w:t> per cent</w:t>
      </w:r>
      <w:r w:rsidR="00B66ED1" w:rsidRPr="00F94F61">
        <w:t xml:space="preserve"> which included mainly the sales of publication</w:t>
      </w:r>
      <w:r w:rsidR="00134657" w:rsidRPr="00F94F61">
        <w:t>s</w:t>
      </w:r>
      <w:r w:rsidR="00B66ED1" w:rsidRPr="00F94F61">
        <w:t xml:space="preserve"> and the satellite network filing</w:t>
      </w:r>
      <w:r w:rsidR="00134657" w:rsidRPr="00F94F61">
        <w:t>s</w:t>
      </w:r>
      <w:r w:rsidR="00B66ED1" w:rsidRPr="00F94F61">
        <w:t>.</w:t>
      </w:r>
    </w:p>
    <w:p w:rsidR="00F94F61" w:rsidRDefault="00F94F61" w:rsidP="00C94915">
      <w:pPr>
        <w:tabs>
          <w:tab w:val="clear" w:pos="567"/>
          <w:tab w:val="clear" w:pos="1134"/>
          <w:tab w:val="clear" w:pos="1701"/>
          <w:tab w:val="clear" w:pos="2268"/>
          <w:tab w:val="clear" w:pos="2835"/>
          <w:tab w:val="left" w:pos="851"/>
        </w:tabs>
        <w:snapToGrid w:val="0"/>
        <w:spacing w:after="120"/>
        <w:jc w:val="both"/>
        <w:rPr>
          <w:noProof/>
        </w:rPr>
      </w:pPr>
    </w:p>
    <w:p w:rsidR="00F94F61" w:rsidRDefault="005C2524" w:rsidP="00F94F61">
      <w:pPr>
        <w:pStyle w:val="ListParagraph"/>
        <w:tabs>
          <w:tab w:val="left" w:pos="851"/>
        </w:tabs>
        <w:snapToGrid w:val="0"/>
        <w:spacing w:after="120"/>
        <w:jc w:val="both"/>
      </w:pPr>
      <w:r>
        <w:rPr>
          <w:noProof/>
        </w:rPr>
        <w:drawing>
          <wp:inline distT="0" distB="0" distL="0" distR="0" wp14:anchorId="7695FB5A" wp14:editId="72D89CD6">
            <wp:extent cx="5353050" cy="4486275"/>
            <wp:effectExtent l="0" t="0" r="0" b="9525"/>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66ED1" w:rsidRPr="0013363C" w:rsidRDefault="00B66ED1" w:rsidP="009F0E44">
      <w:pPr>
        <w:snapToGrid w:val="0"/>
        <w:spacing w:before="0"/>
      </w:pPr>
    </w:p>
    <w:p w:rsidR="008F5DD6" w:rsidRDefault="00F94F61" w:rsidP="0014314E">
      <w:pPr>
        <w:tabs>
          <w:tab w:val="clear" w:pos="567"/>
          <w:tab w:val="clear" w:pos="1134"/>
          <w:tab w:val="clear" w:pos="1701"/>
          <w:tab w:val="clear" w:pos="2268"/>
          <w:tab w:val="clear" w:pos="2835"/>
          <w:tab w:val="left" w:pos="851"/>
        </w:tabs>
        <w:snapToGrid w:val="0"/>
        <w:spacing w:before="0"/>
      </w:pPr>
      <w:r>
        <w:t>20</w:t>
      </w:r>
      <w:r>
        <w:tab/>
      </w:r>
      <w:r w:rsidR="00B66ED1" w:rsidRPr="00F94F61">
        <w:t>In 201</w:t>
      </w:r>
      <w:r w:rsidR="00F27718" w:rsidRPr="00F94F61">
        <w:t>7</w:t>
      </w:r>
      <w:r w:rsidR="00134657" w:rsidRPr="00F94F61">
        <w:t>,</w:t>
      </w:r>
      <w:r w:rsidR="00B66ED1" w:rsidRPr="00F94F61">
        <w:t xml:space="preserve"> the ITU expenses amounted </w:t>
      </w:r>
      <w:r w:rsidR="00134657" w:rsidRPr="00F94F61">
        <w:t xml:space="preserve">to </w:t>
      </w:r>
      <w:r w:rsidR="00B66ED1" w:rsidRPr="00F94F61">
        <w:t>KCHF 1</w:t>
      </w:r>
      <w:r w:rsidRPr="00F94F61">
        <w:t>95</w:t>
      </w:r>
      <w:r w:rsidR="00B66ED1" w:rsidRPr="00F94F61">
        <w:t>’</w:t>
      </w:r>
      <w:r w:rsidRPr="00F94F61">
        <w:t>615</w:t>
      </w:r>
      <w:r w:rsidR="00B66ED1" w:rsidRPr="00F94F61">
        <w:t xml:space="preserve"> (KCHF</w:t>
      </w:r>
      <w:r w:rsidR="0014314E">
        <w:t> </w:t>
      </w:r>
      <w:r w:rsidR="00B66ED1" w:rsidRPr="00F94F61">
        <w:t>1</w:t>
      </w:r>
      <w:r w:rsidR="00F27718" w:rsidRPr="00F94F61">
        <w:t>88</w:t>
      </w:r>
      <w:r w:rsidR="00B66ED1" w:rsidRPr="00F94F61">
        <w:t>’</w:t>
      </w:r>
      <w:r w:rsidR="00F27718" w:rsidRPr="00F94F61">
        <w:t>195</w:t>
      </w:r>
      <w:r w:rsidR="00B66ED1" w:rsidRPr="00F94F61">
        <w:t xml:space="preserve"> in 201</w:t>
      </w:r>
      <w:r w:rsidR="00F27718" w:rsidRPr="00F94F61">
        <w:t>6</w:t>
      </w:r>
      <w:r w:rsidR="00B66ED1" w:rsidRPr="00F94F61">
        <w:t xml:space="preserve">) </w:t>
      </w:r>
      <w:r w:rsidR="00134657" w:rsidRPr="00F94F61">
        <w:t xml:space="preserve">reflected as </w:t>
      </w:r>
      <w:r w:rsidR="00B66ED1" w:rsidRPr="00F94F61">
        <w:t>follows:</w:t>
      </w:r>
    </w:p>
    <w:p w:rsidR="008F5DD6" w:rsidRDefault="008F5DD6" w:rsidP="009F0E44">
      <w:pPr>
        <w:tabs>
          <w:tab w:val="left" w:pos="851"/>
        </w:tabs>
        <w:snapToGrid w:val="0"/>
        <w:spacing w:before="0"/>
      </w:pPr>
    </w:p>
    <w:p w:rsidR="00EA4F85" w:rsidRPr="00EA4F85" w:rsidRDefault="007C5F44" w:rsidP="008F5DD6">
      <w:pPr>
        <w:tabs>
          <w:tab w:val="left" w:pos="851"/>
        </w:tabs>
        <w:snapToGrid w:val="0"/>
        <w:spacing w:after="120"/>
        <w:rPr>
          <w:sz w:val="20"/>
        </w:rPr>
      </w:pPr>
      <w:r>
        <w:rPr>
          <w:noProof/>
          <w:lang w:val="en-US" w:eastAsia="zh-CN"/>
        </w:rPr>
        <w:drawing>
          <wp:inline distT="0" distB="0" distL="0" distR="0" wp14:anchorId="7B05A25E" wp14:editId="2232EE41">
            <wp:extent cx="6210935" cy="3478530"/>
            <wp:effectExtent l="0" t="0" r="18415" b="762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43133" w:rsidRDefault="004A254E" w:rsidP="000943A1">
      <w:pPr>
        <w:tabs>
          <w:tab w:val="clear" w:pos="567"/>
          <w:tab w:val="clear" w:pos="1134"/>
          <w:tab w:val="clear" w:pos="1701"/>
          <w:tab w:val="clear" w:pos="2268"/>
          <w:tab w:val="clear" w:pos="2835"/>
        </w:tabs>
        <w:overflowPunct/>
        <w:autoSpaceDE/>
        <w:autoSpaceDN/>
        <w:adjustRightInd/>
        <w:spacing w:before="0"/>
        <w:textAlignment w:val="auto"/>
      </w:pPr>
      <w:r>
        <w:br w:type="page"/>
        <w:t>2</w:t>
      </w:r>
      <w:r w:rsidR="000943A1">
        <w:t>1</w:t>
      </w:r>
      <w:r>
        <w:tab/>
      </w:r>
      <w:r w:rsidR="00B66ED1">
        <w:t xml:space="preserve">The </w:t>
      </w:r>
      <w:r w:rsidR="00B869D5">
        <w:t>main category of expenses for the ITU was the s</w:t>
      </w:r>
      <w:r w:rsidR="00B66ED1">
        <w:t>taff expenses represent</w:t>
      </w:r>
      <w:r w:rsidR="00B869D5">
        <w:t>ing</w:t>
      </w:r>
      <w:r w:rsidR="00B66ED1">
        <w:t xml:space="preserve"> </w:t>
      </w:r>
      <w:r w:rsidR="00B66ED1" w:rsidRPr="000943A1">
        <w:t>7</w:t>
      </w:r>
      <w:r w:rsidR="000943A1" w:rsidRPr="000943A1">
        <w:t>6</w:t>
      </w:r>
      <w:r w:rsidR="00695AF2">
        <w:t> per cent</w:t>
      </w:r>
      <w:r w:rsidR="00B66ED1">
        <w:t xml:space="preserve"> in 201</w:t>
      </w:r>
      <w:r w:rsidR="00F27718">
        <w:t>7</w:t>
      </w:r>
      <w:r w:rsidR="00B66ED1">
        <w:t xml:space="preserve"> against </w:t>
      </w:r>
      <w:r w:rsidR="00F27718">
        <w:t>78</w:t>
      </w:r>
      <w:r w:rsidR="00695AF2">
        <w:t xml:space="preserve"> per cent </w:t>
      </w:r>
      <w:r w:rsidR="00B66ED1">
        <w:t>in 201</w:t>
      </w:r>
      <w:r w:rsidR="00F27718">
        <w:t>6</w:t>
      </w:r>
      <w:r w:rsidR="00B66ED1">
        <w:t>.</w:t>
      </w:r>
      <w:r w:rsidR="00B869D5">
        <w:t xml:space="preserve"> Th</w:t>
      </w:r>
      <w:r w:rsidR="004F1263">
        <w:t xml:space="preserve">is trend followed the implementation of the budget 2016-2017 adopted by the Council at its </w:t>
      </w:r>
      <w:r w:rsidR="00E43112">
        <w:t xml:space="preserve">2015 </w:t>
      </w:r>
      <w:r w:rsidR="004F1263">
        <w:t>session which showed a decrease of the employee expenses by 2</w:t>
      </w:r>
      <w:r w:rsidR="00B4202F">
        <w:t> </w:t>
      </w:r>
      <w:r w:rsidR="004F1263">
        <w:t>per cent.</w:t>
      </w:r>
    </w:p>
    <w:p w:rsidR="001C63B9" w:rsidRPr="00A01021" w:rsidRDefault="001C63B9" w:rsidP="00373677">
      <w:pPr>
        <w:pStyle w:val="ListParagraph"/>
        <w:tabs>
          <w:tab w:val="left" w:pos="851"/>
        </w:tabs>
        <w:adjustRightInd w:val="0"/>
        <w:snapToGrid w:val="0"/>
        <w:ind w:left="0"/>
        <w:contextualSpacing w:val="0"/>
        <w:jc w:val="both"/>
        <w:rPr>
          <w:rFonts w:ascii="Calibri" w:eastAsia="Times New Roman" w:hAnsi="Calibri"/>
          <w:szCs w:val="20"/>
          <w:lang w:val="en-GB" w:eastAsia="en-US"/>
        </w:rPr>
      </w:pPr>
    </w:p>
    <w:p w:rsidR="007C5F44" w:rsidRPr="007C5F44" w:rsidRDefault="001C63B9" w:rsidP="00373677">
      <w:pPr>
        <w:pStyle w:val="ListParagraph"/>
        <w:tabs>
          <w:tab w:val="left" w:pos="-76"/>
          <w:tab w:val="left" w:pos="851"/>
        </w:tabs>
        <w:adjustRightInd w:val="0"/>
        <w:snapToGrid w:val="0"/>
        <w:ind w:left="0"/>
        <w:contextualSpacing w:val="0"/>
        <w:jc w:val="both"/>
        <w:rPr>
          <w:rFonts w:ascii="Calibri" w:hAnsi="Calibri"/>
          <w:b/>
          <w:bCs/>
          <w:sz w:val="28"/>
          <w:szCs w:val="28"/>
          <w:u w:val="single"/>
        </w:rPr>
      </w:pPr>
      <w:r w:rsidRPr="007C5F44">
        <w:rPr>
          <w:rFonts w:ascii="Calibri" w:hAnsi="Calibri"/>
          <w:b/>
          <w:bCs/>
          <w:sz w:val="28"/>
          <w:szCs w:val="28"/>
          <w:u w:val="single"/>
        </w:rPr>
        <w:t xml:space="preserve">Financial position: </w:t>
      </w:r>
      <w:r w:rsidR="00A01021" w:rsidRPr="007C5F44">
        <w:rPr>
          <w:rFonts w:ascii="Calibri" w:hAnsi="Calibri"/>
          <w:b/>
          <w:bCs/>
          <w:sz w:val="28"/>
          <w:szCs w:val="28"/>
          <w:u w:val="single"/>
        </w:rPr>
        <w:t xml:space="preserve"> </w:t>
      </w:r>
      <w:r w:rsidR="009F60E1" w:rsidRPr="007C5F44">
        <w:rPr>
          <w:rFonts w:ascii="Calibri" w:hAnsi="Calibri"/>
          <w:b/>
          <w:bCs/>
          <w:sz w:val="28"/>
          <w:szCs w:val="28"/>
          <w:u w:val="single"/>
        </w:rPr>
        <w:t>Asset representation for 201</w:t>
      </w:r>
      <w:r w:rsidR="00F27718" w:rsidRPr="007C5F44">
        <w:rPr>
          <w:rFonts w:ascii="Calibri" w:hAnsi="Calibri"/>
          <w:b/>
          <w:bCs/>
          <w:sz w:val="28"/>
          <w:szCs w:val="28"/>
          <w:u w:val="single"/>
        </w:rPr>
        <w:t>7</w:t>
      </w:r>
    </w:p>
    <w:p w:rsidR="00352D54" w:rsidRDefault="00352D54" w:rsidP="00373677">
      <w:pPr>
        <w:pStyle w:val="ListParagraph"/>
        <w:tabs>
          <w:tab w:val="left" w:pos="851"/>
        </w:tabs>
        <w:adjustRightInd w:val="0"/>
        <w:snapToGrid w:val="0"/>
        <w:ind w:left="0"/>
        <w:contextualSpacing w:val="0"/>
        <w:rPr>
          <w:rFonts w:ascii="Calibri" w:eastAsia="Times New Roman" w:hAnsi="Calibri"/>
          <w:szCs w:val="20"/>
          <w:lang w:eastAsia="en-US"/>
        </w:rPr>
      </w:pPr>
    </w:p>
    <w:p w:rsidR="009F60E1" w:rsidRDefault="007C5F44" w:rsidP="007C5F44">
      <w:pPr>
        <w:pStyle w:val="ListParagraph"/>
        <w:snapToGrid w:val="0"/>
        <w:spacing w:after="120"/>
        <w:ind w:left="854"/>
        <w:jc w:val="center"/>
        <w:rPr>
          <w:rFonts w:ascii="Calibri" w:eastAsia="Times New Roman" w:hAnsi="Calibri"/>
          <w:szCs w:val="20"/>
          <w:lang w:eastAsia="en-US"/>
        </w:rPr>
      </w:pPr>
      <w:r>
        <w:rPr>
          <w:noProof/>
        </w:rPr>
        <w:drawing>
          <wp:inline distT="0" distB="0" distL="0" distR="0" wp14:anchorId="16EB0211" wp14:editId="50BB0078">
            <wp:extent cx="4876800" cy="3481388"/>
            <wp:effectExtent l="0" t="0" r="0" b="508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C5F44" w:rsidRPr="00373677" w:rsidRDefault="007C5F44" w:rsidP="00373677">
      <w:pPr>
        <w:pStyle w:val="ListParagraph"/>
        <w:tabs>
          <w:tab w:val="left" w:pos="-76"/>
          <w:tab w:val="left" w:pos="851"/>
        </w:tabs>
        <w:adjustRightInd w:val="0"/>
        <w:snapToGrid w:val="0"/>
        <w:ind w:left="0"/>
        <w:contextualSpacing w:val="0"/>
        <w:jc w:val="both"/>
        <w:rPr>
          <w:rFonts w:ascii="Calibri" w:hAnsi="Calibri"/>
          <w:b/>
          <w:bCs/>
          <w:u w:val="single"/>
        </w:rPr>
      </w:pPr>
    </w:p>
    <w:p w:rsidR="00CF43D8" w:rsidRPr="007C5F44" w:rsidRDefault="00044F18" w:rsidP="00373677">
      <w:pPr>
        <w:pStyle w:val="ListParagraph"/>
        <w:tabs>
          <w:tab w:val="left" w:pos="-76"/>
          <w:tab w:val="left" w:pos="851"/>
        </w:tabs>
        <w:adjustRightInd w:val="0"/>
        <w:snapToGrid w:val="0"/>
        <w:ind w:left="0"/>
        <w:contextualSpacing w:val="0"/>
        <w:jc w:val="both"/>
        <w:rPr>
          <w:rFonts w:ascii="Calibri" w:hAnsi="Calibri"/>
          <w:b/>
          <w:bCs/>
          <w:sz w:val="28"/>
          <w:szCs w:val="28"/>
          <w:u w:val="single"/>
        </w:rPr>
      </w:pPr>
      <w:r w:rsidRPr="007C5F44">
        <w:rPr>
          <w:rFonts w:ascii="Calibri" w:hAnsi="Calibri"/>
          <w:b/>
          <w:bCs/>
          <w:sz w:val="28"/>
          <w:szCs w:val="28"/>
          <w:u w:val="single"/>
        </w:rPr>
        <w:t>F</w:t>
      </w:r>
      <w:r w:rsidR="006B5EB0" w:rsidRPr="007C5F44">
        <w:rPr>
          <w:rFonts w:ascii="Calibri" w:hAnsi="Calibri"/>
          <w:b/>
          <w:bCs/>
          <w:sz w:val="28"/>
          <w:szCs w:val="28"/>
          <w:u w:val="single"/>
        </w:rPr>
        <w:t xml:space="preserve">inancial position: </w:t>
      </w:r>
      <w:r w:rsidR="00682949" w:rsidRPr="007C5F44">
        <w:rPr>
          <w:rFonts w:ascii="Calibri" w:hAnsi="Calibri"/>
          <w:b/>
          <w:bCs/>
          <w:sz w:val="28"/>
          <w:szCs w:val="28"/>
          <w:u w:val="single"/>
        </w:rPr>
        <w:t xml:space="preserve"> </w:t>
      </w:r>
      <w:r w:rsidR="006B5EB0" w:rsidRPr="007C5F44">
        <w:rPr>
          <w:rFonts w:ascii="Calibri" w:hAnsi="Calibri"/>
          <w:b/>
          <w:bCs/>
          <w:sz w:val="28"/>
          <w:szCs w:val="28"/>
          <w:u w:val="single"/>
        </w:rPr>
        <w:t>Asset comparison between 201</w:t>
      </w:r>
      <w:r w:rsidR="00F27718" w:rsidRPr="007C5F44">
        <w:rPr>
          <w:rFonts w:ascii="Calibri" w:hAnsi="Calibri"/>
          <w:b/>
          <w:bCs/>
          <w:sz w:val="28"/>
          <w:szCs w:val="28"/>
          <w:u w:val="single"/>
        </w:rPr>
        <w:t>7</w:t>
      </w:r>
      <w:r w:rsidR="006B5EB0" w:rsidRPr="007C5F44">
        <w:rPr>
          <w:rFonts w:ascii="Calibri" w:hAnsi="Calibri"/>
          <w:b/>
          <w:bCs/>
          <w:sz w:val="28"/>
          <w:szCs w:val="28"/>
          <w:u w:val="single"/>
        </w:rPr>
        <w:t xml:space="preserve"> and 201</w:t>
      </w:r>
      <w:r w:rsidR="00F27718" w:rsidRPr="007C5F44">
        <w:rPr>
          <w:rFonts w:ascii="Calibri" w:hAnsi="Calibri"/>
          <w:b/>
          <w:bCs/>
          <w:sz w:val="28"/>
          <w:szCs w:val="28"/>
          <w:u w:val="single"/>
        </w:rPr>
        <w:t>6</w:t>
      </w:r>
    </w:p>
    <w:p w:rsidR="003656A7" w:rsidRDefault="003656A7" w:rsidP="00373677">
      <w:pPr>
        <w:snapToGrid w:val="0"/>
        <w:spacing w:before="0"/>
        <w:jc w:val="both"/>
      </w:pPr>
    </w:p>
    <w:p w:rsidR="003656A7" w:rsidRDefault="007C5F44" w:rsidP="007C5F44">
      <w:pPr>
        <w:snapToGrid w:val="0"/>
        <w:spacing w:after="120"/>
        <w:jc w:val="center"/>
      </w:pPr>
      <w:r>
        <w:rPr>
          <w:noProof/>
          <w:lang w:val="en-US" w:eastAsia="zh-CN"/>
        </w:rPr>
        <w:drawing>
          <wp:inline distT="0" distB="0" distL="0" distR="0" wp14:anchorId="310DE193" wp14:editId="7C93800B">
            <wp:extent cx="5313872" cy="3096883"/>
            <wp:effectExtent l="0" t="0" r="1270" b="889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656A7" w:rsidRDefault="003656A7" w:rsidP="003656A7">
      <w:pPr>
        <w:snapToGrid w:val="0"/>
        <w:spacing w:after="120"/>
        <w:jc w:val="both"/>
      </w:pPr>
    </w:p>
    <w:p w:rsidR="003656A7" w:rsidRDefault="003656A7" w:rsidP="003656A7">
      <w:pPr>
        <w:snapToGrid w:val="0"/>
        <w:spacing w:after="120"/>
        <w:jc w:val="both"/>
      </w:pPr>
    </w:p>
    <w:p w:rsidR="003656A7" w:rsidRDefault="003656A7" w:rsidP="00464B16">
      <w:pPr>
        <w:tabs>
          <w:tab w:val="left" w:pos="851"/>
        </w:tabs>
        <w:snapToGrid w:val="0"/>
        <w:spacing w:after="120"/>
        <w:jc w:val="both"/>
      </w:pPr>
    </w:p>
    <w:p w:rsidR="003656A7" w:rsidRDefault="00464B16" w:rsidP="00CB39B4">
      <w:pPr>
        <w:tabs>
          <w:tab w:val="clear" w:pos="567"/>
          <w:tab w:val="clear" w:pos="1134"/>
          <w:tab w:val="clear" w:pos="1701"/>
          <w:tab w:val="clear" w:pos="2268"/>
          <w:tab w:val="clear" w:pos="2835"/>
          <w:tab w:val="left" w:pos="851"/>
        </w:tabs>
        <w:snapToGrid w:val="0"/>
        <w:spacing w:before="0"/>
        <w:jc w:val="both"/>
      </w:pPr>
      <w:r>
        <w:t>2</w:t>
      </w:r>
      <w:r w:rsidR="00CB39B4">
        <w:t>2</w:t>
      </w:r>
      <w:r>
        <w:tab/>
      </w:r>
      <w:r w:rsidR="003656A7" w:rsidRPr="006B5EB0">
        <w:t>The asset comparison show</w:t>
      </w:r>
      <w:r w:rsidR="003656A7">
        <w:t>s</w:t>
      </w:r>
      <w:r w:rsidR="003656A7" w:rsidRPr="006B5EB0">
        <w:t xml:space="preserve"> a </w:t>
      </w:r>
      <w:r w:rsidR="003656A7">
        <w:t>reclassification of the cash</w:t>
      </w:r>
      <w:r w:rsidR="003656A7" w:rsidRPr="006B5EB0">
        <w:t xml:space="preserve"> from investments to the cash and cash equivalent</w:t>
      </w:r>
      <w:r w:rsidR="003656A7">
        <w:t>s</w:t>
      </w:r>
      <w:r w:rsidR="003656A7" w:rsidRPr="006B5EB0">
        <w:t xml:space="preserve">. </w:t>
      </w:r>
      <w:r w:rsidR="00B4202F">
        <w:t xml:space="preserve"> </w:t>
      </w:r>
      <w:r w:rsidR="003656A7" w:rsidRPr="006B5EB0">
        <w:t xml:space="preserve">Further to the introduction </w:t>
      </w:r>
      <w:r w:rsidR="003656A7">
        <w:t xml:space="preserve">in 2015 </w:t>
      </w:r>
      <w:r w:rsidR="003656A7" w:rsidRPr="006B5EB0">
        <w:t xml:space="preserve">of the negative interest on the </w:t>
      </w:r>
      <w:r w:rsidR="003656A7">
        <w:t xml:space="preserve">Swiss Francs and </w:t>
      </w:r>
      <w:r w:rsidR="00A01021">
        <w:t>the E</w:t>
      </w:r>
      <w:r w:rsidR="003656A7">
        <w:t>uros</w:t>
      </w:r>
      <w:r w:rsidR="003656A7" w:rsidRPr="006B5EB0">
        <w:t>, the ITU had to reorganize the treasury which result</w:t>
      </w:r>
      <w:r w:rsidR="003656A7">
        <w:t xml:space="preserve">ed </w:t>
      </w:r>
      <w:r w:rsidR="00682949">
        <w:t>in</w:t>
      </w:r>
      <w:r w:rsidR="003656A7">
        <w:t xml:space="preserve"> </w:t>
      </w:r>
      <w:r w:rsidR="003656A7" w:rsidRPr="006B5EB0">
        <w:t xml:space="preserve">a </w:t>
      </w:r>
      <w:r w:rsidR="003656A7">
        <w:t>splitting of the cash among several banks through current accounts instead of short term deposit accounts as previously used.</w:t>
      </w:r>
    </w:p>
    <w:p w:rsidR="003656A7" w:rsidRPr="00790802" w:rsidRDefault="003656A7" w:rsidP="00464B16">
      <w:pPr>
        <w:tabs>
          <w:tab w:val="left" w:pos="851"/>
        </w:tabs>
        <w:snapToGrid w:val="0"/>
        <w:spacing w:before="0"/>
        <w:jc w:val="both"/>
      </w:pPr>
    </w:p>
    <w:p w:rsidR="003656A7" w:rsidRPr="00D701F7" w:rsidRDefault="003656A7" w:rsidP="00373677">
      <w:pPr>
        <w:pStyle w:val="ListParagraph"/>
        <w:tabs>
          <w:tab w:val="left" w:pos="851"/>
        </w:tabs>
        <w:snapToGrid w:val="0"/>
        <w:ind w:left="0"/>
        <w:jc w:val="both"/>
        <w:rPr>
          <w:rFonts w:ascii="Calibri" w:hAnsi="Calibri"/>
          <w:b/>
          <w:bCs/>
          <w:sz w:val="28"/>
          <w:szCs w:val="28"/>
          <w:u w:val="single"/>
        </w:rPr>
      </w:pPr>
      <w:r w:rsidRPr="00D701F7">
        <w:rPr>
          <w:rFonts w:ascii="Calibri" w:hAnsi="Calibri"/>
          <w:b/>
          <w:bCs/>
          <w:sz w:val="28"/>
          <w:szCs w:val="28"/>
          <w:u w:val="single"/>
        </w:rPr>
        <w:t xml:space="preserve">Financial position: </w:t>
      </w:r>
      <w:r w:rsidR="00682949" w:rsidRPr="00D701F7">
        <w:rPr>
          <w:rFonts w:ascii="Calibri" w:hAnsi="Calibri"/>
          <w:b/>
          <w:bCs/>
          <w:sz w:val="28"/>
          <w:szCs w:val="28"/>
          <w:u w:val="single"/>
        </w:rPr>
        <w:t xml:space="preserve"> </w:t>
      </w:r>
      <w:r w:rsidR="00120C62" w:rsidRPr="00D701F7">
        <w:rPr>
          <w:rFonts w:ascii="Calibri" w:hAnsi="Calibri"/>
          <w:b/>
          <w:bCs/>
          <w:sz w:val="28"/>
          <w:szCs w:val="28"/>
          <w:u w:val="single"/>
        </w:rPr>
        <w:t xml:space="preserve">liabilities </w:t>
      </w:r>
      <w:r w:rsidRPr="00D701F7">
        <w:rPr>
          <w:rFonts w:ascii="Calibri" w:hAnsi="Calibri"/>
          <w:b/>
          <w:bCs/>
          <w:sz w:val="28"/>
          <w:szCs w:val="28"/>
          <w:u w:val="single"/>
        </w:rPr>
        <w:t>representation for 201</w:t>
      </w:r>
      <w:r w:rsidR="00F27718" w:rsidRPr="00D701F7">
        <w:rPr>
          <w:rFonts w:ascii="Calibri" w:hAnsi="Calibri"/>
          <w:b/>
          <w:bCs/>
          <w:sz w:val="28"/>
          <w:szCs w:val="28"/>
          <w:u w:val="single"/>
        </w:rPr>
        <w:t>7</w:t>
      </w:r>
    </w:p>
    <w:p w:rsidR="00CF43D8" w:rsidRDefault="00CF43D8" w:rsidP="00464B16">
      <w:pPr>
        <w:tabs>
          <w:tab w:val="left" w:pos="851"/>
        </w:tabs>
        <w:snapToGrid w:val="0"/>
        <w:spacing w:before="0"/>
        <w:jc w:val="both"/>
      </w:pPr>
    </w:p>
    <w:p w:rsidR="00CF43D8" w:rsidRDefault="00D701F7" w:rsidP="0062532D">
      <w:pPr>
        <w:snapToGrid w:val="0"/>
        <w:spacing w:after="120"/>
        <w:jc w:val="center"/>
      </w:pPr>
      <w:r>
        <w:rPr>
          <w:noProof/>
          <w:lang w:val="en-US" w:eastAsia="zh-CN"/>
        </w:rPr>
        <w:drawing>
          <wp:inline distT="0" distB="0" distL="0" distR="0" wp14:anchorId="41A41650" wp14:editId="4EF8DFB1">
            <wp:extent cx="4572000" cy="2852737"/>
            <wp:effectExtent l="0" t="0" r="0" b="508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D6475" w:rsidRPr="00CF43D8" w:rsidRDefault="006D6475" w:rsidP="00373677">
      <w:pPr>
        <w:snapToGrid w:val="0"/>
        <w:spacing w:before="0"/>
        <w:jc w:val="both"/>
      </w:pPr>
    </w:p>
    <w:p w:rsidR="00CF43D8" w:rsidRPr="00DF5DD9" w:rsidRDefault="00CF43D8" w:rsidP="00373677">
      <w:pPr>
        <w:pStyle w:val="ListParagraph"/>
        <w:tabs>
          <w:tab w:val="left" w:pos="851"/>
        </w:tabs>
        <w:adjustRightInd w:val="0"/>
        <w:snapToGrid w:val="0"/>
        <w:ind w:left="0"/>
        <w:contextualSpacing w:val="0"/>
        <w:rPr>
          <w:rFonts w:ascii="Calibri" w:hAnsi="Calibri"/>
        </w:rPr>
      </w:pPr>
      <w:r w:rsidRPr="00D701F7">
        <w:rPr>
          <w:rFonts w:ascii="Calibri" w:hAnsi="Calibri"/>
          <w:b/>
          <w:bCs/>
          <w:sz w:val="28"/>
          <w:szCs w:val="28"/>
          <w:u w:val="single"/>
        </w:rPr>
        <w:t xml:space="preserve">Liabilities </w:t>
      </w:r>
      <w:r w:rsidR="0081414D" w:rsidRPr="00D701F7">
        <w:rPr>
          <w:rFonts w:ascii="Calibri" w:hAnsi="Calibri"/>
          <w:b/>
          <w:bCs/>
          <w:sz w:val="28"/>
          <w:szCs w:val="28"/>
          <w:u w:val="single"/>
        </w:rPr>
        <w:t>comparison:</w:t>
      </w:r>
      <w:r w:rsidR="001C63B9" w:rsidRPr="00D701F7">
        <w:rPr>
          <w:rFonts w:ascii="Calibri" w:hAnsi="Calibri"/>
          <w:b/>
          <w:bCs/>
          <w:sz w:val="28"/>
          <w:szCs w:val="28"/>
          <w:u w:val="single"/>
        </w:rPr>
        <w:t xml:space="preserve"> </w:t>
      </w:r>
      <w:r w:rsidR="00D007B2" w:rsidRPr="00D701F7">
        <w:rPr>
          <w:rFonts w:ascii="Calibri" w:hAnsi="Calibri"/>
          <w:b/>
          <w:bCs/>
          <w:sz w:val="28"/>
          <w:szCs w:val="28"/>
          <w:u w:val="single"/>
        </w:rPr>
        <w:t xml:space="preserve"> </w:t>
      </w:r>
      <w:r w:rsidR="001C63B9" w:rsidRPr="00D701F7">
        <w:rPr>
          <w:rFonts w:ascii="Calibri" w:hAnsi="Calibri"/>
          <w:b/>
          <w:bCs/>
          <w:sz w:val="28"/>
          <w:szCs w:val="28"/>
          <w:u w:val="single"/>
        </w:rPr>
        <w:t xml:space="preserve">The liabilities </w:t>
      </w:r>
      <w:r w:rsidR="00D007B2" w:rsidRPr="00D701F7">
        <w:rPr>
          <w:rFonts w:ascii="Calibri" w:hAnsi="Calibri"/>
          <w:b/>
          <w:bCs/>
          <w:sz w:val="28"/>
          <w:szCs w:val="28"/>
          <w:u w:val="single"/>
        </w:rPr>
        <w:t>at</w:t>
      </w:r>
      <w:r w:rsidR="001C63B9" w:rsidRPr="00D701F7">
        <w:rPr>
          <w:rFonts w:ascii="Calibri" w:hAnsi="Calibri"/>
          <w:b/>
          <w:bCs/>
          <w:sz w:val="28"/>
          <w:szCs w:val="28"/>
          <w:u w:val="single"/>
        </w:rPr>
        <w:t xml:space="preserve"> 31</w:t>
      </w:r>
      <w:r w:rsidR="00D007B2" w:rsidRPr="00D701F7">
        <w:rPr>
          <w:rFonts w:ascii="Calibri" w:hAnsi="Calibri"/>
          <w:b/>
          <w:bCs/>
          <w:sz w:val="28"/>
          <w:szCs w:val="28"/>
          <w:u w:val="single"/>
        </w:rPr>
        <w:t xml:space="preserve"> December </w:t>
      </w:r>
      <w:r w:rsidR="001C63B9" w:rsidRPr="00D701F7">
        <w:rPr>
          <w:rFonts w:ascii="Calibri" w:hAnsi="Calibri"/>
          <w:b/>
          <w:bCs/>
          <w:sz w:val="28"/>
          <w:szCs w:val="28"/>
          <w:u w:val="single"/>
        </w:rPr>
        <w:t>201</w:t>
      </w:r>
      <w:r w:rsidR="00F27718" w:rsidRPr="00D701F7">
        <w:rPr>
          <w:rFonts w:ascii="Calibri" w:hAnsi="Calibri"/>
          <w:b/>
          <w:bCs/>
          <w:sz w:val="28"/>
          <w:szCs w:val="28"/>
          <w:u w:val="single"/>
        </w:rPr>
        <w:t>7</w:t>
      </w:r>
      <w:r w:rsidR="001C63B9" w:rsidRPr="00D701F7">
        <w:rPr>
          <w:rFonts w:ascii="Calibri" w:hAnsi="Calibri"/>
          <w:b/>
          <w:bCs/>
          <w:sz w:val="28"/>
          <w:szCs w:val="28"/>
          <w:u w:val="single"/>
        </w:rPr>
        <w:t xml:space="preserve"> </w:t>
      </w:r>
      <w:r w:rsidR="0081414D" w:rsidRPr="00D701F7">
        <w:rPr>
          <w:rFonts w:ascii="Calibri" w:hAnsi="Calibri"/>
          <w:b/>
          <w:bCs/>
          <w:sz w:val="28"/>
          <w:szCs w:val="28"/>
          <w:u w:val="single"/>
        </w:rPr>
        <w:t>tota</w:t>
      </w:r>
      <w:r w:rsidR="00D007B2" w:rsidRPr="00D701F7">
        <w:rPr>
          <w:rFonts w:ascii="Calibri" w:hAnsi="Calibri"/>
          <w:b/>
          <w:bCs/>
          <w:sz w:val="28"/>
          <w:szCs w:val="28"/>
          <w:u w:val="single"/>
        </w:rPr>
        <w:t>l</w:t>
      </w:r>
      <w:r w:rsidR="0081414D" w:rsidRPr="00D701F7">
        <w:rPr>
          <w:rFonts w:ascii="Calibri" w:hAnsi="Calibri"/>
          <w:b/>
          <w:bCs/>
          <w:sz w:val="28"/>
          <w:szCs w:val="28"/>
          <w:u w:val="single"/>
        </w:rPr>
        <w:t>ed</w:t>
      </w:r>
      <w:r w:rsidR="001C63B9" w:rsidRPr="00D701F7">
        <w:rPr>
          <w:rFonts w:ascii="Calibri" w:hAnsi="Calibri"/>
          <w:b/>
          <w:bCs/>
          <w:sz w:val="28"/>
          <w:szCs w:val="28"/>
          <w:u w:val="single"/>
        </w:rPr>
        <w:t xml:space="preserve"> CHF</w:t>
      </w:r>
      <w:r w:rsidR="00D007B2" w:rsidRPr="00D701F7">
        <w:rPr>
          <w:rFonts w:ascii="Calibri" w:hAnsi="Calibri"/>
          <w:b/>
          <w:bCs/>
          <w:sz w:val="28"/>
          <w:szCs w:val="28"/>
          <w:u w:val="single"/>
        </w:rPr>
        <w:t> </w:t>
      </w:r>
      <w:r w:rsidR="00C43BE9">
        <w:rPr>
          <w:rFonts w:ascii="Calibri" w:hAnsi="Calibri"/>
          <w:b/>
          <w:bCs/>
          <w:sz w:val="28"/>
          <w:szCs w:val="28"/>
          <w:u w:val="single"/>
        </w:rPr>
        <w:t>855.297</w:t>
      </w:r>
    </w:p>
    <w:p w:rsidR="0062532D" w:rsidRPr="00D007B2" w:rsidRDefault="0062532D" w:rsidP="00373677">
      <w:pPr>
        <w:snapToGrid w:val="0"/>
        <w:spacing w:before="0"/>
        <w:jc w:val="both"/>
        <w:rPr>
          <w:lang w:val="en-US"/>
        </w:rPr>
      </w:pPr>
    </w:p>
    <w:p w:rsidR="0062532D" w:rsidRPr="0062532D" w:rsidRDefault="00C43BE9" w:rsidP="0062532D">
      <w:pPr>
        <w:snapToGrid w:val="0"/>
        <w:spacing w:after="120"/>
        <w:jc w:val="center"/>
      </w:pPr>
      <w:r>
        <w:rPr>
          <w:noProof/>
          <w:lang w:val="en-US" w:eastAsia="zh-CN"/>
        </w:rPr>
        <w:drawing>
          <wp:inline distT="0" distB="0" distL="0" distR="0" wp14:anchorId="3CAA60F8" wp14:editId="6F56D17F">
            <wp:extent cx="4572000" cy="2743200"/>
            <wp:effectExtent l="0" t="0" r="0" b="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2532D" w:rsidRPr="00900CB3" w:rsidRDefault="0062532D" w:rsidP="005F7158">
      <w:pPr>
        <w:tabs>
          <w:tab w:val="clear" w:pos="567"/>
          <w:tab w:val="clear" w:pos="1134"/>
          <w:tab w:val="left" w:pos="851"/>
        </w:tabs>
        <w:snapToGrid w:val="0"/>
        <w:spacing w:before="0"/>
        <w:rPr>
          <w:sz w:val="23"/>
          <w:szCs w:val="23"/>
        </w:rPr>
      </w:pPr>
    </w:p>
    <w:p w:rsidR="0062532D" w:rsidRDefault="00DF5DD9" w:rsidP="005F7158">
      <w:pPr>
        <w:pStyle w:val="ListParagraph"/>
        <w:tabs>
          <w:tab w:val="left" w:pos="851"/>
        </w:tabs>
        <w:adjustRightInd w:val="0"/>
        <w:snapToGrid w:val="0"/>
        <w:ind w:left="0"/>
        <w:contextualSpacing w:val="0"/>
        <w:jc w:val="both"/>
        <w:rPr>
          <w:rFonts w:ascii="Calibri" w:eastAsia="Times New Roman" w:hAnsi="Calibri"/>
          <w:szCs w:val="20"/>
          <w:lang w:eastAsia="en-US"/>
        </w:rPr>
      </w:pPr>
      <w:r>
        <w:rPr>
          <w:rFonts w:ascii="Calibri" w:eastAsia="Times New Roman" w:hAnsi="Calibri"/>
          <w:szCs w:val="20"/>
          <w:lang w:eastAsia="en-US"/>
        </w:rPr>
        <w:t>2</w:t>
      </w:r>
      <w:r w:rsidR="00CB39B4">
        <w:rPr>
          <w:rFonts w:ascii="Calibri" w:eastAsia="Times New Roman" w:hAnsi="Calibri"/>
          <w:szCs w:val="20"/>
          <w:lang w:eastAsia="en-US"/>
        </w:rPr>
        <w:t>3</w:t>
      </w:r>
      <w:r w:rsidR="006C259C">
        <w:rPr>
          <w:rFonts w:ascii="Calibri" w:eastAsia="Times New Roman" w:hAnsi="Calibri"/>
          <w:szCs w:val="20"/>
          <w:lang w:eastAsia="en-US"/>
        </w:rPr>
        <w:tab/>
      </w:r>
      <w:r w:rsidR="0062532D" w:rsidRPr="0062532D">
        <w:rPr>
          <w:rFonts w:ascii="Calibri" w:eastAsia="Times New Roman" w:hAnsi="Calibri"/>
          <w:szCs w:val="20"/>
          <w:lang w:eastAsia="en-US"/>
        </w:rPr>
        <w:t xml:space="preserve">The most significant liabilities were the future employee benefits accrued by staff members and retirees. </w:t>
      </w:r>
      <w:r w:rsidR="00695AF2">
        <w:rPr>
          <w:rFonts w:ascii="Calibri" w:eastAsia="Times New Roman" w:hAnsi="Calibri"/>
          <w:szCs w:val="20"/>
          <w:lang w:eastAsia="en-US"/>
        </w:rPr>
        <w:t xml:space="preserve"> </w:t>
      </w:r>
      <w:r w:rsidR="0062532D" w:rsidRPr="0062532D">
        <w:rPr>
          <w:rFonts w:ascii="Calibri" w:eastAsia="Times New Roman" w:hAnsi="Calibri"/>
          <w:szCs w:val="20"/>
          <w:lang w:eastAsia="en-US"/>
        </w:rPr>
        <w:t xml:space="preserve">These represented </w:t>
      </w:r>
      <w:r w:rsidR="0062532D" w:rsidRPr="00C43BE9">
        <w:rPr>
          <w:rFonts w:ascii="Calibri" w:eastAsia="Times New Roman" w:hAnsi="Calibri"/>
          <w:szCs w:val="20"/>
          <w:lang w:eastAsia="en-US"/>
        </w:rPr>
        <w:t>7</w:t>
      </w:r>
      <w:r w:rsidR="00764773">
        <w:rPr>
          <w:rFonts w:ascii="Calibri" w:eastAsia="Times New Roman" w:hAnsi="Calibri"/>
          <w:szCs w:val="20"/>
          <w:lang w:eastAsia="en-US"/>
        </w:rPr>
        <w:t>2</w:t>
      </w:r>
      <w:r w:rsidR="0062532D" w:rsidRPr="0062532D">
        <w:rPr>
          <w:rFonts w:ascii="Calibri" w:eastAsia="Times New Roman" w:hAnsi="Calibri"/>
          <w:szCs w:val="20"/>
          <w:lang w:eastAsia="en-US"/>
        </w:rPr>
        <w:t xml:space="preserve"> per cent of the ITU’s total liabilities as at 31 December 201</w:t>
      </w:r>
      <w:r w:rsidR="00F27718">
        <w:rPr>
          <w:rFonts w:ascii="Calibri" w:eastAsia="Times New Roman" w:hAnsi="Calibri"/>
          <w:szCs w:val="20"/>
          <w:lang w:eastAsia="en-US"/>
        </w:rPr>
        <w:t>7</w:t>
      </w:r>
      <w:r w:rsidR="00352D54">
        <w:rPr>
          <w:rFonts w:ascii="Calibri" w:eastAsia="Times New Roman" w:hAnsi="Calibri"/>
          <w:szCs w:val="20"/>
          <w:lang w:eastAsia="en-US"/>
        </w:rPr>
        <w:t>.</w:t>
      </w:r>
    </w:p>
    <w:p w:rsidR="008E33CE" w:rsidRDefault="008E33CE" w:rsidP="005F7158">
      <w:pPr>
        <w:pStyle w:val="ListParagraph"/>
        <w:tabs>
          <w:tab w:val="left" w:pos="851"/>
        </w:tabs>
        <w:adjustRightInd w:val="0"/>
        <w:snapToGrid w:val="0"/>
        <w:ind w:left="0" w:firstLine="142"/>
        <w:contextualSpacing w:val="0"/>
        <w:jc w:val="both"/>
        <w:rPr>
          <w:rFonts w:ascii="Calibri" w:eastAsia="Times New Roman" w:hAnsi="Calibri"/>
          <w:szCs w:val="20"/>
          <w:lang w:eastAsia="en-US"/>
        </w:rPr>
      </w:pPr>
    </w:p>
    <w:p w:rsidR="008D4953" w:rsidRDefault="008D4953" w:rsidP="005F7158">
      <w:pPr>
        <w:tabs>
          <w:tab w:val="clear" w:pos="567"/>
          <w:tab w:val="clear" w:pos="1134"/>
          <w:tab w:val="clear" w:pos="1701"/>
          <w:tab w:val="clear" w:pos="2268"/>
          <w:tab w:val="clear" w:pos="2835"/>
        </w:tabs>
        <w:overflowPunct/>
        <w:autoSpaceDE/>
        <w:autoSpaceDN/>
        <w:snapToGrid w:val="0"/>
        <w:spacing w:before="0"/>
        <w:textAlignment w:val="auto"/>
        <w:rPr>
          <w:lang w:val="en-US"/>
        </w:rPr>
      </w:pPr>
      <w:r>
        <w:br w:type="page"/>
      </w:r>
    </w:p>
    <w:p w:rsidR="0062532D" w:rsidRDefault="00DF5DD9" w:rsidP="00383470">
      <w:pPr>
        <w:pStyle w:val="ListParagraph"/>
        <w:tabs>
          <w:tab w:val="left" w:pos="851"/>
        </w:tabs>
        <w:adjustRightInd w:val="0"/>
        <w:snapToGrid w:val="0"/>
        <w:ind w:left="0"/>
        <w:contextualSpacing w:val="0"/>
        <w:jc w:val="both"/>
        <w:rPr>
          <w:rFonts w:ascii="Calibri" w:eastAsia="Times New Roman" w:hAnsi="Calibri"/>
          <w:szCs w:val="20"/>
          <w:lang w:eastAsia="en-US"/>
        </w:rPr>
      </w:pPr>
      <w:r>
        <w:rPr>
          <w:rFonts w:ascii="Calibri" w:eastAsia="Times New Roman" w:hAnsi="Calibri"/>
          <w:szCs w:val="20"/>
          <w:lang w:eastAsia="en-US"/>
        </w:rPr>
        <w:t>2</w:t>
      </w:r>
      <w:r w:rsidR="00CB39B4">
        <w:rPr>
          <w:rFonts w:ascii="Calibri" w:eastAsia="Times New Roman" w:hAnsi="Calibri"/>
          <w:szCs w:val="20"/>
          <w:lang w:eastAsia="en-US"/>
        </w:rPr>
        <w:t>4</w:t>
      </w:r>
      <w:r w:rsidR="00341817">
        <w:rPr>
          <w:rFonts w:ascii="Calibri" w:eastAsia="Times New Roman" w:hAnsi="Calibri"/>
          <w:szCs w:val="20"/>
          <w:lang w:eastAsia="en-US"/>
        </w:rPr>
        <w:tab/>
      </w:r>
      <w:r w:rsidR="00B943FA" w:rsidRPr="00352D54">
        <w:rPr>
          <w:rFonts w:ascii="Calibri" w:eastAsia="Times New Roman" w:hAnsi="Calibri"/>
          <w:szCs w:val="20"/>
          <w:lang w:eastAsia="en-US"/>
        </w:rPr>
        <w:t>The ASHI liability represent</w:t>
      </w:r>
      <w:r w:rsidR="001C63B9">
        <w:rPr>
          <w:rFonts w:ascii="Calibri" w:eastAsia="Times New Roman" w:hAnsi="Calibri"/>
          <w:szCs w:val="20"/>
          <w:lang w:eastAsia="en-US"/>
        </w:rPr>
        <w:t xml:space="preserve">ed </w:t>
      </w:r>
      <w:r w:rsidR="00B943FA" w:rsidRPr="00764773">
        <w:rPr>
          <w:rFonts w:ascii="Calibri" w:eastAsia="Times New Roman" w:hAnsi="Calibri"/>
          <w:szCs w:val="20"/>
          <w:lang w:eastAsia="en-US"/>
        </w:rPr>
        <w:t>9</w:t>
      </w:r>
      <w:r w:rsidR="00764773" w:rsidRPr="00764773">
        <w:rPr>
          <w:rFonts w:ascii="Calibri" w:eastAsia="Times New Roman" w:hAnsi="Calibri"/>
          <w:szCs w:val="20"/>
          <w:lang w:eastAsia="en-US"/>
        </w:rPr>
        <w:t>7</w:t>
      </w:r>
      <w:r w:rsidR="008E33CE">
        <w:rPr>
          <w:rFonts w:ascii="Calibri" w:eastAsia="Times New Roman" w:hAnsi="Calibri"/>
          <w:szCs w:val="20"/>
          <w:lang w:eastAsia="en-US"/>
        </w:rPr>
        <w:t> per cent</w:t>
      </w:r>
      <w:r w:rsidR="00B943FA" w:rsidRPr="00352D54">
        <w:rPr>
          <w:rFonts w:ascii="Calibri" w:eastAsia="Times New Roman" w:hAnsi="Calibri"/>
          <w:szCs w:val="20"/>
          <w:lang w:eastAsia="en-US"/>
        </w:rPr>
        <w:t xml:space="preserve"> of the total employee benefits’ liability</w:t>
      </w:r>
      <w:r w:rsidR="008E33CE">
        <w:rPr>
          <w:rFonts w:ascii="Calibri" w:eastAsia="Times New Roman" w:hAnsi="Calibri"/>
          <w:szCs w:val="20"/>
          <w:lang w:eastAsia="en-US"/>
        </w:rPr>
        <w:t xml:space="preserve"> and i</w:t>
      </w:r>
      <w:r w:rsidR="001C63B9">
        <w:rPr>
          <w:rFonts w:ascii="Calibri" w:eastAsia="Times New Roman" w:hAnsi="Calibri"/>
          <w:szCs w:val="20"/>
          <w:lang w:eastAsia="en-US"/>
        </w:rPr>
        <w:t>n 201</w:t>
      </w:r>
      <w:r w:rsidR="00F27718">
        <w:rPr>
          <w:rFonts w:ascii="Calibri" w:eastAsia="Times New Roman" w:hAnsi="Calibri"/>
          <w:szCs w:val="20"/>
          <w:lang w:eastAsia="en-US"/>
        </w:rPr>
        <w:t>7</w:t>
      </w:r>
      <w:r w:rsidR="001C63B9">
        <w:rPr>
          <w:rFonts w:ascii="Calibri" w:eastAsia="Times New Roman" w:hAnsi="Calibri"/>
          <w:szCs w:val="20"/>
          <w:lang w:eastAsia="en-US"/>
        </w:rPr>
        <w:t xml:space="preserve"> showed an increase </w:t>
      </w:r>
      <w:r w:rsidR="00764773">
        <w:rPr>
          <w:rFonts w:ascii="Calibri" w:eastAsia="Times New Roman" w:hAnsi="Calibri"/>
          <w:szCs w:val="20"/>
          <w:lang w:eastAsia="en-US"/>
        </w:rPr>
        <w:t xml:space="preserve">mainly </w:t>
      </w:r>
      <w:r w:rsidR="001C63B9">
        <w:rPr>
          <w:rFonts w:ascii="Calibri" w:eastAsia="Times New Roman" w:hAnsi="Calibri"/>
          <w:szCs w:val="20"/>
          <w:lang w:eastAsia="en-US"/>
        </w:rPr>
        <w:t>due to the</w:t>
      </w:r>
      <w:r w:rsidR="007604B9">
        <w:rPr>
          <w:rFonts w:ascii="Calibri" w:eastAsia="Times New Roman" w:hAnsi="Calibri"/>
          <w:szCs w:val="20"/>
          <w:lang w:eastAsia="en-US"/>
        </w:rPr>
        <w:t xml:space="preserve"> </w:t>
      </w:r>
      <w:r w:rsidR="00764773">
        <w:rPr>
          <w:rFonts w:ascii="Calibri" w:eastAsia="Times New Roman" w:hAnsi="Calibri"/>
          <w:szCs w:val="20"/>
          <w:lang w:eastAsia="en-US"/>
        </w:rPr>
        <w:t>update of the demographic assumption provided by the UN to all the organization</w:t>
      </w:r>
      <w:r w:rsidR="00BE238A">
        <w:rPr>
          <w:rFonts w:ascii="Calibri" w:eastAsia="Times New Roman" w:hAnsi="Calibri"/>
          <w:szCs w:val="20"/>
          <w:lang w:eastAsia="en-US"/>
        </w:rPr>
        <w:t>s</w:t>
      </w:r>
      <w:r w:rsidR="00764773">
        <w:rPr>
          <w:rFonts w:ascii="Calibri" w:eastAsia="Times New Roman" w:hAnsi="Calibri"/>
          <w:szCs w:val="20"/>
          <w:lang w:eastAsia="en-US"/>
        </w:rPr>
        <w:t xml:space="preserve"> but also to a </w:t>
      </w:r>
      <w:r w:rsidR="007604B9">
        <w:rPr>
          <w:rFonts w:ascii="Calibri" w:eastAsia="Times New Roman" w:hAnsi="Calibri"/>
          <w:szCs w:val="20"/>
          <w:lang w:eastAsia="en-US"/>
        </w:rPr>
        <w:t xml:space="preserve">decrease of the discount rate </w:t>
      </w:r>
      <w:r w:rsidR="008E33CE">
        <w:rPr>
          <w:rFonts w:ascii="Calibri" w:eastAsia="Times New Roman" w:hAnsi="Calibri"/>
          <w:szCs w:val="20"/>
          <w:lang w:eastAsia="en-US"/>
        </w:rPr>
        <w:t xml:space="preserve">at </w:t>
      </w:r>
      <w:r w:rsidR="001C63B9">
        <w:rPr>
          <w:rFonts w:ascii="Calibri" w:eastAsia="Times New Roman" w:hAnsi="Calibri"/>
          <w:szCs w:val="20"/>
          <w:lang w:eastAsia="en-US"/>
        </w:rPr>
        <w:t>0.9</w:t>
      </w:r>
      <w:r w:rsidR="00F27718">
        <w:rPr>
          <w:rFonts w:ascii="Calibri" w:eastAsia="Times New Roman" w:hAnsi="Calibri"/>
          <w:szCs w:val="20"/>
          <w:lang w:eastAsia="en-US"/>
        </w:rPr>
        <w:t>0</w:t>
      </w:r>
      <w:r w:rsidR="008E33CE">
        <w:rPr>
          <w:rFonts w:ascii="Calibri" w:eastAsia="Times New Roman" w:hAnsi="Calibri"/>
          <w:szCs w:val="20"/>
          <w:lang w:eastAsia="en-US"/>
        </w:rPr>
        <w:t> per cent</w:t>
      </w:r>
      <w:r w:rsidR="001C63B9">
        <w:rPr>
          <w:rFonts w:ascii="Calibri" w:eastAsia="Times New Roman" w:hAnsi="Calibri"/>
          <w:szCs w:val="20"/>
          <w:lang w:eastAsia="en-US"/>
        </w:rPr>
        <w:t xml:space="preserve"> in 201</w:t>
      </w:r>
      <w:r w:rsidR="00F27718">
        <w:rPr>
          <w:rFonts w:ascii="Calibri" w:eastAsia="Times New Roman" w:hAnsi="Calibri"/>
          <w:szCs w:val="20"/>
          <w:lang w:eastAsia="en-US"/>
        </w:rPr>
        <w:t>7</w:t>
      </w:r>
      <w:r w:rsidR="001C63B9">
        <w:rPr>
          <w:rFonts w:ascii="Calibri" w:eastAsia="Times New Roman" w:hAnsi="Calibri"/>
          <w:szCs w:val="20"/>
          <w:lang w:eastAsia="en-US"/>
        </w:rPr>
        <w:t xml:space="preserve"> </w:t>
      </w:r>
      <w:r w:rsidR="007604B9">
        <w:rPr>
          <w:rFonts w:ascii="Calibri" w:eastAsia="Times New Roman" w:hAnsi="Calibri"/>
          <w:szCs w:val="20"/>
          <w:lang w:eastAsia="en-US"/>
        </w:rPr>
        <w:t xml:space="preserve">(against </w:t>
      </w:r>
      <w:r w:rsidR="00F27718">
        <w:rPr>
          <w:rFonts w:ascii="Calibri" w:eastAsia="Times New Roman" w:hAnsi="Calibri"/>
          <w:szCs w:val="20"/>
          <w:lang w:eastAsia="en-US"/>
        </w:rPr>
        <w:t>0.92</w:t>
      </w:r>
      <w:r w:rsidR="00383470">
        <w:rPr>
          <w:rFonts w:ascii="Calibri" w:eastAsia="Times New Roman" w:hAnsi="Calibri"/>
          <w:szCs w:val="20"/>
          <w:lang w:eastAsia="en-US"/>
        </w:rPr>
        <w:t> </w:t>
      </w:r>
      <w:r w:rsidR="008E33CE">
        <w:rPr>
          <w:rFonts w:ascii="Calibri" w:eastAsia="Times New Roman" w:hAnsi="Calibri"/>
          <w:szCs w:val="20"/>
          <w:lang w:eastAsia="en-US"/>
        </w:rPr>
        <w:t>per cent</w:t>
      </w:r>
      <w:r w:rsidR="001C63B9">
        <w:rPr>
          <w:rFonts w:ascii="Calibri" w:eastAsia="Times New Roman" w:hAnsi="Calibri"/>
          <w:szCs w:val="20"/>
          <w:lang w:eastAsia="en-US"/>
        </w:rPr>
        <w:t xml:space="preserve"> </w:t>
      </w:r>
      <w:r w:rsidR="00D34A54">
        <w:rPr>
          <w:rFonts w:ascii="Calibri" w:eastAsia="Times New Roman" w:hAnsi="Calibri"/>
          <w:szCs w:val="20"/>
          <w:lang w:eastAsia="en-US"/>
        </w:rPr>
        <w:t>in</w:t>
      </w:r>
      <w:r w:rsidR="001C63B9">
        <w:rPr>
          <w:rFonts w:ascii="Calibri" w:eastAsia="Times New Roman" w:hAnsi="Calibri"/>
          <w:szCs w:val="20"/>
          <w:lang w:eastAsia="en-US"/>
        </w:rPr>
        <w:t xml:space="preserve"> 201</w:t>
      </w:r>
      <w:r w:rsidR="00F27718">
        <w:rPr>
          <w:rFonts w:ascii="Calibri" w:eastAsia="Times New Roman" w:hAnsi="Calibri"/>
          <w:szCs w:val="20"/>
          <w:lang w:eastAsia="en-US"/>
        </w:rPr>
        <w:t>6</w:t>
      </w:r>
      <w:r w:rsidR="001C63B9">
        <w:rPr>
          <w:rFonts w:ascii="Calibri" w:eastAsia="Times New Roman" w:hAnsi="Calibri"/>
          <w:szCs w:val="20"/>
          <w:lang w:eastAsia="en-US"/>
        </w:rPr>
        <w:t>)</w:t>
      </w:r>
      <w:r w:rsidR="00764773">
        <w:rPr>
          <w:rFonts w:ascii="Calibri" w:eastAsia="Times New Roman" w:hAnsi="Calibri"/>
          <w:szCs w:val="20"/>
          <w:lang w:eastAsia="en-US"/>
        </w:rPr>
        <w:t>.</w:t>
      </w:r>
    </w:p>
    <w:p w:rsidR="00352D54" w:rsidRPr="00341817" w:rsidRDefault="00352D54" w:rsidP="005F7158">
      <w:pPr>
        <w:pStyle w:val="ListParagraph"/>
        <w:tabs>
          <w:tab w:val="left" w:pos="0"/>
          <w:tab w:val="left" w:pos="851"/>
        </w:tabs>
        <w:adjustRightInd w:val="0"/>
        <w:snapToGrid w:val="0"/>
        <w:ind w:left="0"/>
        <w:contextualSpacing w:val="0"/>
        <w:jc w:val="both"/>
        <w:rPr>
          <w:rFonts w:ascii="Calibri" w:eastAsia="Times New Roman" w:hAnsi="Calibri"/>
          <w:szCs w:val="20"/>
          <w:lang w:eastAsia="en-US"/>
        </w:rPr>
      </w:pPr>
    </w:p>
    <w:p w:rsidR="00352D54" w:rsidRPr="00DF5DD9" w:rsidRDefault="00352D54" w:rsidP="005F7158">
      <w:pPr>
        <w:pStyle w:val="ListParagraph"/>
        <w:numPr>
          <w:ilvl w:val="0"/>
          <w:numId w:val="25"/>
        </w:numPr>
        <w:tabs>
          <w:tab w:val="left" w:pos="0"/>
          <w:tab w:val="left" w:pos="851"/>
        </w:tabs>
        <w:adjustRightInd w:val="0"/>
        <w:snapToGrid w:val="0"/>
        <w:ind w:left="0" w:firstLine="0"/>
        <w:contextualSpacing w:val="0"/>
        <w:jc w:val="both"/>
        <w:rPr>
          <w:rFonts w:ascii="Calibri" w:hAnsi="Calibri"/>
        </w:rPr>
      </w:pPr>
      <w:r w:rsidRPr="00DF5DD9">
        <w:rPr>
          <w:rFonts w:ascii="Calibri" w:hAnsi="Calibri"/>
        </w:rPr>
        <w:t>The 201</w:t>
      </w:r>
      <w:r w:rsidR="00F27718">
        <w:rPr>
          <w:rFonts w:ascii="Calibri" w:hAnsi="Calibri"/>
        </w:rPr>
        <w:t>7</w:t>
      </w:r>
      <w:r w:rsidRPr="00DF5DD9">
        <w:rPr>
          <w:rFonts w:ascii="Calibri" w:hAnsi="Calibri"/>
        </w:rPr>
        <w:t xml:space="preserve"> budgetary surplus was achieved through the continuous rigorous management of ITU resources, which also enabled to proceed with a limited number of early separation packages, on a case-by-case basis with the non-replacement of the position held by the staff, when beneficial for the Union.</w:t>
      </w:r>
    </w:p>
    <w:p w:rsidR="00352D54" w:rsidRPr="00C30673" w:rsidRDefault="00352D54" w:rsidP="005F7158">
      <w:pPr>
        <w:tabs>
          <w:tab w:val="clear" w:pos="567"/>
          <w:tab w:val="clear" w:pos="1134"/>
          <w:tab w:val="clear" w:pos="1701"/>
          <w:tab w:val="clear" w:pos="2268"/>
          <w:tab w:val="clear" w:pos="2835"/>
          <w:tab w:val="left" w:pos="0"/>
          <w:tab w:val="left" w:pos="851"/>
        </w:tabs>
        <w:snapToGrid w:val="0"/>
        <w:spacing w:before="0"/>
      </w:pPr>
    </w:p>
    <w:p w:rsidR="00352D54" w:rsidRPr="00FD56DA" w:rsidRDefault="00352D54" w:rsidP="005F7158">
      <w:pPr>
        <w:pStyle w:val="ListParagraph"/>
        <w:numPr>
          <w:ilvl w:val="0"/>
          <w:numId w:val="25"/>
        </w:numPr>
        <w:tabs>
          <w:tab w:val="left" w:pos="0"/>
          <w:tab w:val="left" w:pos="851"/>
        </w:tabs>
        <w:adjustRightInd w:val="0"/>
        <w:snapToGrid w:val="0"/>
        <w:ind w:left="0" w:firstLine="0"/>
        <w:contextualSpacing w:val="0"/>
        <w:jc w:val="both"/>
        <w:rPr>
          <w:rFonts w:ascii="Calibri" w:hAnsi="Calibri"/>
        </w:rPr>
      </w:pPr>
      <w:r w:rsidRPr="00FD56DA">
        <w:rPr>
          <w:rFonts w:ascii="Calibri" w:hAnsi="Calibri"/>
        </w:rPr>
        <w:t xml:space="preserve">It is to be noted that certain expenses were not budgeted. </w:t>
      </w:r>
      <w:r w:rsidR="008E33CE" w:rsidRPr="00FD56DA">
        <w:rPr>
          <w:rFonts w:ascii="Calibri" w:hAnsi="Calibri"/>
        </w:rPr>
        <w:t xml:space="preserve"> </w:t>
      </w:r>
      <w:r w:rsidRPr="00FD56DA">
        <w:rPr>
          <w:rFonts w:ascii="Calibri" w:hAnsi="Calibri"/>
        </w:rPr>
        <w:t xml:space="preserve">These include </w:t>
      </w:r>
      <w:r w:rsidR="008E33CE" w:rsidRPr="00FD56DA">
        <w:rPr>
          <w:rFonts w:ascii="Calibri" w:hAnsi="Calibri"/>
        </w:rPr>
        <w:t xml:space="preserve">mainly </w:t>
      </w:r>
      <w:r w:rsidRPr="00FD56DA">
        <w:rPr>
          <w:rFonts w:ascii="Calibri" w:hAnsi="Calibri"/>
        </w:rPr>
        <w:t xml:space="preserve">depreciation, unrealized exchange-rate losses and gains, and an adjustment of the provision for After-Service Health Insurance (ASHI). </w:t>
      </w:r>
      <w:r w:rsidR="008E33CE" w:rsidRPr="00FD56DA">
        <w:rPr>
          <w:rFonts w:ascii="Calibri" w:hAnsi="Calibri"/>
        </w:rPr>
        <w:t xml:space="preserve"> </w:t>
      </w:r>
      <w:r w:rsidRPr="00FD56DA">
        <w:rPr>
          <w:rFonts w:ascii="Calibri" w:hAnsi="Calibri"/>
        </w:rPr>
        <w:t xml:space="preserve">These expenses are mostly statistical and do not represent cash-outflows during the year. </w:t>
      </w:r>
      <w:r w:rsidR="008E33CE" w:rsidRPr="00FD56DA">
        <w:rPr>
          <w:rFonts w:ascii="Calibri" w:hAnsi="Calibri"/>
        </w:rPr>
        <w:t xml:space="preserve"> </w:t>
      </w:r>
      <w:r w:rsidRPr="00FD56DA">
        <w:rPr>
          <w:rFonts w:ascii="Calibri" w:hAnsi="Calibri"/>
        </w:rPr>
        <w:t>An overview of these positions is provided in Table V of this document - Comparison of budgeted amounts and actual amounts for the 201</w:t>
      </w:r>
      <w:r w:rsidR="00F27718">
        <w:rPr>
          <w:rFonts w:ascii="Calibri" w:hAnsi="Calibri"/>
        </w:rPr>
        <w:t>7</w:t>
      </w:r>
      <w:r w:rsidRPr="00FD56DA">
        <w:rPr>
          <w:rFonts w:ascii="Calibri" w:hAnsi="Calibri"/>
        </w:rPr>
        <w:t xml:space="preserve"> financial period.</w:t>
      </w:r>
    </w:p>
    <w:p w:rsidR="00A93635" w:rsidRPr="00C30673" w:rsidRDefault="00A93635" w:rsidP="005F7158">
      <w:pPr>
        <w:pStyle w:val="ListParagraph"/>
        <w:tabs>
          <w:tab w:val="left" w:pos="851"/>
        </w:tabs>
        <w:adjustRightInd w:val="0"/>
        <w:snapToGrid w:val="0"/>
        <w:ind w:left="0"/>
        <w:contextualSpacing w:val="0"/>
        <w:rPr>
          <w:rFonts w:ascii="Calibri" w:eastAsia="Times New Roman" w:hAnsi="Calibri"/>
          <w:szCs w:val="20"/>
          <w:lang w:eastAsia="en-US"/>
        </w:rPr>
      </w:pPr>
    </w:p>
    <w:p w:rsidR="00A93635" w:rsidRPr="00FD56DA" w:rsidRDefault="00172E99" w:rsidP="00170C8F">
      <w:pPr>
        <w:pStyle w:val="ListParagraph"/>
        <w:numPr>
          <w:ilvl w:val="0"/>
          <w:numId w:val="25"/>
        </w:numPr>
        <w:tabs>
          <w:tab w:val="left" w:pos="851"/>
        </w:tabs>
        <w:adjustRightInd w:val="0"/>
        <w:snapToGrid w:val="0"/>
        <w:ind w:left="0" w:firstLine="0"/>
        <w:contextualSpacing w:val="0"/>
        <w:jc w:val="both"/>
        <w:rPr>
          <w:rFonts w:ascii="Calibri" w:hAnsi="Calibri"/>
        </w:rPr>
      </w:pPr>
      <w:r w:rsidRPr="00FD56DA">
        <w:rPr>
          <w:rFonts w:ascii="Calibri" w:hAnsi="Calibri"/>
        </w:rPr>
        <w:t xml:space="preserve">Cash contributions received for trust funds amounted to </w:t>
      </w:r>
      <w:r w:rsidRPr="00CB7A85">
        <w:rPr>
          <w:rFonts w:ascii="Calibri" w:hAnsi="Calibri"/>
        </w:rPr>
        <w:t>CHF </w:t>
      </w:r>
      <w:r w:rsidR="00CB7A85" w:rsidRPr="00CB7A85">
        <w:rPr>
          <w:rFonts w:ascii="Calibri" w:hAnsi="Calibri"/>
        </w:rPr>
        <w:t>9.8</w:t>
      </w:r>
      <w:r w:rsidR="00CC36C4" w:rsidRPr="00CB7A85">
        <w:rPr>
          <w:rFonts w:ascii="Calibri" w:hAnsi="Calibri"/>
        </w:rPr>
        <w:t xml:space="preserve"> mi</w:t>
      </w:r>
      <w:r w:rsidRPr="00CB7A85">
        <w:rPr>
          <w:rFonts w:ascii="Calibri" w:hAnsi="Calibri"/>
        </w:rPr>
        <w:t>llion</w:t>
      </w:r>
      <w:r w:rsidRPr="00FD56DA">
        <w:rPr>
          <w:rFonts w:ascii="Calibri" w:hAnsi="Calibri"/>
        </w:rPr>
        <w:t xml:space="preserve"> in 201</w:t>
      </w:r>
      <w:r w:rsidR="00F27718">
        <w:rPr>
          <w:rFonts w:ascii="Calibri" w:hAnsi="Calibri"/>
        </w:rPr>
        <w:t>7</w:t>
      </w:r>
      <w:r w:rsidRPr="00FD56DA">
        <w:rPr>
          <w:rFonts w:ascii="Calibri" w:hAnsi="Calibri"/>
        </w:rPr>
        <w:t xml:space="preserve"> (CHF </w:t>
      </w:r>
      <w:r w:rsidR="00F27718">
        <w:rPr>
          <w:rFonts w:ascii="Calibri" w:hAnsi="Calibri"/>
        </w:rPr>
        <w:t>3.2</w:t>
      </w:r>
      <w:r w:rsidRPr="00FD56DA">
        <w:rPr>
          <w:rFonts w:ascii="Calibri" w:hAnsi="Calibri"/>
        </w:rPr>
        <w:t> million in 201</w:t>
      </w:r>
      <w:r w:rsidR="00F27718">
        <w:rPr>
          <w:rFonts w:ascii="Calibri" w:hAnsi="Calibri"/>
        </w:rPr>
        <w:t>6</w:t>
      </w:r>
      <w:r w:rsidRPr="00FD56DA">
        <w:rPr>
          <w:rFonts w:ascii="Calibri" w:hAnsi="Calibri"/>
        </w:rPr>
        <w:t>).</w:t>
      </w:r>
    </w:p>
    <w:p w:rsidR="00CC36C4" w:rsidRPr="006F39D5" w:rsidRDefault="00CC36C4" w:rsidP="005F7158">
      <w:pPr>
        <w:pStyle w:val="ListParagraph"/>
        <w:tabs>
          <w:tab w:val="left" w:pos="851"/>
        </w:tabs>
        <w:adjustRightInd w:val="0"/>
        <w:snapToGrid w:val="0"/>
        <w:ind w:left="0"/>
        <w:contextualSpacing w:val="0"/>
        <w:jc w:val="both"/>
        <w:rPr>
          <w:rFonts w:ascii="Calibri" w:eastAsia="Times New Roman" w:hAnsi="Calibri"/>
          <w:szCs w:val="20"/>
          <w:lang w:eastAsia="en-US"/>
        </w:rPr>
      </w:pPr>
    </w:p>
    <w:p w:rsidR="00A93635" w:rsidRPr="002214BA" w:rsidRDefault="00CC36C4" w:rsidP="005F7158">
      <w:pPr>
        <w:pStyle w:val="ListParagraph"/>
        <w:numPr>
          <w:ilvl w:val="0"/>
          <w:numId w:val="25"/>
        </w:numPr>
        <w:tabs>
          <w:tab w:val="left" w:pos="851"/>
        </w:tabs>
        <w:adjustRightInd w:val="0"/>
        <w:snapToGrid w:val="0"/>
        <w:ind w:left="0" w:firstLine="0"/>
        <w:contextualSpacing w:val="0"/>
        <w:jc w:val="both"/>
        <w:rPr>
          <w:rFonts w:ascii="Calibri" w:eastAsia="Times New Roman" w:hAnsi="Calibri"/>
          <w:szCs w:val="20"/>
          <w:lang w:eastAsia="en-US"/>
        </w:rPr>
      </w:pPr>
      <w:r w:rsidRPr="002214BA">
        <w:rPr>
          <w:rFonts w:ascii="Calibri" w:eastAsia="Times New Roman" w:hAnsi="Calibri"/>
          <w:szCs w:val="20"/>
          <w:lang w:eastAsia="en-US"/>
        </w:rPr>
        <w:t xml:space="preserve">Voluntary cash contributions received for the various activities amounted to </w:t>
      </w:r>
      <w:r w:rsidRPr="00CB7A85">
        <w:rPr>
          <w:rFonts w:ascii="Calibri" w:eastAsia="Times New Roman" w:hAnsi="Calibri"/>
          <w:szCs w:val="20"/>
          <w:lang w:eastAsia="en-US"/>
        </w:rPr>
        <w:t>CHF 1.</w:t>
      </w:r>
      <w:r w:rsidR="00CB7A85" w:rsidRPr="00CB7A85">
        <w:rPr>
          <w:rFonts w:ascii="Calibri" w:eastAsia="Times New Roman" w:hAnsi="Calibri"/>
          <w:szCs w:val="20"/>
          <w:lang w:eastAsia="en-US"/>
        </w:rPr>
        <w:t>3</w:t>
      </w:r>
      <w:r w:rsidRPr="00CB7A85">
        <w:rPr>
          <w:rFonts w:ascii="Calibri" w:eastAsia="Times New Roman" w:hAnsi="Calibri"/>
          <w:szCs w:val="20"/>
          <w:lang w:eastAsia="en-US"/>
        </w:rPr>
        <w:t> million</w:t>
      </w:r>
      <w:r w:rsidRPr="002214BA">
        <w:rPr>
          <w:rFonts w:ascii="Calibri" w:eastAsia="Times New Roman" w:hAnsi="Calibri"/>
          <w:szCs w:val="20"/>
          <w:lang w:eastAsia="en-US"/>
        </w:rPr>
        <w:t xml:space="preserve"> in 201</w:t>
      </w:r>
      <w:r w:rsidR="00F27718">
        <w:rPr>
          <w:rFonts w:ascii="Calibri" w:eastAsia="Times New Roman" w:hAnsi="Calibri"/>
          <w:szCs w:val="20"/>
          <w:lang w:eastAsia="en-US"/>
        </w:rPr>
        <w:t>7</w:t>
      </w:r>
      <w:r w:rsidRPr="002214BA">
        <w:rPr>
          <w:rFonts w:ascii="Calibri" w:hAnsi="Calibri"/>
        </w:rPr>
        <w:t xml:space="preserve"> (CHF </w:t>
      </w:r>
      <w:r w:rsidR="00F27718">
        <w:rPr>
          <w:rFonts w:ascii="Calibri" w:hAnsi="Calibri"/>
        </w:rPr>
        <w:t>1.06</w:t>
      </w:r>
      <w:r w:rsidRPr="002214BA">
        <w:rPr>
          <w:rFonts w:ascii="Calibri" w:hAnsi="Calibri"/>
        </w:rPr>
        <w:t xml:space="preserve"> million in 201</w:t>
      </w:r>
      <w:r w:rsidR="00F27718">
        <w:rPr>
          <w:rFonts w:ascii="Calibri" w:hAnsi="Calibri"/>
        </w:rPr>
        <w:t>6</w:t>
      </w:r>
      <w:r w:rsidRPr="002214BA">
        <w:rPr>
          <w:rFonts w:ascii="Calibri" w:hAnsi="Calibri"/>
        </w:rPr>
        <w:t>).</w:t>
      </w:r>
    </w:p>
    <w:p w:rsidR="00A93635" w:rsidRPr="00784410" w:rsidRDefault="00A93635" w:rsidP="005F7158">
      <w:pPr>
        <w:pStyle w:val="ListParagraph"/>
        <w:tabs>
          <w:tab w:val="left" w:pos="851"/>
        </w:tabs>
        <w:adjustRightInd w:val="0"/>
        <w:snapToGrid w:val="0"/>
        <w:ind w:left="0"/>
        <w:contextualSpacing w:val="0"/>
        <w:jc w:val="both"/>
        <w:rPr>
          <w:rFonts w:ascii="Calibri" w:eastAsia="Times New Roman" w:hAnsi="Calibri"/>
          <w:szCs w:val="20"/>
          <w:highlight w:val="yellow"/>
          <w:lang w:eastAsia="en-US"/>
        </w:rPr>
      </w:pPr>
    </w:p>
    <w:p w:rsidR="00A93635" w:rsidRPr="007F15D9" w:rsidRDefault="00A93635" w:rsidP="005F7158">
      <w:pPr>
        <w:pStyle w:val="ListParagraph"/>
        <w:numPr>
          <w:ilvl w:val="0"/>
          <w:numId w:val="25"/>
        </w:numPr>
        <w:tabs>
          <w:tab w:val="left" w:pos="851"/>
        </w:tabs>
        <w:adjustRightInd w:val="0"/>
        <w:snapToGrid w:val="0"/>
        <w:ind w:left="0" w:firstLine="0"/>
        <w:contextualSpacing w:val="0"/>
        <w:jc w:val="both"/>
        <w:rPr>
          <w:rFonts w:ascii="Calibri" w:eastAsia="Times New Roman" w:hAnsi="Calibri"/>
          <w:szCs w:val="20"/>
          <w:lang w:eastAsia="en-US"/>
        </w:rPr>
      </w:pPr>
      <w:r w:rsidRPr="007F15D9">
        <w:rPr>
          <w:rFonts w:ascii="Calibri" w:eastAsia="Times New Roman" w:hAnsi="Calibri"/>
          <w:szCs w:val="20"/>
          <w:lang w:eastAsia="en-US"/>
        </w:rPr>
        <w:t xml:space="preserve">The balance of the ICT Development Fund stood at CHF </w:t>
      </w:r>
      <w:r w:rsidR="001E0019">
        <w:rPr>
          <w:rFonts w:ascii="Calibri" w:eastAsia="Times New Roman" w:hAnsi="Calibri"/>
          <w:szCs w:val="20"/>
          <w:lang w:eastAsia="en-US"/>
        </w:rPr>
        <w:t xml:space="preserve">4.4 </w:t>
      </w:r>
      <w:r w:rsidRPr="001E0019">
        <w:rPr>
          <w:rFonts w:ascii="Calibri" w:eastAsia="Times New Roman" w:hAnsi="Calibri"/>
          <w:szCs w:val="20"/>
          <w:lang w:eastAsia="en-US"/>
        </w:rPr>
        <w:t>million</w:t>
      </w:r>
      <w:r w:rsidRPr="007F15D9">
        <w:rPr>
          <w:rFonts w:ascii="Calibri" w:eastAsia="Times New Roman" w:hAnsi="Calibri"/>
          <w:szCs w:val="20"/>
          <w:lang w:eastAsia="en-US"/>
        </w:rPr>
        <w:t xml:space="preserve"> at 31 December 201</w:t>
      </w:r>
      <w:r w:rsidR="00F27718">
        <w:rPr>
          <w:rFonts w:ascii="Calibri" w:eastAsia="Times New Roman" w:hAnsi="Calibri"/>
          <w:szCs w:val="20"/>
          <w:lang w:eastAsia="en-US"/>
        </w:rPr>
        <w:t>7</w:t>
      </w:r>
      <w:r w:rsidRPr="007F15D9">
        <w:rPr>
          <w:rFonts w:ascii="Calibri" w:eastAsia="Times New Roman" w:hAnsi="Calibri"/>
          <w:szCs w:val="20"/>
          <w:lang w:eastAsia="en-US"/>
        </w:rPr>
        <w:t xml:space="preserve"> (CHF </w:t>
      </w:r>
      <w:r w:rsidR="003C5125">
        <w:rPr>
          <w:rFonts w:ascii="Calibri" w:eastAsia="Times New Roman" w:hAnsi="Calibri"/>
          <w:szCs w:val="20"/>
          <w:lang w:eastAsia="en-US"/>
        </w:rPr>
        <w:t>2.</w:t>
      </w:r>
      <w:r w:rsidR="00F27718">
        <w:rPr>
          <w:rFonts w:ascii="Calibri" w:eastAsia="Times New Roman" w:hAnsi="Calibri"/>
          <w:szCs w:val="20"/>
          <w:lang w:eastAsia="en-US"/>
        </w:rPr>
        <w:t>5</w:t>
      </w:r>
      <w:r w:rsidR="003C5125">
        <w:rPr>
          <w:rFonts w:ascii="Calibri" w:eastAsia="Times New Roman" w:hAnsi="Calibri"/>
          <w:szCs w:val="20"/>
          <w:lang w:eastAsia="en-US"/>
        </w:rPr>
        <w:t xml:space="preserve"> </w:t>
      </w:r>
      <w:r w:rsidRPr="007F15D9">
        <w:rPr>
          <w:rFonts w:ascii="Calibri" w:eastAsia="Times New Roman" w:hAnsi="Calibri"/>
          <w:szCs w:val="20"/>
          <w:lang w:eastAsia="en-US"/>
        </w:rPr>
        <w:t>million at 31 December 201</w:t>
      </w:r>
      <w:r w:rsidR="00F27718">
        <w:rPr>
          <w:rFonts w:ascii="Calibri" w:eastAsia="Times New Roman" w:hAnsi="Calibri"/>
          <w:szCs w:val="20"/>
          <w:lang w:eastAsia="en-US"/>
        </w:rPr>
        <w:t>6</w:t>
      </w:r>
      <w:r w:rsidRPr="007F15D9">
        <w:rPr>
          <w:rFonts w:ascii="Calibri" w:eastAsia="Times New Roman" w:hAnsi="Calibri"/>
          <w:szCs w:val="20"/>
          <w:lang w:eastAsia="en-US"/>
        </w:rPr>
        <w:t>).</w:t>
      </w:r>
    </w:p>
    <w:p w:rsidR="00A93635" w:rsidRPr="00784410" w:rsidRDefault="00A93635" w:rsidP="005F7158">
      <w:pPr>
        <w:pStyle w:val="ListParagraph"/>
        <w:tabs>
          <w:tab w:val="left" w:pos="851"/>
        </w:tabs>
        <w:adjustRightInd w:val="0"/>
        <w:snapToGrid w:val="0"/>
        <w:ind w:left="0"/>
        <w:contextualSpacing w:val="0"/>
        <w:jc w:val="both"/>
        <w:rPr>
          <w:rFonts w:ascii="Calibri" w:eastAsia="Times New Roman" w:hAnsi="Calibri"/>
          <w:szCs w:val="20"/>
          <w:highlight w:val="yellow"/>
          <w:lang w:eastAsia="en-US"/>
        </w:rPr>
      </w:pPr>
    </w:p>
    <w:p w:rsidR="00A93635" w:rsidRPr="006F39D5" w:rsidRDefault="00A93635" w:rsidP="00383470">
      <w:pPr>
        <w:pStyle w:val="ListParagraph"/>
        <w:numPr>
          <w:ilvl w:val="0"/>
          <w:numId w:val="25"/>
        </w:numPr>
        <w:tabs>
          <w:tab w:val="left" w:pos="851"/>
        </w:tabs>
        <w:adjustRightInd w:val="0"/>
        <w:snapToGrid w:val="0"/>
        <w:ind w:left="0" w:firstLine="0"/>
        <w:contextualSpacing w:val="0"/>
        <w:jc w:val="both"/>
        <w:rPr>
          <w:rFonts w:ascii="Calibri" w:eastAsia="Times New Roman" w:hAnsi="Calibri"/>
          <w:szCs w:val="20"/>
          <w:lang w:eastAsia="en-US"/>
        </w:rPr>
      </w:pPr>
      <w:r w:rsidRPr="006F39D5">
        <w:rPr>
          <w:rFonts w:ascii="Calibri" w:eastAsia="Times New Roman" w:hAnsi="Calibri"/>
          <w:szCs w:val="20"/>
          <w:lang w:eastAsia="en-US"/>
        </w:rPr>
        <w:t>In 201</w:t>
      </w:r>
      <w:r w:rsidR="00F27718">
        <w:rPr>
          <w:rFonts w:ascii="Calibri" w:eastAsia="Times New Roman" w:hAnsi="Calibri"/>
          <w:szCs w:val="20"/>
          <w:lang w:eastAsia="en-US"/>
        </w:rPr>
        <w:t>7</w:t>
      </w:r>
      <w:r w:rsidRPr="006F39D5">
        <w:rPr>
          <w:rFonts w:ascii="Calibri" w:eastAsia="Times New Roman" w:hAnsi="Calibri"/>
          <w:szCs w:val="20"/>
          <w:lang w:eastAsia="en-US"/>
        </w:rPr>
        <w:t xml:space="preserve">, total expenses for UNDP projects amounted to </w:t>
      </w:r>
      <w:r w:rsidR="001E0019" w:rsidRPr="001E0019">
        <w:rPr>
          <w:rFonts w:ascii="Calibri" w:eastAsia="Times New Roman" w:hAnsi="Calibri"/>
          <w:szCs w:val="20"/>
          <w:lang w:eastAsia="en-US"/>
        </w:rPr>
        <w:t>K</w:t>
      </w:r>
      <w:r w:rsidRPr="001E0019">
        <w:rPr>
          <w:rFonts w:ascii="Calibri" w:eastAsia="Times New Roman" w:hAnsi="Calibri"/>
          <w:szCs w:val="20"/>
          <w:lang w:eastAsia="en-US"/>
        </w:rPr>
        <w:t xml:space="preserve">CHF </w:t>
      </w:r>
      <w:r w:rsidR="001E0019" w:rsidRPr="001E0019">
        <w:rPr>
          <w:rFonts w:ascii="Calibri" w:eastAsia="Times New Roman" w:hAnsi="Calibri"/>
          <w:szCs w:val="20"/>
          <w:lang w:eastAsia="en-US"/>
        </w:rPr>
        <w:t>25</w:t>
      </w:r>
      <w:r w:rsidRPr="006F39D5">
        <w:rPr>
          <w:rFonts w:ascii="Calibri" w:eastAsia="Times New Roman" w:hAnsi="Calibri"/>
          <w:szCs w:val="20"/>
          <w:lang w:eastAsia="en-US"/>
        </w:rPr>
        <w:t xml:space="preserve">, and for trust funds to </w:t>
      </w:r>
      <w:r w:rsidR="001E0019">
        <w:rPr>
          <w:rFonts w:ascii="Calibri" w:eastAsia="Times New Roman" w:hAnsi="Calibri"/>
          <w:szCs w:val="20"/>
          <w:lang w:eastAsia="en-US"/>
        </w:rPr>
        <w:t>K</w:t>
      </w:r>
      <w:r w:rsidRPr="001E0019">
        <w:rPr>
          <w:rFonts w:ascii="Calibri" w:eastAsia="Times New Roman" w:hAnsi="Calibri"/>
          <w:szCs w:val="20"/>
          <w:lang w:eastAsia="en-US"/>
        </w:rPr>
        <w:t>CHF </w:t>
      </w:r>
      <w:r w:rsidR="001E0019" w:rsidRPr="001E0019">
        <w:rPr>
          <w:rFonts w:ascii="Calibri" w:eastAsia="Times New Roman" w:hAnsi="Calibri"/>
          <w:szCs w:val="20"/>
          <w:lang w:eastAsia="en-US"/>
        </w:rPr>
        <w:t>8</w:t>
      </w:r>
      <w:r w:rsidR="001E0019">
        <w:rPr>
          <w:rFonts w:ascii="Calibri" w:eastAsia="Times New Roman" w:hAnsi="Calibri"/>
          <w:szCs w:val="20"/>
          <w:lang w:eastAsia="en-US"/>
        </w:rPr>
        <w:t>’</w:t>
      </w:r>
      <w:r w:rsidR="001E0019" w:rsidRPr="001E0019">
        <w:rPr>
          <w:rFonts w:ascii="Calibri" w:eastAsia="Times New Roman" w:hAnsi="Calibri"/>
          <w:szCs w:val="20"/>
          <w:lang w:eastAsia="en-US"/>
        </w:rPr>
        <w:t>9</w:t>
      </w:r>
      <w:r w:rsidR="001E0019">
        <w:rPr>
          <w:rFonts w:ascii="Calibri" w:eastAsia="Times New Roman" w:hAnsi="Calibri"/>
          <w:szCs w:val="20"/>
          <w:lang w:eastAsia="en-US"/>
        </w:rPr>
        <w:t>00.</w:t>
      </w:r>
      <w:r w:rsidRPr="006F39D5">
        <w:rPr>
          <w:rFonts w:ascii="Calibri" w:eastAsia="Times New Roman" w:hAnsi="Calibri"/>
          <w:szCs w:val="20"/>
          <w:lang w:eastAsia="en-US"/>
        </w:rPr>
        <w:t xml:space="preserve"> Total expenses under these projects thus amount to </w:t>
      </w:r>
      <w:r w:rsidRPr="001E0019">
        <w:rPr>
          <w:rFonts w:ascii="Calibri" w:eastAsia="Times New Roman" w:hAnsi="Calibri"/>
          <w:szCs w:val="20"/>
          <w:lang w:eastAsia="en-US"/>
        </w:rPr>
        <w:t xml:space="preserve">CHF </w:t>
      </w:r>
      <w:r w:rsidR="001E0019" w:rsidRPr="001E0019">
        <w:rPr>
          <w:rFonts w:ascii="Calibri" w:eastAsia="Times New Roman" w:hAnsi="Calibri"/>
          <w:szCs w:val="20"/>
          <w:lang w:eastAsia="en-US"/>
        </w:rPr>
        <w:t>8.9</w:t>
      </w:r>
      <w:r w:rsidRPr="001E0019">
        <w:rPr>
          <w:rFonts w:ascii="Calibri" w:eastAsia="Times New Roman" w:hAnsi="Calibri"/>
          <w:szCs w:val="20"/>
          <w:lang w:eastAsia="en-US"/>
        </w:rPr>
        <w:t> million</w:t>
      </w:r>
      <w:r w:rsidRPr="006F39D5">
        <w:rPr>
          <w:rFonts w:ascii="Calibri" w:eastAsia="Times New Roman" w:hAnsi="Calibri"/>
          <w:szCs w:val="20"/>
          <w:lang w:eastAsia="en-US"/>
        </w:rPr>
        <w:t>, generating CHF 0.5</w:t>
      </w:r>
      <w:r w:rsidR="00F27718">
        <w:rPr>
          <w:rFonts w:ascii="Calibri" w:eastAsia="Times New Roman" w:hAnsi="Calibri"/>
          <w:szCs w:val="20"/>
          <w:lang w:eastAsia="en-US"/>
        </w:rPr>
        <w:t>7</w:t>
      </w:r>
      <w:r w:rsidR="00383470">
        <w:rPr>
          <w:rFonts w:ascii="Calibri" w:eastAsia="Times New Roman" w:hAnsi="Calibri"/>
          <w:szCs w:val="20"/>
          <w:lang w:eastAsia="en-US"/>
        </w:rPr>
        <w:t> </w:t>
      </w:r>
      <w:r w:rsidRPr="006F39D5">
        <w:rPr>
          <w:rFonts w:ascii="Calibri" w:eastAsia="Times New Roman" w:hAnsi="Calibri"/>
          <w:szCs w:val="20"/>
          <w:lang w:eastAsia="en-US"/>
        </w:rPr>
        <w:t>million of project support revenue.</w:t>
      </w:r>
    </w:p>
    <w:p w:rsidR="00A93635" w:rsidRPr="00A93635" w:rsidRDefault="00A93635" w:rsidP="005F7158">
      <w:pPr>
        <w:pStyle w:val="ListParagraph"/>
        <w:tabs>
          <w:tab w:val="left" w:pos="851"/>
        </w:tabs>
        <w:adjustRightInd w:val="0"/>
        <w:snapToGrid w:val="0"/>
        <w:ind w:left="0"/>
        <w:contextualSpacing w:val="0"/>
        <w:rPr>
          <w:rFonts w:ascii="Calibri" w:eastAsia="Times New Roman" w:hAnsi="Calibri"/>
          <w:szCs w:val="20"/>
          <w:lang w:eastAsia="en-US"/>
        </w:rPr>
      </w:pPr>
    </w:p>
    <w:p w:rsidR="00A93635" w:rsidRDefault="00884F50" w:rsidP="00AE0A92">
      <w:pPr>
        <w:pStyle w:val="ListParagraph"/>
        <w:numPr>
          <w:ilvl w:val="0"/>
          <w:numId w:val="25"/>
        </w:numPr>
        <w:tabs>
          <w:tab w:val="left" w:pos="851"/>
        </w:tabs>
        <w:adjustRightInd w:val="0"/>
        <w:snapToGrid w:val="0"/>
        <w:ind w:left="0" w:firstLine="0"/>
        <w:contextualSpacing w:val="0"/>
        <w:jc w:val="both"/>
        <w:rPr>
          <w:rFonts w:ascii="Calibri" w:eastAsia="Times New Roman" w:hAnsi="Calibri"/>
          <w:szCs w:val="20"/>
          <w:lang w:eastAsia="en-US"/>
        </w:rPr>
      </w:pPr>
      <w:r>
        <w:rPr>
          <w:rFonts w:ascii="Calibri" w:eastAsia="Times New Roman" w:hAnsi="Calibri"/>
          <w:szCs w:val="20"/>
          <w:lang w:eastAsia="en-US"/>
        </w:rPr>
        <w:t>The ITU TELECOM World 201</w:t>
      </w:r>
      <w:r w:rsidR="00F27718">
        <w:rPr>
          <w:rFonts w:ascii="Calibri" w:eastAsia="Times New Roman" w:hAnsi="Calibri"/>
          <w:szCs w:val="20"/>
          <w:lang w:eastAsia="en-US"/>
        </w:rPr>
        <w:t>7</w:t>
      </w:r>
      <w:r>
        <w:rPr>
          <w:rFonts w:ascii="Calibri" w:eastAsia="Times New Roman" w:hAnsi="Calibri"/>
          <w:szCs w:val="20"/>
          <w:lang w:eastAsia="en-US"/>
        </w:rPr>
        <w:t xml:space="preserve"> closed the event with a surplus of KCHF </w:t>
      </w:r>
      <w:r w:rsidR="00F27718">
        <w:rPr>
          <w:rFonts w:ascii="Calibri" w:eastAsia="Times New Roman" w:hAnsi="Calibri"/>
          <w:szCs w:val="20"/>
          <w:lang w:eastAsia="en-US"/>
        </w:rPr>
        <w:t>23</w:t>
      </w:r>
      <w:r>
        <w:rPr>
          <w:rFonts w:ascii="Calibri" w:eastAsia="Times New Roman" w:hAnsi="Calibri"/>
          <w:szCs w:val="20"/>
          <w:lang w:eastAsia="en-US"/>
        </w:rPr>
        <w:t xml:space="preserve"> </w:t>
      </w:r>
      <w:r w:rsidR="00F60CD2">
        <w:rPr>
          <w:rFonts w:ascii="Calibri" w:eastAsia="Times New Roman" w:hAnsi="Calibri"/>
          <w:szCs w:val="20"/>
          <w:lang w:eastAsia="en-US"/>
        </w:rPr>
        <w:t>which</w:t>
      </w:r>
      <w:r>
        <w:rPr>
          <w:rFonts w:ascii="Calibri" w:eastAsia="Times New Roman" w:hAnsi="Calibri"/>
          <w:szCs w:val="20"/>
          <w:lang w:eastAsia="en-US"/>
        </w:rPr>
        <w:t xml:space="preserve"> was paid to the </w:t>
      </w:r>
      <w:r w:rsidRPr="00A93635">
        <w:rPr>
          <w:rFonts w:ascii="Calibri" w:eastAsia="Times New Roman" w:hAnsi="Calibri"/>
          <w:szCs w:val="20"/>
          <w:lang w:eastAsia="en-US"/>
        </w:rPr>
        <w:t>Exhibition Working Capital Fund</w:t>
      </w:r>
      <w:r>
        <w:rPr>
          <w:rFonts w:ascii="Calibri" w:eastAsia="Times New Roman" w:hAnsi="Calibri"/>
          <w:szCs w:val="20"/>
          <w:lang w:eastAsia="en-US"/>
        </w:rPr>
        <w:t xml:space="preserve">. </w:t>
      </w:r>
      <w:r w:rsidR="002214BA">
        <w:rPr>
          <w:rFonts w:ascii="Calibri" w:eastAsia="Times New Roman" w:hAnsi="Calibri"/>
          <w:szCs w:val="20"/>
          <w:lang w:eastAsia="en-US"/>
        </w:rPr>
        <w:t xml:space="preserve"> </w:t>
      </w:r>
      <w:r w:rsidR="00A93635" w:rsidRPr="00A93635">
        <w:rPr>
          <w:rFonts w:ascii="Calibri" w:eastAsia="Times New Roman" w:hAnsi="Calibri"/>
          <w:szCs w:val="20"/>
          <w:lang w:eastAsia="en-US"/>
        </w:rPr>
        <w:t>The balance of the Exhibition Working Capital Fund stood at CHF</w:t>
      </w:r>
      <w:r w:rsidR="00AE0A92">
        <w:rPr>
          <w:rFonts w:ascii="Calibri" w:eastAsia="Times New Roman" w:hAnsi="Calibri"/>
          <w:szCs w:val="20"/>
          <w:lang w:eastAsia="en-US"/>
        </w:rPr>
        <w:t> </w:t>
      </w:r>
      <w:r w:rsidR="00F27718">
        <w:rPr>
          <w:rFonts w:ascii="Calibri" w:eastAsia="Times New Roman" w:hAnsi="Calibri"/>
          <w:szCs w:val="20"/>
          <w:lang w:eastAsia="en-US"/>
        </w:rPr>
        <w:t>8.1</w:t>
      </w:r>
      <w:r w:rsidR="00A93635" w:rsidRPr="00A93635">
        <w:rPr>
          <w:rFonts w:ascii="Calibri" w:eastAsia="Times New Roman" w:hAnsi="Calibri"/>
          <w:szCs w:val="20"/>
          <w:lang w:eastAsia="en-US"/>
        </w:rPr>
        <w:t xml:space="preserve"> million at 31 December 201</w:t>
      </w:r>
      <w:r w:rsidR="00F27718">
        <w:rPr>
          <w:rFonts w:ascii="Calibri" w:eastAsia="Times New Roman" w:hAnsi="Calibri"/>
          <w:szCs w:val="20"/>
          <w:lang w:eastAsia="en-US"/>
        </w:rPr>
        <w:t>7</w:t>
      </w:r>
      <w:r w:rsidR="00A93635" w:rsidRPr="00A93635">
        <w:rPr>
          <w:rFonts w:ascii="Calibri" w:eastAsia="Times New Roman" w:hAnsi="Calibri"/>
          <w:szCs w:val="20"/>
          <w:lang w:eastAsia="en-US"/>
        </w:rPr>
        <w:t xml:space="preserve"> (CHF </w:t>
      </w:r>
      <w:r w:rsidR="00F27718">
        <w:rPr>
          <w:rFonts w:ascii="Calibri" w:eastAsia="Times New Roman" w:hAnsi="Calibri"/>
          <w:szCs w:val="20"/>
          <w:lang w:eastAsia="en-US"/>
        </w:rPr>
        <w:t>10.1</w:t>
      </w:r>
      <w:r w:rsidR="00A93635" w:rsidRPr="00A93635">
        <w:rPr>
          <w:rFonts w:ascii="Calibri" w:eastAsia="Times New Roman" w:hAnsi="Calibri"/>
          <w:szCs w:val="20"/>
          <w:lang w:eastAsia="en-US"/>
        </w:rPr>
        <w:t> million at 31 December 201</w:t>
      </w:r>
      <w:r w:rsidR="00F27718">
        <w:rPr>
          <w:rFonts w:ascii="Calibri" w:eastAsia="Times New Roman" w:hAnsi="Calibri"/>
          <w:szCs w:val="20"/>
          <w:lang w:eastAsia="en-US"/>
        </w:rPr>
        <w:t>6</w:t>
      </w:r>
      <w:r w:rsidR="00A93635" w:rsidRPr="00A93635">
        <w:rPr>
          <w:rFonts w:ascii="Calibri" w:eastAsia="Times New Roman" w:hAnsi="Calibri"/>
          <w:szCs w:val="20"/>
          <w:lang w:eastAsia="en-US"/>
        </w:rPr>
        <w:t>).</w:t>
      </w:r>
      <w:r w:rsidR="00F27718">
        <w:rPr>
          <w:rFonts w:ascii="Calibri" w:eastAsia="Times New Roman" w:hAnsi="Calibri"/>
          <w:szCs w:val="20"/>
          <w:lang w:eastAsia="en-US"/>
        </w:rPr>
        <w:t xml:space="preserve"> This decrease is explained by the transfer of USD 2 million to the ICTD Fund.</w:t>
      </w:r>
    </w:p>
    <w:p w:rsidR="00A93635" w:rsidRPr="00A93635" w:rsidRDefault="00A93635" w:rsidP="005F7158">
      <w:pPr>
        <w:pStyle w:val="ListParagraph"/>
        <w:tabs>
          <w:tab w:val="left" w:pos="851"/>
        </w:tabs>
        <w:adjustRightInd w:val="0"/>
        <w:snapToGrid w:val="0"/>
        <w:ind w:left="0"/>
        <w:contextualSpacing w:val="0"/>
        <w:rPr>
          <w:rFonts w:ascii="Calibri" w:eastAsia="Times New Roman" w:hAnsi="Calibri"/>
          <w:szCs w:val="20"/>
          <w:lang w:eastAsia="en-US"/>
        </w:rPr>
      </w:pPr>
    </w:p>
    <w:p w:rsidR="00A93635" w:rsidRDefault="00A93635" w:rsidP="005F7158">
      <w:pPr>
        <w:pStyle w:val="ListParagraph"/>
        <w:numPr>
          <w:ilvl w:val="0"/>
          <w:numId w:val="25"/>
        </w:numPr>
        <w:tabs>
          <w:tab w:val="left" w:pos="851"/>
        </w:tabs>
        <w:adjustRightInd w:val="0"/>
        <w:snapToGrid w:val="0"/>
        <w:ind w:left="0" w:firstLine="0"/>
        <w:contextualSpacing w:val="0"/>
        <w:jc w:val="both"/>
        <w:rPr>
          <w:rFonts w:ascii="Calibri" w:eastAsia="Times New Roman" w:hAnsi="Calibri"/>
          <w:szCs w:val="20"/>
          <w:lang w:eastAsia="en-US"/>
        </w:rPr>
      </w:pPr>
      <w:r>
        <w:rPr>
          <w:rFonts w:ascii="Calibri" w:eastAsia="Times New Roman" w:hAnsi="Calibri"/>
          <w:szCs w:val="20"/>
          <w:lang w:eastAsia="en-US"/>
        </w:rPr>
        <w:t>A</w:t>
      </w:r>
      <w:r w:rsidR="00F60CD2">
        <w:rPr>
          <w:rFonts w:ascii="Calibri" w:eastAsia="Times New Roman" w:hAnsi="Calibri"/>
          <w:szCs w:val="20"/>
          <w:lang w:eastAsia="en-US"/>
        </w:rPr>
        <w:t xml:space="preserve">nnex </w:t>
      </w:r>
      <w:r w:rsidR="00F60CD2" w:rsidRPr="007D3035">
        <w:rPr>
          <w:rFonts w:ascii="Calibri" w:eastAsia="Times New Roman" w:hAnsi="Calibri"/>
          <w:szCs w:val="20"/>
          <w:lang w:eastAsia="en-US"/>
        </w:rPr>
        <w:t>C</w:t>
      </w:r>
      <w:r w:rsidRPr="00A93635">
        <w:rPr>
          <w:rFonts w:ascii="Calibri" w:eastAsia="Times New Roman" w:hAnsi="Calibri"/>
          <w:szCs w:val="20"/>
          <w:lang w:eastAsia="en-US"/>
        </w:rPr>
        <w:t xml:space="preserve"> hereto shows changes in arrears with respect to TELECOM events.</w:t>
      </w:r>
    </w:p>
    <w:p w:rsidR="007D7C26" w:rsidRPr="00CA49D4" w:rsidRDefault="007D7C26" w:rsidP="002762FD">
      <w:pPr>
        <w:pStyle w:val="ListParagraph"/>
        <w:tabs>
          <w:tab w:val="left" w:pos="851"/>
        </w:tabs>
        <w:adjustRightInd w:val="0"/>
        <w:snapToGrid w:val="0"/>
        <w:ind w:left="0"/>
        <w:contextualSpacing w:val="0"/>
        <w:rPr>
          <w:rFonts w:ascii="Calibri" w:eastAsia="Times New Roman" w:hAnsi="Calibri"/>
          <w:szCs w:val="20"/>
          <w:lang w:eastAsia="en-US"/>
        </w:rPr>
      </w:pPr>
    </w:p>
    <w:p w:rsidR="007D7C26" w:rsidRDefault="007D7C26" w:rsidP="002762FD">
      <w:pPr>
        <w:pStyle w:val="ListParagraph"/>
        <w:numPr>
          <w:ilvl w:val="0"/>
          <w:numId w:val="25"/>
        </w:numPr>
        <w:tabs>
          <w:tab w:val="left" w:pos="851"/>
        </w:tabs>
        <w:adjustRightInd w:val="0"/>
        <w:snapToGrid w:val="0"/>
        <w:ind w:left="0" w:firstLine="0"/>
        <w:contextualSpacing w:val="0"/>
        <w:jc w:val="both"/>
        <w:rPr>
          <w:rFonts w:ascii="Calibri" w:eastAsia="Times New Roman" w:hAnsi="Calibri"/>
          <w:szCs w:val="20"/>
          <w:lang w:eastAsia="en-US"/>
        </w:rPr>
      </w:pPr>
      <w:r>
        <w:rPr>
          <w:rFonts w:ascii="Calibri" w:eastAsia="Times New Roman" w:hAnsi="Calibri"/>
          <w:szCs w:val="20"/>
          <w:lang w:eastAsia="en-US"/>
        </w:rPr>
        <w:t xml:space="preserve">The </w:t>
      </w:r>
      <w:r w:rsidRPr="00B87176">
        <w:rPr>
          <w:rFonts w:ascii="Calibri" w:eastAsia="Times New Roman" w:hAnsi="Calibri"/>
          <w:szCs w:val="20"/>
          <w:lang w:eastAsia="en-US"/>
        </w:rPr>
        <w:t xml:space="preserve">accompanying notes to the financial statements provide relevant information on financial aspects pertaining to the </w:t>
      </w:r>
      <w:r w:rsidRPr="00C370FC">
        <w:rPr>
          <w:rFonts w:ascii="Calibri" w:eastAsia="Times New Roman" w:hAnsi="Calibri"/>
          <w:szCs w:val="20"/>
          <w:lang w:eastAsia="en-US"/>
        </w:rPr>
        <w:t>201</w:t>
      </w:r>
      <w:r w:rsidR="00F27718">
        <w:rPr>
          <w:rFonts w:ascii="Calibri" w:eastAsia="Times New Roman" w:hAnsi="Calibri"/>
          <w:szCs w:val="20"/>
          <w:lang w:eastAsia="en-US"/>
        </w:rPr>
        <w:t>7</w:t>
      </w:r>
      <w:r w:rsidRPr="00C370FC">
        <w:rPr>
          <w:rFonts w:ascii="Calibri" w:eastAsia="Times New Roman" w:hAnsi="Calibri"/>
          <w:szCs w:val="20"/>
          <w:lang w:eastAsia="en-US"/>
        </w:rPr>
        <w:t xml:space="preserve"> period</w:t>
      </w:r>
      <w:r w:rsidR="00C370FC">
        <w:rPr>
          <w:rFonts w:ascii="Calibri" w:eastAsia="Times New Roman" w:hAnsi="Calibri"/>
          <w:szCs w:val="20"/>
          <w:lang w:eastAsia="en-US"/>
        </w:rPr>
        <w:t>.</w:t>
      </w:r>
    </w:p>
    <w:p w:rsidR="001509C2" w:rsidRPr="00645C3C" w:rsidRDefault="001509C2" w:rsidP="002762FD">
      <w:pPr>
        <w:pStyle w:val="ListParagraph"/>
        <w:tabs>
          <w:tab w:val="left" w:pos="851"/>
        </w:tabs>
        <w:adjustRightInd w:val="0"/>
        <w:snapToGrid w:val="0"/>
        <w:ind w:left="0"/>
        <w:contextualSpacing w:val="0"/>
        <w:jc w:val="both"/>
        <w:rPr>
          <w:rFonts w:ascii="Calibri" w:eastAsia="Times New Roman" w:hAnsi="Calibri"/>
          <w:szCs w:val="20"/>
          <w:lang w:eastAsia="en-US"/>
        </w:rPr>
      </w:pPr>
    </w:p>
    <w:p w:rsidR="001509C2" w:rsidRPr="00645C3C" w:rsidRDefault="001509C2" w:rsidP="002762FD">
      <w:pPr>
        <w:pStyle w:val="ListParagraph"/>
        <w:tabs>
          <w:tab w:val="left" w:pos="851"/>
        </w:tabs>
        <w:adjustRightInd w:val="0"/>
        <w:snapToGrid w:val="0"/>
        <w:ind w:left="0"/>
        <w:contextualSpacing w:val="0"/>
        <w:jc w:val="both"/>
        <w:rPr>
          <w:rFonts w:ascii="Calibri" w:hAnsi="Calibri"/>
          <w:b/>
          <w:bCs/>
        </w:rPr>
      </w:pPr>
      <w:r w:rsidRPr="00CB39B4">
        <w:rPr>
          <w:rFonts w:ascii="Calibri" w:hAnsi="Calibri"/>
          <w:b/>
          <w:bCs/>
        </w:rPr>
        <w:t>Financial key indicators</w:t>
      </w:r>
    </w:p>
    <w:p w:rsidR="001509C2" w:rsidRPr="00645C3C" w:rsidRDefault="001509C2" w:rsidP="002762FD">
      <w:pPr>
        <w:pStyle w:val="ListParagraph"/>
        <w:tabs>
          <w:tab w:val="left" w:pos="851"/>
        </w:tabs>
        <w:adjustRightInd w:val="0"/>
        <w:snapToGrid w:val="0"/>
        <w:ind w:left="0"/>
        <w:contextualSpacing w:val="0"/>
        <w:jc w:val="both"/>
        <w:rPr>
          <w:rFonts w:ascii="Calibri" w:eastAsia="Times New Roman" w:hAnsi="Calibri"/>
          <w:szCs w:val="20"/>
          <w:lang w:eastAsia="en-US"/>
        </w:rPr>
      </w:pPr>
    </w:p>
    <w:p w:rsidR="00C40BCA" w:rsidRPr="00645C3C" w:rsidRDefault="007D7C26" w:rsidP="002762FD">
      <w:pPr>
        <w:pStyle w:val="ListParagraph"/>
        <w:numPr>
          <w:ilvl w:val="0"/>
          <w:numId w:val="25"/>
        </w:numPr>
        <w:tabs>
          <w:tab w:val="left" w:pos="851"/>
        </w:tabs>
        <w:adjustRightInd w:val="0"/>
        <w:snapToGrid w:val="0"/>
        <w:ind w:left="0" w:firstLine="0"/>
        <w:contextualSpacing w:val="0"/>
        <w:jc w:val="both"/>
        <w:rPr>
          <w:rFonts w:ascii="Calibri" w:eastAsia="Times New Roman" w:hAnsi="Calibri"/>
          <w:szCs w:val="20"/>
          <w:lang w:eastAsia="en-US"/>
        </w:rPr>
      </w:pPr>
      <w:r w:rsidRPr="00645C3C">
        <w:rPr>
          <w:rFonts w:ascii="Calibri" w:eastAsia="Times New Roman" w:hAnsi="Calibri"/>
          <w:szCs w:val="20"/>
          <w:lang w:eastAsia="en-US"/>
        </w:rPr>
        <w:t>Following a recommendation made by the Council Working Group on Financial and Human Resources, ITU introduced in 2015 the presentation of Key indicators which is a useful tool in understanding the evolution of the financial situation of an organization and is of high importance in a results-based budgeting and results-based management framework</w:t>
      </w:r>
      <w:r w:rsidR="00CA49D4" w:rsidRPr="00645C3C">
        <w:rPr>
          <w:rFonts w:ascii="Calibri" w:eastAsia="Times New Roman" w:hAnsi="Calibri"/>
          <w:szCs w:val="20"/>
          <w:lang w:eastAsia="en-US"/>
        </w:rPr>
        <w:t>.</w:t>
      </w:r>
    </w:p>
    <w:p w:rsidR="00CA49D4" w:rsidRPr="00645C3C" w:rsidRDefault="00CA49D4" w:rsidP="002762FD">
      <w:pPr>
        <w:pStyle w:val="ListParagraph"/>
        <w:tabs>
          <w:tab w:val="left" w:pos="851"/>
        </w:tabs>
        <w:adjustRightInd w:val="0"/>
        <w:snapToGrid w:val="0"/>
        <w:ind w:left="0"/>
        <w:contextualSpacing w:val="0"/>
        <w:jc w:val="both"/>
        <w:rPr>
          <w:rFonts w:ascii="Calibri" w:eastAsia="Times New Roman" w:hAnsi="Calibri"/>
          <w:szCs w:val="20"/>
          <w:lang w:eastAsia="en-US"/>
        </w:rPr>
      </w:pPr>
    </w:p>
    <w:p w:rsidR="00A93635" w:rsidRPr="00645C3C" w:rsidRDefault="00C40BCA" w:rsidP="002762FD">
      <w:pPr>
        <w:pStyle w:val="ListParagraph"/>
        <w:numPr>
          <w:ilvl w:val="0"/>
          <w:numId w:val="25"/>
        </w:numPr>
        <w:tabs>
          <w:tab w:val="left" w:pos="851"/>
        </w:tabs>
        <w:adjustRightInd w:val="0"/>
        <w:snapToGrid w:val="0"/>
        <w:ind w:left="0" w:firstLine="0"/>
        <w:contextualSpacing w:val="0"/>
        <w:jc w:val="both"/>
        <w:rPr>
          <w:rFonts w:ascii="Calibri" w:eastAsia="Times New Roman" w:hAnsi="Calibri"/>
          <w:szCs w:val="20"/>
          <w:lang w:eastAsia="en-US"/>
        </w:rPr>
      </w:pPr>
      <w:r w:rsidRPr="00645C3C">
        <w:rPr>
          <w:rFonts w:ascii="Calibri" w:eastAsia="Times New Roman" w:hAnsi="Calibri"/>
          <w:szCs w:val="20"/>
          <w:lang w:eastAsia="en-US"/>
        </w:rPr>
        <w:t>Careful interpretation of the results of the indicators is necessary in order to obtain meaningful comparison with other United Nations organizations and specialized agencies</w:t>
      </w:r>
      <w:r w:rsidR="006C259C">
        <w:rPr>
          <w:rFonts w:ascii="Calibri" w:eastAsia="Times New Roman" w:hAnsi="Calibri"/>
          <w:szCs w:val="20"/>
          <w:lang w:eastAsia="en-US"/>
        </w:rPr>
        <w:t>.</w:t>
      </w:r>
    </w:p>
    <w:p w:rsidR="00AE2BDB" w:rsidRDefault="00AE2BDB" w:rsidP="005F7158">
      <w:pPr>
        <w:tabs>
          <w:tab w:val="clear" w:pos="567"/>
          <w:tab w:val="clear" w:pos="1134"/>
          <w:tab w:val="clear" w:pos="1701"/>
          <w:tab w:val="clear" w:pos="2268"/>
          <w:tab w:val="clear" w:pos="2835"/>
          <w:tab w:val="left" w:pos="851"/>
        </w:tabs>
        <w:overflowPunct/>
        <w:autoSpaceDE/>
        <w:autoSpaceDN/>
        <w:snapToGrid w:val="0"/>
        <w:spacing w:before="0"/>
        <w:textAlignment w:val="auto"/>
        <w:rPr>
          <w:rFonts w:eastAsia="SimSun"/>
          <w:szCs w:val="24"/>
          <w:lang w:val="en-US" w:eastAsia="zh-CN"/>
        </w:rPr>
      </w:pPr>
      <w:r>
        <w:br w:type="page"/>
      </w:r>
    </w:p>
    <w:p w:rsidR="001509C2" w:rsidRPr="00645C3C" w:rsidRDefault="001509C2" w:rsidP="00B06A9A">
      <w:pPr>
        <w:pStyle w:val="ListParagraph"/>
        <w:adjustRightInd w:val="0"/>
        <w:snapToGrid w:val="0"/>
        <w:ind w:left="0"/>
        <w:contextualSpacing w:val="0"/>
        <w:rPr>
          <w:rFonts w:ascii="Calibri" w:hAnsi="Calibri"/>
        </w:rPr>
      </w:pPr>
    </w:p>
    <w:p w:rsidR="004950D1" w:rsidRPr="0082007B" w:rsidRDefault="004950D1" w:rsidP="00CA49D4">
      <w:pPr>
        <w:tabs>
          <w:tab w:val="left" w:pos="851"/>
          <w:tab w:val="left" w:pos="3052"/>
        </w:tabs>
        <w:snapToGrid w:val="0"/>
        <w:spacing w:after="120"/>
        <w:jc w:val="both"/>
        <w:rPr>
          <w:rFonts w:asciiTheme="minorHAnsi" w:hAnsiTheme="minorHAnsi"/>
          <w:b/>
          <w:bCs/>
          <w:sz w:val="28"/>
          <w:szCs w:val="28"/>
          <w:u w:val="single"/>
        </w:rPr>
      </w:pPr>
      <w:r w:rsidRPr="0082007B">
        <w:rPr>
          <w:rFonts w:asciiTheme="minorHAnsi" w:hAnsiTheme="minorHAnsi"/>
          <w:b/>
          <w:bCs/>
          <w:sz w:val="28"/>
          <w:szCs w:val="28"/>
          <w:u w:val="single"/>
        </w:rPr>
        <w:t>Financial Stability and Safety / Risk</w:t>
      </w:r>
    </w:p>
    <w:p w:rsidR="004950D1" w:rsidRPr="0082007B" w:rsidRDefault="001E0019" w:rsidP="004950D1">
      <w:pPr>
        <w:rPr>
          <w:lang w:val="en-US"/>
        </w:rPr>
      </w:pPr>
      <w:r>
        <w:rPr>
          <w:noProof/>
          <w:lang w:val="en-US" w:eastAsia="zh-CN"/>
        </w:rPr>
        <w:drawing>
          <wp:inline distT="0" distB="0" distL="0" distR="0" wp14:anchorId="70AFF94F" wp14:editId="29FC356D">
            <wp:extent cx="5943600" cy="170434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1704340"/>
                    </a:xfrm>
                    <a:prstGeom prst="rect">
                      <a:avLst/>
                    </a:prstGeom>
                  </pic:spPr>
                </pic:pic>
              </a:graphicData>
            </a:graphic>
          </wp:inline>
        </w:drawing>
      </w:r>
    </w:p>
    <w:p w:rsidR="004950D1" w:rsidRPr="0082007B" w:rsidRDefault="004950D1" w:rsidP="001870B6">
      <w:pPr>
        <w:snapToGrid w:val="0"/>
        <w:spacing w:after="120"/>
        <w:rPr>
          <w:rFonts w:asciiTheme="minorHAnsi" w:hAnsiTheme="minorHAnsi"/>
          <w:b/>
          <w:bCs/>
          <w:sz w:val="28"/>
          <w:szCs w:val="28"/>
          <w:u w:val="single"/>
        </w:rPr>
      </w:pPr>
      <w:r w:rsidRPr="0082007B">
        <w:rPr>
          <w:rFonts w:asciiTheme="minorHAnsi" w:hAnsiTheme="minorHAnsi"/>
          <w:b/>
          <w:bCs/>
          <w:sz w:val="28"/>
          <w:szCs w:val="28"/>
          <w:u w:val="single"/>
        </w:rPr>
        <w:t>Reserve of Equity and Cash</w:t>
      </w:r>
    </w:p>
    <w:p w:rsidR="004950D1" w:rsidRDefault="001E0019" w:rsidP="0019503C">
      <w:pPr>
        <w:snapToGrid w:val="0"/>
        <w:rPr>
          <w:b/>
          <w:bCs/>
          <w:u w:val="single"/>
          <w:lang w:val="en-US"/>
        </w:rPr>
      </w:pPr>
      <w:r>
        <w:rPr>
          <w:noProof/>
          <w:lang w:val="en-US" w:eastAsia="zh-CN"/>
        </w:rPr>
        <w:drawing>
          <wp:inline distT="0" distB="0" distL="0" distR="0" wp14:anchorId="4B9A5576" wp14:editId="7ACD78EA">
            <wp:extent cx="5943600" cy="1820545"/>
            <wp:effectExtent l="0" t="0" r="0" b="825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1820545"/>
                    </a:xfrm>
                    <a:prstGeom prst="rect">
                      <a:avLst/>
                    </a:prstGeom>
                  </pic:spPr>
                </pic:pic>
              </a:graphicData>
            </a:graphic>
          </wp:inline>
        </w:drawing>
      </w:r>
    </w:p>
    <w:p w:rsidR="004950D1" w:rsidRPr="00DB2906" w:rsidRDefault="00E90727" w:rsidP="0019503C">
      <w:pPr>
        <w:tabs>
          <w:tab w:val="clear" w:pos="567"/>
          <w:tab w:val="left" w:pos="851"/>
        </w:tabs>
        <w:spacing w:before="0"/>
        <w:jc w:val="both"/>
        <w:rPr>
          <w:rFonts w:asciiTheme="minorHAnsi" w:hAnsiTheme="minorHAnsi"/>
          <w:b/>
          <w:bCs/>
          <w:szCs w:val="24"/>
        </w:rPr>
      </w:pPr>
      <w:r>
        <w:rPr>
          <w:rFonts w:asciiTheme="minorHAnsi" w:hAnsiTheme="minorHAnsi"/>
          <w:szCs w:val="24"/>
          <w:lang w:val="en-US"/>
        </w:rPr>
        <w:t>3</w:t>
      </w:r>
      <w:r w:rsidR="002762FD">
        <w:rPr>
          <w:rFonts w:asciiTheme="minorHAnsi" w:hAnsiTheme="minorHAnsi"/>
          <w:szCs w:val="24"/>
          <w:lang w:val="en-US"/>
        </w:rPr>
        <w:t>6</w:t>
      </w:r>
      <w:r w:rsidR="009A779C">
        <w:rPr>
          <w:rFonts w:asciiTheme="minorHAnsi" w:hAnsiTheme="minorHAnsi"/>
          <w:szCs w:val="24"/>
          <w:lang w:val="en-US"/>
        </w:rPr>
        <w:tab/>
      </w:r>
      <w:r w:rsidR="004950D1" w:rsidRPr="00DB2906">
        <w:rPr>
          <w:rFonts w:asciiTheme="minorHAnsi" w:hAnsiTheme="minorHAnsi"/>
          <w:szCs w:val="24"/>
        </w:rPr>
        <w:t>The evaluation of the Cash Reserve is expressed in a number of months and reflects a stability over the years. It has to be noted that part of the cash has not an immediate availability and therefore require to be monitored carefully to cover the monthly needs.</w:t>
      </w:r>
    </w:p>
    <w:p w:rsidR="00B15B5D" w:rsidRDefault="004950D1" w:rsidP="001870B6">
      <w:pPr>
        <w:snapToGrid w:val="0"/>
        <w:spacing w:after="120"/>
        <w:rPr>
          <w:noProof/>
          <w:lang w:val="en-US" w:eastAsia="zh-CN"/>
        </w:rPr>
      </w:pPr>
      <w:r w:rsidRPr="0082007B">
        <w:rPr>
          <w:rFonts w:asciiTheme="minorHAnsi" w:hAnsiTheme="minorHAnsi"/>
          <w:b/>
          <w:bCs/>
          <w:sz w:val="28"/>
          <w:szCs w:val="28"/>
          <w:u w:val="single"/>
        </w:rPr>
        <w:t>Short-term solvency</w:t>
      </w:r>
    </w:p>
    <w:p w:rsidR="001E0019" w:rsidRDefault="001E0019" w:rsidP="00320B21">
      <w:pPr>
        <w:spacing w:before="0"/>
        <w:rPr>
          <w:rFonts w:asciiTheme="minorHAnsi" w:hAnsiTheme="minorHAnsi"/>
          <w:b/>
          <w:bCs/>
          <w:sz w:val="28"/>
          <w:szCs w:val="28"/>
          <w:u w:val="single"/>
        </w:rPr>
      </w:pPr>
      <w:r>
        <w:rPr>
          <w:noProof/>
          <w:lang w:val="en-US" w:eastAsia="zh-CN"/>
        </w:rPr>
        <w:drawing>
          <wp:inline distT="0" distB="0" distL="0" distR="0" wp14:anchorId="37A49C2C" wp14:editId="410824DE">
            <wp:extent cx="5943600" cy="179133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1791335"/>
                    </a:xfrm>
                    <a:prstGeom prst="rect">
                      <a:avLst/>
                    </a:prstGeom>
                  </pic:spPr>
                </pic:pic>
              </a:graphicData>
            </a:graphic>
          </wp:inline>
        </w:drawing>
      </w:r>
    </w:p>
    <w:p w:rsidR="0050773A" w:rsidRDefault="001E0019" w:rsidP="00320B21">
      <w:pPr>
        <w:snapToGrid w:val="0"/>
        <w:spacing w:before="240"/>
        <w:rPr>
          <w:rFonts w:asciiTheme="minorHAnsi" w:hAnsiTheme="minorHAnsi"/>
          <w:sz w:val="22"/>
          <w:szCs w:val="22"/>
        </w:rPr>
      </w:pPr>
      <w:r>
        <w:rPr>
          <w:noProof/>
          <w:lang w:val="en-US" w:eastAsia="zh-CN"/>
        </w:rPr>
        <w:drawing>
          <wp:inline distT="0" distB="0" distL="0" distR="0" wp14:anchorId="707B2D2A" wp14:editId="4080A044">
            <wp:extent cx="5943600" cy="1827530"/>
            <wp:effectExtent l="0" t="0" r="0" b="127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1827530"/>
                    </a:xfrm>
                    <a:prstGeom prst="rect">
                      <a:avLst/>
                    </a:prstGeom>
                  </pic:spPr>
                </pic:pic>
              </a:graphicData>
            </a:graphic>
          </wp:inline>
        </w:drawing>
      </w:r>
    </w:p>
    <w:p w:rsidR="00320B21" w:rsidRPr="0070333A" w:rsidRDefault="00E90727" w:rsidP="002762FD">
      <w:pPr>
        <w:tabs>
          <w:tab w:val="clear" w:pos="567"/>
          <w:tab w:val="left" w:pos="851"/>
        </w:tabs>
        <w:snapToGrid w:val="0"/>
        <w:spacing w:after="120"/>
        <w:jc w:val="both"/>
        <w:rPr>
          <w:rFonts w:asciiTheme="minorHAnsi" w:hAnsiTheme="minorHAnsi"/>
          <w:szCs w:val="24"/>
        </w:rPr>
      </w:pPr>
      <w:r>
        <w:rPr>
          <w:rFonts w:asciiTheme="minorHAnsi" w:hAnsiTheme="minorHAnsi"/>
          <w:szCs w:val="24"/>
        </w:rPr>
        <w:t>3</w:t>
      </w:r>
      <w:r w:rsidR="002762FD">
        <w:rPr>
          <w:rFonts w:asciiTheme="minorHAnsi" w:hAnsiTheme="minorHAnsi"/>
          <w:szCs w:val="24"/>
        </w:rPr>
        <w:t>7</w:t>
      </w:r>
      <w:r w:rsidR="00A916FF">
        <w:rPr>
          <w:rFonts w:asciiTheme="minorHAnsi" w:hAnsiTheme="minorHAnsi"/>
          <w:szCs w:val="24"/>
        </w:rPr>
        <w:tab/>
      </w:r>
      <w:r w:rsidR="00320B21" w:rsidRPr="0070333A">
        <w:rPr>
          <w:rFonts w:asciiTheme="minorHAnsi" w:hAnsiTheme="minorHAnsi"/>
          <w:szCs w:val="24"/>
        </w:rPr>
        <w:t>The solvency ratio helps to see the financial health of the ITU on a short term basis. The high result respectively 18</w:t>
      </w:r>
      <w:r w:rsidR="00953101">
        <w:rPr>
          <w:rFonts w:asciiTheme="minorHAnsi" w:hAnsiTheme="minorHAnsi"/>
          <w:szCs w:val="24"/>
        </w:rPr>
        <w:t>2</w:t>
      </w:r>
      <w:r w:rsidR="0070333A">
        <w:rPr>
          <w:rFonts w:asciiTheme="minorHAnsi" w:hAnsiTheme="minorHAnsi"/>
          <w:szCs w:val="24"/>
        </w:rPr>
        <w:t> per cent</w:t>
      </w:r>
      <w:r w:rsidR="00320B21" w:rsidRPr="0070333A">
        <w:rPr>
          <w:rFonts w:asciiTheme="minorHAnsi" w:hAnsiTheme="minorHAnsi"/>
          <w:szCs w:val="24"/>
        </w:rPr>
        <w:t xml:space="preserve"> and 11</w:t>
      </w:r>
      <w:r w:rsidR="00953101">
        <w:rPr>
          <w:rFonts w:asciiTheme="minorHAnsi" w:hAnsiTheme="minorHAnsi"/>
          <w:szCs w:val="24"/>
        </w:rPr>
        <w:t>2</w:t>
      </w:r>
      <w:r w:rsidR="0070333A">
        <w:rPr>
          <w:rFonts w:asciiTheme="minorHAnsi" w:hAnsiTheme="minorHAnsi"/>
          <w:szCs w:val="24"/>
        </w:rPr>
        <w:t> per cent</w:t>
      </w:r>
      <w:r w:rsidR="00320B21" w:rsidRPr="0070333A">
        <w:rPr>
          <w:rFonts w:asciiTheme="minorHAnsi" w:hAnsiTheme="minorHAnsi"/>
          <w:szCs w:val="24"/>
        </w:rPr>
        <w:t xml:space="preserve"> of these </w:t>
      </w:r>
      <w:r w:rsidR="0070333A">
        <w:rPr>
          <w:rFonts w:asciiTheme="minorHAnsi" w:hAnsiTheme="minorHAnsi"/>
          <w:szCs w:val="24"/>
        </w:rPr>
        <w:t>two</w:t>
      </w:r>
      <w:r w:rsidR="00320B21" w:rsidRPr="0070333A">
        <w:rPr>
          <w:rFonts w:asciiTheme="minorHAnsi" w:hAnsiTheme="minorHAnsi"/>
          <w:szCs w:val="24"/>
        </w:rPr>
        <w:t xml:space="preserve"> ratios confirm the good situation of the Union and its ability to fulfil the short term obligations.</w:t>
      </w:r>
    </w:p>
    <w:p w:rsidR="004950D1" w:rsidRPr="0082007B" w:rsidRDefault="004950D1" w:rsidP="001B6D51">
      <w:pPr>
        <w:snapToGrid w:val="0"/>
        <w:spacing w:before="240" w:after="120"/>
        <w:rPr>
          <w:b/>
          <w:bCs/>
          <w:u w:val="single"/>
          <w:lang w:val="en-US"/>
        </w:rPr>
      </w:pPr>
      <w:r w:rsidRPr="0082007B">
        <w:rPr>
          <w:rFonts w:asciiTheme="minorHAnsi" w:hAnsiTheme="minorHAnsi"/>
          <w:b/>
          <w:bCs/>
          <w:sz w:val="28"/>
          <w:szCs w:val="28"/>
          <w:u w:val="single"/>
        </w:rPr>
        <w:t>Financial Performance</w:t>
      </w:r>
    </w:p>
    <w:p w:rsidR="00D736EA" w:rsidRPr="0070333A" w:rsidRDefault="00E90727" w:rsidP="002762FD">
      <w:pPr>
        <w:tabs>
          <w:tab w:val="clear" w:pos="567"/>
          <w:tab w:val="left" w:pos="851"/>
        </w:tabs>
        <w:snapToGrid w:val="0"/>
        <w:spacing w:after="120"/>
        <w:rPr>
          <w:szCs w:val="24"/>
          <w:lang w:val="en-US"/>
        </w:rPr>
      </w:pPr>
      <w:r>
        <w:rPr>
          <w:szCs w:val="24"/>
          <w:lang w:val="en-US"/>
        </w:rPr>
        <w:t>3</w:t>
      </w:r>
      <w:r w:rsidR="002762FD">
        <w:rPr>
          <w:szCs w:val="24"/>
          <w:lang w:val="en-US"/>
        </w:rPr>
        <w:t>8</w:t>
      </w:r>
      <w:r w:rsidR="00A916FF">
        <w:rPr>
          <w:szCs w:val="24"/>
          <w:lang w:val="en-US"/>
        </w:rPr>
        <w:tab/>
      </w:r>
      <w:r w:rsidR="00D736EA" w:rsidRPr="0070333A">
        <w:rPr>
          <w:szCs w:val="24"/>
          <w:lang w:val="en-US"/>
        </w:rPr>
        <w:t>This ratio represents the financial performance for the regular budget approved and is based on the budget results.</w:t>
      </w:r>
    </w:p>
    <w:p w:rsidR="004950D1" w:rsidRPr="0082007B" w:rsidRDefault="00953101" w:rsidP="005C2D0B">
      <w:pPr>
        <w:tabs>
          <w:tab w:val="clear" w:pos="567"/>
          <w:tab w:val="clear" w:pos="1134"/>
          <w:tab w:val="clear" w:pos="1701"/>
          <w:tab w:val="clear" w:pos="2268"/>
          <w:tab w:val="clear" w:pos="2835"/>
        </w:tabs>
        <w:overflowPunct/>
        <w:autoSpaceDE/>
        <w:autoSpaceDN/>
        <w:adjustRightInd/>
        <w:spacing w:before="0"/>
        <w:textAlignment w:val="auto"/>
        <w:rPr>
          <w:sz w:val="22"/>
          <w:szCs w:val="18"/>
          <w:lang w:val="en-US"/>
        </w:rPr>
      </w:pPr>
      <w:r>
        <w:rPr>
          <w:noProof/>
        </w:rPr>
        <w:t xml:space="preserve">     </w:t>
      </w:r>
      <w:r>
        <w:rPr>
          <w:noProof/>
          <w:lang w:val="en-US" w:eastAsia="zh-CN"/>
        </w:rPr>
        <w:drawing>
          <wp:inline distT="0" distB="0" distL="0" distR="0" wp14:anchorId="21911BDC" wp14:editId="56E68184">
            <wp:extent cx="5943600" cy="1997710"/>
            <wp:effectExtent l="0" t="0" r="0" b="254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43600" cy="1997710"/>
                    </a:xfrm>
                    <a:prstGeom prst="rect">
                      <a:avLst/>
                    </a:prstGeom>
                  </pic:spPr>
                </pic:pic>
              </a:graphicData>
            </a:graphic>
          </wp:inline>
        </w:drawing>
      </w:r>
    </w:p>
    <w:p w:rsidR="00320B21" w:rsidRDefault="00953101" w:rsidP="00DF0997">
      <w:pPr>
        <w:snapToGrid w:val="0"/>
        <w:spacing w:before="240"/>
        <w:ind w:left="142"/>
        <w:rPr>
          <w:sz w:val="22"/>
          <w:szCs w:val="18"/>
          <w:lang w:val="en-US"/>
        </w:rPr>
      </w:pPr>
      <w:r>
        <w:rPr>
          <w:noProof/>
          <w:lang w:val="en-US" w:eastAsia="zh-CN"/>
        </w:rPr>
        <w:drawing>
          <wp:inline distT="0" distB="0" distL="0" distR="0" wp14:anchorId="64038070" wp14:editId="75634092">
            <wp:extent cx="6210935" cy="1929284"/>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210935" cy="1929284"/>
                    </a:xfrm>
                    <a:prstGeom prst="rect">
                      <a:avLst/>
                    </a:prstGeom>
                  </pic:spPr>
                </pic:pic>
              </a:graphicData>
            </a:graphic>
          </wp:inline>
        </w:drawing>
      </w:r>
    </w:p>
    <w:p w:rsidR="004950D1" w:rsidRPr="0070333A" w:rsidRDefault="002762FD" w:rsidP="002762FD">
      <w:pPr>
        <w:tabs>
          <w:tab w:val="clear" w:pos="567"/>
          <w:tab w:val="left" w:pos="851"/>
        </w:tabs>
        <w:snapToGrid w:val="0"/>
        <w:spacing w:before="0"/>
        <w:rPr>
          <w:szCs w:val="24"/>
          <w:lang w:val="en-US"/>
        </w:rPr>
      </w:pPr>
      <w:r>
        <w:rPr>
          <w:szCs w:val="24"/>
          <w:lang w:val="en-US"/>
        </w:rPr>
        <w:t>39</w:t>
      </w:r>
      <w:r w:rsidR="00A916FF">
        <w:rPr>
          <w:szCs w:val="24"/>
          <w:lang w:val="en-US"/>
        </w:rPr>
        <w:tab/>
      </w:r>
      <w:r w:rsidR="004950D1" w:rsidRPr="0070333A">
        <w:rPr>
          <w:szCs w:val="24"/>
          <w:lang w:val="en-US"/>
        </w:rPr>
        <w:t>The evolution of the ratio related to staff cost</w:t>
      </w:r>
      <w:r w:rsidR="0070333A">
        <w:rPr>
          <w:szCs w:val="24"/>
          <w:lang w:val="en-US"/>
        </w:rPr>
        <w:t>s</w:t>
      </w:r>
      <w:r w:rsidR="004950D1" w:rsidRPr="0070333A">
        <w:rPr>
          <w:szCs w:val="24"/>
          <w:lang w:val="en-US"/>
        </w:rPr>
        <w:t xml:space="preserve"> has been relatively stable over the last four years. The major part of the revenue (8</w:t>
      </w:r>
      <w:r w:rsidR="00D736EA" w:rsidRPr="0070333A">
        <w:rPr>
          <w:szCs w:val="24"/>
          <w:lang w:val="en-US"/>
        </w:rPr>
        <w:t>3</w:t>
      </w:r>
      <w:r w:rsidR="0070333A">
        <w:rPr>
          <w:szCs w:val="24"/>
          <w:lang w:val="en-US"/>
        </w:rPr>
        <w:t> per cent</w:t>
      </w:r>
      <w:r w:rsidR="004950D1" w:rsidRPr="0070333A">
        <w:rPr>
          <w:szCs w:val="24"/>
          <w:lang w:val="en-US"/>
        </w:rPr>
        <w:t xml:space="preserve"> in 201</w:t>
      </w:r>
      <w:r w:rsidR="00CB39B4">
        <w:rPr>
          <w:szCs w:val="24"/>
          <w:lang w:val="en-US"/>
        </w:rPr>
        <w:t>7</w:t>
      </w:r>
      <w:r w:rsidR="004950D1" w:rsidRPr="0070333A">
        <w:rPr>
          <w:szCs w:val="24"/>
          <w:lang w:val="en-US"/>
        </w:rPr>
        <w:t xml:space="preserve">) is allocated to staff costs, allowing the ITU to fulfill the implementation of the </w:t>
      </w:r>
      <w:proofErr w:type="spellStart"/>
      <w:r w:rsidR="004950D1" w:rsidRPr="0070333A">
        <w:rPr>
          <w:szCs w:val="24"/>
          <w:lang w:val="en-US"/>
        </w:rPr>
        <w:t>programme</w:t>
      </w:r>
      <w:proofErr w:type="spellEnd"/>
      <w:r w:rsidR="004950D1" w:rsidRPr="0070333A">
        <w:rPr>
          <w:szCs w:val="24"/>
          <w:lang w:val="en-US"/>
        </w:rPr>
        <w:t xml:space="preserve"> of activities as decided in the operational plan during PP-14.</w:t>
      </w:r>
    </w:p>
    <w:p w:rsidR="00D736EA" w:rsidRPr="0082007B" w:rsidRDefault="00D736EA" w:rsidP="0041376E">
      <w:pPr>
        <w:snapToGrid w:val="0"/>
        <w:spacing w:before="0"/>
        <w:rPr>
          <w:sz w:val="22"/>
          <w:szCs w:val="18"/>
          <w:lang w:val="en-US"/>
        </w:rPr>
      </w:pPr>
    </w:p>
    <w:p w:rsidR="0022373A" w:rsidRDefault="0022373A" w:rsidP="0041376E">
      <w:pPr>
        <w:pStyle w:val="Headingb"/>
        <w:snapToGrid w:val="0"/>
        <w:spacing w:before="0"/>
        <w:jc w:val="both"/>
        <w:rPr>
          <w:lang w:val="en-US"/>
        </w:rPr>
      </w:pPr>
      <w:r w:rsidRPr="0082007B">
        <w:rPr>
          <w:lang w:val="en-US"/>
        </w:rPr>
        <w:t>Going concern</w:t>
      </w:r>
    </w:p>
    <w:p w:rsidR="0041376E" w:rsidRPr="0041376E" w:rsidRDefault="0041376E" w:rsidP="0041376E">
      <w:pPr>
        <w:spacing w:before="0"/>
        <w:rPr>
          <w:lang w:val="en-US"/>
        </w:rPr>
      </w:pPr>
    </w:p>
    <w:p w:rsidR="0022373A" w:rsidRPr="002762FD" w:rsidRDefault="0022373A" w:rsidP="002762FD">
      <w:pPr>
        <w:pStyle w:val="ListParagraph"/>
        <w:numPr>
          <w:ilvl w:val="0"/>
          <w:numId w:val="18"/>
        </w:numPr>
        <w:snapToGrid w:val="0"/>
        <w:ind w:left="0" w:firstLine="0"/>
        <w:jc w:val="both"/>
        <w:rPr>
          <w:rFonts w:ascii="Calibri" w:hAnsi="Calibri"/>
        </w:rPr>
      </w:pPr>
      <w:r w:rsidRPr="002762FD">
        <w:rPr>
          <w:rFonts w:ascii="Calibri" w:hAnsi="Calibri"/>
        </w:rPr>
        <w:t>I have assessed the implications of any potential fall in contributions stemming from global economic and financial crises and have looked into whether this would result in a cutback in the Union</w:t>
      </w:r>
      <w:r w:rsidR="007A552E" w:rsidRPr="002762FD">
        <w:rPr>
          <w:rFonts w:ascii="Calibri" w:hAnsi="Calibri"/>
        </w:rPr>
        <w:t>’</w:t>
      </w:r>
      <w:r w:rsidRPr="002762FD">
        <w:rPr>
          <w:rFonts w:ascii="Calibri" w:hAnsi="Calibri"/>
        </w:rPr>
        <w:t>s activities. Having regard to projected activities and the associated risks, I can affirm that the Union has adequate resources to maintain its operations in the medium term. We shall therefore continue to draw up the Union</w:t>
      </w:r>
      <w:r w:rsidR="007A552E" w:rsidRPr="002762FD">
        <w:rPr>
          <w:rFonts w:ascii="Calibri" w:hAnsi="Calibri"/>
        </w:rPr>
        <w:t>’</w:t>
      </w:r>
      <w:r w:rsidRPr="002762FD">
        <w:rPr>
          <w:rFonts w:ascii="Calibri" w:hAnsi="Calibri"/>
        </w:rPr>
        <w:t>s financial statements on the basis of the going concern principle.</w:t>
      </w:r>
    </w:p>
    <w:p w:rsidR="00F80DFB" w:rsidRPr="002762FD" w:rsidRDefault="00F80DFB" w:rsidP="002762FD">
      <w:pPr>
        <w:pStyle w:val="ListParagraph"/>
        <w:snapToGrid w:val="0"/>
        <w:ind w:left="0"/>
        <w:jc w:val="both"/>
        <w:rPr>
          <w:rFonts w:ascii="Calibri" w:eastAsia="Times New Roman" w:hAnsi="Calibri"/>
          <w:sz w:val="22"/>
          <w:szCs w:val="18"/>
          <w:lang w:eastAsia="en-US"/>
        </w:rPr>
      </w:pPr>
    </w:p>
    <w:p w:rsidR="005507A6" w:rsidRPr="00DE6D95" w:rsidRDefault="005507A6" w:rsidP="0041376E">
      <w:pPr>
        <w:pStyle w:val="ListParagraph"/>
        <w:numPr>
          <w:ilvl w:val="0"/>
          <w:numId w:val="18"/>
        </w:numPr>
        <w:snapToGrid w:val="0"/>
        <w:ind w:left="0" w:firstLine="0"/>
        <w:jc w:val="both"/>
        <w:rPr>
          <w:rFonts w:ascii="Calibri" w:hAnsi="Calibri"/>
        </w:rPr>
      </w:pPr>
      <w:r w:rsidRPr="00DE6D95">
        <w:rPr>
          <w:rFonts w:ascii="Calibri" w:hAnsi="Calibri"/>
        </w:rPr>
        <w:t>I am aware of my responsibility with regard to the transparency and accessibility to the public</w:t>
      </w:r>
      <w:r w:rsidR="004F7FBF" w:rsidRPr="00DE6D95">
        <w:rPr>
          <w:rFonts w:ascii="Calibri" w:hAnsi="Calibri"/>
        </w:rPr>
        <w:t>,</w:t>
      </w:r>
      <w:r w:rsidRPr="00DE6D95">
        <w:rPr>
          <w:rFonts w:ascii="Calibri" w:hAnsi="Calibri"/>
        </w:rPr>
        <w:t xml:space="preserve"> after the approval by Council</w:t>
      </w:r>
      <w:r w:rsidR="004F7FBF" w:rsidRPr="00DE6D95">
        <w:rPr>
          <w:rFonts w:ascii="Calibri" w:hAnsi="Calibri"/>
        </w:rPr>
        <w:t>,</w:t>
      </w:r>
      <w:r w:rsidRPr="00DE6D95">
        <w:rPr>
          <w:rFonts w:ascii="Calibri" w:hAnsi="Calibri"/>
        </w:rPr>
        <w:t xml:space="preserve"> </w:t>
      </w:r>
      <w:r w:rsidR="009D5D37" w:rsidRPr="00DE6D95">
        <w:rPr>
          <w:rFonts w:ascii="Calibri" w:hAnsi="Calibri"/>
        </w:rPr>
        <w:t xml:space="preserve">of the </w:t>
      </w:r>
      <w:r w:rsidRPr="00DE6D95">
        <w:rPr>
          <w:rFonts w:ascii="Calibri" w:hAnsi="Calibri"/>
        </w:rPr>
        <w:t>IMAC annual report</w:t>
      </w:r>
      <w:r w:rsidR="009D5D37" w:rsidRPr="00DE6D95">
        <w:rPr>
          <w:rFonts w:ascii="Calibri" w:hAnsi="Calibri"/>
        </w:rPr>
        <w:t>, the e</w:t>
      </w:r>
      <w:r w:rsidRPr="00DE6D95">
        <w:rPr>
          <w:rFonts w:ascii="Calibri" w:hAnsi="Calibri"/>
        </w:rPr>
        <w:t xml:space="preserve">xternal </w:t>
      </w:r>
      <w:r w:rsidR="00D16948" w:rsidRPr="00DE6D95">
        <w:rPr>
          <w:rFonts w:ascii="Calibri" w:hAnsi="Calibri"/>
        </w:rPr>
        <w:t xml:space="preserve">audit </w:t>
      </w:r>
      <w:r w:rsidRPr="00DE6D95">
        <w:rPr>
          <w:rFonts w:ascii="Calibri" w:hAnsi="Calibri"/>
        </w:rPr>
        <w:t xml:space="preserve">annual report and </w:t>
      </w:r>
      <w:r w:rsidR="009D5D37" w:rsidRPr="00DE6D95">
        <w:rPr>
          <w:rFonts w:ascii="Calibri" w:hAnsi="Calibri"/>
        </w:rPr>
        <w:t>the i</w:t>
      </w:r>
      <w:r w:rsidRPr="00DE6D95">
        <w:rPr>
          <w:rFonts w:ascii="Calibri" w:hAnsi="Calibri"/>
        </w:rPr>
        <w:t xml:space="preserve">nternal </w:t>
      </w:r>
      <w:r w:rsidR="00D16948" w:rsidRPr="00DE6D95">
        <w:rPr>
          <w:rFonts w:ascii="Calibri" w:hAnsi="Calibri"/>
        </w:rPr>
        <w:t xml:space="preserve">audit </w:t>
      </w:r>
      <w:r w:rsidR="009D5D37" w:rsidRPr="00DE6D95">
        <w:rPr>
          <w:rFonts w:ascii="Calibri" w:hAnsi="Calibri"/>
        </w:rPr>
        <w:t>annual</w:t>
      </w:r>
      <w:r w:rsidRPr="00DE6D95">
        <w:rPr>
          <w:rFonts w:ascii="Calibri" w:hAnsi="Calibri"/>
        </w:rPr>
        <w:t xml:space="preserve"> </w:t>
      </w:r>
      <w:r w:rsidR="009D5D37" w:rsidRPr="00DE6D95">
        <w:rPr>
          <w:rFonts w:ascii="Calibri" w:hAnsi="Calibri"/>
        </w:rPr>
        <w:t>report</w:t>
      </w:r>
      <w:r w:rsidRPr="00DE6D95">
        <w:rPr>
          <w:rFonts w:ascii="Calibri" w:hAnsi="Calibri"/>
        </w:rPr>
        <w:t>.</w:t>
      </w:r>
    </w:p>
    <w:p w:rsidR="00F80DFB" w:rsidRPr="00DE6D95" w:rsidRDefault="00F80DFB" w:rsidP="0041376E">
      <w:pPr>
        <w:pStyle w:val="ListParagraph"/>
        <w:snapToGrid w:val="0"/>
        <w:ind w:left="0"/>
        <w:jc w:val="both"/>
        <w:rPr>
          <w:rFonts w:ascii="Calibri" w:eastAsia="Times New Roman" w:hAnsi="Calibri"/>
          <w:szCs w:val="20"/>
          <w:lang w:eastAsia="en-US"/>
        </w:rPr>
      </w:pPr>
    </w:p>
    <w:p w:rsidR="00170C8F" w:rsidRPr="00170C8F" w:rsidRDefault="00755CF3" w:rsidP="00170C8F">
      <w:pPr>
        <w:pStyle w:val="ListParagraph"/>
        <w:numPr>
          <w:ilvl w:val="0"/>
          <w:numId w:val="18"/>
        </w:numPr>
        <w:adjustRightInd w:val="0"/>
        <w:snapToGrid w:val="0"/>
        <w:ind w:left="0" w:firstLine="0"/>
        <w:contextualSpacing w:val="0"/>
        <w:jc w:val="both"/>
        <w:rPr>
          <w:rFonts w:ascii="Calibri" w:eastAsia="Times New Roman" w:hAnsi="Calibri"/>
          <w:szCs w:val="20"/>
          <w:lang w:eastAsia="en-US"/>
        </w:rPr>
      </w:pPr>
      <w:r w:rsidRPr="00F80DFB">
        <w:rPr>
          <w:rFonts w:ascii="Calibri" w:eastAsia="Times New Roman" w:hAnsi="Calibri"/>
          <w:szCs w:val="20"/>
          <w:lang w:eastAsia="en-US"/>
        </w:rPr>
        <w:t>The Statem</w:t>
      </w:r>
      <w:r w:rsidR="00102375" w:rsidRPr="00F80DFB">
        <w:rPr>
          <w:rFonts w:ascii="Calibri" w:eastAsia="Times New Roman" w:hAnsi="Calibri"/>
          <w:szCs w:val="20"/>
          <w:lang w:eastAsia="en-US"/>
        </w:rPr>
        <w:t xml:space="preserve">ent of Internal Control for </w:t>
      </w:r>
      <w:r w:rsidR="00111BDD" w:rsidRPr="00F80DFB">
        <w:rPr>
          <w:rFonts w:ascii="Calibri" w:eastAsia="Times New Roman" w:hAnsi="Calibri"/>
          <w:szCs w:val="20"/>
          <w:lang w:eastAsia="en-US"/>
        </w:rPr>
        <w:t>201</w:t>
      </w:r>
      <w:r w:rsidR="00CB39B4">
        <w:rPr>
          <w:rFonts w:ascii="Calibri" w:eastAsia="Times New Roman" w:hAnsi="Calibri"/>
          <w:szCs w:val="20"/>
          <w:lang w:eastAsia="en-US"/>
        </w:rPr>
        <w:t>7</w:t>
      </w:r>
      <w:r w:rsidRPr="00F80DFB">
        <w:rPr>
          <w:rFonts w:ascii="Calibri" w:eastAsia="Times New Roman" w:hAnsi="Calibri"/>
          <w:szCs w:val="20"/>
          <w:lang w:eastAsia="en-US"/>
        </w:rPr>
        <w:t xml:space="preserve"> has been </w:t>
      </w:r>
      <w:r w:rsidR="004E2D38" w:rsidRPr="00F80DFB">
        <w:rPr>
          <w:rFonts w:ascii="Calibri" w:eastAsia="Times New Roman" w:hAnsi="Calibri"/>
          <w:szCs w:val="20"/>
          <w:lang w:eastAsia="en-US"/>
        </w:rPr>
        <w:t>included in</w:t>
      </w:r>
      <w:r w:rsidRPr="00F80DFB">
        <w:rPr>
          <w:rFonts w:ascii="Calibri" w:eastAsia="Times New Roman" w:hAnsi="Calibri"/>
          <w:szCs w:val="20"/>
          <w:lang w:eastAsia="en-US"/>
        </w:rPr>
        <w:t xml:space="preserve"> this </w:t>
      </w:r>
      <w:r w:rsidR="004F7FBF" w:rsidRPr="00F80DFB">
        <w:rPr>
          <w:rFonts w:ascii="Calibri" w:eastAsia="Times New Roman" w:hAnsi="Calibri"/>
          <w:szCs w:val="20"/>
          <w:lang w:eastAsia="en-US"/>
        </w:rPr>
        <w:t>f</w:t>
      </w:r>
      <w:r w:rsidRPr="00F80DFB">
        <w:rPr>
          <w:rFonts w:ascii="Calibri" w:eastAsia="Times New Roman" w:hAnsi="Calibri"/>
          <w:szCs w:val="20"/>
          <w:lang w:eastAsia="en-US"/>
        </w:rPr>
        <w:t xml:space="preserve">inancial </w:t>
      </w:r>
      <w:r w:rsidR="004F7FBF" w:rsidRPr="00F80DFB">
        <w:rPr>
          <w:rFonts w:ascii="Calibri" w:eastAsia="Times New Roman" w:hAnsi="Calibri"/>
          <w:szCs w:val="20"/>
          <w:lang w:eastAsia="en-US"/>
        </w:rPr>
        <w:t>o</w:t>
      </w:r>
      <w:r w:rsidRPr="00F80DFB">
        <w:rPr>
          <w:rFonts w:ascii="Calibri" w:eastAsia="Times New Roman" w:hAnsi="Calibri"/>
          <w:szCs w:val="20"/>
          <w:lang w:eastAsia="en-US"/>
        </w:rPr>
        <w:t xml:space="preserve">perating </w:t>
      </w:r>
      <w:r w:rsidR="004F7FBF" w:rsidRPr="00F80DFB">
        <w:rPr>
          <w:rFonts w:ascii="Calibri" w:eastAsia="Times New Roman" w:hAnsi="Calibri"/>
          <w:szCs w:val="20"/>
          <w:lang w:eastAsia="en-US"/>
        </w:rPr>
        <w:t>r</w:t>
      </w:r>
      <w:r w:rsidRPr="00F80DFB">
        <w:rPr>
          <w:rFonts w:ascii="Calibri" w:eastAsia="Times New Roman" w:hAnsi="Calibri"/>
          <w:szCs w:val="20"/>
          <w:lang w:eastAsia="en-US"/>
        </w:rPr>
        <w:t>eport.</w:t>
      </w:r>
    </w:p>
    <w:p w:rsidR="009D4EAB" w:rsidRDefault="009D4EAB">
      <w:pPr>
        <w:tabs>
          <w:tab w:val="clear" w:pos="567"/>
          <w:tab w:val="clear" w:pos="1134"/>
          <w:tab w:val="clear" w:pos="1701"/>
          <w:tab w:val="clear" w:pos="2268"/>
          <w:tab w:val="clear" w:pos="2835"/>
        </w:tabs>
        <w:overflowPunct/>
        <w:autoSpaceDE/>
        <w:autoSpaceDN/>
        <w:adjustRightInd/>
        <w:spacing w:before="0"/>
        <w:textAlignment w:val="auto"/>
        <w:rPr>
          <w:lang w:val="en-US"/>
        </w:rPr>
      </w:pPr>
      <w:r>
        <w:br w:type="page"/>
      </w:r>
    </w:p>
    <w:p w:rsidR="0022373A" w:rsidRDefault="0022373A" w:rsidP="00170C8F">
      <w:pPr>
        <w:pStyle w:val="Headingb"/>
        <w:snapToGrid w:val="0"/>
        <w:spacing w:before="0"/>
        <w:jc w:val="both"/>
        <w:rPr>
          <w:lang w:val="en-US"/>
        </w:rPr>
      </w:pPr>
      <w:r w:rsidRPr="00CA4E8C">
        <w:rPr>
          <w:lang w:val="en-US"/>
        </w:rPr>
        <w:t>Responsibility</w:t>
      </w:r>
    </w:p>
    <w:p w:rsidR="00170C8F" w:rsidRPr="00170C8F" w:rsidRDefault="00170C8F" w:rsidP="00170C8F">
      <w:pPr>
        <w:snapToGrid w:val="0"/>
        <w:spacing w:before="0"/>
        <w:rPr>
          <w:lang w:val="en-US"/>
        </w:rPr>
      </w:pPr>
    </w:p>
    <w:p w:rsidR="0022373A" w:rsidRPr="00CA4E8C" w:rsidRDefault="0022373A" w:rsidP="00170C8F">
      <w:pPr>
        <w:pStyle w:val="ListParagraph"/>
        <w:numPr>
          <w:ilvl w:val="0"/>
          <w:numId w:val="18"/>
        </w:numPr>
        <w:adjustRightInd w:val="0"/>
        <w:snapToGrid w:val="0"/>
        <w:ind w:left="0" w:firstLine="0"/>
        <w:contextualSpacing w:val="0"/>
        <w:jc w:val="both"/>
        <w:rPr>
          <w:rFonts w:ascii="Calibri" w:eastAsia="Times New Roman" w:hAnsi="Calibri"/>
          <w:szCs w:val="20"/>
          <w:lang w:eastAsia="en-US"/>
        </w:rPr>
      </w:pPr>
      <w:r w:rsidRPr="00CA4E8C">
        <w:rPr>
          <w:rFonts w:ascii="Calibri" w:eastAsia="Times New Roman" w:hAnsi="Calibri"/>
          <w:szCs w:val="20"/>
          <w:lang w:eastAsia="en-US"/>
        </w:rPr>
        <w:t xml:space="preserve">As provided for in Article 30 of the Financial Regulations of the Union, I have </w:t>
      </w:r>
      <w:r w:rsidR="001601FE" w:rsidRPr="00CA4E8C">
        <w:rPr>
          <w:rFonts w:ascii="Calibri" w:eastAsia="Times New Roman" w:hAnsi="Calibri"/>
          <w:szCs w:val="20"/>
          <w:lang w:eastAsia="en-US"/>
        </w:rPr>
        <w:t xml:space="preserve">the </w:t>
      </w:r>
      <w:r w:rsidRPr="00CA4E8C">
        <w:rPr>
          <w:rFonts w:ascii="Calibri" w:eastAsia="Times New Roman" w:hAnsi="Calibri"/>
          <w:szCs w:val="20"/>
          <w:lang w:eastAsia="en-US"/>
        </w:rPr>
        <w:t xml:space="preserve">pleasure in submitting the following financial statements, drawn up in accordance with IPSAS. I certify that, to the best of my knowledge, all operations during the period in question were properly recognized in the books and that those operations, as well as the financial statements and notes thereto, which form an integral part of this document, present an accurate </w:t>
      </w:r>
      <w:r w:rsidR="001601FE" w:rsidRPr="00CA4E8C">
        <w:rPr>
          <w:rFonts w:ascii="Calibri" w:eastAsia="Times New Roman" w:hAnsi="Calibri"/>
          <w:szCs w:val="20"/>
          <w:lang w:eastAsia="en-US"/>
        </w:rPr>
        <w:t>view</w:t>
      </w:r>
      <w:r w:rsidRPr="00CA4E8C">
        <w:rPr>
          <w:rFonts w:ascii="Calibri" w:eastAsia="Times New Roman" w:hAnsi="Calibri"/>
          <w:szCs w:val="20"/>
          <w:lang w:eastAsia="en-US"/>
        </w:rPr>
        <w:t xml:space="preserve"> of the Union</w:t>
      </w:r>
      <w:r w:rsidR="007A552E" w:rsidRPr="00CA4E8C">
        <w:rPr>
          <w:rFonts w:ascii="Calibri" w:eastAsia="Times New Roman" w:hAnsi="Calibri"/>
          <w:szCs w:val="20"/>
          <w:lang w:eastAsia="en-US"/>
        </w:rPr>
        <w:t>’</w:t>
      </w:r>
      <w:r w:rsidRPr="00CA4E8C">
        <w:rPr>
          <w:rFonts w:ascii="Calibri" w:eastAsia="Times New Roman" w:hAnsi="Calibri"/>
          <w:szCs w:val="20"/>
          <w:lang w:eastAsia="en-US"/>
        </w:rPr>
        <w:t>s financi</w:t>
      </w:r>
      <w:r w:rsidR="00102375" w:rsidRPr="00CA4E8C">
        <w:rPr>
          <w:rFonts w:ascii="Calibri" w:eastAsia="Times New Roman" w:hAnsi="Calibri"/>
          <w:szCs w:val="20"/>
          <w:lang w:eastAsia="en-US"/>
        </w:rPr>
        <w:t>al situation at 31</w:t>
      </w:r>
      <w:r w:rsidR="00D76FC6" w:rsidRPr="00CA4E8C">
        <w:rPr>
          <w:rFonts w:ascii="Calibri" w:eastAsia="Times New Roman" w:hAnsi="Calibri"/>
          <w:szCs w:val="20"/>
          <w:lang w:eastAsia="en-US"/>
        </w:rPr>
        <w:t> </w:t>
      </w:r>
      <w:r w:rsidR="00102375" w:rsidRPr="00CA4E8C">
        <w:rPr>
          <w:rFonts w:ascii="Calibri" w:eastAsia="Times New Roman" w:hAnsi="Calibri"/>
          <w:szCs w:val="20"/>
          <w:lang w:eastAsia="en-US"/>
        </w:rPr>
        <w:t>December</w:t>
      </w:r>
      <w:r w:rsidR="00250AA8" w:rsidRPr="00CA4E8C">
        <w:rPr>
          <w:rFonts w:ascii="Calibri" w:eastAsia="Times New Roman" w:hAnsi="Calibri"/>
          <w:szCs w:val="20"/>
          <w:lang w:eastAsia="en-US"/>
        </w:rPr>
        <w:t> </w:t>
      </w:r>
      <w:r w:rsidR="00111BDD" w:rsidRPr="00CA4E8C">
        <w:rPr>
          <w:rFonts w:ascii="Calibri" w:eastAsia="Times New Roman" w:hAnsi="Calibri"/>
          <w:szCs w:val="20"/>
          <w:lang w:eastAsia="en-US"/>
        </w:rPr>
        <w:t>201</w:t>
      </w:r>
      <w:r w:rsidR="00CB39B4">
        <w:rPr>
          <w:rFonts w:ascii="Calibri" w:eastAsia="Times New Roman" w:hAnsi="Calibri"/>
          <w:szCs w:val="20"/>
          <w:lang w:eastAsia="en-US"/>
        </w:rPr>
        <w:t>7</w:t>
      </w:r>
      <w:r w:rsidRPr="00CA4E8C">
        <w:rPr>
          <w:rFonts w:ascii="Calibri" w:eastAsia="Times New Roman" w:hAnsi="Calibri"/>
          <w:szCs w:val="20"/>
          <w:lang w:eastAsia="en-US"/>
        </w:rPr>
        <w:t>.</w:t>
      </w:r>
      <w:r w:rsidR="00D476E2">
        <w:rPr>
          <w:rFonts w:ascii="Calibri" w:eastAsia="Times New Roman" w:hAnsi="Calibri"/>
          <w:szCs w:val="20"/>
          <w:lang w:eastAsia="en-US"/>
        </w:rPr>
        <w:t xml:space="preserve"> </w:t>
      </w:r>
    </w:p>
    <w:p w:rsidR="00AD2C3F" w:rsidRPr="00820ACD" w:rsidRDefault="00AD2C3F" w:rsidP="0096783F">
      <w:pPr>
        <w:jc w:val="both"/>
        <w:rPr>
          <w:lang w:val="en-US"/>
        </w:rPr>
      </w:pPr>
    </w:p>
    <w:p w:rsidR="0022373A" w:rsidRPr="00805EBD" w:rsidRDefault="0022373A" w:rsidP="00CB39B4">
      <w:pPr>
        <w:jc w:val="both"/>
        <w:rPr>
          <w:lang w:val="en-US"/>
        </w:rPr>
      </w:pPr>
      <w:r w:rsidRPr="000C6D3F">
        <w:rPr>
          <w:lang w:val="en-US"/>
        </w:rPr>
        <w:t>I.</w:t>
      </w:r>
      <w:r w:rsidRPr="000C6D3F">
        <w:rPr>
          <w:lang w:val="en-US"/>
        </w:rPr>
        <w:tab/>
        <w:t>Statement of financial position - B</w:t>
      </w:r>
      <w:r w:rsidR="00102375" w:rsidRPr="000C6D3F">
        <w:rPr>
          <w:lang w:val="en-US"/>
        </w:rPr>
        <w:t xml:space="preserve">alance sheet at 31 December </w:t>
      </w:r>
      <w:r w:rsidR="00111BDD" w:rsidRPr="000C6D3F">
        <w:rPr>
          <w:lang w:val="en-US"/>
        </w:rPr>
        <w:t>201</w:t>
      </w:r>
      <w:r w:rsidR="00CB39B4">
        <w:rPr>
          <w:lang w:val="en-US"/>
        </w:rPr>
        <w:t>7</w:t>
      </w:r>
    </w:p>
    <w:p w:rsidR="0022373A" w:rsidRPr="00805EBD" w:rsidRDefault="0022373A" w:rsidP="00CB39B4">
      <w:pPr>
        <w:jc w:val="both"/>
        <w:rPr>
          <w:lang w:val="en-US"/>
        </w:rPr>
      </w:pPr>
      <w:r w:rsidRPr="00805EBD">
        <w:rPr>
          <w:lang w:val="en-US"/>
        </w:rPr>
        <w:t>II.</w:t>
      </w:r>
      <w:r w:rsidRPr="00805EBD">
        <w:rPr>
          <w:lang w:val="en-US"/>
        </w:rPr>
        <w:tab/>
        <w:t xml:space="preserve">Statement of financial performance for the period </w:t>
      </w:r>
      <w:r w:rsidR="00102375">
        <w:rPr>
          <w:lang w:val="en-US"/>
        </w:rPr>
        <w:t xml:space="preserve">which closed on 31 December </w:t>
      </w:r>
      <w:r w:rsidR="00111BDD">
        <w:rPr>
          <w:lang w:val="en-US"/>
        </w:rPr>
        <w:t>201</w:t>
      </w:r>
      <w:r w:rsidR="00CB39B4">
        <w:rPr>
          <w:lang w:val="en-US"/>
        </w:rPr>
        <w:t>7</w:t>
      </w:r>
    </w:p>
    <w:p w:rsidR="0022373A" w:rsidRPr="00805EBD" w:rsidRDefault="0022373A" w:rsidP="00CB39B4">
      <w:pPr>
        <w:jc w:val="both"/>
        <w:rPr>
          <w:lang w:val="en-US"/>
        </w:rPr>
      </w:pPr>
      <w:r w:rsidRPr="00805EBD">
        <w:rPr>
          <w:lang w:val="en-US"/>
        </w:rPr>
        <w:t xml:space="preserve">III. </w:t>
      </w:r>
      <w:r w:rsidRPr="00805EBD">
        <w:rPr>
          <w:lang w:val="en-US"/>
        </w:rPr>
        <w:tab/>
        <w:t xml:space="preserve">Statement of changes in net assets for the period </w:t>
      </w:r>
      <w:r w:rsidR="00102375">
        <w:rPr>
          <w:lang w:val="en-US"/>
        </w:rPr>
        <w:t xml:space="preserve">which closed on 31 December </w:t>
      </w:r>
      <w:r w:rsidR="00111BDD">
        <w:rPr>
          <w:lang w:val="en-US"/>
        </w:rPr>
        <w:t>201</w:t>
      </w:r>
      <w:r w:rsidR="00CB39B4">
        <w:rPr>
          <w:lang w:val="en-US"/>
        </w:rPr>
        <w:t>7</w:t>
      </w:r>
    </w:p>
    <w:p w:rsidR="0022373A" w:rsidRPr="00805EBD" w:rsidRDefault="0022373A" w:rsidP="00CB39B4">
      <w:pPr>
        <w:jc w:val="both"/>
        <w:rPr>
          <w:lang w:val="en-US"/>
        </w:rPr>
      </w:pPr>
      <w:r w:rsidRPr="00805EBD">
        <w:rPr>
          <w:lang w:val="en-US"/>
        </w:rPr>
        <w:t xml:space="preserve">IV. </w:t>
      </w:r>
      <w:r w:rsidRPr="00805EBD">
        <w:rPr>
          <w:lang w:val="en-US"/>
        </w:rPr>
        <w:tab/>
      </w:r>
      <w:r w:rsidR="00713597">
        <w:rPr>
          <w:lang w:val="en-US"/>
        </w:rPr>
        <w:t xml:space="preserve">Statement </w:t>
      </w:r>
      <w:r w:rsidR="00B85F33">
        <w:rPr>
          <w:lang w:val="en-US"/>
        </w:rPr>
        <w:t>of cash flows for the period which closed on 31 December</w:t>
      </w:r>
      <w:r w:rsidR="005C0647">
        <w:rPr>
          <w:lang w:val="en-US"/>
        </w:rPr>
        <w:t xml:space="preserve"> </w:t>
      </w:r>
      <w:r w:rsidR="00111BDD">
        <w:rPr>
          <w:lang w:val="en-US"/>
        </w:rPr>
        <w:t>201</w:t>
      </w:r>
      <w:r w:rsidR="00CB39B4">
        <w:rPr>
          <w:lang w:val="en-US"/>
        </w:rPr>
        <w:t>7</w:t>
      </w:r>
    </w:p>
    <w:p w:rsidR="0022373A" w:rsidRDefault="0022373A" w:rsidP="00CB39B4">
      <w:pPr>
        <w:jc w:val="both"/>
        <w:rPr>
          <w:lang w:val="en-US"/>
        </w:rPr>
      </w:pPr>
      <w:r w:rsidRPr="00805EBD">
        <w:rPr>
          <w:lang w:val="en-US"/>
        </w:rPr>
        <w:t xml:space="preserve">V. </w:t>
      </w:r>
      <w:r w:rsidRPr="00805EBD">
        <w:rPr>
          <w:lang w:val="en-US"/>
        </w:rPr>
        <w:tab/>
      </w:r>
      <w:r w:rsidR="00713597">
        <w:rPr>
          <w:lang w:val="en-US"/>
        </w:rPr>
        <w:t>Statement of c</w:t>
      </w:r>
      <w:r w:rsidR="00B85F33">
        <w:rPr>
          <w:lang w:val="en-US"/>
        </w:rPr>
        <w:t xml:space="preserve">omparison of budgeted amounts and actual amounts for </w:t>
      </w:r>
      <w:r w:rsidR="00111BDD">
        <w:rPr>
          <w:lang w:val="en-US"/>
        </w:rPr>
        <w:t>201</w:t>
      </w:r>
      <w:r w:rsidR="00CB39B4">
        <w:rPr>
          <w:lang w:val="en-US"/>
        </w:rPr>
        <w:t>7</w:t>
      </w:r>
    </w:p>
    <w:p w:rsidR="007B1A87" w:rsidRDefault="007B1A87" w:rsidP="0096783F">
      <w:pPr>
        <w:jc w:val="both"/>
        <w:rPr>
          <w:lang w:val="en-US"/>
        </w:rPr>
      </w:pPr>
    </w:p>
    <w:p w:rsidR="00717BB7" w:rsidRDefault="00717BB7">
      <w:pPr>
        <w:tabs>
          <w:tab w:val="clear" w:pos="567"/>
          <w:tab w:val="clear" w:pos="1134"/>
          <w:tab w:val="clear" w:pos="1701"/>
          <w:tab w:val="clear" w:pos="2268"/>
          <w:tab w:val="clear" w:pos="2835"/>
        </w:tabs>
        <w:overflowPunct/>
        <w:autoSpaceDE/>
        <w:autoSpaceDN/>
        <w:adjustRightInd/>
        <w:spacing w:before="0"/>
        <w:textAlignment w:val="auto"/>
        <w:rPr>
          <w:lang w:val="en-US"/>
        </w:rPr>
      </w:pPr>
      <w:r>
        <w:rPr>
          <w:lang w:val="en-US"/>
        </w:rPr>
        <w:br w:type="page"/>
      </w:r>
    </w:p>
    <w:p w:rsidR="007B1A87" w:rsidRPr="00805EBD" w:rsidRDefault="007B1A87" w:rsidP="0096783F">
      <w:pPr>
        <w:jc w:val="both"/>
        <w:rPr>
          <w:lang w:val="en-US"/>
        </w:rPr>
      </w:pPr>
    </w:p>
    <w:p w:rsidR="00462279" w:rsidRPr="00746925" w:rsidRDefault="00462279" w:rsidP="00314AB3">
      <w:pPr>
        <w:pStyle w:val="Heading9"/>
        <w:jc w:val="center"/>
        <w:rPr>
          <w:w w:val="105"/>
          <w:sz w:val="28"/>
          <w:szCs w:val="28"/>
          <w:lang w:val="en-US"/>
        </w:rPr>
      </w:pPr>
      <w:r w:rsidRPr="00314AB3">
        <w:rPr>
          <w:w w:val="105"/>
          <w:sz w:val="28"/>
          <w:szCs w:val="28"/>
          <w:lang w:val="en-US"/>
        </w:rPr>
        <w:t>Management Report 201</w:t>
      </w:r>
      <w:r w:rsidR="00314AB3" w:rsidRPr="00314AB3">
        <w:rPr>
          <w:w w:val="105"/>
          <w:sz w:val="28"/>
          <w:szCs w:val="28"/>
          <w:lang w:val="en-US"/>
        </w:rPr>
        <w:t>7</w:t>
      </w:r>
    </w:p>
    <w:tbl>
      <w:tblPr>
        <w:tblW w:w="9923" w:type="dxa"/>
        <w:tblLayout w:type="fixed"/>
        <w:tblLook w:val="04A0" w:firstRow="1" w:lastRow="0" w:firstColumn="1" w:lastColumn="0" w:noHBand="0" w:noVBand="1"/>
      </w:tblPr>
      <w:tblGrid>
        <w:gridCol w:w="5461"/>
        <w:gridCol w:w="4462"/>
      </w:tblGrid>
      <w:tr w:rsidR="00462279" w:rsidRPr="00501973" w:rsidTr="0041376E">
        <w:tc>
          <w:tcPr>
            <w:tcW w:w="9923" w:type="dxa"/>
            <w:gridSpan w:val="2"/>
            <w:shd w:val="clear" w:color="auto" w:fill="auto"/>
          </w:tcPr>
          <w:p w:rsidR="00462279" w:rsidRPr="00501973" w:rsidRDefault="00462279" w:rsidP="0076062A">
            <w:pPr>
              <w:rPr>
                <w:b/>
                <w:bCs/>
                <w:color w:val="808080"/>
                <w:sz w:val="28"/>
                <w:szCs w:val="28"/>
                <w:lang w:eastAsia="zh-CN"/>
              </w:rPr>
            </w:pPr>
          </w:p>
        </w:tc>
      </w:tr>
      <w:tr w:rsidR="00462279" w:rsidRPr="00501973" w:rsidTr="0041376E">
        <w:tc>
          <w:tcPr>
            <w:tcW w:w="9923" w:type="dxa"/>
            <w:gridSpan w:val="2"/>
            <w:shd w:val="clear" w:color="auto" w:fill="auto"/>
          </w:tcPr>
          <w:p w:rsidR="00462279" w:rsidRPr="00501973" w:rsidRDefault="00462279" w:rsidP="0076062A">
            <w:pPr>
              <w:rPr>
                <w:lang w:eastAsia="zh-CN"/>
              </w:rPr>
            </w:pPr>
          </w:p>
        </w:tc>
      </w:tr>
      <w:tr w:rsidR="00462279" w:rsidRPr="00501973" w:rsidTr="0041376E">
        <w:tc>
          <w:tcPr>
            <w:tcW w:w="9923" w:type="dxa"/>
            <w:gridSpan w:val="2"/>
            <w:shd w:val="clear" w:color="auto" w:fill="auto"/>
          </w:tcPr>
          <w:p w:rsidR="00462279" w:rsidRPr="00501973" w:rsidRDefault="00462279" w:rsidP="0076062A">
            <w:pPr>
              <w:rPr>
                <w:lang w:eastAsia="zh-CN"/>
              </w:rPr>
            </w:pPr>
          </w:p>
        </w:tc>
      </w:tr>
      <w:tr w:rsidR="00462279" w:rsidRPr="00501973" w:rsidTr="0041376E">
        <w:tc>
          <w:tcPr>
            <w:tcW w:w="5461" w:type="dxa"/>
            <w:shd w:val="clear" w:color="auto" w:fill="auto"/>
          </w:tcPr>
          <w:p w:rsidR="00462279" w:rsidRPr="00501973" w:rsidRDefault="00462279" w:rsidP="0076062A">
            <w:pPr>
              <w:rPr>
                <w:lang w:eastAsia="zh-CN"/>
              </w:rPr>
            </w:pPr>
          </w:p>
        </w:tc>
        <w:tc>
          <w:tcPr>
            <w:tcW w:w="4462" w:type="dxa"/>
            <w:shd w:val="clear" w:color="auto" w:fill="auto"/>
          </w:tcPr>
          <w:p w:rsidR="00462279" w:rsidRPr="00501973" w:rsidRDefault="00462279" w:rsidP="00314AB3">
            <w:pPr>
              <w:rPr>
                <w:lang w:eastAsia="zh-CN"/>
              </w:rPr>
            </w:pPr>
            <w:r w:rsidRPr="009C0A2A">
              <w:rPr>
                <w:lang w:eastAsia="zh-CN"/>
              </w:rPr>
              <w:t xml:space="preserve">Geneva, </w:t>
            </w:r>
            <w:r>
              <w:rPr>
                <w:lang w:eastAsia="zh-CN"/>
              </w:rPr>
              <w:t>2</w:t>
            </w:r>
            <w:r w:rsidR="00314AB3">
              <w:rPr>
                <w:lang w:eastAsia="zh-CN"/>
              </w:rPr>
              <w:t>6</w:t>
            </w:r>
            <w:r>
              <w:rPr>
                <w:rFonts w:cs="Arial"/>
                <w:lang w:eastAsia="zh-CN"/>
              </w:rPr>
              <w:t xml:space="preserve"> March</w:t>
            </w:r>
            <w:r w:rsidRPr="009C0A2A">
              <w:rPr>
                <w:rFonts w:cs="Arial"/>
                <w:lang w:eastAsia="zh-CN"/>
              </w:rPr>
              <w:t xml:space="preserve"> 201</w:t>
            </w:r>
            <w:r w:rsidR="00314AB3">
              <w:rPr>
                <w:rFonts w:cs="Arial"/>
                <w:lang w:eastAsia="zh-CN"/>
              </w:rPr>
              <w:t>8</w:t>
            </w:r>
          </w:p>
        </w:tc>
      </w:tr>
      <w:tr w:rsidR="00462279" w:rsidRPr="00501973" w:rsidTr="0041376E">
        <w:tc>
          <w:tcPr>
            <w:tcW w:w="5461" w:type="dxa"/>
            <w:shd w:val="clear" w:color="auto" w:fill="auto"/>
          </w:tcPr>
          <w:p w:rsidR="00462279" w:rsidRPr="00501973" w:rsidRDefault="00462279" w:rsidP="0076062A">
            <w:pPr>
              <w:rPr>
                <w:lang w:eastAsia="zh-CN"/>
              </w:rPr>
            </w:pPr>
          </w:p>
        </w:tc>
        <w:tc>
          <w:tcPr>
            <w:tcW w:w="4462" w:type="dxa"/>
            <w:shd w:val="clear" w:color="auto" w:fill="auto"/>
          </w:tcPr>
          <w:p w:rsidR="00462279" w:rsidRPr="00501973" w:rsidRDefault="00462279" w:rsidP="0076062A">
            <w:pPr>
              <w:rPr>
                <w:rFonts w:cs="Arial"/>
                <w:lang w:eastAsia="zh-CN"/>
              </w:rPr>
            </w:pPr>
          </w:p>
        </w:tc>
      </w:tr>
      <w:tr w:rsidR="00462279" w:rsidRPr="00501973" w:rsidTr="0041376E">
        <w:tc>
          <w:tcPr>
            <w:tcW w:w="9923" w:type="dxa"/>
            <w:gridSpan w:val="2"/>
            <w:shd w:val="clear" w:color="auto" w:fill="auto"/>
          </w:tcPr>
          <w:p w:rsidR="00462279" w:rsidRPr="00501973" w:rsidRDefault="00462279" w:rsidP="0076062A">
            <w:pPr>
              <w:rPr>
                <w:lang w:eastAsia="zh-CN"/>
              </w:rPr>
            </w:pPr>
          </w:p>
        </w:tc>
      </w:tr>
    </w:tbl>
    <w:p w:rsidR="00BA0B97" w:rsidRDefault="00BA0B97" w:rsidP="00BA0B97">
      <w:pPr>
        <w:pStyle w:val="Headingb"/>
        <w:ind w:left="0" w:firstLine="0"/>
        <w:rPr>
          <w:lang w:eastAsia="zh-CN"/>
        </w:rPr>
      </w:pPr>
      <w:r>
        <w:rPr>
          <w:lang w:eastAsia="zh-CN"/>
        </w:rPr>
        <w:t>Management report</w:t>
      </w:r>
      <w:r w:rsidRPr="00501973">
        <w:rPr>
          <w:lang w:eastAsia="zh-CN"/>
        </w:rPr>
        <w:t xml:space="preserve"> from the senior management of the International Telecommunication Union (ITU)</w:t>
      </w:r>
    </w:p>
    <w:p w:rsidR="00BA0B97" w:rsidRDefault="00BA0B97" w:rsidP="00BA0B97">
      <w:pPr>
        <w:jc w:val="both"/>
        <w:rPr>
          <w:lang w:eastAsia="zh-CN"/>
        </w:rPr>
      </w:pPr>
      <w:r w:rsidRPr="00501973">
        <w:rPr>
          <w:lang w:eastAsia="zh-CN"/>
        </w:rPr>
        <w:t xml:space="preserve">In connection with </w:t>
      </w:r>
      <w:r>
        <w:rPr>
          <w:lang w:eastAsia="zh-CN"/>
        </w:rPr>
        <w:t>the</w:t>
      </w:r>
      <w:r w:rsidRPr="00501973">
        <w:rPr>
          <w:lang w:eastAsia="zh-CN"/>
        </w:rPr>
        <w:t xml:space="preserve"> audit of the annual accounts of the International Telecommun</w:t>
      </w:r>
      <w:r>
        <w:rPr>
          <w:lang w:eastAsia="zh-CN"/>
        </w:rPr>
        <w:t>ication Union (ITU) for the 2017</w:t>
      </w:r>
      <w:r w:rsidRPr="00501973">
        <w:rPr>
          <w:lang w:eastAsia="zh-CN"/>
        </w:rPr>
        <w:t xml:space="preserve"> finan</w:t>
      </w:r>
      <w:r>
        <w:rPr>
          <w:lang w:eastAsia="zh-CN"/>
        </w:rPr>
        <w:t>cial year at 31 December 2017, we hereby submit this management report</w:t>
      </w:r>
      <w:r w:rsidRPr="00501973">
        <w:rPr>
          <w:lang w:eastAsia="zh-CN"/>
        </w:rPr>
        <w:t>.</w:t>
      </w:r>
    </w:p>
    <w:p w:rsidR="00BA0B97" w:rsidRPr="00501973" w:rsidRDefault="00BA0B97" w:rsidP="00BA0B97">
      <w:pPr>
        <w:jc w:val="both"/>
        <w:rPr>
          <w:lang w:eastAsia="zh-CN"/>
        </w:rPr>
      </w:pPr>
      <w:r>
        <w:rPr>
          <w:lang w:eastAsia="zh-CN"/>
        </w:rPr>
        <w:t>We have prepared the</w:t>
      </w:r>
      <w:r w:rsidRPr="00501973">
        <w:rPr>
          <w:lang w:eastAsia="zh-CN"/>
        </w:rPr>
        <w:t xml:space="preserve"> annual accounts for </w:t>
      </w:r>
      <w:r>
        <w:rPr>
          <w:lang w:eastAsia="zh-CN"/>
        </w:rPr>
        <w:t xml:space="preserve">submission to the External Auditor and subsequent </w:t>
      </w:r>
      <w:r w:rsidRPr="00501973">
        <w:rPr>
          <w:lang w:eastAsia="zh-CN"/>
        </w:rPr>
        <w:t>transmission</w:t>
      </w:r>
      <w:r>
        <w:rPr>
          <w:lang w:eastAsia="zh-CN"/>
        </w:rPr>
        <w:t xml:space="preserve"> and approval by</w:t>
      </w:r>
      <w:r w:rsidRPr="00501973">
        <w:rPr>
          <w:lang w:eastAsia="zh-CN"/>
        </w:rPr>
        <w:t xml:space="preserve"> the ITU Council. We are aware of our responsibility </w:t>
      </w:r>
      <w:r>
        <w:rPr>
          <w:lang w:eastAsia="zh-CN"/>
        </w:rPr>
        <w:t xml:space="preserve">with </w:t>
      </w:r>
      <w:r w:rsidRPr="00501973">
        <w:rPr>
          <w:lang w:eastAsia="zh-CN"/>
        </w:rPr>
        <w:t>regard to the</w:t>
      </w:r>
      <w:r>
        <w:rPr>
          <w:lang w:eastAsia="zh-CN"/>
        </w:rPr>
        <w:t xml:space="preserve"> transparency of and accessibility to</w:t>
      </w:r>
      <w:r w:rsidRPr="00501973">
        <w:rPr>
          <w:lang w:eastAsia="zh-CN"/>
        </w:rPr>
        <w:t xml:space="preserve"> </w:t>
      </w:r>
      <w:r>
        <w:rPr>
          <w:lang w:eastAsia="zh-CN"/>
        </w:rPr>
        <w:t xml:space="preserve">the </w:t>
      </w:r>
      <w:r w:rsidRPr="00501973">
        <w:rPr>
          <w:lang w:eastAsia="zh-CN"/>
        </w:rPr>
        <w:t>annual accounts</w:t>
      </w:r>
      <w:r>
        <w:rPr>
          <w:lang w:eastAsia="zh-CN"/>
        </w:rPr>
        <w:t>,</w:t>
      </w:r>
      <w:r w:rsidRPr="00501973">
        <w:rPr>
          <w:lang w:eastAsia="zh-CN"/>
        </w:rPr>
        <w:t xml:space="preserve"> and the establishment and maintenance of sustainable accounting and internal control systems, including measures to prevent and detect significant errors </w:t>
      </w:r>
      <w:r>
        <w:rPr>
          <w:lang w:eastAsia="zh-CN"/>
        </w:rPr>
        <w:t xml:space="preserve">and </w:t>
      </w:r>
      <w:r w:rsidRPr="00501973">
        <w:rPr>
          <w:lang w:eastAsia="zh-CN"/>
        </w:rPr>
        <w:t>fraud.</w:t>
      </w:r>
      <w:bookmarkStart w:id="14" w:name="CurrentLocation"/>
      <w:bookmarkEnd w:id="14"/>
    </w:p>
    <w:p w:rsidR="00BA0B97" w:rsidRPr="00501973" w:rsidRDefault="00BA0B97" w:rsidP="00BA0B97">
      <w:pPr>
        <w:pStyle w:val="enumlev1"/>
        <w:numPr>
          <w:ilvl w:val="0"/>
          <w:numId w:val="2"/>
        </w:numPr>
        <w:tabs>
          <w:tab w:val="clear" w:pos="567"/>
          <w:tab w:val="clear" w:pos="1134"/>
          <w:tab w:val="clear" w:pos="1701"/>
          <w:tab w:val="clear" w:pos="2268"/>
          <w:tab w:val="clear" w:pos="2835"/>
          <w:tab w:val="left" w:pos="851"/>
          <w:tab w:val="left" w:pos="1191"/>
          <w:tab w:val="left" w:pos="1588"/>
          <w:tab w:val="left" w:pos="1985"/>
        </w:tabs>
        <w:spacing w:before="80" w:line="280" w:lineRule="exact"/>
        <w:ind w:left="851" w:hanging="425"/>
        <w:jc w:val="both"/>
        <w:rPr>
          <w:lang w:eastAsia="zh-CN"/>
        </w:rPr>
      </w:pPr>
      <w:r w:rsidRPr="00501973">
        <w:rPr>
          <w:lang w:eastAsia="zh-CN"/>
        </w:rPr>
        <w:t>The annual</w:t>
      </w:r>
      <w:r>
        <w:rPr>
          <w:lang w:eastAsia="zh-CN"/>
        </w:rPr>
        <w:t xml:space="preserve"> accounts and related notes and associated disclosures comply with IPSAS, the Financial Regulations and Financial Rules and the relevant resolutions adopted by the Governing Bodies of the Organization.</w:t>
      </w:r>
    </w:p>
    <w:p w:rsidR="00BA0B97" w:rsidRPr="00607EC5" w:rsidRDefault="00BA0B97" w:rsidP="00BA0B97">
      <w:pPr>
        <w:pStyle w:val="enumlev1"/>
        <w:numPr>
          <w:ilvl w:val="0"/>
          <w:numId w:val="2"/>
        </w:numPr>
        <w:tabs>
          <w:tab w:val="clear" w:pos="567"/>
          <w:tab w:val="clear" w:pos="1134"/>
          <w:tab w:val="clear" w:pos="1701"/>
          <w:tab w:val="clear" w:pos="2268"/>
          <w:tab w:val="clear" w:pos="2835"/>
          <w:tab w:val="left" w:pos="851"/>
          <w:tab w:val="left" w:pos="1191"/>
          <w:tab w:val="left" w:pos="1588"/>
          <w:tab w:val="left" w:pos="1985"/>
        </w:tabs>
        <w:spacing w:before="80" w:line="280" w:lineRule="exact"/>
        <w:ind w:left="851" w:hanging="425"/>
        <w:jc w:val="both"/>
        <w:rPr>
          <w:lang w:eastAsia="zh-CN"/>
        </w:rPr>
      </w:pPr>
      <w:r>
        <w:rPr>
          <w:lang w:eastAsia="zh-CN"/>
        </w:rPr>
        <w:t xml:space="preserve">All transactions have been properly documented. </w:t>
      </w:r>
      <w:r w:rsidRPr="00501973">
        <w:rPr>
          <w:lang w:eastAsia="zh-CN"/>
        </w:rPr>
        <w:t xml:space="preserve">We have made available to </w:t>
      </w:r>
      <w:r>
        <w:rPr>
          <w:lang w:eastAsia="zh-CN"/>
        </w:rPr>
        <w:t xml:space="preserve">the ITU </w:t>
      </w:r>
      <w:r w:rsidRPr="00911B53">
        <w:rPr>
          <w:lang w:eastAsia="zh-CN"/>
        </w:rPr>
        <w:t xml:space="preserve">External Auditor all the relevant information, provided him and his colleagues access to our books and accounting vouchers as well as business correspondence and have informed them of any </w:t>
      </w:r>
      <w:r w:rsidRPr="00607EC5">
        <w:rPr>
          <w:lang w:eastAsia="zh-CN"/>
        </w:rPr>
        <w:t>decisions that could have a significant impact on the annual accounts. Unrestricted access has been granted to our External Auditors to persons within the entity from whom it was determined as necessary to obtain audit evidence.</w:t>
      </w:r>
    </w:p>
    <w:p w:rsidR="00BA0B97" w:rsidRPr="00607EC5" w:rsidRDefault="00BA0B97" w:rsidP="00BA0B97">
      <w:pPr>
        <w:pStyle w:val="enumlev1"/>
        <w:numPr>
          <w:ilvl w:val="0"/>
          <w:numId w:val="2"/>
        </w:numPr>
        <w:tabs>
          <w:tab w:val="clear" w:pos="567"/>
          <w:tab w:val="clear" w:pos="1134"/>
          <w:tab w:val="clear" w:pos="1701"/>
          <w:tab w:val="clear" w:pos="2268"/>
          <w:tab w:val="clear" w:pos="2835"/>
          <w:tab w:val="left" w:pos="851"/>
          <w:tab w:val="left" w:pos="1191"/>
          <w:tab w:val="left" w:pos="1588"/>
          <w:tab w:val="left" w:pos="1985"/>
        </w:tabs>
        <w:spacing w:before="80" w:line="280" w:lineRule="exact"/>
        <w:ind w:left="851" w:hanging="425"/>
        <w:jc w:val="both"/>
        <w:rPr>
          <w:lang w:eastAsia="zh-CN"/>
        </w:rPr>
      </w:pPr>
      <w:r w:rsidRPr="00607EC5">
        <w:rPr>
          <w:lang w:eastAsia="zh-CN"/>
        </w:rPr>
        <w:t>All transactions pertaining to 201</w:t>
      </w:r>
      <w:r>
        <w:rPr>
          <w:lang w:eastAsia="zh-CN"/>
        </w:rPr>
        <w:t>7</w:t>
      </w:r>
      <w:r w:rsidRPr="00607EC5">
        <w:rPr>
          <w:lang w:eastAsia="zh-CN"/>
        </w:rPr>
        <w:t xml:space="preserve"> have been recorded in the statement of financial performance at appropriated amounts. All the assets, liabilities and equity balances have been recorded in the statement of the financial situation at appropriated amounts. As ITU holds sufficient legal rights over all the assets entered in the balance sheet, there is no pledge or encumbrance on any ITU asset that is not mentioned in the annex. Related party relationships and transactions have been appropriately accounted for and disclosed in accordance with IPSAS requirements. There are no other contracts, credit agreements, litigation or other disputes liable to significantly alter the assessment of the annual ITU accounts. </w:t>
      </w:r>
    </w:p>
    <w:p w:rsidR="00BA0B97" w:rsidRPr="0052723F" w:rsidRDefault="00BA0B97" w:rsidP="00BA0B97">
      <w:pPr>
        <w:pStyle w:val="enumlev1"/>
        <w:numPr>
          <w:ilvl w:val="0"/>
          <w:numId w:val="2"/>
        </w:numPr>
        <w:tabs>
          <w:tab w:val="clear" w:pos="567"/>
          <w:tab w:val="clear" w:pos="1134"/>
          <w:tab w:val="clear" w:pos="1701"/>
          <w:tab w:val="clear" w:pos="2268"/>
          <w:tab w:val="clear" w:pos="2835"/>
          <w:tab w:val="left" w:pos="851"/>
          <w:tab w:val="left" w:pos="1191"/>
          <w:tab w:val="left" w:pos="1588"/>
          <w:tab w:val="left" w:pos="1985"/>
        </w:tabs>
        <w:spacing w:before="80" w:line="280" w:lineRule="exact"/>
        <w:ind w:left="851" w:hanging="425"/>
        <w:jc w:val="both"/>
        <w:rPr>
          <w:lang w:eastAsia="zh-CN"/>
        </w:rPr>
      </w:pPr>
      <w:r w:rsidRPr="00607EC5">
        <w:rPr>
          <w:lang w:eastAsia="zh-CN"/>
        </w:rPr>
        <w:t>All events subsequent to the date of the financial statements and for which IPSAS require adjustment or disclosure have</w:t>
      </w:r>
      <w:r>
        <w:rPr>
          <w:lang w:eastAsia="zh-CN"/>
        </w:rPr>
        <w:t xml:space="preserve"> been adjusted or disclosed.</w:t>
      </w:r>
    </w:p>
    <w:p w:rsidR="00BA0B97" w:rsidRPr="00BE1FFF" w:rsidRDefault="00BA0B97" w:rsidP="00BA0B97">
      <w:pPr>
        <w:pStyle w:val="enumlev1"/>
        <w:numPr>
          <w:ilvl w:val="0"/>
          <w:numId w:val="2"/>
        </w:numPr>
        <w:tabs>
          <w:tab w:val="clear" w:pos="567"/>
          <w:tab w:val="clear" w:pos="1134"/>
          <w:tab w:val="clear" w:pos="1701"/>
          <w:tab w:val="clear" w:pos="2268"/>
          <w:tab w:val="clear" w:pos="2835"/>
          <w:tab w:val="left" w:pos="851"/>
          <w:tab w:val="left" w:pos="1191"/>
          <w:tab w:val="left" w:pos="1588"/>
          <w:tab w:val="left" w:pos="1985"/>
        </w:tabs>
        <w:spacing w:before="80" w:line="280" w:lineRule="exact"/>
        <w:ind w:left="850" w:hanging="425"/>
        <w:jc w:val="both"/>
        <w:rPr>
          <w:lang w:eastAsia="zh-CN"/>
        </w:rPr>
      </w:pPr>
      <w:r w:rsidRPr="00501973">
        <w:rPr>
          <w:lang w:eastAsia="zh-CN"/>
        </w:rPr>
        <w:t xml:space="preserve">The main assumptions </w:t>
      </w:r>
      <w:r>
        <w:rPr>
          <w:lang w:eastAsia="zh-CN"/>
        </w:rPr>
        <w:t>made for</w:t>
      </w:r>
      <w:r w:rsidRPr="00501973">
        <w:rPr>
          <w:lang w:eastAsia="zh-CN"/>
        </w:rPr>
        <w:t xml:space="preserve"> valuations and the information on fair value</w:t>
      </w:r>
      <w:r>
        <w:rPr>
          <w:lang w:eastAsia="zh-CN"/>
        </w:rPr>
        <w:t>s</w:t>
      </w:r>
      <w:r w:rsidRPr="00501973">
        <w:rPr>
          <w:lang w:eastAsia="zh-CN"/>
        </w:rPr>
        <w:t xml:space="preserve"> are in </w:t>
      </w:r>
      <w:r w:rsidRPr="00BE1FFF">
        <w:rPr>
          <w:lang w:eastAsia="zh-CN"/>
        </w:rPr>
        <w:t>our opinion appropriate, reflect our intention and comply with the accounting principles applied.</w:t>
      </w:r>
    </w:p>
    <w:p w:rsidR="00BA0B97" w:rsidRPr="00607EC5" w:rsidRDefault="00BA0B97" w:rsidP="00BA0B97">
      <w:pPr>
        <w:pStyle w:val="enumlev1"/>
        <w:numPr>
          <w:ilvl w:val="0"/>
          <w:numId w:val="2"/>
        </w:numPr>
        <w:tabs>
          <w:tab w:val="clear" w:pos="567"/>
          <w:tab w:val="clear" w:pos="1134"/>
          <w:tab w:val="clear" w:pos="1701"/>
          <w:tab w:val="clear" w:pos="2268"/>
          <w:tab w:val="clear" w:pos="2835"/>
          <w:tab w:val="left" w:pos="851"/>
          <w:tab w:val="left" w:pos="1191"/>
          <w:tab w:val="left" w:pos="1588"/>
          <w:tab w:val="left" w:pos="1985"/>
        </w:tabs>
        <w:spacing w:before="80" w:line="280" w:lineRule="exact"/>
        <w:ind w:left="851" w:hanging="425"/>
        <w:jc w:val="both"/>
        <w:rPr>
          <w:lang w:eastAsia="zh-CN"/>
        </w:rPr>
      </w:pPr>
      <w:r>
        <w:rPr>
          <w:lang w:eastAsia="zh-CN"/>
        </w:rPr>
        <w:t xml:space="preserve">We confirm </w:t>
      </w:r>
      <w:r w:rsidRPr="00BE1FFF">
        <w:rPr>
          <w:lang w:eastAsia="zh-CN"/>
        </w:rPr>
        <w:t xml:space="preserve">that an internal control system relating to financial reporting is in place to provide </w:t>
      </w:r>
      <w:r w:rsidRPr="00607EC5">
        <w:rPr>
          <w:lang w:eastAsia="zh-CN"/>
        </w:rPr>
        <w:t>reasonable assurance regarding the reliability of financial reporting and the preparation of annual accounts for external purposes in accordance with the Financial Regulations and Financial Rules. This system includes relevant policies and procedures that:</w:t>
      </w:r>
    </w:p>
    <w:p w:rsidR="00BA0B97" w:rsidRPr="00607EC5" w:rsidRDefault="00BA0B97" w:rsidP="00BA0B97">
      <w:pPr>
        <w:pStyle w:val="enumlev1"/>
        <w:numPr>
          <w:ilvl w:val="0"/>
          <w:numId w:val="3"/>
        </w:numPr>
        <w:tabs>
          <w:tab w:val="clear" w:pos="567"/>
          <w:tab w:val="clear" w:pos="1134"/>
          <w:tab w:val="clear" w:pos="1701"/>
          <w:tab w:val="clear" w:pos="2268"/>
          <w:tab w:val="clear" w:pos="2835"/>
          <w:tab w:val="left" w:pos="1560"/>
          <w:tab w:val="left" w:pos="1588"/>
          <w:tab w:val="left" w:pos="1985"/>
        </w:tabs>
        <w:spacing w:before="80" w:line="280" w:lineRule="exact"/>
        <w:ind w:left="1560" w:hanging="284"/>
        <w:jc w:val="both"/>
        <w:rPr>
          <w:lang w:eastAsia="zh-CN"/>
        </w:rPr>
      </w:pPr>
      <w:r w:rsidRPr="00607EC5">
        <w:rPr>
          <w:lang w:eastAsia="zh-CN"/>
        </w:rPr>
        <w:t>pertains to the maintenance of records that, in reasonable detail, accurately and fairly reflect the transaction;</w:t>
      </w:r>
    </w:p>
    <w:p w:rsidR="00BA0B97" w:rsidRPr="00607EC5" w:rsidRDefault="00BA0B97" w:rsidP="00BA0B97">
      <w:pPr>
        <w:pStyle w:val="enumlev1"/>
        <w:numPr>
          <w:ilvl w:val="0"/>
          <w:numId w:val="3"/>
        </w:numPr>
        <w:tabs>
          <w:tab w:val="clear" w:pos="567"/>
          <w:tab w:val="clear" w:pos="1134"/>
          <w:tab w:val="clear" w:pos="1701"/>
          <w:tab w:val="clear" w:pos="2268"/>
          <w:tab w:val="clear" w:pos="2835"/>
          <w:tab w:val="left" w:pos="1560"/>
          <w:tab w:val="left" w:pos="1588"/>
          <w:tab w:val="left" w:pos="1985"/>
        </w:tabs>
        <w:spacing w:before="80" w:line="280" w:lineRule="exact"/>
        <w:ind w:left="1560" w:hanging="284"/>
        <w:jc w:val="both"/>
        <w:rPr>
          <w:lang w:eastAsia="zh-CN"/>
        </w:rPr>
      </w:pPr>
      <w:r w:rsidRPr="00607EC5">
        <w:rPr>
          <w:lang w:eastAsia="zh-CN"/>
        </w:rPr>
        <w:t>provides reasonable assurance that transactions are recorded as necessary to enable the preparation of the annual accounts and that receipts and expenditures are made in accordance with the authorizations of management in compliance with the Financial Regulations and Financial Rules;</w:t>
      </w:r>
    </w:p>
    <w:p w:rsidR="00BA0B97" w:rsidRPr="00607EC5" w:rsidRDefault="00BA0B97" w:rsidP="00BA0B97">
      <w:pPr>
        <w:pStyle w:val="enumlev1"/>
        <w:numPr>
          <w:ilvl w:val="0"/>
          <w:numId w:val="3"/>
        </w:numPr>
        <w:tabs>
          <w:tab w:val="clear" w:pos="567"/>
          <w:tab w:val="clear" w:pos="1134"/>
          <w:tab w:val="clear" w:pos="1701"/>
          <w:tab w:val="clear" w:pos="2268"/>
          <w:tab w:val="clear" w:pos="2835"/>
          <w:tab w:val="left" w:pos="1560"/>
          <w:tab w:val="left" w:pos="1588"/>
          <w:tab w:val="left" w:pos="1985"/>
        </w:tabs>
        <w:spacing w:before="80" w:line="280" w:lineRule="exact"/>
        <w:ind w:left="1560" w:hanging="284"/>
        <w:jc w:val="both"/>
        <w:rPr>
          <w:lang w:eastAsia="zh-CN"/>
        </w:rPr>
      </w:pPr>
      <w:proofErr w:type="gramStart"/>
      <w:r w:rsidRPr="00607EC5">
        <w:rPr>
          <w:lang w:eastAsia="zh-CN"/>
        </w:rPr>
        <w:t>provides</w:t>
      </w:r>
      <w:proofErr w:type="gramEnd"/>
      <w:r w:rsidRPr="00607EC5">
        <w:rPr>
          <w:lang w:eastAsia="zh-CN"/>
        </w:rPr>
        <w:t xml:space="preserve"> reasonable assurance regarding the prevention or timely detection of unauthorized acquisitions, use or disposition of assets.</w:t>
      </w:r>
    </w:p>
    <w:p w:rsidR="00BA0B97" w:rsidRPr="00607EC5" w:rsidRDefault="00BA0B97" w:rsidP="00BA0B97">
      <w:pPr>
        <w:pStyle w:val="enumlev1"/>
        <w:numPr>
          <w:ilvl w:val="0"/>
          <w:numId w:val="2"/>
        </w:numPr>
        <w:tabs>
          <w:tab w:val="clear" w:pos="567"/>
          <w:tab w:val="clear" w:pos="1134"/>
          <w:tab w:val="clear" w:pos="1701"/>
          <w:tab w:val="clear" w:pos="2268"/>
          <w:tab w:val="clear" w:pos="2835"/>
          <w:tab w:val="left" w:pos="851"/>
          <w:tab w:val="left" w:pos="1191"/>
          <w:tab w:val="left" w:pos="1588"/>
          <w:tab w:val="left" w:pos="1985"/>
        </w:tabs>
        <w:spacing w:before="80" w:line="280" w:lineRule="exact"/>
        <w:ind w:left="851" w:hanging="426"/>
        <w:jc w:val="both"/>
        <w:rPr>
          <w:lang w:eastAsia="zh-CN"/>
        </w:rPr>
      </w:pPr>
      <w:r w:rsidRPr="00607EC5">
        <w:rPr>
          <w:lang w:eastAsia="zh-CN"/>
        </w:rPr>
        <w:t>We confirm that risks identified and recommendations issued by Internal Audit, the External Auditor and the Independent Management Advisory Committee (IMAC) are taken into account and acted upon, as appropriate. The Council Working Group on Financial and Human Resources is informed annually on the status of the implementation of these recommendations.</w:t>
      </w:r>
    </w:p>
    <w:p w:rsidR="00BA0B97" w:rsidRPr="00607EC5" w:rsidRDefault="00BA0B97" w:rsidP="00BA0B97">
      <w:pPr>
        <w:pStyle w:val="enumlev1"/>
        <w:numPr>
          <w:ilvl w:val="0"/>
          <w:numId w:val="2"/>
        </w:numPr>
        <w:tabs>
          <w:tab w:val="clear" w:pos="567"/>
          <w:tab w:val="clear" w:pos="1134"/>
          <w:tab w:val="clear" w:pos="1701"/>
          <w:tab w:val="clear" w:pos="2268"/>
          <w:tab w:val="clear" w:pos="2835"/>
          <w:tab w:val="left" w:pos="851"/>
          <w:tab w:val="left" w:pos="1191"/>
          <w:tab w:val="left" w:pos="1588"/>
          <w:tab w:val="left" w:pos="1985"/>
        </w:tabs>
        <w:spacing w:before="80" w:line="280" w:lineRule="exact"/>
        <w:ind w:left="850" w:hanging="425"/>
        <w:jc w:val="both"/>
        <w:rPr>
          <w:lang w:eastAsia="zh-CN"/>
        </w:rPr>
      </w:pPr>
      <w:r w:rsidRPr="00607EC5">
        <w:rPr>
          <w:lang w:eastAsia="zh-CN"/>
        </w:rPr>
        <w:t>We are of the opinion that the impact of non-adjusted differences identified during the audit – taken individually or together – is negligible in terms of the overall financial statements.</w:t>
      </w:r>
    </w:p>
    <w:p w:rsidR="00BA0B97" w:rsidRDefault="00BA0B97" w:rsidP="00BA0B97">
      <w:pPr>
        <w:pStyle w:val="enumlev1"/>
        <w:tabs>
          <w:tab w:val="clear" w:pos="567"/>
          <w:tab w:val="clear" w:pos="1134"/>
          <w:tab w:val="clear" w:pos="1701"/>
          <w:tab w:val="clear" w:pos="2268"/>
          <w:tab w:val="clear" w:pos="2835"/>
          <w:tab w:val="left" w:pos="1588"/>
          <w:tab w:val="left" w:pos="1985"/>
        </w:tabs>
        <w:spacing w:before="80" w:line="280" w:lineRule="exact"/>
        <w:ind w:left="851" w:hanging="425"/>
        <w:jc w:val="both"/>
        <w:rPr>
          <w:lang w:eastAsia="zh-CN"/>
        </w:rPr>
      </w:pPr>
      <w:r>
        <w:rPr>
          <w:lang w:eastAsia="zh-CN"/>
        </w:rPr>
        <w:t>9.</w:t>
      </w:r>
      <w:r>
        <w:rPr>
          <w:lang w:eastAsia="zh-CN"/>
        </w:rPr>
        <w:tab/>
        <w:t xml:space="preserve">We confirm that we are in compliance with ITU Financial Regulations and Financial Rules (Article 28.9) which stipulates that </w:t>
      </w:r>
      <w:r w:rsidRPr="00B6721D">
        <w:rPr>
          <w:i/>
          <w:lang w:eastAsia="zh-CN"/>
        </w:rPr>
        <w:t>any case of fraud or suspected fraud shall be submitted by the Secretary-General to the External Auditor without delay</w:t>
      </w:r>
      <w:r>
        <w:rPr>
          <w:lang w:eastAsia="zh-CN"/>
        </w:rPr>
        <w:t>. We also have no knowledge of any other events that might raise due doubt as to ITU’s capacity as a going concern.</w:t>
      </w:r>
    </w:p>
    <w:p w:rsidR="00BA0B97" w:rsidRDefault="00BA0B97" w:rsidP="00BA0B97">
      <w:pPr>
        <w:pStyle w:val="enumlev1"/>
        <w:tabs>
          <w:tab w:val="clear" w:pos="567"/>
          <w:tab w:val="clear" w:pos="1134"/>
          <w:tab w:val="clear" w:pos="1701"/>
          <w:tab w:val="clear" w:pos="2268"/>
          <w:tab w:val="clear" w:pos="2835"/>
          <w:tab w:val="left" w:pos="851"/>
          <w:tab w:val="left" w:pos="1191"/>
          <w:tab w:val="left" w:pos="1588"/>
          <w:tab w:val="left" w:pos="1985"/>
        </w:tabs>
        <w:spacing w:before="80" w:line="280" w:lineRule="exact"/>
        <w:ind w:left="851" w:hanging="425"/>
        <w:jc w:val="both"/>
        <w:rPr>
          <w:lang w:eastAsia="zh-CN"/>
        </w:rPr>
      </w:pPr>
      <w:r>
        <w:rPr>
          <w:lang w:eastAsia="zh-CN"/>
        </w:rPr>
        <w:t>10.</w:t>
      </w:r>
      <w:r>
        <w:rPr>
          <w:lang w:eastAsia="zh-CN"/>
        </w:rPr>
        <w:tab/>
        <w:t>It is in this regard and to alleviate the risk of fraud that a</w:t>
      </w:r>
      <w:r w:rsidRPr="00DA580E">
        <w:rPr>
          <w:lang w:eastAsia="zh-CN"/>
        </w:rPr>
        <w:t xml:space="preserve"> new procurement procedure has been developed for specific type of cases to ensure appropriate control level and segregation of duties between the </w:t>
      </w:r>
      <w:proofErr w:type="gramStart"/>
      <w:r w:rsidRPr="00DA580E">
        <w:rPr>
          <w:lang w:eastAsia="zh-CN"/>
        </w:rPr>
        <w:t>requisition</w:t>
      </w:r>
      <w:proofErr w:type="gramEnd"/>
      <w:r w:rsidRPr="00DA580E">
        <w:rPr>
          <w:lang w:eastAsia="zh-CN"/>
        </w:rPr>
        <w:t>, funding approval and procurement functions. This new procedure has been introduced on a trial basis and will be fully assessed before its definitive implementation.</w:t>
      </w:r>
      <w:r>
        <w:rPr>
          <w:lang w:eastAsia="zh-CN"/>
        </w:rPr>
        <w:t xml:space="preserve"> </w:t>
      </w:r>
    </w:p>
    <w:p w:rsidR="00BA0B97" w:rsidRPr="00607EC5" w:rsidRDefault="00BA0B97" w:rsidP="00BA0B97">
      <w:pPr>
        <w:pStyle w:val="enumlev1"/>
        <w:tabs>
          <w:tab w:val="clear" w:pos="567"/>
          <w:tab w:val="clear" w:pos="1134"/>
          <w:tab w:val="clear" w:pos="1701"/>
          <w:tab w:val="clear" w:pos="2268"/>
          <w:tab w:val="clear" w:pos="2835"/>
          <w:tab w:val="left" w:pos="426"/>
          <w:tab w:val="left" w:pos="851"/>
          <w:tab w:val="left" w:pos="1191"/>
          <w:tab w:val="left" w:pos="1588"/>
          <w:tab w:val="left" w:pos="1985"/>
        </w:tabs>
        <w:spacing w:before="80" w:line="280" w:lineRule="exact"/>
        <w:ind w:left="851" w:hanging="709"/>
        <w:jc w:val="both"/>
        <w:rPr>
          <w:lang w:eastAsia="zh-CN"/>
        </w:rPr>
      </w:pPr>
      <w:r>
        <w:rPr>
          <w:lang w:eastAsia="zh-CN"/>
        </w:rPr>
        <w:tab/>
        <w:t>11.</w:t>
      </w:r>
      <w:r>
        <w:rPr>
          <w:lang w:eastAsia="zh-CN"/>
        </w:rPr>
        <w:tab/>
      </w:r>
      <w:r w:rsidRPr="00607EC5">
        <w:rPr>
          <w:lang w:eastAsia="zh-CN"/>
        </w:rPr>
        <w:t>All circumstances having an impact on the accounts that have arisen prior to the conclusion of the external audit work have been duly taken into consideration in drawing up these annual accounts. We shall not fail to inform the External Auditor immediately of any new event liable to affect the annual accounts retrospectively that might come to our attention between now and the date of the next Council session.</w:t>
      </w:r>
    </w:p>
    <w:p w:rsidR="00462279" w:rsidRPr="00BA0B97" w:rsidRDefault="00462279" w:rsidP="00462279"/>
    <w:p w:rsidR="00462279" w:rsidRDefault="00462279" w:rsidP="00462279">
      <w:pPr>
        <w:pStyle w:val="Heading9"/>
        <w:jc w:val="center"/>
        <w:rPr>
          <w:noProof/>
          <w:w w:val="105"/>
          <w:sz w:val="28"/>
          <w:szCs w:val="28"/>
          <w:lang w:val="en-US" w:eastAsia="zh-CN"/>
        </w:rPr>
      </w:pPr>
    </w:p>
    <w:p w:rsidR="00462279" w:rsidRDefault="00462279" w:rsidP="00462279">
      <w:pPr>
        <w:pStyle w:val="Heading9"/>
        <w:jc w:val="center"/>
        <w:rPr>
          <w:noProof/>
          <w:w w:val="105"/>
          <w:sz w:val="28"/>
          <w:szCs w:val="28"/>
          <w:lang w:val="en-US" w:eastAsia="zh-CN"/>
        </w:rPr>
      </w:pPr>
    </w:p>
    <w:p w:rsidR="00462279" w:rsidRDefault="00462279" w:rsidP="00462279">
      <w:pPr>
        <w:pStyle w:val="Heading9"/>
        <w:jc w:val="center"/>
        <w:rPr>
          <w:noProof/>
          <w:w w:val="105"/>
          <w:sz w:val="28"/>
          <w:szCs w:val="28"/>
          <w:lang w:val="en-US" w:eastAsia="zh-CN"/>
        </w:rPr>
      </w:pPr>
    </w:p>
    <w:p w:rsidR="00507EC3" w:rsidRDefault="00462279" w:rsidP="00462279">
      <w:pPr>
        <w:pStyle w:val="Heading9"/>
        <w:jc w:val="center"/>
        <w:rPr>
          <w:w w:val="105"/>
          <w:sz w:val="28"/>
          <w:szCs w:val="28"/>
          <w:lang w:val="en-US"/>
        </w:rPr>
      </w:pPr>
      <w:r w:rsidRPr="00462279">
        <w:rPr>
          <w:noProof/>
          <w:w w:val="105"/>
          <w:sz w:val="28"/>
          <w:szCs w:val="28"/>
          <w:lang w:val="en-US" w:eastAsia="zh-CN"/>
        </w:rPr>
        <w:drawing>
          <wp:inline distT="0" distB="0" distL="0" distR="0" wp14:anchorId="7BB112DA" wp14:editId="532D321A">
            <wp:extent cx="6029325" cy="1617093"/>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36739" cy="1619081"/>
                    </a:xfrm>
                    <a:prstGeom prst="rect">
                      <a:avLst/>
                    </a:prstGeom>
                    <a:noFill/>
                    <a:ln>
                      <a:noFill/>
                    </a:ln>
                  </pic:spPr>
                </pic:pic>
              </a:graphicData>
            </a:graphic>
          </wp:inline>
        </w:drawing>
      </w:r>
      <w:r w:rsidR="00EA1AB7">
        <w:rPr>
          <w:w w:val="105"/>
          <w:sz w:val="28"/>
          <w:szCs w:val="28"/>
          <w:lang w:val="en-US"/>
        </w:rPr>
        <w:br w:type="page"/>
      </w:r>
    </w:p>
    <w:p w:rsidR="009B7296" w:rsidRDefault="009B7296" w:rsidP="009B7296">
      <w:pPr>
        <w:rPr>
          <w:lang w:val="en-US"/>
        </w:rPr>
      </w:pPr>
    </w:p>
    <w:p w:rsidR="00F90011" w:rsidRDefault="00F90011" w:rsidP="00462279">
      <w:pPr>
        <w:pStyle w:val="Title"/>
        <w:rPr>
          <w:rFonts w:asciiTheme="minorHAnsi" w:hAnsiTheme="minorHAnsi" w:cs="Arial"/>
          <w:sz w:val="28"/>
          <w:szCs w:val="28"/>
        </w:rPr>
      </w:pPr>
    </w:p>
    <w:p w:rsidR="00F90011" w:rsidRDefault="00F90011" w:rsidP="00462279">
      <w:pPr>
        <w:pStyle w:val="Title"/>
        <w:rPr>
          <w:rFonts w:asciiTheme="minorHAnsi" w:hAnsiTheme="minorHAnsi" w:cs="Arial"/>
          <w:sz w:val="28"/>
          <w:szCs w:val="28"/>
        </w:rPr>
      </w:pPr>
    </w:p>
    <w:p w:rsidR="00F90011" w:rsidRDefault="00F90011" w:rsidP="00462279">
      <w:pPr>
        <w:pStyle w:val="Title"/>
        <w:rPr>
          <w:rFonts w:asciiTheme="minorHAnsi" w:hAnsiTheme="minorHAnsi" w:cs="Arial"/>
          <w:sz w:val="28"/>
          <w:szCs w:val="28"/>
        </w:rPr>
      </w:pPr>
    </w:p>
    <w:p w:rsidR="00462279" w:rsidRPr="00CA2EE3" w:rsidRDefault="00462279" w:rsidP="00A20140">
      <w:pPr>
        <w:pStyle w:val="Title"/>
        <w:rPr>
          <w:rFonts w:asciiTheme="minorHAnsi" w:hAnsiTheme="minorHAnsi" w:cs="Arial"/>
          <w:sz w:val="28"/>
          <w:szCs w:val="28"/>
        </w:rPr>
      </w:pPr>
      <w:r w:rsidRPr="009A565D">
        <w:rPr>
          <w:rFonts w:asciiTheme="minorHAnsi" w:hAnsiTheme="minorHAnsi" w:cs="Arial"/>
          <w:sz w:val="28"/>
          <w:szCs w:val="28"/>
        </w:rPr>
        <w:t>STATEMENT ON INTERNAL CONTROL FOR 201</w:t>
      </w:r>
      <w:r w:rsidR="00A20140" w:rsidRPr="009A565D">
        <w:rPr>
          <w:rFonts w:asciiTheme="minorHAnsi" w:hAnsiTheme="minorHAnsi" w:cs="Arial"/>
          <w:sz w:val="28"/>
          <w:szCs w:val="28"/>
        </w:rPr>
        <w:t>7</w:t>
      </w:r>
    </w:p>
    <w:p w:rsidR="00462279" w:rsidRPr="00CA2EE3" w:rsidRDefault="00462279" w:rsidP="00462279">
      <w:pPr>
        <w:pStyle w:val="Heading2"/>
        <w:snapToGrid w:val="0"/>
        <w:spacing w:before="0"/>
        <w:rPr>
          <w:rFonts w:cs="Arial"/>
          <w:iCs/>
          <w:szCs w:val="24"/>
        </w:rPr>
      </w:pPr>
    </w:p>
    <w:p w:rsidR="00CD7201" w:rsidRPr="00CD7201" w:rsidRDefault="00CD7201" w:rsidP="00CD7201">
      <w:pPr>
        <w:snapToGrid w:val="0"/>
        <w:spacing w:before="0"/>
        <w:rPr>
          <w:szCs w:val="24"/>
        </w:rPr>
      </w:pPr>
    </w:p>
    <w:p w:rsidR="00CD7201" w:rsidRPr="00CD7201" w:rsidRDefault="00CD7201" w:rsidP="00CD7201">
      <w:pPr>
        <w:keepNext/>
        <w:keepLines/>
        <w:snapToGrid w:val="0"/>
        <w:spacing w:before="0"/>
        <w:ind w:left="567" w:hanging="567"/>
        <w:outlineLvl w:val="1"/>
        <w:rPr>
          <w:rFonts w:cs="Arial"/>
          <w:b/>
          <w:iCs/>
          <w:szCs w:val="24"/>
        </w:rPr>
      </w:pPr>
      <w:r w:rsidRPr="00CD7201">
        <w:rPr>
          <w:rFonts w:cs="Arial"/>
          <w:b/>
          <w:iCs/>
          <w:szCs w:val="24"/>
        </w:rPr>
        <w:t>Scope of responsibility</w:t>
      </w:r>
    </w:p>
    <w:p w:rsidR="00CD7201" w:rsidRPr="00CD7201" w:rsidRDefault="00CD7201" w:rsidP="00CD7201">
      <w:pPr>
        <w:snapToGrid w:val="0"/>
        <w:spacing w:before="0"/>
      </w:pPr>
    </w:p>
    <w:p w:rsidR="00CD7201" w:rsidRPr="00CD7201" w:rsidRDefault="00CD7201" w:rsidP="00CD7201">
      <w:pPr>
        <w:snapToGrid w:val="0"/>
        <w:spacing w:before="0"/>
        <w:ind w:firstLine="567"/>
        <w:jc w:val="both"/>
        <w:rPr>
          <w:rFonts w:cs="Arial"/>
          <w:szCs w:val="24"/>
        </w:rPr>
      </w:pPr>
      <w:r w:rsidRPr="00CD7201">
        <w:rPr>
          <w:rFonts w:cs="Arial"/>
          <w:szCs w:val="24"/>
        </w:rPr>
        <w:t xml:space="preserve">As Secretary-General of the International Telecommunication Union (ITU), I shall act as the legal representative of the Union. I take all the actions required to ensure economic use of the Union’s resources and be responsible to the Council for all the administrative and financial aspects of the Union’s activities, in accordance with the responsibilities assigned to me, in particular in paragraphs 73 </w:t>
      </w:r>
      <w:proofErr w:type="spellStart"/>
      <w:r w:rsidRPr="00CD7201">
        <w:rPr>
          <w:rFonts w:cs="Arial"/>
          <w:szCs w:val="24"/>
        </w:rPr>
        <w:t>bis</w:t>
      </w:r>
      <w:proofErr w:type="spellEnd"/>
      <w:r w:rsidRPr="00CD7201">
        <w:rPr>
          <w:rFonts w:cs="Arial"/>
          <w:szCs w:val="24"/>
        </w:rPr>
        <w:t xml:space="preserve"> and 75 of Article 11 of the Constitution, and in Articles 1, 10, 16, 28, 29 and 30 of the Financial Regulations and Financial Rules.</w:t>
      </w:r>
    </w:p>
    <w:p w:rsidR="00CD7201" w:rsidRPr="00CD7201" w:rsidRDefault="00CD7201" w:rsidP="00CD7201">
      <w:pPr>
        <w:snapToGrid w:val="0"/>
        <w:spacing w:before="0"/>
        <w:jc w:val="both"/>
        <w:rPr>
          <w:rFonts w:cs="Arial"/>
          <w:szCs w:val="24"/>
        </w:rPr>
      </w:pPr>
    </w:p>
    <w:p w:rsidR="00CD7201" w:rsidRPr="00CD7201" w:rsidRDefault="00CD7201" w:rsidP="00CD7201">
      <w:pPr>
        <w:keepNext/>
        <w:keepLines/>
        <w:snapToGrid w:val="0"/>
        <w:spacing w:before="0"/>
        <w:ind w:left="567" w:hanging="567"/>
        <w:outlineLvl w:val="1"/>
        <w:rPr>
          <w:rFonts w:cs="Arial"/>
          <w:b/>
          <w:iCs/>
          <w:szCs w:val="24"/>
        </w:rPr>
      </w:pPr>
      <w:r w:rsidRPr="00CD7201">
        <w:rPr>
          <w:rFonts w:cs="Arial"/>
          <w:b/>
          <w:iCs/>
          <w:szCs w:val="24"/>
        </w:rPr>
        <w:t>Purpose of the system of internal control</w:t>
      </w:r>
    </w:p>
    <w:p w:rsidR="00CD7201" w:rsidRPr="00CD7201" w:rsidRDefault="00CD7201" w:rsidP="00CD7201">
      <w:pPr>
        <w:snapToGrid w:val="0"/>
        <w:spacing w:before="0"/>
      </w:pPr>
    </w:p>
    <w:p w:rsidR="00CD7201" w:rsidRPr="00CD7201" w:rsidRDefault="00CD7201" w:rsidP="00CD7201">
      <w:pPr>
        <w:snapToGrid w:val="0"/>
        <w:spacing w:before="0"/>
        <w:ind w:firstLine="567"/>
        <w:jc w:val="both"/>
        <w:rPr>
          <w:rFonts w:cs="Arial"/>
          <w:szCs w:val="24"/>
        </w:rPr>
      </w:pPr>
      <w:r w:rsidRPr="00CD7201">
        <w:rPr>
          <w:rFonts w:cs="Arial"/>
          <w:szCs w:val="24"/>
        </w:rPr>
        <w:t>The system of internal control is designed to reduce and manage rather than eliminate the risk of failure to achieve the organization’s policies, aims and objectives.  Therefore, it can only provide a reasonable and not absolute assurance of effectiveness.  It is based on an ongoing process designed to identify the principal risks, to evaluate the nature and extent of those risks and to manage them efficiently, effectively and economically.  ITU management is charged with the responsibility of establishing a network of processes with the objective of controlling the operations of ITU in a manner that provides the governing bodies’ reasonable assurance that:</w:t>
      </w:r>
    </w:p>
    <w:p w:rsidR="00CD7201" w:rsidRPr="00CD7201" w:rsidRDefault="00CD7201" w:rsidP="00CD7201">
      <w:pPr>
        <w:snapToGrid w:val="0"/>
        <w:spacing w:before="0"/>
        <w:jc w:val="both"/>
        <w:rPr>
          <w:rFonts w:cs="Arial"/>
          <w:szCs w:val="24"/>
        </w:rPr>
      </w:pPr>
    </w:p>
    <w:p w:rsidR="00CD7201" w:rsidRPr="00CD7201" w:rsidRDefault="00CD7201" w:rsidP="009A565D">
      <w:pPr>
        <w:numPr>
          <w:ilvl w:val="0"/>
          <w:numId w:val="5"/>
        </w:numPr>
        <w:tabs>
          <w:tab w:val="clear" w:pos="720"/>
          <w:tab w:val="clear" w:pos="1134"/>
          <w:tab w:val="clear" w:pos="1701"/>
          <w:tab w:val="clear" w:pos="2268"/>
          <w:tab w:val="clear" w:pos="2835"/>
          <w:tab w:val="num" w:pos="851"/>
        </w:tabs>
        <w:overflowPunct/>
        <w:autoSpaceDE/>
        <w:autoSpaceDN/>
        <w:snapToGrid w:val="0"/>
        <w:spacing w:before="0" w:after="120"/>
        <w:ind w:left="851" w:hanging="284"/>
        <w:jc w:val="both"/>
        <w:textAlignment w:val="auto"/>
        <w:rPr>
          <w:rFonts w:cs="Arial"/>
          <w:szCs w:val="24"/>
        </w:rPr>
      </w:pPr>
      <w:r w:rsidRPr="00CD7201">
        <w:rPr>
          <w:rFonts w:cs="Arial"/>
          <w:szCs w:val="24"/>
        </w:rPr>
        <w:t>The Organization’s plans, programmes, goals, and objectives are achieved,</w:t>
      </w:r>
    </w:p>
    <w:p w:rsidR="00CD7201" w:rsidRPr="00CD7201" w:rsidRDefault="00CD7201" w:rsidP="009A565D">
      <w:pPr>
        <w:numPr>
          <w:ilvl w:val="0"/>
          <w:numId w:val="5"/>
        </w:numPr>
        <w:tabs>
          <w:tab w:val="clear" w:pos="720"/>
          <w:tab w:val="clear" w:pos="1134"/>
          <w:tab w:val="clear" w:pos="1701"/>
          <w:tab w:val="clear" w:pos="2268"/>
          <w:tab w:val="clear" w:pos="2835"/>
          <w:tab w:val="num" w:pos="851"/>
        </w:tabs>
        <w:overflowPunct/>
        <w:autoSpaceDE/>
        <w:autoSpaceDN/>
        <w:snapToGrid w:val="0"/>
        <w:spacing w:before="0" w:after="120"/>
        <w:ind w:left="851" w:hanging="284"/>
        <w:jc w:val="both"/>
        <w:textAlignment w:val="auto"/>
        <w:rPr>
          <w:rFonts w:cs="Arial"/>
          <w:szCs w:val="24"/>
        </w:rPr>
      </w:pPr>
      <w:r w:rsidRPr="00CD7201">
        <w:rPr>
          <w:rFonts w:cs="Arial"/>
          <w:szCs w:val="24"/>
        </w:rPr>
        <w:t>Resources are acquired economically and employed profitably; quality business processes and continuous improvement are emphasized,</w:t>
      </w:r>
    </w:p>
    <w:p w:rsidR="00CD7201" w:rsidRPr="00CD7201" w:rsidRDefault="00CD7201" w:rsidP="009A565D">
      <w:pPr>
        <w:numPr>
          <w:ilvl w:val="0"/>
          <w:numId w:val="5"/>
        </w:numPr>
        <w:tabs>
          <w:tab w:val="clear" w:pos="720"/>
          <w:tab w:val="clear" w:pos="1134"/>
          <w:tab w:val="clear" w:pos="1701"/>
          <w:tab w:val="clear" w:pos="2268"/>
          <w:tab w:val="clear" w:pos="2835"/>
          <w:tab w:val="num" w:pos="851"/>
        </w:tabs>
        <w:overflowPunct/>
        <w:autoSpaceDE/>
        <w:autoSpaceDN/>
        <w:snapToGrid w:val="0"/>
        <w:spacing w:before="0" w:after="120"/>
        <w:ind w:left="851" w:hanging="284"/>
        <w:jc w:val="both"/>
        <w:textAlignment w:val="auto"/>
        <w:rPr>
          <w:rFonts w:cs="Arial"/>
          <w:szCs w:val="24"/>
        </w:rPr>
      </w:pPr>
      <w:r w:rsidRPr="00CD7201">
        <w:rPr>
          <w:rFonts w:cs="Arial"/>
          <w:szCs w:val="24"/>
        </w:rPr>
        <w:t>The Organization’s resources (including its people, system, data/information) are adequately protected,</w:t>
      </w:r>
    </w:p>
    <w:p w:rsidR="00CD7201" w:rsidRPr="00CD7201" w:rsidRDefault="00CD7201" w:rsidP="009A565D">
      <w:pPr>
        <w:numPr>
          <w:ilvl w:val="0"/>
          <w:numId w:val="5"/>
        </w:numPr>
        <w:tabs>
          <w:tab w:val="clear" w:pos="720"/>
          <w:tab w:val="clear" w:pos="1134"/>
          <w:tab w:val="clear" w:pos="1701"/>
          <w:tab w:val="clear" w:pos="2268"/>
          <w:tab w:val="clear" w:pos="2835"/>
          <w:tab w:val="num" w:pos="851"/>
        </w:tabs>
        <w:overflowPunct/>
        <w:autoSpaceDE/>
        <w:autoSpaceDN/>
        <w:snapToGrid w:val="0"/>
        <w:spacing w:before="0" w:after="120"/>
        <w:ind w:left="851" w:hanging="284"/>
        <w:jc w:val="both"/>
        <w:textAlignment w:val="auto"/>
        <w:rPr>
          <w:rFonts w:cs="Arial"/>
          <w:szCs w:val="24"/>
        </w:rPr>
      </w:pPr>
      <w:r w:rsidRPr="00CD7201">
        <w:rPr>
          <w:rFonts w:cs="Arial"/>
          <w:szCs w:val="24"/>
        </w:rPr>
        <w:t>The actions of Elected Officials, Senior Counsellors, Professionals and General Services Staff are in compliance with the Organization’s policies, standards, plans and procedures, and all relevant laws, rules and regulations,</w:t>
      </w:r>
    </w:p>
    <w:p w:rsidR="00CD7201" w:rsidRPr="00CD7201" w:rsidRDefault="00CD7201" w:rsidP="009A565D">
      <w:pPr>
        <w:numPr>
          <w:ilvl w:val="0"/>
          <w:numId w:val="5"/>
        </w:numPr>
        <w:tabs>
          <w:tab w:val="clear" w:pos="720"/>
          <w:tab w:val="clear" w:pos="1134"/>
          <w:tab w:val="clear" w:pos="1701"/>
          <w:tab w:val="clear" w:pos="2268"/>
          <w:tab w:val="clear" w:pos="2835"/>
          <w:tab w:val="num" w:pos="851"/>
        </w:tabs>
        <w:overflowPunct/>
        <w:autoSpaceDE/>
        <w:autoSpaceDN/>
        <w:snapToGrid w:val="0"/>
        <w:spacing w:before="0"/>
        <w:ind w:left="851" w:hanging="284"/>
        <w:jc w:val="both"/>
        <w:textAlignment w:val="auto"/>
        <w:rPr>
          <w:rFonts w:cs="Arial"/>
          <w:szCs w:val="24"/>
        </w:rPr>
      </w:pPr>
      <w:r w:rsidRPr="00CD7201">
        <w:rPr>
          <w:rFonts w:cs="Arial"/>
          <w:szCs w:val="24"/>
        </w:rPr>
        <w:t>Data and information published either internally or externally is accurate, reliable, and timely.</w:t>
      </w:r>
    </w:p>
    <w:p w:rsidR="00CD7201" w:rsidRPr="00CD7201" w:rsidRDefault="00CD7201" w:rsidP="00CD7201">
      <w:pPr>
        <w:tabs>
          <w:tab w:val="clear" w:pos="567"/>
          <w:tab w:val="clear" w:pos="1134"/>
          <w:tab w:val="clear" w:pos="1701"/>
          <w:tab w:val="clear" w:pos="2268"/>
          <w:tab w:val="clear" w:pos="2835"/>
        </w:tabs>
        <w:overflowPunct/>
        <w:autoSpaceDE/>
        <w:autoSpaceDN/>
        <w:snapToGrid w:val="0"/>
        <w:spacing w:before="0"/>
        <w:jc w:val="both"/>
        <w:textAlignment w:val="auto"/>
        <w:rPr>
          <w:rFonts w:cs="Arial"/>
          <w:szCs w:val="24"/>
        </w:rPr>
      </w:pPr>
    </w:p>
    <w:p w:rsidR="00CD7201" w:rsidRPr="00CD7201" w:rsidRDefault="00CD7201" w:rsidP="00CD7201">
      <w:pPr>
        <w:snapToGrid w:val="0"/>
        <w:spacing w:before="0"/>
        <w:ind w:firstLine="567"/>
        <w:jc w:val="both"/>
        <w:rPr>
          <w:rFonts w:cs="Arial"/>
          <w:szCs w:val="24"/>
        </w:rPr>
      </w:pPr>
      <w:r w:rsidRPr="00CD7201">
        <w:rPr>
          <w:rFonts w:cs="Arial"/>
          <w:szCs w:val="24"/>
        </w:rPr>
        <w:t>Risk management and the management of internal controls are functions of management and are an integral part of the overall process of managing operations.  As such, it is the responsibility of ITU managers at all levels to:</w:t>
      </w:r>
    </w:p>
    <w:p w:rsidR="00CD7201" w:rsidRPr="00CD7201" w:rsidRDefault="00CD7201" w:rsidP="00CD7201">
      <w:pPr>
        <w:snapToGrid w:val="0"/>
        <w:spacing w:before="0"/>
        <w:jc w:val="both"/>
        <w:rPr>
          <w:rFonts w:cs="Arial"/>
          <w:szCs w:val="24"/>
        </w:rPr>
      </w:pPr>
    </w:p>
    <w:p w:rsidR="00CD7201" w:rsidRPr="00CD7201" w:rsidRDefault="00CD7201" w:rsidP="00C96CC0">
      <w:pPr>
        <w:numPr>
          <w:ilvl w:val="0"/>
          <w:numId w:val="4"/>
        </w:numPr>
        <w:tabs>
          <w:tab w:val="clear" w:pos="567"/>
          <w:tab w:val="clear" w:pos="720"/>
          <w:tab w:val="clear" w:pos="1134"/>
          <w:tab w:val="clear" w:pos="1701"/>
          <w:tab w:val="clear" w:pos="2268"/>
          <w:tab w:val="clear" w:pos="2835"/>
          <w:tab w:val="num" w:pos="851"/>
        </w:tabs>
        <w:overflowPunct/>
        <w:autoSpaceDE/>
        <w:autoSpaceDN/>
        <w:snapToGrid w:val="0"/>
        <w:spacing w:before="0" w:after="120"/>
        <w:ind w:left="851" w:hanging="284"/>
        <w:jc w:val="both"/>
        <w:textAlignment w:val="auto"/>
        <w:rPr>
          <w:rFonts w:cs="Arial"/>
          <w:szCs w:val="24"/>
        </w:rPr>
      </w:pPr>
      <w:r w:rsidRPr="00CD7201">
        <w:rPr>
          <w:rFonts w:cs="Arial"/>
          <w:szCs w:val="24"/>
        </w:rPr>
        <w:t>Identify and evaluate the exposures to possible risks that relate to their particular sphere of operations,</w:t>
      </w:r>
    </w:p>
    <w:p w:rsidR="008306E0" w:rsidRDefault="00CD7201" w:rsidP="00C96CC0">
      <w:pPr>
        <w:numPr>
          <w:ilvl w:val="0"/>
          <w:numId w:val="4"/>
        </w:numPr>
        <w:tabs>
          <w:tab w:val="clear" w:pos="567"/>
          <w:tab w:val="clear" w:pos="720"/>
          <w:tab w:val="clear" w:pos="1134"/>
          <w:tab w:val="clear" w:pos="1701"/>
          <w:tab w:val="clear" w:pos="2268"/>
          <w:tab w:val="clear" w:pos="2835"/>
          <w:tab w:val="num" w:pos="851"/>
        </w:tabs>
        <w:overflowPunct/>
        <w:autoSpaceDE/>
        <w:autoSpaceDN/>
        <w:snapToGrid w:val="0"/>
        <w:spacing w:before="0" w:after="120"/>
        <w:ind w:left="851" w:hanging="284"/>
        <w:jc w:val="both"/>
        <w:textAlignment w:val="auto"/>
        <w:rPr>
          <w:rFonts w:cs="Arial"/>
          <w:szCs w:val="24"/>
        </w:rPr>
      </w:pPr>
      <w:r w:rsidRPr="00CD7201">
        <w:rPr>
          <w:rFonts w:cs="Arial"/>
          <w:szCs w:val="24"/>
        </w:rPr>
        <w:t>Specify and propose policies, plans, and operating standards, procedures, systems, and other guidelines to be used to minimize, mitigate, and/or mitigate the risks associated with the exposures identified,</w:t>
      </w:r>
    </w:p>
    <w:p w:rsidR="008306E0" w:rsidRDefault="008306E0">
      <w:pPr>
        <w:tabs>
          <w:tab w:val="clear" w:pos="567"/>
          <w:tab w:val="clear" w:pos="1134"/>
          <w:tab w:val="clear" w:pos="1701"/>
          <w:tab w:val="clear" w:pos="2268"/>
          <w:tab w:val="clear" w:pos="2835"/>
        </w:tabs>
        <w:overflowPunct/>
        <w:autoSpaceDE/>
        <w:autoSpaceDN/>
        <w:adjustRightInd/>
        <w:spacing w:before="0"/>
        <w:textAlignment w:val="auto"/>
        <w:rPr>
          <w:rFonts w:cs="Arial"/>
          <w:szCs w:val="24"/>
        </w:rPr>
      </w:pPr>
      <w:r>
        <w:rPr>
          <w:rFonts w:cs="Arial"/>
          <w:szCs w:val="24"/>
        </w:rPr>
        <w:br w:type="page"/>
      </w:r>
    </w:p>
    <w:p w:rsidR="00CD7201" w:rsidRPr="00CD7201" w:rsidRDefault="00CD7201" w:rsidP="008306E0">
      <w:pPr>
        <w:tabs>
          <w:tab w:val="clear" w:pos="567"/>
          <w:tab w:val="clear" w:pos="1134"/>
          <w:tab w:val="clear" w:pos="1701"/>
          <w:tab w:val="clear" w:pos="2268"/>
          <w:tab w:val="clear" w:pos="2835"/>
        </w:tabs>
        <w:overflowPunct/>
        <w:autoSpaceDE/>
        <w:autoSpaceDN/>
        <w:snapToGrid w:val="0"/>
        <w:spacing w:before="0" w:after="120"/>
        <w:jc w:val="both"/>
        <w:textAlignment w:val="auto"/>
        <w:rPr>
          <w:rFonts w:cs="Arial"/>
          <w:szCs w:val="24"/>
        </w:rPr>
      </w:pPr>
    </w:p>
    <w:p w:rsidR="00CD7201" w:rsidRPr="00CD7201" w:rsidRDefault="00CD7201" w:rsidP="003C79E0">
      <w:pPr>
        <w:numPr>
          <w:ilvl w:val="0"/>
          <w:numId w:val="4"/>
        </w:numPr>
        <w:tabs>
          <w:tab w:val="clear" w:pos="567"/>
          <w:tab w:val="clear" w:pos="720"/>
          <w:tab w:val="clear" w:pos="1134"/>
          <w:tab w:val="clear" w:pos="1701"/>
          <w:tab w:val="clear" w:pos="2268"/>
          <w:tab w:val="clear" w:pos="2835"/>
          <w:tab w:val="num" w:pos="851"/>
        </w:tabs>
        <w:overflowPunct/>
        <w:autoSpaceDE/>
        <w:autoSpaceDN/>
        <w:snapToGrid w:val="0"/>
        <w:spacing w:before="0" w:after="120"/>
        <w:ind w:left="851" w:hanging="284"/>
        <w:jc w:val="both"/>
        <w:textAlignment w:val="auto"/>
        <w:rPr>
          <w:rFonts w:cs="Arial"/>
          <w:szCs w:val="24"/>
        </w:rPr>
      </w:pPr>
      <w:r w:rsidRPr="00CD7201">
        <w:rPr>
          <w:rFonts w:cs="Arial"/>
          <w:szCs w:val="24"/>
        </w:rPr>
        <w:t>Establish practical controlling processes that require and encourage employees to carry out their duties and responsibilities in a manner that helps achieve the five control objectives outlined in the preceding paragraph,</w:t>
      </w:r>
    </w:p>
    <w:p w:rsidR="00CD7201" w:rsidRPr="00CD7201" w:rsidRDefault="00CD7201" w:rsidP="003C79E0">
      <w:pPr>
        <w:numPr>
          <w:ilvl w:val="0"/>
          <w:numId w:val="4"/>
        </w:numPr>
        <w:tabs>
          <w:tab w:val="clear" w:pos="567"/>
          <w:tab w:val="clear" w:pos="720"/>
          <w:tab w:val="clear" w:pos="1134"/>
          <w:tab w:val="clear" w:pos="1701"/>
          <w:tab w:val="clear" w:pos="2268"/>
          <w:tab w:val="clear" w:pos="2835"/>
          <w:tab w:val="num" w:pos="851"/>
        </w:tabs>
        <w:overflowPunct/>
        <w:autoSpaceDE/>
        <w:autoSpaceDN/>
        <w:snapToGrid w:val="0"/>
        <w:spacing w:before="0"/>
        <w:ind w:left="851" w:hanging="284"/>
        <w:jc w:val="both"/>
        <w:textAlignment w:val="auto"/>
        <w:rPr>
          <w:rFonts w:cs="Arial"/>
          <w:szCs w:val="24"/>
        </w:rPr>
      </w:pPr>
      <w:r w:rsidRPr="00CD7201">
        <w:rPr>
          <w:rFonts w:cs="Arial"/>
          <w:szCs w:val="24"/>
        </w:rPr>
        <w:t>Maintain the effectiveness of the controlling processes that have been established and foster continuous improvement to these processes.</w:t>
      </w:r>
    </w:p>
    <w:p w:rsidR="00CD7201" w:rsidRPr="00CD7201" w:rsidRDefault="00CD7201" w:rsidP="00CD7201">
      <w:pPr>
        <w:tabs>
          <w:tab w:val="clear" w:pos="567"/>
          <w:tab w:val="clear" w:pos="1134"/>
          <w:tab w:val="clear" w:pos="1701"/>
          <w:tab w:val="clear" w:pos="2268"/>
          <w:tab w:val="clear" w:pos="2835"/>
        </w:tabs>
        <w:overflowPunct/>
        <w:autoSpaceDE/>
        <w:autoSpaceDN/>
        <w:snapToGrid w:val="0"/>
        <w:spacing w:before="0"/>
        <w:jc w:val="both"/>
        <w:textAlignment w:val="auto"/>
        <w:rPr>
          <w:rFonts w:cs="Arial"/>
          <w:szCs w:val="24"/>
        </w:rPr>
      </w:pPr>
    </w:p>
    <w:p w:rsidR="00CD7201" w:rsidRPr="00CD7201" w:rsidRDefault="00CD7201" w:rsidP="00CD7201">
      <w:pPr>
        <w:snapToGrid w:val="0"/>
        <w:spacing w:before="0"/>
        <w:jc w:val="both"/>
        <w:rPr>
          <w:rFonts w:cs="Arial"/>
          <w:b/>
          <w:szCs w:val="24"/>
        </w:rPr>
      </w:pPr>
      <w:r w:rsidRPr="00CD7201">
        <w:rPr>
          <w:rFonts w:cs="Arial"/>
          <w:b/>
          <w:szCs w:val="24"/>
        </w:rPr>
        <w:t>Capacity to handle risk</w:t>
      </w:r>
    </w:p>
    <w:p w:rsidR="00CD7201" w:rsidRPr="00CD7201" w:rsidRDefault="00CD7201" w:rsidP="00CD7201">
      <w:pPr>
        <w:snapToGrid w:val="0"/>
        <w:spacing w:before="0"/>
        <w:jc w:val="both"/>
        <w:rPr>
          <w:rFonts w:cs="Arial"/>
          <w:szCs w:val="24"/>
        </w:rPr>
      </w:pPr>
    </w:p>
    <w:p w:rsidR="00CD7201" w:rsidRPr="00CD7201" w:rsidRDefault="00CD7201" w:rsidP="00CD7201">
      <w:pPr>
        <w:snapToGrid w:val="0"/>
        <w:spacing w:before="0"/>
        <w:ind w:firstLine="567"/>
        <w:jc w:val="both"/>
        <w:rPr>
          <w:rFonts w:cs="Arial"/>
          <w:szCs w:val="24"/>
        </w:rPr>
      </w:pPr>
      <w:r w:rsidRPr="00CD7201">
        <w:rPr>
          <w:rFonts w:cs="Arial"/>
          <w:szCs w:val="24"/>
        </w:rPr>
        <w:t>As an integral part of its system of internal control, the ITU Management is committed to implement an Integrated Risk Management (IRM) process throughout the organization.</w:t>
      </w:r>
    </w:p>
    <w:p w:rsidR="00CD7201" w:rsidRPr="00CD7201" w:rsidRDefault="00CD7201" w:rsidP="00CD7201">
      <w:pPr>
        <w:snapToGrid w:val="0"/>
        <w:spacing w:before="0"/>
        <w:jc w:val="both"/>
        <w:rPr>
          <w:rFonts w:cs="Arial"/>
          <w:szCs w:val="24"/>
        </w:rPr>
      </w:pPr>
    </w:p>
    <w:p w:rsidR="00CD7201" w:rsidRPr="00CD7201" w:rsidRDefault="00CD7201" w:rsidP="00B86F6A">
      <w:pPr>
        <w:snapToGrid w:val="0"/>
        <w:spacing w:before="0"/>
        <w:ind w:firstLine="567"/>
        <w:jc w:val="both"/>
        <w:rPr>
          <w:rFonts w:cs="Arial"/>
          <w:szCs w:val="24"/>
        </w:rPr>
      </w:pPr>
      <w:r w:rsidRPr="00CD7201">
        <w:rPr>
          <w:rFonts w:cs="Arial"/>
          <w:szCs w:val="24"/>
        </w:rPr>
        <w:t>ITU’s system of internal control is centred on the use of SAP as integrated information management system:</w:t>
      </w:r>
    </w:p>
    <w:p w:rsidR="00CD7201" w:rsidRPr="00CD7201" w:rsidRDefault="00CD7201" w:rsidP="002506D6">
      <w:pPr>
        <w:snapToGrid w:val="0"/>
        <w:spacing w:before="0"/>
        <w:jc w:val="both"/>
        <w:rPr>
          <w:rFonts w:cs="Arial"/>
          <w:szCs w:val="24"/>
        </w:rPr>
      </w:pPr>
    </w:p>
    <w:p w:rsidR="00CD7201" w:rsidRPr="00CD7201" w:rsidRDefault="00CD7201" w:rsidP="002506D6">
      <w:pPr>
        <w:numPr>
          <w:ilvl w:val="0"/>
          <w:numId w:val="4"/>
        </w:numPr>
        <w:tabs>
          <w:tab w:val="clear" w:pos="567"/>
          <w:tab w:val="clear" w:pos="720"/>
          <w:tab w:val="clear" w:pos="1134"/>
          <w:tab w:val="clear" w:pos="1701"/>
          <w:tab w:val="clear" w:pos="2268"/>
          <w:tab w:val="clear" w:pos="2835"/>
          <w:tab w:val="num" w:pos="851"/>
        </w:tabs>
        <w:overflowPunct/>
        <w:autoSpaceDE/>
        <w:autoSpaceDN/>
        <w:snapToGrid w:val="0"/>
        <w:spacing w:before="0"/>
        <w:ind w:left="851" w:hanging="284"/>
        <w:jc w:val="both"/>
        <w:textAlignment w:val="auto"/>
        <w:rPr>
          <w:rFonts w:cs="Arial"/>
          <w:szCs w:val="24"/>
        </w:rPr>
      </w:pPr>
      <w:r w:rsidRPr="00CD7201">
        <w:rPr>
          <w:rFonts w:cs="Arial"/>
          <w:szCs w:val="24"/>
        </w:rPr>
        <w:t>Mirroring the Organization’s structure, work and accountability flows,</w:t>
      </w:r>
    </w:p>
    <w:p w:rsidR="00CD7201" w:rsidRPr="00CD7201" w:rsidRDefault="00CD7201" w:rsidP="002506D6">
      <w:pPr>
        <w:numPr>
          <w:ilvl w:val="0"/>
          <w:numId w:val="4"/>
        </w:numPr>
        <w:tabs>
          <w:tab w:val="clear" w:pos="567"/>
          <w:tab w:val="clear" w:pos="720"/>
          <w:tab w:val="clear" w:pos="1134"/>
          <w:tab w:val="clear" w:pos="1701"/>
          <w:tab w:val="clear" w:pos="2268"/>
          <w:tab w:val="clear" w:pos="2835"/>
          <w:tab w:val="num" w:pos="851"/>
        </w:tabs>
        <w:overflowPunct/>
        <w:autoSpaceDE/>
        <w:autoSpaceDN/>
        <w:snapToGrid w:val="0"/>
        <w:spacing w:after="120"/>
        <w:ind w:left="851" w:hanging="284"/>
        <w:jc w:val="both"/>
        <w:textAlignment w:val="auto"/>
        <w:rPr>
          <w:rFonts w:cs="Arial"/>
          <w:szCs w:val="24"/>
        </w:rPr>
      </w:pPr>
      <w:r w:rsidRPr="00CD7201">
        <w:rPr>
          <w:rFonts w:cs="Arial"/>
          <w:szCs w:val="24"/>
        </w:rPr>
        <w:t>Capturing the budget allocation of resources allocated to the Organization as described in the Organization’s Basic Texts adopted by the Plenipotentiary Conference,</w:t>
      </w:r>
    </w:p>
    <w:p w:rsidR="00CD7201" w:rsidRPr="00CD7201" w:rsidRDefault="00CD7201" w:rsidP="008774D3">
      <w:pPr>
        <w:numPr>
          <w:ilvl w:val="0"/>
          <w:numId w:val="4"/>
        </w:numPr>
        <w:tabs>
          <w:tab w:val="clear" w:pos="567"/>
          <w:tab w:val="clear" w:pos="720"/>
          <w:tab w:val="clear" w:pos="1134"/>
          <w:tab w:val="clear" w:pos="1701"/>
          <w:tab w:val="clear" w:pos="2268"/>
          <w:tab w:val="clear" w:pos="2835"/>
          <w:tab w:val="num" w:pos="851"/>
        </w:tabs>
        <w:overflowPunct/>
        <w:autoSpaceDE/>
        <w:autoSpaceDN/>
        <w:snapToGrid w:val="0"/>
        <w:spacing w:before="0" w:after="120"/>
        <w:ind w:left="851" w:hanging="284"/>
        <w:jc w:val="both"/>
        <w:textAlignment w:val="auto"/>
        <w:rPr>
          <w:rFonts w:cs="Arial"/>
          <w:szCs w:val="24"/>
        </w:rPr>
      </w:pPr>
      <w:r w:rsidRPr="00CD7201">
        <w:rPr>
          <w:rFonts w:cs="Arial"/>
          <w:szCs w:val="24"/>
        </w:rPr>
        <w:t>Enabling system integrated controls and four eyes principle,</w:t>
      </w:r>
    </w:p>
    <w:p w:rsidR="00CD7201" w:rsidRPr="00CD7201" w:rsidRDefault="00CD7201" w:rsidP="002506D6">
      <w:pPr>
        <w:numPr>
          <w:ilvl w:val="0"/>
          <w:numId w:val="4"/>
        </w:numPr>
        <w:tabs>
          <w:tab w:val="clear" w:pos="567"/>
          <w:tab w:val="clear" w:pos="720"/>
          <w:tab w:val="clear" w:pos="1134"/>
          <w:tab w:val="clear" w:pos="1701"/>
          <w:tab w:val="clear" w:pos="2268"/>
          <w:tab w:val="clear" w:pos="2835"/>
          <w:tab w:val="num" w:pos="851"/>
        </w:tabs>
        <w:overflowPunct/>
        <w:autoSpaceDE/>
        <w:autoSpaceDN/>
        <w:snapToGrid w:val="0"/>
        <w:spacing w:before="0"/>
        <w:ind w:left="851" w:hanging="284"/>
        <w:jc w:val="both"/>
        <w:textAlignment w:val="auto"/>
        <w:rPr>
          <w:rFonts w:cs="Arial"/>
          <w:szCs w:val="24"/>
        </w:rPr>
      </w:pPr>
      <w:r w:rsidRPr="00CD7201">
        <w:rPr>
          <w:rFonts w:cs="Arial"/>
          <w:szCs w:val="24"/>
        </w:rPr>
        <w:t>Enabling the direction, monitoring and measurement of resource utilization through IPSAS accounting and reporting, periodical stocktaking and documented procurement processes and controls.</w:t>
      </w:r>
    </w:p>
    <w:p w:rsidR="00CD7201" w:rsidRPr="00CD7201" w:rsidRDefault="00CD7201" w:rsidP="002506D6">
      <w:pPr>
        <w:tabs>
          <w:tab w:val="clear" w:pos="567"/>
          <w:tab w:val="clear" w:pos="1134"/>
          <w:tab w:val="clear" w:pos="1701"/>
          <w:tab w:val="clear" w:pos="2268"/>
          <w:tab w:val="clear" w:pos="2835"/>
        </w:tabs>
        <w:overflowPunct/>
        <w:autoSpaceDE/>
        <w:autoSpaceDN/>
        <w:snapToGrid w:val="0"/>
        <w:spacing w:before="0"/>
        <w:jc w:val="both"/>
        <w:textAlignment w:val="auto"/>
        <w:rPr>
          <w:rFonts w:cs="Arial"/>
          <w:szCs w:val="24"/>
        </w:rPr>
      </w:pPr>
    </w:p>
    <w:p w:rsidR="00CD7201" w:rsidRPr="00CD7201" w:rsidRDefault="00CD7201" w:rsidP="002506D6">
      <w:pPr>
        <w:snapToGrid w:val="0"/>
        <w:spacing w:before="0"/>
        <w:ind w:firstLine="567"/>
        <w:jc w:val="both"/>
        <w:rPr>
          <w:rFonts w:cs="Arial"/>
          <w:szCs w:val="24"/>
        </w:rPr>
      </w:pPr>
      <w:r w:rsidRPr="00CD7201">
        <w:rPr>
          <w:rFonts w:cs="Arial"/>
          <w:szCs w:val="24"/>
        </w:rPr>
        <w:t>ITU financial reporting reliability and follow-up of resource consumption according to strategic goals is based on the integrated information management system and on the strong control of resources commitment.</w:t>
      </w:r>
    </w:p>
    <w:p w:rsidR="00CD7201" w:rsidRPr="00CD7201" w:rsidRDefault="00CD7201" w:rsidP="00CD7201">
      <w:pPr>
        <w:snapToGrid w:val="0"/>
        <w:spacing w:before="0"/>
        <w:jc w:val="both"/>
        <w:rPr>
          <w:rFonts w:cs="Arial"/>
          <w:szCs w:val="24"/>
        </w:rPr>
      </w:pPr>
    </w:p>
    <w:p w:rsidR="00CD7201" w:rsidRPr="00CD7201" w:rsidRDefault="00CD7201" w:rsidP="00CD7201">
      <w:pPr>
        <w:snapToGrid w:val="0"/>
        <w:spacing w:before="0"/>
        <w:ind w:firstLine="567"/>
        <w:jc w:val="both"/>
        <w:rPr>
          <w:rFonts w:cs="Arial"/>
          <w:szCs w:val="24"/>
        </w:rPr>
      </w:pPr>
      <w:r w:rsidRPr="00CD7201">
        <w:rPr>
          <w:rFonts w:cs="Arial"/>
          <w:szCs w:val="24"/>
        </w:rPr>
        <w:t>Moreover, the Contracts Committee assists the Secretary-General in ensuring the efficient use of ITU resources in line with the best-interests of the Union, and the Legal Affairs Unit and Ethics Office provide guidance throughout the Organization for the respect for laws, rules and regulations and the communications and promotion of ITU ethics policies. Through its audit work, the Internal Audit Unit also provides assurance to the Secretary-General on the Organization’s governance, risk management and effectiveness of controls.</w:t>
      </w:r>
    </w:p>
    <w:p w:rsidR="00CD7201" w:rsidRPr="00CD7201" w:rsidRDefault="00CD7201" w:rsidP="00CD7201">
      <w:pPr>
        <w:snapToGrid w:val="0"/>
        <w:spacing w:before="0"/>
        <w:jc w:val="both"/>
        <w:rPr>
          <w:rFonts w:cs="Arial"/>
          <w:szCs w:val="24"/>
        </w:rPr>
      </w:pPr>
    </w:p>
    <w:p w:rsidR="00CD7201" w:rsidRPr="00CD7201" w:rsidRDefault="00CD7201" w:rsidP="00CD7201">
      <w:pPr>
        <w:snapToGrid w:val="0"/>
        <w:spacing w:before="0"/>
        <w:ind w:firstLine="567"/>
        <w:jc w:val="both"/>
        <w:rPr>
          <w:rFonts w:cs="Arial"/>
          <w:szCs w:val="24"/>
        </w:rPr>
      </w:pPr>
      <w:r w:rsidRPr="00CD7201">
        <w:rPr>
          <w:rFonts w:cs="Arial"/>
          <w:szCs w:val="24"/>
        </w:rPr>
        <w:t>Strategic risk management is integrated in the ITU strategic planning through the identification of strategic risks and related mitigation measures. This risk management framework is part of the ITU Strategic Plan 2016-2019, which has been approved during the 2014 Plenipotentiary Conference, as reflected in Resolution 71. The risk management framework continues being further developed through the elaboration of a risk management policy, a corporate risk management statement and a strategic risk management register.</w:t>
      </w:r>
    </w:p>
    <w:p w:rsidR="00CD7201" w:rsidRPr="00CD7201" w:rsidRDefault="00CD7201" w:rsidP="00CD7201">
      <w:pPr>
        <w:snapToGrid w:val="0"/>
        <w:spacing w:before="0"/>
        <w:jc w:val="both"/>
        <w:rPr>
          <w:rFonts w:cs="Arial"/>
          <w:szCs w:val="24"/>
        </w:rPr>
      </w:pPr>
    </w:p>
    <w:p w:rsidR="00CD7201" w:rsidRPr="00CD7201" w:rsidRDefault="00CD7201" w:rsidP="00CD7201">
      <w:pPr>
        <w:snapToGrid w:val="0"/>
        <w:spacing w:before="0"/>
        <w:jc w:val="both"/>
        <w:rPr>
          <w:rFonts w:cs="Arial"/>
          <w:szCs w:val="24"/>
        </w:rPr>
      </w:pPr>
      <w:r w:rsidRPr="00CD7201">
        <w:rPr>
          <w:rFonts w:cs="Arial"/>
          <w:szCs w:val="24"/>
        </w:rPr>
        <w:tab/>
        <w:t>Management of the operational risks is also part of the ITU business management processes. ITU management, including the three Bureaux and the General Secretariat, regularly review the risks associated with the achievement of the objectives of each part of the organization and implement the necessary mitigation measures, while establishing the risk controls to monitor the status of the residual risks.</w:t>
      </w:r>
    </w:p>
    <w:p w:rsidR="006004CD" w:rsidRDefault="006004CD">
      <w:pPr>
        <w:tabs>
          <w:tab w:val="clear" w:pos="567"/>
          <w:tab w:val="clear" w:pos="1134"/>
          <w:tab w:val="clear" w:pos="1701"/>
          <w:tab w:val="clear" w:pos="2268"/>
          <w:tab w:val="clear" w:pos="2835"/>
        </w:tabs>
        <w:overflowPunct/>
        <w:autoSpaceDE/>
        <w:autoSpaceDN/>
        <w:adjustRightInd/>
        <w:spacing w:before="0"/>
        <w:textAlignment w:val="auto"/>
        <w:rPr>
          <w:rFonts w:cs="Arial"/>
          <w:szCs w:val="24"/>
        </w:rPr>
      </w:pPr>
      <w:r>
        <w:rPr>
          <w:rFonts w:cs="Arial"/>
          <w:szCs w:val="24"/>
        </w:rPr>
        <w:br w:type="page"/>
      </w:r>
    </w:p>
    <w:p w:rsidR="00CD7201" w:rsidRPr="00CD7201" w:rsidRDefault="00CD7201" w:rsidP="00CD7201">
      <w:pPr>
        <w:snapToGrid w:val="0"/>
        <w:spacing w:before="0"/>
        <w:jc w:val="both"/>
        <w:rPr>
          <w:rFonts w:cs="Arial"/>
          <w:szCs w:val="24"/>
        </w:rPr>
      </w:pPr>
    </w:p>
    <w:p w:rsidR="00CD7201" w:rsidRPr="00CD7201" w:rsidRDefault="00CD7201" w:rsidP="00CD7201">
      <w:pPr>
        <w:keepNext/>
        <w:keepLines/>
        <w:snapToGrid w:val="0"/>
        <w:spacing w:before="0"/>
        <w:ind w:left="567" w:hanging="567"/>
        <w:jc w:val="both"/>
        <w:outlineLvl w:val="0"/>
        <w:rPr>
          <w:rFonts w:cs="Arial"/>
          <w:b/>
          <w:szCs w:val="24"/>
        </w:rPr>
      </w:pPr>
      <w:r w:rsidRPr="00CD7201">
        <w:rPr>
          <w:rFonts w:cs="Arial"/>
          <w:b/>
          <w:szCs w:val="24"/>
        </w:rPr>
        <w:t>Review of effectiveness</w:t>
      </w:r>
    </w:p>
    <w:p w:rsidR="00CD7201" w:rsidRPr="00CD7201" w:rsidRDefault="00CD7201" w:rsidP="00CD7201">
      <w:pPr>
        <w:snapToGrid w:val="0"/>
        <w:spacing w:before="0"/>
        <w:rPr>
          <w:rFonts w:cs="Arial"/>
          <w:szCs w:val="24"/>
        </w:rPr>
      </w:pPr>
    </w:p>
    <w:p w:rsidR="00CD7201" w:rsidRPr="00CD7201" w:rsidRDefault="00CD7201" w:rsidP="002506D6">
      <w:pPr>
        <w:snapToGrid w:val="0"/>
        <w:spacing w:before="0"/>
        <w:jc w:val="both"/>
        <w:rPr>
          <w:rFonts w:cs="Arial"/>
          <w:szCs w:val="24"/>
        </w:rPr>
      </w:pPr>
      <w:r w:rsidRPr="00CD7201">
        <w:rPr>
          <w:rFonts w:cs="Arial"/>
          <w:szCs w:val="24"/>
        </w:rPr>
        <w:tab/>
        <w:t>My review of the effectiveness of the system of internal control is informed by the work of the executive managers who have the responsibility for the identification and maintenance of the internal control framework in their areas of responsibility. I derive assurance from internal letters of representation signed by key ITU managers and officers, confirming that the following requirements for the financial period 2017 have been respected:</w:t>
      </w:r>
    </w:p>
    <w:p w:rsidR="00CD7201" w:rsidRPr="00CD7201" w:rsidRDefault="00CD7201" w:rsidP="002506D6">
      <w:pPr>
        <w:snapToGrid w:val="0"/>
        <w:spacing w:before="0"/>
        <w:rPr>
          <w:rFonts w:cs="Arial"/>
          <w:szCs w:val="24"/>
        </w:rPr>
      </w:pPr>
    </w:p>
    <w:p w:rsidR="00CD7201" w:rsidRPr="00CD7201" w:rsidRDefault="00CD7201" w:rsidP="002506D6">
      <w:pPr>
        <w:numPr>
          <w:ilvl w:val="0"/>
          <w:numId w:val="4"/>
        </w:numPr>
        <w:tabs>
          <w:tab w:val="clear" w:pos="720"/>
          <w:tab w:val="num" w:pos="851"/>
        </w:tabs>
        <w:snapToGrid w:val="0"/>
        <w:spacing w:before="0"/>
        <w:ind w:left="851" w:hanging="284"/>
        <w:rPr>
          <w:rFonts w:cs="Arial"/>
          <w:szCs w:val="24"/>
        </w:rPr>
      </w:pPr>
      <w:r w:rsidRPr="00CD7201">
        <w:rPr>
          <w:rFonts w:cs="Arial"/>
          <w:szCs w:val="24"/>
        </w:rPr>
        <w:t>The conformity of commitments or obligations and expenses with the appropriations or other financial provisions approved by the Council or with the purposes, rules and provisions relating to the funds concerned,</w:t>
      </w:r>
    </w:p>
    <w:p w:rsidR="00CD7201" w:rsidRPr="00CD7201" w:rsidRDefault="00CD7201" w:rsidP="002506D6">
      <w:pPr>
        <w:numPr>
          <w:ilvl w:val="0"/>
          <w:numId w:val="4"/>
        </w:numPr>
        <w:tabs>
          <w:tab w:val="clear" w:pos="567"/>
          <w:tab w:val="clear" w:pos="720"/>
          <w:tab w:val="clear" w:pos="1134"/>
          <w:tab w:val="clear" w:pos="1701"/>
          <w:tab w:val="clear" w:pos="2268"/>
          <w:tab w:val="clear" w:pos="2835"/>
          <w:tab w:val="num" w:pos="851"/>
        </w:tabs>
        <w:overflowPunct/>
        <w:autoSpaceDE/>
        <w:autoSpaceDN/>
        <w:snapToGrid w:val="0"/>
        <w:spacing w:after="120"/>
        <w:ind w:left="851" w:hanging="284"/>
        <w:jc w:val="both"/>
        <w:textAlignment w:val="auto"/>
        <w:rPr>
          <w:rFonts w:cs="Arial"/>
          <w:szCs w:val="24"/>
        </w:rPr>
      </w:pPr>
      <w:r w:rsidRPr="00CD7201">
        <w:rPr>
          <w:rFonts w:cs="Arial"/>
          <w:szCs w:val="24"/>
        </w:rPr>
        <w:t>The effective, efficient and economical use of the resources of the Union,</w:t>
      </w:r>
    </w:p>
    <w:p w:rsidR="00CD7201" w:rsidRPr="00CD7201" w:rsidRDefault="00CD7201" w:rsidP="006004CD">
      <w:pPr>
        <w:numPr>
          <w:ilvl w:val="0"/>
          <w:numId w:val="4"/>
        </w:numPr>
        <w:tabs>
          <w:tab w:val="clear" w:pos="567"/>
          <w:tab w:val="clear" w:pos="720"/>
          <w:tab w:val="clear" w:pos="1134"/>
          <w:tab w:val="clear" w:pos="1701"/>
          <w:tab w:val="clear" w:pos="2268"/>
          <w:tab w:val="clear" w:pos="2835"/>
          <w:tab w:val="num" w:pos="851"/>
        </w:tabs>
        <w:overflowPunct/>
        <w:autoSpaceDE/>
        <w:autoSpaceDN/>
        <w:snapToGrid w:val="0"/>
        <w:spacing w:before="0" w:after="120"/>
        <w:ind w:left="851" w:hanging="284"/>
        <w:jc w:val="both"/>
        <w:textAlignment w:val="auto"/>
        <w:rPr>
          <w:rFonts w:cs="Arial"/>
          <w:szCs w:val="24"/>
        </w:rPr>
      </w:pPr>
      <w:r w:rsidRPr="00CD7201">
        <w:rPr>
          <w:rFonts w:cs="Arial"/>
          <w:szCs w:val="24"/>
        </w:rPr>
        <w:t>The regularity of the receipt, custody and disbursement of all funds and other resources of the Union,</w:t>
      </w:r>
    </w:p>
    <w:p w:rsidR="00CD7201" w:rsidRPr="00CD7201" w:rsidRDefault="00CD7201" w:rsidP="006004CD">
      <w:pPr>
        <w:numPr>
          <w:ilvl w:val="0"/>
          <w:numId w:val="4"/>
        </w:numPr>
        <w:tabs>
          <w:tab w:val="clear" w:pos="567"/>
          <w:tab w:val="clear" w:pos="720"/>
          <w:tab w:val="clear" w:pos="1134"/>
          <w:tab w:val="clear" w:pos="1701"/>
          <w:tab w:val="clear" w:pos="2268"/>
          <w:tab w:val="clear" w:pos="2835"/>
          <w:tab w:val="num" w:pos="851"/>
        </w:tabs>
        <w:overflowPunct/>
        <w:autoSpaceDE/>
        <w:autoSpaceDN/>
        <w:snapToGrid w:val="0"/>
        <w:spacing w:before="0"/>
        <w:ind w:left="851" w:hanging="284"/>
        <w:jc w:val="both"/>
        <w:textAlignment w:val="auto"/>
        <w:rPr>
          <w:rFonts w:cs="Arial"/>
          <w:szCs w:val="24"/>
        </w:rPr>
      </w:pPr>
      <w:r w:rsidRPr="00CD7201">
        <w:rPr>
          <w:rFonts w:cs="Arial"/>
          <w:szCs w:val="24"/>
        </w:rPr>
        <w:t>The timelines, completeness and accuracy of financial and other administrative data.</w:t>
      </w:r>
    </w:p>
    <w:p w:rsidR="00CD7201" w:rsidRPr="00CD7201" w:rsidRDefault="00CD7201" w:rsidP="00CD7201">
      <w:pPr>
        <w:snapToGrid w:val="0"/>
        <w:spacing w:before="0"/>
        <w:jc w:val="both"/>
        <w:rPr>
          <w:rFonts w:cs="Arial"/>
          <w:szCs w:val="24"/>
        </w:rPr>
      </w:pPr>
    </w:p>
    <w:p w:rsidR="00CD7201" w:rsidRPr="00CD7201" w:rsidRDefault="00CD7201" w:rsidP="00CD7201">
      <w:pPr>
        <w:snapToGrid w:val="0"/>
        <w:spacing w:before="0"/>
        <w:jc w:val="both"/>
        <w:rPr>
          <w:rFonts w:cs="Arial"/>
          <w:szCs w:val="24"/>
        </w:rPr>
      </w:pPr>
      <w:r w:rsidRPr="00CD7201">
        <w:rPr>
          <w:rFonts w:cs="Arial"/>
          <w:szCs w:val="24"/>
        </w:rPr>
        <w:tab/>
        <w:t>Basic Texts of the Union, Regulations, Rules, Service Orders, Office Memoranda and Information Circulars comprise the ITU Regulatory Framework.</w:t>
      </w:r>
    </w:p>
    <w:p w:rsidR="00CD7201" w:rsidRPr="00CD7201" w:rsidRDefault="00CD7201" w:rsidP="00CD7201">
      <w:pPr>
        <w:snapToGrid w:val="0"/>
        <w:spacing w:before="0"/>
        <w:jc w:val="both"/>
        <w:rPr>
          <w:rFonts w:cs="Arial"/>
          <w:szCs w:val="24"/>
        </w:rPr>
      </w:pPr>
    </w:p>
    <w:p w:rsidR="00CD7201" w:rsidRPr="00CD7201" w:rsidRDefault="00CD7201" w:rsidP="00CD7201">
      <w:pPr>
        <w:tabs>
          <w:tab w:val="left" w:pos="0"/>
        </w:tabs>
        <w:snapToGrid w:val="0"/>
        <w:spacing w:before="0"/>
        <w:jc w:val="both"/>
        <w:rPr>
          <w:rFonts w:cs="Arial"/>
          <w:szCs w:val="24"/>
        </w:rPr>
      </w:pPr>
      <w:r w:rsidRPr="00CD7201">
        <w:rPr>
          <w:rFonts w:cs="Arial"/>
          <w:szCs w:val="24"/>
        </w:rPr>
        <w:tab/>
        <w:t xml:space="preserve">All ITU systems, processes, operations, functions and activities can be subject to internal audit by the Internal Audit Unit.  The Internal Audit Unit strives, whilst conducting its work, to comply with the International Standards for the Professional Practice for Internal Auditing. I rely on the audit work for obtaining assurance that the Organization’s governance and risk management are adequate and that controls are effective. </w:t>
      </w:r>
    </w:p>
    <w:p w:rsidR="00CD7201" w:rsidRPr="00CD7201" w:rsidRDefault="00CD7201" w:rsidP="00CD7201">
      <w:pPr>
        <w:snapToGrid w:val="0"/>
        <w:spacing w:before="0"/>
        <w:jc w:val="both"/>
        <w:rPr>
          <w:rFonts w:cs="Arial"/>
          <w:szCs w:val="24"/>
        </w:rPr>
      </w:pPr>
    </w:p>
    <w:p w:rsidR="00CD7201" w:rsidRPr="00CD7201" w:rsidRDefault="00CD7201" w:rsidP="00CD7201">
      <w:pPr>
        <w:snapToGrid w:val="0"/>
        <w:spacing w:before="0"/>
        <w:ind w:firstLine="567"/>
        <w:jc w:val="both"/>
        <w:rPr>
          <w:rFonts w:cs="Arial"/>
          <w:szCs w:val="24"/>
        </w:rPr>
      </w:pPr>
      <w:r w:rsidRPr="00CD7201">
        <w:rPr>
          <w:rFonts w:cs="Arial"/>
          <w:szCs w:val="24"/>
        </w:rPr>
        <w:t>I also receive the reports from the External Auditor, which may contain recommendations relating to internal control issues. All the recommendations made by the External Auditor are considered and action plans established as appropriate to address any identified weaknesses, so as to ensure continuous improvement. Management’s responses to the External Auditor’s recommendations are followed up by the Council Working Group on Financial and Human Resources, CWG-FHR.</w:t>
      </w:r>
    </w:p>
    <w:p w:rsidR="00CD7201" w:rsidRPr="00CD7201" w:rsidRDefault="00CD7201" w:rsidP="00CD7201">
      <w:pPr>
        <w:snapToGrid w:val="0"/>
        <w:spacing w:before="0"/>
        <w:jc w:val="both"/>
        <w:rPr>
          <w:rFonts w:cs="Arial"/>
          <w:szCs w:val="24"/>
        </w:rPr>
      </w:pPr>
    </w:p>
    <w:p w:rsidR="00CD7201" w:rsidRPr="00CD7201" w:rsidRDefault="00CD7201" w:rsidP="00CD7201">
      <w:pPr>
        <w:tabs>
          <w:tab w:val="left" w:pos="0"/>
        </w:tabs>
        <w:snapToGrid w:val="0"/>
        <w:spacing w:before="0"/>
        <w:jc w:val="both"/>
        <w:rPr>
          <w:rFonts w:cs="Arial"/>
          <w:szCs w:val="24"/>
        </w:rPr>
      </w:pPr>
      <w:r w:rsidRPr="00CD7201">
        <w:rPr>
          <w:rFonts w:cs="Arial"/>
          <w:szCs w:val="24"/>
        </w:rPr>
        <w:tab/>
        <w:t>I have taken note of the Internal Auditor’s findings regarding the need to improve governance and risk management of some of the processes reviewed and to render the controls more effective in the various areas audited. Actions have been and will continue to be undertaken to reinforce internal controls and reduce risks.</w:t>
      </w:r>
    </w:p>
    <w:p w:rsidR="00CD7201" w:rsidRPr="00CD7201" w:rsidRDefault="00CD7201" w:rsidP="00CD7201">
      <w:pPr>
        <w:tabs>
          <w:tab w:val="left" w:pos="0"/>
        </w:tabs>
        <w:snapToGrid w:val="0"/>
        <w:spacing w:before="0"/>
        <w:jc w:val="both"/>
        <w:rPr>
          <w:rFonts w:cs="Arial"/>
          <w:szCs w:val="24"/>
        </w:rPr>
      </w:pPr>
    </w:p>
    <w:p w:rsidR="00CD7201" w:rsidRDefault="00CD7201" w:rsidP="00CD7201">
      <w:pPr>
        <w:tabs>
          <w:tab w:val="left" w:pos="0"/>
        </w:tabs>
        <w:snapToGrid w:val="0"/>
        <w:spacing w:before="0"/>
        <w:jc w:val="both"/>
        <w:rPr>
          <w:rFonts w:cs="Arial"/>
          <w:szCs w:val="24"/>
        </w:rPr>
      </w:pPr>
      <w:r w:rsidRPr="00CD7201">
        <w:rPr>
          <w:rFonts w:cs="Arial"/>
          <w:szCs w:val="24"/>
        </w:rPr>
        <w:tab/>
        <w:t>I have paid great attention to these findings and put them into perspective in order to have a realistic assessment of the prevailing situation. It is on this basis that I can declare that from the internal audit work conducted in 2017, there were no major critical deficiencies that may indicate significant ineffective internal controls.</w:t>
      </w:r>
    </w:p>
    <w:p w:rsidR="00B22765" w:rsidRPr="00CD7201" w:rsidRDefault="00B22765" w:rsidP="00CD7201">
      <w:pPr>
        <w:tabs>
          <w:tab w:val="left" w:pos="0"/>
        </w:tabs>
        <w:snapToGrid w:val="0"/>
        <w:spacing w:before="0"/>
        <w:jc w:val="both"/>
        <w:rPr>
          <w:rFonts w:cs="Arial"/>
          <w:szCs w:val="24"/>
        </w:rPr>
      </w:pPr>
    </w:p>
    <w:p w:rsidR="00CD7201" w:rsidRPr="00CD7201" w:rsidRDefault="00CD7201" w:rsidP="00CD7201">
      <w:pPr>
        <w:snapToGrid w:val="0"/>
        <w:spacing w:before="0"/>
        <w:ind w:firstLine="567"/>
        <w:jc w:val="both"/>
        <w:rPr>
          <w:rFonts w:cs="Arial"/>
          <w:szCs w:val="24"/>
        </w:rPr>
      </w:pPr>
      <w:r w:rsidRPr="00CD7201">
        <w:rPr>
          <w:rFonts w:cs="Arial"/>
          <w:szCs w:val="24"/>
        </w:rPr>
        <w:t>I am further advised by the Independent Management Advisory Committee (IMAC) that serves in an expert advisory capacity and assists the Secretary-General and the Council in fulfilling their governance responsibilities, including ensuring the effectiveness of ITU’s internal control system, risk management and governance processes.</w:t>
      </w:r>
    </w:p>
    <w:p w:rsidR="008306E0" w:rsidRDefault="008306E0">
      <w:pPr>
        <w:tabs>
          <w:tab w:val="clear" w:pos="567"/>
          <w:tab w:val="clear" w:pos="1134"/>
          <w:tab w:val="clear" w:pos="1701"/>
          <w:tab w:val="clear" w:pos="2268"/>
          <w:tab w:val="clear" w:pos="2835"/>
        </w:tabs>
        <w:overflowPunct/>
        <w:autoSpaceDE/>
        <w:autoSpaceDN/>
        <w:adjustRightInd/>
        <w:spacing w:before="0"/>
        <w:textAlignment w:val="auto"/>
        <w:rPr>
          <w:rFonts w:cs="Arial"/>
          <w:szCs w:val="24"/>
        </w:rPr>
      </w:pPr>
      <w:r>
        <w:rPr>
          <w:rFonts w:cs="Arial"/>
          <w:szCs w:val="24"/>
        </w:rPr>
        <w:br w:type="page"/>
      </w:r>
    </w:p>
    <w:p w:rsidR="00CD7201" w:rsidRPr="00CD7201" w:rsidRDefault="00BF252A" w:rsidP="00CD7201">
      <w:pPr>
        <w:snapToGrid w:val="0"/>
        <w:spacing w:before="0"/>
        <w:jc w:val="both"/>
        <w:rPr>
          <w:rFonts w:cs="Arial"/>
          <w:szCs w:val="24"/>
        </w:rPr>
      </w:pPr>
      <w:r>
        <w:rPr>
          <w:rFonts w:cs="Arial"/>
          <w:noProof/>
          <w:szCs w:val="24"/>
          <w:lang w:val="en-US" w:eastAsia="zh-CN"/>
        </w:rPr>
        <mc:AlternateContent>
          <mc:Choice Requires="wpc">
            <w:drawing>
              <wp:anchor distT="0" distB="0" distL="114300" distR="114300" simplePos="0" relativeHeight="251660288" behindDoc="0" locked="0" layoutInCell="1" allowOverlap="1">
                <wp:simplePos x="0" y="0"/>
                <wp:positionH relativeFrom="column">
                  <wp:posOffset>-720090</wp:posOffset>
                </wp:positionH>
                <wp:positionV relativeFrom="paragraph">
                  <wp:posOffset>-697357</wp:posOffset>
                </wp:positionV>
                <wp:extent cx="2658110" cy="1950720"/>
                <wp:effectExtent l="0" t="0" r="0" b="0"/>
                <wp:wrapNone/>
                <wp:docPr id="13" name="Canvas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7E08658B" id="Canvas 13" o:spid="_x0000_s1026" editas="canvas" style="position:absolute;margin-left:-56.7pt;margin-top:-54.9pt;width:209.3pt;height:153.6pt;z-index:251660288" coordsize="26581,19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6581;height:19507;visibility:visible;mso-wrap-style:square">
                  <v:fill o:detectmouseclick="t"/>
                  <v:path o:connecttype="none"/>
                </v:shape>
              </v:group>
            </w:pict>
          </mc:Fallback>
        </mc:AlternateContent>
      </w:r>
    </w:p>
    <w:p w:rsidR="00CD7201" w:rsidRPr="00CD7201" w:rsidRDefault="00CD7201" w:rsidP="00CD7201">
      <w:pPr>
        <w:keepNext/>
        <w:keepLines/>
        <w:snapToGrid w:val="0"/>
        <w:spacing w:before="0"/>
        <w:ind w:left="567" w:hanging="567"/>
        <w:jc w:val="both"/>
        <w:outlineLvl w:val="0"/>
        <w:rPr>
          <w:rFonts w:cs="Arial"/>
          <w:b/>
          <w:szCs w:val="24"/>
        </w:rPr>
      </w:pPr>
      <w:r w:rsidRPr="00CD7201">
        <w:rPr>
          <w:rFonts w:cs="Arial"/>
          <w:b/>
          <w:szCs w:val="24"/>
        </w:rPr>
        <w:t>Significant internal control matters arising during the year</w:t>
      </w:r>
    </w:p>
    <w:p w:rsidR="00CD7201" w:rsidRPr="00CD7201" w:rsidRDefault="00CD7201" w:rsidP="00CD7201">
      <w:pPr>
        <w:snapToGrid w:val="0"/>
        <w:spacing w:before="0"/>
        <w:jc w:val="both"/>
        <w:rPr>
          <w:rFonts w:cs="Arial"/>
          <w:szCs w:val="24"/>
        </w:rPr>
      </w:pPr>
    </w:p>
    <w:p w:rsidR="00CD7201" w:rsidRPr="00CD7201" w:rsidRDefault="00CD7201" w:rsidP="00CD7201">
      <w:pPr>
        <w:snapToGrid w:val="0"/>
        <w:spacing w:before="0"/>
        <w:rPr>
          <w:color w:val="000000" w:themeColor="text1"/>
        </w:rPr>
      </w:pPr>
      <w:r w:rsidRPr="00CD7201">
        <w:rPr>
          <w:color w:val="000000" w:themeColor="text1"/>
        </w:rPr>
        <w:tab/>
        <w:t>I have been informed of areas for enhancement in the procurement process and have asked the relevant offices to undertake the necessary steps to improve the controls in these areas.</w:t>
      </w:r>
    </w:p>
    <w:p w:rsidR="00CD7201" w:rsidRPr="00CD7201" w:rsidRDefault="00CD7201" w:rsidP="00CD7201">
      <w:pPr>
        <w:snapToGrid w:val="0"/>
        <w:spacing w:before="0"/>
        <w:rPr>
          <w:color w:val="000000" w:themeColor="text1"/>
        </w:rPr>
      </w:pPr>
    </w:p>
    <w:p w:rsidR="00CD7201" w:rsidRPr="00CD7201" w:rsidRDefault="00CD7201" w:rsidP="00CD7201">
      <w:pPr>
        <w:snapToGrid w:val="0"/>
        <w:spacing w:before="0"/>
        <w:rPr>
          <w:sz w:val="22"/>
          <w:lang w:val="en-US"/>
        </w:rPr>
      </w:pPr>
      <w:r w:rsidRPr="00CD7201">
        <w:tab/>
        <w:t>A new procurement procedure has been developed for specific type of cases to ensure appropriate control level and segregation of duties between the requisition, funding approval and procurement functions. This new procedure has been introduced on a trial basis and will be fully assessed before its definitive implementation.</w:t>
      </w:r>
    </w:p>
    <w:p w:rsidR="00CD7201" w:rsidRDefault="00CD7201">
      <w:pPr>
        <w:tabs>
          <w:tab w:val="clear" w:pos="567"/>
          <w:tab w:val="clear" w:pos="1134"/>
          <w:tab w:val="clear" w:pos="1701"/>
          <w:tab w:val="clear" w:pos="2268"/>
          <w:tab w:val="clear" w:pos="2835"/>
        </w:tabs>
        <w:overflowPunct/>
        <w:autoSpaceDE/>
        <w:autoSpaceDN/>
        <w:adjustRightInd/>
        <w:spacing w:before="0"/>
        <w:textAlignment w:val="auto"/>
        <w:rPr>
          <w:rFonts w:cs="Arial"/>
          <w:b/>
          <w:szCs w:val="24"/>
        </w:rPr>
      </w:pPr>
    </w:p>
    <w:p w:rsidR="00CD7201" w:rsidRPr="00CD7201" w:rsidRDefault="00CD7201" w:rsidP="00CD7201">
      <w:pPr>
        <w:keepNext/>
        <w:keepLines/>
        <w:snapToGrid w:val="0"/>
        <w:spacing w:before="0"/>
        <w:ind w:left="567" w:hanging="567"/>
        <w:jc w:val="both"/>
        <w:outlineLvl w:val="0"/>
        <w:rPr>
          <w:rFonts w:cs="Arial"/>
          <w:b/>
          <w:szCs w:val="24"/>
        </w:rPr>
      </w:pPr>
      <w:r w:rsidRPr="00CD7201">
        <w:rPr>
          <w:rFonts w:cs="Arial"/>
          <w:b/>
          <w:szCs w:val="24"/>
        </w:rPr>
        <w:t>Statement</w:t>
      </w:r>
    </w:p>
    <w:p w:rsidR="00CD7201" w:rsidRPr="00CD7201" w:rsidRDefault="00CD7201" w:rsidP="00CD7201">
      <w:pPr>
        <w:tabs>
          <w:tab w:val="clear" w:pos="567"/>
          <w:tab w:val="clear" w:pos="1134"/>
          <w:tab w:val="clear" w:pos="1701"/>
          <w:tab w:val="clear" w:pos="2268"/>
          <w:tab w:val="clear" w:pos="2835"/>
        </w:tabs>
        <w:overflowPunct/>
        <w:autoSpaceDE/>
        <w:autoSpaceDN/>
        <w:snapToGrid w:val="0"/>
        <w:spacing w:before="0"/>
        <w:jc w:val="both"/>
        <w:textAlignment w:val="auto"/>
        <w:rPr>
          <w:rFonts w:eastAsia="SimSun" w:cs="Arial"/>
          <w:szCs w:val="24"/>
          <w:lang w:eastAsia="zh-CN"/>
        </w:rPr>
      </w:pPr>
    </w:p>
    <w:p w:rsidR="00CD7201" w:rsidRPr="00CD7201" w:rsidRDefault="00CD7201" w:rsidP="00CD7201">
      <w:pPr>
        <w:tabs>
          <w:tab w:val="clear" w:pos="567"/>
          <w:tab w:val="clear" w:pos="1134"/>
          <w:tab w:val="clear" w:pos="1701"/>
          <w:tab w:val="clear" w:pos="2268"/>
          <w:tab w:val="clear" w:pos="2835"/>
        </w:tabs>
        <w:overflowPunct/>
        <w:autoSpaceDE/>
        <w:autoSpaceDN/>
        <w:snapToGrid w:val="0"/>
        <w:spacing w:before="0"/>
        <w:ind w:firstLine="567"/>
        <w:jc w:val="both"/>
        <w:textAlignment w:val="auto"/>
        <w:rPr>
          <w:rFonts w:eastAsia="SimSun" w:cs="Arial"/>
          <w:szCs w:val="24"/>
          <w:lang w:eastAsia="zh-CN"/>
        </w:rPr>
      </w:pPr>
      <w:r w:rsidRPr="00CD7201">
        <w:rPr>
          <w:rFonts w:eastAsia="SimSun" w:cs="Arial"/>
          <w:szCs w:val="24"/>
          <w:lang w:eastAsia="zh-CN"/>
        </w:rPr>
        <w:t xml:space="preserve">I am committed to ensure continuous improvement of the system of internal control. However, even effective internal control, no matter how well designed, has inherent limitations </w:t>
      </w:r>
      <w:r w:rsidRPr="00CD7201">
        <w:rPr>
          <w:rFonts w:eastAsia="SimSun" w:cs="Arial"/>
          <w:szCs w:val="24"/>
          <w:vertAlign w:val="superscript"/>
          <w:lang w:eastAsia="zh-CN"/>
        </w:rPr>
        <w:t xml:space="preserve">__ </w:t>
      </w:r>
      <w:r w:rsidRPr="00CD7201">
        <w:rPr>
          <w:rFonts w:eastAsia="SimSun" w:cs="Arial"/>
          <w:szCs w:val="24"/>
          <w:lang w:eastAsia="zh-CN"/>
        </w:rPr>
        <w:t xml:space="preserve">including the possibility of circumvention </w:t>
      </w:r>
      <w:r w:rsidRPr="00CD7201">
        <w:rPr>
          <w:rFonts w:eastAsia="SimSun" w:cs="Arial"/>
          <w:szCs w:val="24"/>
          <w:vertAlign w:val="superscript"/>
          <w:lang w:eastAsia="zh-CN"/>
        </w:rPr>
        <w:t xml:space="preserve">__ </w:t>
      </w:r>
      <w:r w:rsidRPr="00CD7201">
        <w:rPr>
          <w:rFonts w:eastAsia="SimSun" w:cs="Arial"/>
          <w:szCs w:val="24"/>
          <w:lang w:eastAsia="zh-CN"/>
        </w:rPr>
        <w:t>and therefore can provide only reasonable but not absolute assurance.  Furthermore, because of changes of conditions, the effectiveness of internal control may vary over time.</w:t>
      </w:r>
    </w:p>
    <w:p w:rsidR="00CD7201" w:rsidRPr="00CD7201" w:rsidRDefault="00CD7201" w:rsidP="00CD7201">
      <w:pPr>
        <w:tabs>
          <w:tab w:val="clear" w:pos="567"/>
          <w:tab w:val="clear" w:pos="1134"/>
          <w:tab w:val="clear" w:pos="1701"/>
          <w:tab w:val="clear" w:pos="2268"/>
          <w:tab w:val="clear" w:pos="2835"/>
        </w:tabs>
        <w:overflowPunct/>
        <w:autoSpaceDE/>
        <w:autoSpaceDN/>
        <w:snapToGrid w:val="0"/>
        <w:spacing w:before="0"/>
        <w:jc w:val="both"/>
        <w:textAlignment w:val="auto"/>
        <w:rPr>
          <w:rFonts w:eastAsia="SimSun" w:cs="Arial"/>
          <w:szCs w:val="24"/>
          <w:lang w:eastAsia="zh-CN"/>
        </w:rPr>
      </w:pPr>
    </w:p>
    <w:p w:rsidR="00CD7201" w:rsidRPr="00CD7201" w:rsidRDefault="00CD7201" w:rsidP="00CD7201">
      <w:pPr>
        <w:tabs>
          <w:tab w:val="clear" w:pos="567"/>
          <w:tab w:val="clear" w:pos="1134"/>
          <w:tab w:val="clear" w:pos="1701"/>
          <w:tab w:val="clear" w:pos="2268"/>
          <w:tab w:val="clear" w:pos="2835"/>
        </w:tabs>
        <w:overflowPunct/>
        <w:autoSpaceDE/>
        <w:autoSpaceDN/>
        <w:snapToGrid w:val="0"/>
        <w:spacing w:before="0"/>
        <w:ind w:firstLine="567"/>
        <w:jc w:val="both"/>
        <w:textAlignment w:val="auto"/>
        <w:rPr>
          <w:rFonts w:eastAsia="SimSun" w:cs="Arial"/>
          <w:szCs w:val="24"/>
          <w:lang w:eastAsia="zh-CN"/>
        </w:rPr>
      </w:pPr>
      <w:r w:rsidRPr="00CD7201">
        <w:rPr>
          <w:rFonts w:eastAsia="SimSun" w:cs="Arial"/>
          <w:szCs w:val="24"/>
          <w:lang w:eastAsia="zh-CN"/>
        </w:rPr>
        <w:t xml:space="preserve">Management seeks to address any weaknesses encountered in internal controls during the normal course of ITU operations or identified in oversight observations. This is primarily ensured by the process in place to follow up the </w:t>
      </w:r>
      <w:r w:rsidRPr="00CD7201">
        <w:rPr>
          <w:rFonts w:cs="Arial"/>
          <w:szCs w:val="24"/>
          <w:lang w:val="en-US"/>
        </w:rPr>
        <w:t>implementation of oversight recommendations during the past year.</w:t>
      </w:r>
      <w:r w:rsidRPr="00CD7201">
        <w:rPr>
          <w:rFonts w:eastAsia="SimSun" w:cs="Arial"/>
          <w:szCs w:val="24"/>
          <w:lang w:eastAsia="zh-CN"/>
        </w:rPr>
        <w:t xml:space="preserve"> </w:t>
      </w:r>
      <w:r w:rsidRPr="00CD7201">
        <w:rPr>
          <w:rFonts w:cs="Arial"/>
          <w:szCs w:val="24"/>
          <w:lang w:val="en-US"/>
        </w:rPr>
        <w:t>Based on the above</w:t>
      </w:r>
      <w:r w:rsidRPr="00CD7201">
        <w:rPr>
          <w:rFonts w:eastAsia="SimSun" w:cs="Arial"/>
          <w:szCs w:val="24"/>
          <w:lang w:eastAsia="zh-CN"/>
        </w:rPr>
        <w:t>, I conclude that the Union had an effective system of internal control for the year ended 31 December 2017, and up to the date of the approval of the financial statements.</w:t>
      </w:r>
    </w:p>
    <w:p w:rsidR="00462279" w:rsidRDefault="00462279" w:rsidP="00462279">
      <w:pPr>
        <w:snapToGrid w:val="0"/>
        <w:spacing w:before="0"/>
        <w:rPr>
          <w:szCs w:val="24"/>
        </w:rPr>
      </w:pPr>
    </w:p>
    <w:p w:rsidR="00BF252A" w:rsidRDefault="00BF252A" w:rsidP="00462279">
      <w:pPr>
        <w:snapToGrid w:val="0"/>
        <w:spacing w:before="0"/>
        <w:rPr>
          <w:szCs w:val="24"/>
        </w:rPr>
      </w:pPr>
    </w:p>
    <w:p w:rsidR="00BF252A" w:rsidRDefault="00BF252A" w:rsidP="00462279">
      <w:pPr>
        <w:snapToGrid w:val="0"/>
        <w:spacing w:before="0"/>
        <w:rPr>
          <w:szCs w:val="24"/>
        </w:rPr>
      </w:pPr>
    </w:p>
    <w:p w:rsidR="00BF252A" w:rsidRDefault="00BF252A" w:rsidP="00462279">
      <w:pPr>
        <w:snapToGrid w:val="0"/>
        <w:spacing w:before="0"/>
        <w:rPr>
          <w:szCs w:val="24"/>
        </w:rPr>
      </w:pPr>
    </w:p>
    <w:p w:rsidR="00BF252A" w:rsidRDefault="00BF252A" w:rsidP="00BF252A">
      <w:pPr>
        <w:snapToGrid w:val="0"/>
        <w:spacing w:before="0"/>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Pr="00BF252A">
        <w:rPr>
          <w:noProof/>
          <w:szCs w:val="24"/>
          <w:lang w:val="en-US" w:eastAsia="zh-CN"/>
        </w:rPr>
        <w:drawing>
          <wp:inline distT="0" distB="0" distL="0" distR="0">
            <wp:extent cx="1969135" cy="101219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69135" cy="1012190"/>
                    </a:xfrm>
                    <a:prstGeom prst="rect">
                      <a:avLst/>
                    </a:prstGeom>
                    <a:noFill/>
                    <a:ln>
                      <a:noFill/>
                    </a:ln>
                  </pic:spPr>
                </pic:pic>
              </a:graphicData>
            </a:graphic>
          </wp:inline>
        </w:drawing>
      </w:r>
    </w:p>
    <w:p w:rsidR="00BF252A" w:rsidRDefault="00BF252A" w:rsidP="00BF252A">
      <w:pPr>
        <w:snapToGrid w:val="0"/>
        <w:spacing w:before="0"/>
        <w:rPr>
          <w:szCs w:val="24"/>
        </w:rPr>
      </w:pPr>
    </w:p>
    <w:p w:rsidR="008306E0" w:rsidRDefault="00BF252A" w:rsidP="00BF252A">
      <w:pPr>
        <w:snapToGrid w:val="0"/>
        <w:spacing w:before="0"/>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Geneva, 26 March 2018</w:t>
      </w:r>
    </w:p>
    <w:p w:rsidR="008306E0" w:rsidRDefault="008306E0" w:rsidP="00462279">
      <w:pPr>
        <w:snapToGrid w:val="0"/>
        <w:spacing w:before="0"/>
        <w:rPr>
          <w:szCs w:val="24"/>
        </w:rPr>
      </w:pPr>
    </w:p>
    <w:p w:rsidR="00CD7201" w:rsidRDefault="00CD7201" w:rsidP="00462279">
      <w:pPr>
        <w:snapToGrid w:val="0"/>
        <w:spacing w:before="0"/>
        <w:rPr>
          <w:szCs w:val="24"/>
        </w:rPr>
      </w:pPr>
    </w:p>
    <w:p w:rsidR="00CD7201" w:rsidRDefault="00CD7201" w:rsidP="00462279">
      <w:pPr>
        <w:snapToGrid w:val="0"/>
        <w:spacing w:before="0"/>
        <w:rPr>
          <w:szCs w:val="24"/>
        </w:rPr>
      </w:pPr>
    </w:p>
    <w:p w:rsidR="00CD7201" w:rsidRPr="00CA2EE3" w:rsidRDefault="00CD7201" w:rsidP="00462279">
      <w:pPr>
        <w:snapToGrid w:val="0"/>
        <w:spacing w:before="0"/>
        <w:rPr>
          <w:szCs w:val="24"/>
        </w:rPr>
      </w:pPr>
    </w:p>
    <w:p w:rsidR="00CD7201" w:rsidRDefault="00CD7201">
      <w:pPr>
        <w:tabs>
          <w:tab w:val="clear" w:pos="567"/>
          <w:tab w:val="clear" w:pos="1134"/>
          <w:tab w:val="clear" w:pos="1701"/>
          <w:tab w:val="clear" w:pos="2268"/>
          <w:tab w:val="clear" w:pos="2835"/>
        </w:tabs>
        <w:overflowPunct/>
        <w:autoSpaceDE/>
        <w:autoSpaceDN/>
        <w:adjustRightInd/>
        <w:spacing w:before="0"/>
        <w:textAlignment w:val="auto"/>
        <w:rPr>
          <w:lang w:val="en-US"/>
        </w:rPr>
      </w:pPr>
      <w:r>
        <w:rPr>
          <w:lang w:val="en-US"/>
        </w:rPr>
        <w:br w:type="page"/>
      </w:r>
    </w:p>
    <w:p w:rsidR="00462279" w:rsidRDefault="00462279" w:rsidP="009B7296">
      <w:pPr>
        <w:rPr>
          <w:lang w:val="en-US"/>
        </w:rPr>
      </w:pPr>
    </w:p>
    <w:p w:rsidR="00462279" w:rsidRDefault="00462279" w:rsidP="009B7296">
      <w:pPr>
        <w:rPr>
          <w:lang w:val="en-US"/>
        </w:rPr>
      </w:pPr>
    </w:p>
    <w:p w:rsidR="00462279" w:rsidRDefault="00462279" w:rsidP="009B7296">
      <w:pPr>
        <w:rPr>
          <w:lang w:val="en-US"/>
        </w:rPr>
      </w:pPr>
    </w:p>
    <w:p w:rsidR="00462279" w:rsidRDefault="00462279" w:rsidP="009B7296">
      <w:pPr>
        <w:rPr>
          <w:lang w:val="en-US"/>
        </w:rPr>
      </w:pPr>
    </w:p>
    <w:p w:rsidR="00462279" w:rsidRDefault="00462279" w:rsidP="009B7296">
      <w:pPr>
        <w:rPr>
          <w:lang w:val="en-US"/>
        </w:rPr>
      </w:pPr>
    </w:p>
    <w:p w:rsidR="00462279" w:rsidRDefault="00462279" w:rsidP="009B7296">
      <w:pPr>
        <w:rPr>
          <w:lang w:val="en-US"/>
        </w:rPr>
      </w:pPr>
    </w:p>
    <w:p w:rsidR="00462279" w:rsidRDefault="00462279" w:rsidP="009B7296">
      <w:pPr>
        <w:rPr>
          <w:lang w:val="en-US"/>
        </w:rPr>
      </w:pPr>
    </w:p>
    <w:p w:rsidR="00462279" w:rsidRPr="006D694B" w:rsidRDefault="00462279" w:rsidP="00314AB3">
      <w:pPr>
        <w:tabs>
          <w:tab w:val="left" w:pos="284"/>
          <w:tab w:val="right" w:pos="5670"/>
          <w:tab w:val="right" w:pos="7655"/>
          <w:tab w:val="left" w:pos="8789"/>
        </w:tabs>
        <w:jc w:val="center"/>
        <w:rPr>
          <w:rFonts w:asciiTheme="minorHAnsi" w:hAnsiTheme="minorHAnsi"/>
          <w:sz w:val="28"/>
          <w:szCs w:val="28"/>
          <w:lang w:val="en-US"/>
        </w:rPr>
      </w:pPr>
      <w:r w:rsidRPr="00314AB3">
        <w:rPr>
          <w:rFonts w:asciiTheme="minorHAnsi" w:hAnsiTheme="minorHAnsi"/>
          <w:b/>
          <w:sz w:val="28"/>
          <w:szCs w:val="28"/>
          <w:lang w:val="en-US"/>
        </w:rPr>
        <w:t>Certification of the financial statements for the year ended 31 December 201</w:t>
      </w:r>
      <w:r w:rsidR="00314AB3" w:rsidRPr="00314AB3">
        <w:rPr>
          <w:rFonts w:asciiTheme="minorHAnsi" w:hAnsiTheme="minorHAnsi"/>
          <w:b/>
          <w:sz w:val="28"/>
          <w:szCs w:val="28"/>
          <w:lang w:val="en-US"/>
        </w:rPr>
        <w:t>7</w:t>
      </w:r>
    </w:p>
    <w:p w:rsidR="00462279" w:rsidRPr="006D694B" w:rsidRDefault="00462279" w:rsidP="00462279">
      <w:pPr>
        <w:tabs>
          <w:tab w:val="left" w:pos="284"/>
          <w:tab w:val="right" w:pos="5670"/>
          <w:tab w:val="right" w:pos="7655"/>
          <w:tab w:val="left" w:pos="8789"/>
        </w:tabs>
        <w:jc w:val="center"/>
        <w:rPr>
          <w:rFonts w:asciiTheme="minorHAnsi" w:hAnsiTheme="minorHAnsi"/>
          <w:b/>
          <w:smallCaps/>
          <w:sz w:val="28"/>
          <w:szCs w:val="28"/>
          <w:lang w:val="en-US"/>
        </w:rPr>
      </w:pPr>
    </w:p>
    <w:p w:rsidR="00462279" w:rsidRPr="006D694B" w:rsidRDefault="00462279" w:rsidP="00462279">
      <w:pPr>
        <w:tabs>
          <w:tab w:val="left" w:pos="284"/>
          <w:tab w:val="right" w:pos="5670"/>
          <w:tab w:val="right" w:pos="7655"/>
          <w:tab w:val="left" w:pos="8789"/>
        </w:tabs>
        <w:jc w:val="center"/>
        <w:rPr>
          <w:rFonts w:asciiTheme="minorHAnsi" w:hAnsiTheme="minorHAnsi"/>
          <w:b/>
          <w:smallCaps/>
          <w:sz w:val="28"/>
          <w:szCs w:val="28"/>
          <w:lang w:val="en-US"/>
        </w:rPr>
      </w:pPr>
      <w:r w:rsidRPr="006D694B">
        <w:rPr>
          <w:rFonts w:asciiTheme="minorHAnsi" w:hAnsiTheme="minorHAnsi"/>
          <w:b/>
          <w:smallCaps/>
          <w:sz w:val="28"/>
          <w:szCs w:val="28"/>
          <w:lang w:val="en-US"/>
        </w:rPr>
        <w:t>International Telecommunication Union, Geneva</w:t>
      </w:r>
    </w:p>
    <w:p w:rsidR="00462279" w:rsidRPr="00B45354" w:rsidRDefault="00462279" w:rsidP="00462279">
      <w:pPr>
        <w:tabs>
          <w:tab w:val="left" w:pos="284"/>
          <w:tab w:val="right" w:pos="5670"/>
          <w:tab w:val="right" w:pos="7655"/>
          <w:tab w:val="left" w:pos="8789"/>
        </w:tabs>
        <w:rPr>
          <w:b/>
          <w:lang w:val="en-US"/>
        </w:rPr>
      </w:pPr>
    </w:p>
    <w:p w:rsidR="00462279" w:rsidRPr="00B45354" w:rsidRDefault="00462279" w:rsidP="00462279">
      <w:pPr>
        <w:tabs>
          <w:tab w:val="left" w:pos="284"/>
          <w:tab w:val="right" w:pos="5670"/>
          <w:tab w:val="right" w:pos="7655"/>
          <w:tab w:val="left" w:pos="8789"/>
        </w:tabs>
        <w:rPr>
          <w:b/>
          <w:lang w:val="en-US"/>
        </w:rPr>
      </w:pPr>
    </w:p>
    <w:p w:rsidR="00462279" w:rsidRDefault="00462279" w:rsidP="00314AB3">
      <w:pPr>
        <w:tabs>
          <w:tab w:val="left" w:pos="284"/>
          <w:tab w:val="right" w:pos="5670"/>
          <w:tab w:val="right" w:pos="7655"/>
          <w:tab w:val="left" w:pos="8789"/>
        </w:tabs>
        <w:rPr>
          <w:bCs/>
          <w:lang w:val="en-US"/>
        </w:rPr>
      </w:pPr>
      <w:r>
        <w:rPr>
          <w:bCs/>
          <w:lang w:val="en-US"/>
        </w:rPr>
        <w:t>According to Article 30 of the Financial Regulations, the accounts and financial statements for the International Telecommunication Union have been established and maintained in accordance with IPSAS.  The financial statements for the year ended 31 December 201</w:t>
      </w:r>
      <w:r w:rsidR="00314AB3">
        <w:rPr>
          <w:bCs/>
          <w:lang w:val="en-US"/>
        </w:rPr>
        <w:t>7</w:t>
      </w:r>
      <w:r>
        <w:rPr>
          <w:bCs/>
          <w:lang w:val="en-US"/>
        </w:rPr>
        <w:t>, together with the notes to the statements and relevant annexes, have been reviewed and are approved.</w:t>
      </w:r>
    </w:p>
    <w:p w:rsidR="00462279" w:rsidRPr="00B45354" w:rsidRDefault="00462279" w:rsidP="00462279">
      <w:pPr>
        <w:tabs>
          <w:tab w:val="left" w:pos="284"/>
          <w:tab w:val="right" w:pos="5670"/>
          <w:tab w:val="right" w:pos="7655"/>
          <w:tab w:val="left" w:pos="8789"/>
        </w:tabs>
        <w:rPr>
          <w:bCs/>
          <w:lang w:val="en-US"/>
        </w:rPr>
      </w:pPr>
    </w:p>
    <w:p w:rsidR="00462279" w:rsidRPr="00B45354" w:rsidRDefault="00462279" w:rsidP="00462279">
      <w:pPr>
        <w:tabs>
          <w:tab w:val="left" w:pos="284"/>
          <w:tab w:val="right" w:pos="5670"/>
          <w:tab w:val="right" w:pos="7655"/>
          <w:tab w:val="left" w:pos="8789"/>
        </w:tabs>
        <w:rPr>
          <w:bCs/>
          <w:lang w:val="en-US"/>
        </w:rPr>
      </w:pPr>
    </w:p>
    <w:p w:rsidR="00462279" w:rsidRPr="00B45354" w:rsidRDefault="00462279" w:rsidP="00462279">
      <w:pPr>
        <w:tabs>
          <w:tab w:val="left" w:pos="284"/>
          <w:tab w:val="right" w:pos="5670"/>
          <w:tab w:val="right" w:pos="7655"/>
          <w:tab w:val="left" w:pos="8789"/>
        </w:tabs>
        <w:rPr>
          <w:b/>
          <w:lang w:val="en-US"/>
        </w:rPr>
      </w:pPr>
    </w:p>
    <w:p w:rsidR="00462279" w:rsidRDefault="00314AB3" w:rsidP="00314AB3">
      <w:pPr>
        <w:rPr>
          <w:lang w:val="en-US"/>
        </w:rPr>
      </w:pPr>
      <w:r>
        <w:rPr>
          <w:lang w:val="en-US"/>
        </w:rPr>
        <w:t>26</w:t>
      </w:r>
      <w:r w:rsidR="00462279">
        <w:rPr>
          <w:lang w:val="en-US"/>
        </w:rPr>
        <w:t xml:space="preserve"> March 201</w:t>
      </w:r>
      <w:r>
        <w:rPr>
          <w:lang w:val="en-US"/>
        </w:rPr>
        <w:t>8</w:t>
      </w:r>
    </w:p>
    <w:p w:rsidR="00462279" w:rsidRDefault="00462279" w:rsidP="00462279">
      <w:pPr>
        <w:rPr>
          <w:lang w:val="en-US"/>
        </w:rPr>
      </w:pPr>
    </w:p>
    <w:p w:rsidR="00462279" w:rsidRPr="00B45354" w:rsidRDefault="00462279" w:rsidP="00462279">
      <w:pPr>
        <w:rPr>
          <w:lang w:val="en-US"/>
        </w:rPr>
      </w:pPr>
      <w:r w:rsidRPr="00462279">
        <w:rPr>
          <w:noProof/>
          <w:lang w:val="en-US" w:eastAsia="zh-CN"/>
        </w:rPr>
        <w:drawing>
          <wp:inline distT="0" distB="0" distL="0" distR="0" wp14:anchorId="57CEA3EB" wp14:editId="2D735B51">
            <wp:extent cx="5705475" cy="1991804"/>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18064" cy="1996199"/>
                    </a:xfrm>
                    <a:prstGeom prst="rect">
                      <a:avLst/>
                    </a:prstGeom>
                    <a:noFill/>
                    <a:ln>
                      <a:noFill/>
                    </a:ln>
                  </pic:spPr>
                </pic:pic>
              </a:graphicData>
            </a:graphic>
          </wp:inline>
        </w:drawing>
      </w:r>
    </w:p>
    <w:p w:rsidR="00462279" w:rsidRDefault="00462279" w:rsidP="009B7296">
      <w:pPr>
        <w:rPr>
          <w:lang w:val="en-US"/>
        </w:rPr>
      </w:pPr>
    </w:p>
    <w:p w:rsidR="00462279" w:rsidRDefault="00462279" w:rsidP="009B7296">
      <w:pPr>
        <w:rPr>
          <w:lang w:val="en-US"/>
        </w:rPr>
      </w:pPr>
    </w:p>
    <w:p w:rsidR="00462279" w:rsidRDefault="00462279" w:rsidP="009B7296">
      <w:pPr>
        <w:rPr>
          <w:lang w:val="en-US"/>
        </w:rPr>
      </w:pPr>
    </w:p>
    <w:p w:rsidR="00462279" w:rsidRDefault="00462279" w:rsidP="009B7296">
      <w:pPr>
        <w:rPr>
          <w:lang w:val="en-US"/>
        </w:rPr>
      </w:pPr>
    </w:p>
    <w:p w:rsidR="007D3035" w:rsidRDefault="007D3035" w:rsidP="009B7296">
      <w:pPr>
        <w:rPr>
          <w:lang w:val="en-US"/>
        </w:rPr>
      </w:pPr>
    </w:p>
    <w:p w:rsidR="00174CC9" w:rsidRPr="00174CC9" w:rsidRDefault="00174CC9" w:rsidP="00174CC9">
      <w:pPr>
        <w:tabs>
          <w:tab w:val="left" w:pos="284"/>
          <w:tab w:val="right" w:pos="5670"/>
          <w:tab w:val="right" w:pos="7655"/>
          <w:tab w:val="left" w:pos="8789"/>
        </w:tabs>
        <w:jc w:val="right"/>
        <w:rPr>
          <w:rFonts w:ascii="Times New Roman" w:hAnsi="Times New Roman"/>
          <w:b/>
          <w:highlight w:val="yellow"/>
        </w:rPr>
      </w:pPr>
      <w:bookmarkStart w:id="15" w:name="_Toc357005995"/>
    </w:p>
    <w:p w:rsidR="00174CC9" w:rsidRPr="00FA395D" w:rsidRDefault="00174CC9" w:rsidP="00174CC9">
      <w:pPr>
        <w:tabs>
          <w:tab w:val="left" w:pos="284"/>
          <w:tab w:val="right" w:pos="5670"/>
          <w:tab w:val="right" w:pos="7655"/>
          <w:tab w:val="left" w:pos="8789"/>
        </w:tabs>
        <w:jc w:val="center"/>
        <w:rPr>
          <w:rFonts w:ascii="Times New Roman" w:hAnsi="Times New Roman"/>
          <w:b/>
        </w:rPr>
      </w:pPr>
    </w:p>
    <w:bookmarkEnd w:id="15"/>
    <w:p w:rsidR="00DE0D3E" w:rsidRDefault="00DE0D3E" w:rsidP="007D3035">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cs="Arial"/>
          <w:szCs w:val="24"/>
          <w:lang w:eastAsia="zh-CN"/>
        </w:rPr>
      </w:pPr>
    </w:p>
    <w:p w:rsidR="0022373A" w:rsidRPr="00C23094" w:rsidRDefault="0022373A" w:rsidP="003D31D4">
      <w:pPr>
        <w:pStyle w:val="Heading9"/>
        <w:jc w:val="center"/>
        <w:rPr>
          <w:w w:val="105"/>
          <w:sz w:val="28"/>
          <w:szCs w:val="28"/>
          <w:lang w:val="en-US"/>
        </w:rPr>
      </w:pPr>
      <w:bookmarkStart w:id="16" w:name="_Toc305764055"/>
      <w:bookmarkStart w:id="17" w:name="_Toc357005996"/>
      <w:r w:rsidRPr="00C23094">
        <w:rPr>
          <w:w w:val="105"/>
          <w:sz w:val="28"/>
          <w:szCs w:val="28"/>
          <w:lang w:val="en-US"/>
        </w:rPr>
        <w:t>FINANCIAL STATEMENTS</w:t>
      </w:r>
      <w:bookmarkEnd w:id="16"/>
      <w:bookmarkEnd w:id="17"/>
    </w:p>
    <w:p w:rsidR="0022373A" w:rsidRPr="00C23094" w:rsidRDefault="0022373A" w:rsidP="005D3458">
      <w:pPr>
        <w:keepNext/>
        <w:jc w:val="right"/>
        <w:rPr>
          <w:b/>
          <w:bCs/>
          <w:lang w:val="en-US"/>
        </w:rPr>
      </w:pPr>
      <w:r w:rsidRPr="00C23094">
        <w:rPr>
          <w:b/>
          <w:bCs/>
          <w:lang w:val="en-US"/>
        </w:rPr>
        <w:t>Page</w:t>
      </w:r>
    </w:p>
    <w:p w:rsidR="004E5C92" w:rsidRPr="00C23094" w:rsidRDefault="0022373A" w:rsidP="00A372DE">
      <w:pPr>
        <w:pStyle w:val="TOC1"/>
        <w:spacing w:before="120"/>
        <w:ind w:right="1134"/>
        <w:rPr>
          <w:rStyle w:val="Hyperlink"/>
          <w:noProof/>
        </w:rPr>
      </w:pPr>
      <w:r w:rsidRPr="00C23094">
        <w:rPr>
          <w:rStyle w:val="Hyperlink"/>
          <w:noProof/>
        </w:rPr>
        <w:fldChar w:fldCharType="begin"/>
      </w:r>
      <w:r w:rsidRPr="00C23094">
        <w:rPr>
          <w:rStyle w:val="Hyperlink"/>
          <w:noProof/>
        </w:rPr>
        <w:instrText xml:space="preserve"> TOC \h \z \t "Heading 5;1;Table_title;1" </w:instrText>
      </w:r>
      <w:r w:rsidRPr="00C23094">
        <w:rPr>
          <w:rStyle w:val="Hyperlink"/>
          <w:noProof/>
        </w:rPr>
        <w:fldChar w:fldCharType="separate"/>
      </w:r>
      <w:hyperlink w:anchor="_Toc329011603" w:history="1">
        <w:r w:rsidR="004E5C92" w:rsidRPr="00C23094">
          <w:rPr>
            <w:rStyle w:val="Hyperlink"/>
            <w:noProof/>
            <w:lang w:val="en-US"/>
          </w:rPr>
          <w:t>I</w:t>
        </w:r>
        <w:r w:rsidR="004E5C92" w:rsidRPr="00C23094">
          <w:rPr>
            <w:rStyle w:val="Hyperlink"/>
            <w:noProof/>
            <w:lang w:val="en-US"/>
          </w:rPr>
          <w:tab/>
          <w:t>Statement of financial position – B</w:t>
        </w:r>
        <w:r w:rsidR="00503C3B" w:rsidRPr="00C23094">
          <w:rPr>
            <w:rStyle w:val="Hyperlink"/>
            <w:noProof/>
            <w:lang w:val="en-US"/>
          </w:rPr>
          <w:t xml:space="preserve">alance sheet at 31 December </w:t>
        </w:r>
        <w:r w:rsidR="00111BDD">
          <w:rPr>
            <w:rStyle w:val="Hyperlink"/>
            <w:noProof/>
            <w:lang w:val="en-US"/>
          </w:rPr>
          <w:t>201</w:t>
        </w:r>
        <w:r w:rsidR="00A372DE">
          <w:rPr>
            <w:rStyle w:val="Hyperlink"/>
            <w:noProof/>
            <w:lang w:val="en-US"/>
          </w:rPr>
          <w:t>7</w:t>
        </w:r>
        <w:r w:rsidR="004E5C92" w:rsidRPr="00C23094">
          <w:rPr>
            <w:rStyle w:val="Hyperlink"/>
            <w:noProof/>
            <w:lang w:val="en-US"/>
          </w:rPr>
          <w:t xml:space="preserve"> with comparativ</w:t>
        </w:r>
        <w:r w:rsidR="00503C3B" w:rsidRPr="00C23094">
          <w:rPr>
            <w:rStyle w:val="Hyperlink"/>
            <w:noProof/>
            <w:lang w:val="en-US"/>
          </w:rPr>
          <w:t>e figures as at 31 December 201</w:t>
        </w:r>
        <w:r w:rsidR="00A372DE">
          <w:rPr>
            <w:rStyle w:val="Hyperlink"/>
            <w:noProof/>
            <w:lang w:val="en-US"/>
          </w:rPr>
          <w:t>6</w:t>
        </w:r>
        <w:r w:rsidR="004E5C92" w:rsidRPr="00C23094">
          <w:rPr>
            <w:rStyle w:val="Hyperlink"/>
            <w:noProof/>
            <w:webHidden/>
            <w:lang w:val="en-US"/>
          </w:rPr>
          <w:tab/>
        </w:r>
        <w:r w:rsidR="004E5C92" w:rsidRPr="00C23094">
          <w:rPr>
            <w:rStyle w:val="Hyperlink"/>
            <w:noProof/>
            <w:webHidden/>
            <w:lang w:val="en-US"/>
          </w:rPr>
          <w:tab/>
        </w:r>
        <w:r w:rsidR="004E5C92" w:rsidRPr="00C23094">
          <w:rPr>
            <w:rStyle w:val="Hyperlink"/>
            <w:noProof/>
            <w:webHidden/>
            <w:lang w:val="en-US"/>
          </w:rPr>
          <w:fldChar w:fldCharType="begin"/>
        </w:r>
        <w:r w:rsidR="004E5C92" w:rsidRPr="00C23094">
          <w:rPr>
            <w:rStyle w:val="Hyperlink"/>
            <w:noProof/>
            <w:webHidden/>
            <w:lang w:val="en-US"/>
          </w:rPr>
          <w:instrText xml:space="preserve"> PAGEREF _Toc329011603 \h </w:instrText>
        </w:r>
        <w:r w:rsidR="004E5C92" w:rsidRPr="00C23094">
          <w:rPr>
            <w:rStyle w:val="Hyperlink"/>
            <w:noProof/>
            <w:webHidden/>
            <w:lang w:val="en-US"/>
          </w:rPr>
        </w:r>
        <w:r w:rsidR="004E5C92" w:rsidRPr="00C23094">
          <w:rPr>
            <w:rStyle w:val="Hyperlink"/>
            <w:noProof/>
            <w:webHidden/>
            <w:lang w:val="en-US"/>
          </w:rPr>
          <w:fldChar w:fldCharType="separate"/>
        </w:r>
        <w:r w:rsidR="00370AAC">
          <w:rPr>
            <w:rStyle w:val="Hyperlink"/>
            <w:noProof/>
            <w:webHidden/>
            <w:lang w:val="en-US"/>
          </w:rPr>
          <w:t>23</w:t>
        </w:r>
        <w:r w:rsidR="004E5C92" w:rsidRPr="00C23094">
          <w:rPr>
            <w:rStyle w:val="Hyperlink"/>
            <w:noProof/>
            <w:webHidden/>
            <w:lang w:val="en-US"/>
          </w:rPr>
          <w:fldChar w:fldCharType="end"/>
        </w:r>
      </w:hyperlink>
    </w:p>
    <w:p w:rsidR="004E5C92" w:rsidRPr="00C23094" w:rsidRDefault="006A5037" w:rsidP="00A372DE">
      <w:pPr>
        <w:pStyle w:val="TOC1"/>
        <w:spacing w:before="120"/>
        <w:ind w:right="1134"/>
        <w:rPr>
          <w:rStyle w:val="Hyperlink"/>
          <w:noProof/>
        </w:rPr>
      </w:pPr>
      <w:hyperlink w:anchor="_Toc329011604" w:history="1">
        <w:r w:rsidR="004E5C92" w:rsidRPr="00C23094">
          <w:rPr>
            <w:rStyle w:val="Hyperlink"/>
            <w:noProof/>
            <w:lang w:val="en-US"/>
          </w:rPr>
          <w:t>II</w:t>
        </w:r>
        <w:r w:rsidR="004E5C92" w:rsidRPr="00C23094">
          <w:rPr>
            <w:rStyle w:val="Hyperlink"/>
            <w:noProof/>
            <w:lang w:val="en-US"/>
          </w:rPr>
          <w:tab/>
          <w:t xml:space="preserve">Statement of financial performance for the period </w:t>
        </w:r>
        <w:r w:rsidR="00503C3B" w:rsidRPr="00C23094">
          <w:rPr>
            <w:rStyle w:val="Hyperlink"/>
            <w:noProof/>
            <w:lang w:val="en-US"/>
          </w:rPr>
          <w:t xml:space="preserve">which closed on 31 December </w:t>
        </w:r>
        <w:r w:rsidR="00111BDD">
          <w:rPr>
            <w:rStyle w:val="Hyperlink"/>
            <w:noProof/>
            <w:lang w:val="en-US"/>
          </w:rPr>
          <w:t>201</w:t>
        </w:r>
        <w:r w:rsidR="00A372DE">
          <w:rPr>
            <w:rStyle w:val="Hyperlink"/>
            <w:noProof/>
            <w:lang w:val="en-US"/>
          </w:rPr>
          <w:t>7</w:t>
        </w:r>
        <w:r w:rsidR="004E5C92" w:rsidRPr="00C23094">
          <w:rPr>
            <w:rStyle w:val="Hyperlink"/>
            <w:noProof/>
            <w:lang w:val="en-US"/>
          </w:rPr>
          <w:t xml:space="preserve"> with comparativ</w:t>
        </w:r>
        <w:r w:rsidR="00503C3B" w:rsidRPr="00C23094">
          <w:rPr>
            <w:rStyle w:val="Hyperlink"/>
            <w:noProof/>
            <w:lang w:val="en-US"/>
          </w:rPr>
          <w:t>e figures as at 31 December 201</w:t>
        </w:r>
        <w:r w:rsidR="00A372DE">
          <w:rPr>
            <w:rStyle w:val="Hyperlink"/>
            <w:noProof/>
            <w:lang w:val="en-US"/>
          </w:rPr>
          <w:t>6</w:t>
        </w:r>
        <w:r w:rsidR="004E5C92" w:rsidRPr="00C23094">
          <w:rPr>
            <w:rStyle w:val="Hyperlink"/>
            <w:noProof/>
            <w:webHidden/>
            <w:lang w:val="en-US"/>
          </w:rPr>
          <w:tab/>
        </w:r>
        <w:r w:rsidR="004E5C92" w:rsidRPr="00C23094">
          <w:rPr>
            <w:rStyle w:val="Hyperlink"/>
            <w:noProof/>
            <w:webHidden/>
            <w:lang w:val="en-US"/>
          </w:rPr>
          <w:tab/>
        </w:r>
        <w:r w:rsidR="0069715C">
          <w:rPr>
            <w:rStyle w:val="Hyperlink"/>
            <w:noProof/>
            <w:webHidden/>
            <w:lang w:val="en-US"/>
          </w:rPr>
          <w:t>2</w:t>
        </w:r>
        <w:r w:rsidR="00877BA7">
          <w:rPr>
            <w:rStyle w:val="Hyperlink"/>
            <w:noProof/>
            <w:webHidden/>
            <w:lang w:val="en-US"/>
          </w:rPr>
          <w:t>4</w:t>
        </w:r>
      </w:hyperlink>
    </w:p>
    <w:p w:rsidR="004E5C92" w:rsidRPr="00C23094" w:rsidRDefault="006A5037" w:rsidP="00A372DE">
      <w:pPr>
        <w:pStyle w:val="TOC1"/>
        <w:spacing w:before="120"/>
        <w:ind w:right="1134"/>
        <w:rPr>
          <w:rStyle w:val="Hyperlink"/>
          <w:noProof/>
          <w:lang w:val="en-US"/>
        </w:rPr>
      </w:pPr>
      <w:hyperlink w:anchor="_Toc329011605" w:history="1">
        <w:r w:rsidR="004E5C92" w:rsidRPr="00C23094">
          <w:rPr>
            <w:rStyle w:val="Hyperlink"/>
            <w:noProof/>
            <w:lang w:val="en-US"/>
          </w:rPr>
          <w:t xml:space="preserve">III </w:t>
        </w:r>
        <w:r w:rsidR="004E5C92" w:rsidRPr="00C23094">
          <w:rPr>
            <w:rStyle w:val="Hyperlink"/>
            <w:noProof/>
            <w:lang w:val="en-US"/>
          </w:rPr>
          <w:tab/>
          <w:t xml:space="preserve">Statement of changes in net assets for the period </w:t>
        </w:r>
        <w:r w:rsidR="00503C3B" w:rsidRPr="00C23094">
          <w:rPr>
            <w:rStyle w:val="Hyperlink"/>
            <w:noProof/>
            <w:lang w:val="en-US"/>
          </w:rPr>
          <w:t xml:space="preserve">which closed on 31 December </w:t>
        </w:r>
        <w:r w:rsidR="00111BDD">
          <w:rPr>
            <w:rStyle w:val="Hyperlink"/>
            <w:noProof/>
            <w:lang w:val="en-US"/>
          </w:rPr>
          <w:t>201</w:t>
        </w:r>
        <w:r w:rsidR="00A372DE">
          <w:rPr>
            <w:rStyle w:val="Hyperlink"/>
            <w:noProof/>
            <w:lang w:val="en-US"/>
          </w:rPr>
          <w:t>7</w:t>
        </w:r>
        <w:r w:rsidR="004E5C92" w:rsidRPr="00C23094">
          <w:rPr>
            <w:rStyle w:val="Hyperlink"/>
            <w:noProof/>
            <w:webHidden/>
            <w:lang w:val="en-US"/>
          </w:rPr>
          <w:tab/>
        </w:r>
        <w:r w:rsidR="004E5C92" w:rsidRPr="00C23094">
          <w:rPr>
            <w:rStyle w:val="Hyperlink"/>
            <w:noProof/>
            <w:webHidden/>
            <w:lang w:val="en-US"/>
          </w:rPr>
          <w:tab/>
        </w:r>
        <w:r w:rsidR="0069715C">
          <w:rPr>
            <w:rStyle w:val="Hyperlink"/>
            <w:noProof/>
            <w:webHidden/>
            <w:lang w:val="en-US"/>
          </w:rPr>
          <w:t>2</w:t>
        </w:r>
        <w:r w:rsidR="00877BA7">
          <w:rPr>
            <w:rStyle w:val="Hyperlink"/>
            <w:noProof/>
            <w:webHidden/>
            <w:lang w:val="en-US"/>
          </w:rPr>
          <w:t>5</w:t>
        </w:r>
      </w:hyperlink>
    </w:p>
    <w:p w:rsidR="00667D3F" w:rsidRPr="00C23094" w:rsidRDefault="00667D3F" w:rsidP="00A372DE">
      <w:pPr>
        <w:pStyle w:val="TOC1"/>
        <w:spacing w:before="120"/>
        <w:ind w:right="1134"/>
        <w:rPr>
          <w:rStyle w:val="Hyperlink"/>
          <w:noProof/>
        </w:rPr>
      </w:pPr>
      <w:r w:rsidRPr="00C23094">
        <w:rPr>
          <w:noProof/>
        </w:rPr>
        <w:t>I</w:t>
      </w:r>
      <w:hyperlink w:anchor="_Toc329011607" w:history="1">
        <w:r w:rsidRPr="00C23094">
          <w:rPr>
            <w:rStyle w:val="Hyperlink"/>
            <w:noProof/>
            <w:lang w:val="en-US"/>
          </w:rPr>
          <w:t xml:space="preserve">V </w:t>
        </w:r>
        <w:r w:rsidRPr="00C23094">
          <w:rPr>
            <w:rStyle w:val="Hyperlink"/>
            <w:noProof/>
            <w:lang w:val="en-US"/>
          </w:rPr>
          <w:tab/>
        </w:r>
        <w:r w:rsidR="00E1250A">
          <w:rPr>
            <w:rStyle w:val="Hyperlink"/>
            <w:noProof/>
            <w:lang w:val="en-US"/>
          </w:rPr>
          <w:t xml:space="preserve">Statement </w:t>
        </w:r>
        <w:r w:rsidRPr="00C23094">
          <w:rPr>
            <w:rStyle w:val="Hyperlink"/>
            <w:noProof/>
            <w:lang w:val="en-US"/>
          </w:rPr>
          <w:t xml:space="preserve">of cash flows for the period closed on 31 December </w:t>
        </w:r>
        <w:r w:rsidR="00111BDD">
          <w:rPr>
            <w:rStyle w:val="Hyperlink"/>
            <w:noProof/>
            <w:lang w:val="en-US"/>
          </w:rPr>
          <w:t>201</w:t>
        </w:r>
        <w:r w:rsidR="00A372DE">
          <w:rPr>
            <w:rStyle w:val="Hyperlink"/>
            <w:noProof/>
            <w:lang w:val="en-US"/>
          </w:rPr>
          <w:t>7</w:t>
        </w:r>
        <w:r w:rsidRPr="00C23094">
          <w:rPr>
            <w:rStyle w:val="Hyperlink"/>
            <w:noProof/>
            <w:webHidden/>
            <w:lang w:val="en-US"/>
          </w:rPr>
          <w:tab/>
        </w:r>
        <w:r w:rsidRPr="00C23094">
          <w:rPr>
            <w:rStyle w:val="Hyperlink"/>
            <w:noProof/>
            <w:webHidden/>
            <w:lang w:val="en-US"/>
          </w:rPr>
          <w:tab/>
        </w:r>
        <w:r w:rsidR="0069715C">
          <w:rPr>
            <w:rStyle w:val="Hyperlink"/>
            <w:noProof/>
            <w:webHidden/>
            <w:lang w:val="en-US"/>
          </w:rPr>
          <w:t>2</w:t>
        </w:r>
        <w:r w:rsidR="00877BA7">
          <w:rPr>
            <w:rStyle w:val="Hyperlink"/>
            <w:noProof/>
            <w:webHidden/>
            <w:lang w:val="en-US"/>
          </w:rPr>
          <w:t>6</w:t>
        </w:r>
      </w:hyperlink>
    </w:p>
    <w:p w:rsidR="004E5C92" w:rsidRPr="00C23094" w:rsidRDefault="006A5037" w:rsidP="00A372DE">
      <w:pPr>
        <w:pStyle w:val="TOC1"/>
        <w:spacing w:before="120"/>
        <w:ind w:right="1134"/>
        <w:rPr>
          <w:rStyle w:val="Hyperlink"/>
          <w:noProof/>
        </w:rPr>
      </w:pPr>
      <w:hyperlink w:anchor="_Toc329011606" w:history="1">
        <w:r w:rsidR="004E5C92" w:rsidRPr="00C23094">
          <w:rPr>
            <w:rStyle w:val="Hyperlink"/>
            <w:noProof/>
            <w:lang w:val="en-US"/>
          </w:rPr>
          <w:t xml:space="preserve">V </w:t>
        </w:r>
        <w:r w:rsidR="004E5C92" w:rsidRPr="00C23094">
          <w:rPr>
            <w:rStyle w:val="Hyperlink"/>
            <w:noProof/>
            <w:lang w:val="en-US"/>
          </w:rPr>
          <w:tab/>
        </w:r>
        <w:r w:rsidR="00E1250A">
          <w:rPr>
            <w:rStyle w:val="Hyperlink"/>
            <w:noProof/>
            <w:lang w:val="en-US"/>
          </w:rPr>
          <w:t>Statement of c</w:t>
        </w:r>
        <w:r w:rsidR="004E5C92" w:rsidRPr="00C23094">
          <w:rPr>
            <w:rStyle w:val="Hyperlink"/>
            <w:noProof/>
            <w:lang w:val="en-US"/>
          </w:rPr>
          <w:t>omparison of budgeted amounts</w:t>
        </w:r>
        <w:r w:rsidR="00503C3B" w:rsidRPr="00C23094">
          <w:rPr>
            <w:rStyle w:val="Hyperlink"/>
            <w:noProof/>
            <w:lang w:val="en-US"/>
          </w:rPr>
          <w:t xml:space="preserve"> and actual amounts for the </w:t>
        </w:r>
        <w:r w:rsidR="00111BDD">
          <w:rPr>
            <w:rStyle w:val="Hyperlink"/>
            <w:noProof/>
            <w:lang w:val="en-US"/>
          </w:rPr>
          <w:t>201</w:t>
        </w:r>
        <w:r w:rsidR="00A372DE">
          <w:rPr>
            <w:rStyle w:val="Hyperlink"/>
            <w:noProof/>
            <w:lang w:val="en-US"/>
          </w:rPr>
          <w:t>7</w:t>
        </w:r>
        <w:r w:rsidR="004E5C92" w:rsidRPr="00C23094">
          <w:rPr>
            <w:rStyle w:val="Hyperlink"/>
            <w:noProof/>
            <w:lang w:val="en-US"/>
          </w:rPr>
          <w:t xml:space="preserve"> financial period</w:t>
        </w:r>
        <w:r w:rsidR="004E5C92" w:rsidRPr="00C23094">
          <w:rPr>
            <w:rStyle w:val="Hyperlink"/>
            <w:noProof/>
            <w:webHidden/>
            <w:lang w:val="en-US"/>
          </w:rPr>
          <w:tab/>
        </w:r>
        <w:r w:rsidR="004E5C92" w:rsidRPr="00C23094">
          <w:rPr>
            <w:rStyle w:val="Hyperlink"/>
            <w:noProof/>
            <w:webHidden/>
            <w:lang w:val="en-US"/>
          </w:rPr>
          <w:tab/>
        </w:r>
        <w:r w:rsidR="0069715C">
          <w:rPr>
            <w:rStyle w:val="Hyperlink"/>
            <w:noProof/>
            <w:webHidden/>
            <w:lang w:val="en-US"/>
          </w:rPr>
          <w:t>2</w:t>
        </w:r>
        <w:r w:rsidR="00877BA7">
          <w:rPr>
            <w:rStyle w:val="Hyperlink"/>
            <w:noProof/>
            <w:webHidden/>
            <w:lang w:val="en-US"/>
          </w:rPr>
          <w:t>7</w:t>
        </w:r>
      </w:hyperlink>
    </w:p>
    <w:p w:rsidR="004E5C92" w:rsidRPr="00C23094" w:rsidRDefault="006A5037" w:rsidP="00877BA7">
      <w:pPr>
        <w:pStyle w:val="TOC1"/>
        <w:spacing w:before="120"/>
        <w:ind w:right="1134"/>
        <w:rPr>
          <w:rStyle w:val="Hyperlink"/>
          <w:noProof/>
        </w:rPr>
      </w:pPr>
      <w:hyperlink w:anchor="_Toc329011608" w:history="1">
        <w:r w:rsidR="004E5C92" w:rsidRPr="00C23094">
          <w:rPr>
            <w:rStyle w:val="Hyperlink"/>
            <w:noProof/>
            <w:lang w:val="en-US"/>
          </w:rPr>
          <w:t>Notes to the financial statements</w:t>
        </w:r>
        <w:r w:rsidR="004E5C92" w:rsidRPr="00C23094">
          <w:rPr>
            <w:rStyle w:val="Hyperlink"/>
            <w:noProof/>
            <w:webHidden/>
            <w:lang w:val="en-US"/>
          </w:rPr>
          <w:tab/>
        </w:r>
        <w:r w:rsidR="004E5C92" w:rsidRPr="00C23094">
          <w:rPr>
            <w:rStyle w:val="Hyperlink"/>
            <w:noProof/>
            <w:webHidden/>
            <w:lang w:val="en-US"/>
          </w:rPr>
          <w:tab/>
        </w:r>
        <w:r w:rsidR="00920FD8">
          <w:rPr>
            <w:rStyle w:val="Hyperlink"/>
            <w:noProof/>
            <w:webHidden/>
            <w:lang w:val="en-US"/>
          </w:rPr>
          <w:t>2</w:t>
        </w:r>
        <w:r w:rsidR="00877BA7">
          <w:rPr>
            <w:rStyle w:val="Hyperlink"/>
            <w:noProof/>
            <w:webHidden/>
            <w:lang w:val="en-US"/>
          </w:rPr>
          <w:t>8</w:t>
        </w:r>
      </w:hyperlink>
    </w:p>
    <w:p w:rsidR="004E5C92" w:rsidRPr="00C23094" w:rsidRDefault="006A5037" w:rsidP="002F117B">
      <w:pPr>
        <w:pStyle w:val="TOC1"/>
        <w:spacing w:before="120"/>
        <w:ind w:right="1134"/>
        <w:rPr>
          <w:rStyle w:val="Hyperlink"/>
          <w:noProof/>
        </w:rPr>
      </w:pPr>
      <w:hyperlink w:anchor="_Toc329011609" w:history="1">
        <w:r w:rsidR="004E5C92" w:rsidRPr="00C23094">
          <w:rPr>
            <w:rStyle w:val="Hyperlink"/>
            <w:noProof/>
            <w:lang w:val="en-US"/>
          </w:rPr>
          <w:t>Note 1</w:t>
        </w:r>
        <w:r w:rsidR="004E5C92" w:rsidRPr="00C23094">
          <w:rPr>
            <w:rStyle w:val="Hyperlink"/>
            <w:noProof/>
          </w:rPr>
          <w:tab/>
        </w:r>
        <w:r w:rsidR="007177F2">
          <w:rPr>
            <w:rStyle w:val="Hyperlink"/>
            <w:noProof/>
          </w:rPr>
          <w:t>Objectives of the Union</w:t>
        </w:r>
        <w:r w:rsidR="004E5C92" w:rsidRPr="00C23094">
          <w:rPr>
            <w:rStyle w:val="Hyperlink"/>
            <w:noProof/>
            <w:webHidden/>
            <w:lang w:val="en-US"/>
          </w:rPr>
          <w:tab/>
        </w:r>
        <w:r w:rsidR="00FC6178" w:rsidRPr="00C23094">
          <w:rPr>
            <w:rStyle w:val="Hyperlink"/>
            <w:noProof/>
            <w:webHidden/>
            <w:lang w:val="en-US"/>
          </w:rPr>
          <w:tab/>
        </w:r>
        <w:r w:rsidR="004E5C92" w:rsidRPr="00C23094">
          <w:rPr>
            <w:rStyle w:val="Hyperlink"/>
            <w:noProof/>
            <w:webHidden/>
            <w:lang w:val="en-US"/>
          </w:rPr>
          <w:fldChar w:fldCharType="begin"/>
        </w:r>
        <w:r w:rsidR="004E5C92" w:rsidRPr="00C23094">
          <w:rPr>
            <w:rStyle w:val="Hyperlink"/>
            <w:noProof/>
            <w:webHidden/>
            <w:lang w:val="en-US"/>
          </w:rPr>
          <w:instrText xml:space="preserve"> PAGEREF _Toc329011609 \h </w:instrText>
        </w:r>
        <w:r w:rsidR="004E5C92" w:rsidRPr="00C23094">
          <w:rPr>
            <w:rStyle w:val="Hyperlink"/>
            <w:noProof/>
            <w:webHidden/>
            <w:lang w:val="en-US"/>
          </w:rPr>
        </w:r>
        <w:r w:rsidR="004E5C92" w:rsidRPr="00C23094">
          <w:rPr>
            <w:rStyle w:val="Hyperlink"/>
            <w:noProof/>
            <w:webHidden/>
            <w:lang w:val="en-US"/>
          </w:rPr>
          <w:fldChar w:fldCharType="separate"/>
        </w:r>
        <w:r w:rsidR="00370AAC">
          <w:rPr>
            <w:rStyle w:val="Hyperlink"/>
            <w:noProof/>
            <w:webHidden/>
            <w:lang w:val="en-US"/>
          </w:rPr>
          <w:t>28</w:t>
        </w:r>
        <w:r w:rsidR="004E5C92" w:rsidRPr="00C23094">
          <w:rPr>
            <w:rStyle w:val="Hyperlink"/>
            <w:noProof/>
            <w:webHidden/>
            <w:lang w:val="en-US"/>
          </w:rPr>
          <w:fldChar w:fldCharType="end"/>
        </w:r>
      </w:hyperlink>
    </w:p>
    <w:p w:rsidR="004E5C92" w:rsidRPr="00C23094" w:rsidRDefault="006A5037" w:rsidP="002F117B">
      <w:pPr>
        <w:pStyle w:val="TOC1"/>
        <w:spacing w:before="120"/>
        <w:ind w:right="1134"/>
        <w:rPr>
          <w:rStyle w:val="Hyperlink"/>
          <w:noProof/>
        </w:rPr>
      </w:pPr>
      <w:hyperlink w:anchor="_Toc329011611" w:history="1">
        <w:r w:rsidR="004E5C92" w:rsidRPr="00C23094">
          <w:rPr>
            <w:rStyle w:val="Hyperlink"/>
            <w:noProof/>
            <w:lang w:val="en-US"/>
          </w:rPr>
          <w:t xml:space="preserve">Note </w:t>
        </w:r>
        <w:r w:rsidR="00E35C0B">
          <w:rPr>
            <w:rStyle w:val="Hyperlink"/>
            <w:noProof/>
            <w:lang w:val="en-US"/>
          </w:rPr>
          <w:t>2</w:t>
        </w:r>
        <w:r w:rsidR="004E5C92" w:rsidRPr="00C23094">
          <w:rPr>
            <w:rStyle w:val="Hyperlink"/>
            <w:noProof/>
          </w:rPr>
          <w:tab/>
        </w:r>
        <w:r w:rsidR="004E5C92" w:rsidRPr="00C23094">
          <w:rPr>
            <w:rStyle w:val="Hyperlink"/>
            <w:noProof/>
            <w:lang w:val="en-US"/>
          </w:rPr>
          <w:t>Main accounting principles</w:t>
        </w:r>
        <w:r w:rsidR="004E5C92" w:rsidRPr="00C23094">
          <w:rPr>
            <w:rStyle w:val="Hyperlink"/>
            <w:noProof/>
            <w:webHidden/>
            <w:lang w:val="en-US"/>
          </w:rPr>
          <w:tab/>
        </w:r>
        <w:r w:rsidR="00FC6178" w:rsidRPr="00C23094">
          <w:rPr>
            <w:rStyle w:val="Hyperlink"/>
            <w:noProof/>
            <w:webHidden/>
            <w:lang w:val="en-US"/>
          </w:rPr>
          <w:tab/>
        </w:r>
        <w:r w:rsidR="004E5C92" w:rsidRPr="00C23094">
          <w:rPr>
            <w:rStyle w:val="Hyperlink"/>
            <w:noProof/>
            <w:webHidden/>
            <w:lang w:val="en-US"/>
          </w:rPr>
          <w:fldChar w:fldCharType="begin"/>
        </w:r>
        <w:r w:rsidR="004E5C92" w:rsidRPr="00C23094">
          <w:rPr>
            <w:rStyle w:val="Hyperlink"/>
            <w:noProof/>
            <w:webHidden/>
            <w:lang w:val="en-US"/>
          </w:rPr>
          <w:instrText xml:space="preserve"> PAGEREF _Toc329011611 \h </w:instrText>
        </w:r>
        <w:r w:rsidR="004E5C92" w:rsidRPr="00C23094">
          <w:rPr>
            <w:rStyle w:val="Hyperlink"/>
            <w:noProof/>
            <w:webHidden/>
            <w:lang w:val="en-US"/>
          </w:rPr>
        </w:r>
        <w:r w:rsidR="004E5C92" w:rsidRPr="00C23094">
          <w:rPr>
            <w:rStyle w:val="Hyperlink"/>
            <w:noProof/>
            <w:webHidden/>
            <w:lang w:val="en-US"/>
          </w:rPr>
          <w:fldChar w:fldCharType="separate"/>
        </w:r>
        <w:r w:rsidR="00370AAC">
          <w:rPr>
            <w:rStyle w:val="Hyperlink"/>
            <w:noProof/>
            <w:webHidden/>
            <w:lang w:val="en-US"/>
          </w:rPr>
          <w:t>29</w:t>
        </w:r>
        <w:r w:rsidR="004E5C92" w:rsidRPr="00C23094">
          <w:rPr>
            <w:rStyle w:val="Hyperlink"/>
            <w:noProof/>
            <w:webHidden/>
            <w:lang w:val="en-US"/>
          </w:rPr>
          <w:fldChar w:fldCharType="end"/>
        </w:r>
      </w:hyperlink>
    </w:p>
    <w:p w:rsidR="004E5C92" w:rsidRPr="006D6475" w:rsidRDefault="002F2FD0" w:rsidP="0069715C">
      <w:pPr>
        <w:pStyle w:val="TOC1"/>
        <w:spacing w:before="120"/>
        <w:ind w:right="1134"/>
        <w:rPr>
          <w:rStyle w:val="Hyperlink"/>
          <w:noProof/>
        </w:rPr>
      </w:pPr>
      <w:r w:rsidRPr="00C23094">
        <w:rPr>
          <w:noProof/>
        </w:rPr>
        <w:tab/>
      </w:r>
      <w:hyperlink w:anchor="_Toc329011612" w:history="1">
        <w:r w:rsidR="004E5C92" w:rsidRPr="006D6475">
          <w:rPr>
            <w:rStyle w:val="Hyperlink"/>
            <w:noProof/>
            <w:lang w:val="en-US"/>
          </w:rPr>
          <w:t>Foreign currencies</w:t>
        </w:r>
        <w:r w:rsidR="004E5C92" w:rsidRPr="006D6475">
          <w:rPr>
            <w:rStyle w:val="Hyperlink"/>
            <w:noProof/>
            <w:webHidden/>
            <w:lang w:val="en-US"/>
          </w:rPr>
          <w:tab/>
        </w:r>
        <w:r w:rsidR="00FC6178" w:rsidRPr="006D6475">
          <w:rPr>
            <w:rStyle w:val="Hyperlink"/>
            <w:noProof/>
            <w:webHidden/>
            <w:lang w:val="en-US"/>
          </w:rPr>
          <w:tab/>
        </w:r>
        <w:r w:rsidR="004E5C92" w:rsidRPr="006D6475">
          <w:rPr>
            <w:rStyle w:val="Hyperlink"/>
            <w:noProof/>
            <w:webHidden/>
            <w:lang w:val="en-US"/>
          </w:rPr>
          <w:fldChar w:fldCharType="begin"/>
        </w:r>
        <w:r w:rsidR="004E5C92" w:rsidRPr="006D6475">
          <w:rPr>
            <w:rStyle w:val="Hyperlink"/>
            <w:noProof/>
            <w:webHidden/>
            <w:lang w:val="en-US"/>
          </w:rPr>
          <w:instrText xml:space="preserve"> PAGEREF _Toc329011612 \h </w:instrText>
        </w:r>
        <w:r w:rsidR="004E5C92" w:rsidRPr="006D6475">
          <w:rPr>
            <w:rStyle w:val="Hyperlink"/>
            <w:noProof/>
            <w:webHidden/>
            <w:lang w:val="en-US"/>
          </w:rPr>
        </w:r>
        <w:r w:rsidR="004E5C92" w:rsidRPr="006D6475">
          <w:rPr>
            <w:rStyle w:val="Hyperlink"/>
            <w:noProof/>
            <w:webHidden/>
            <w:lang w:val="en-US"/>
          </w:rPr>
          <w:fldChar w:fldCharType="separate"/>
        </w:r>
        <w:r w:rsidR="00370AAC">
          <w:rPr>
            <w:rStyle w:val="Hyperlink"/>
            <w:noProof/>
            <w:webHidden/>
            <w:lang w:val="en-US"/>
          </w:rPr>
          <w:t>29</w:t>
        </w:r>
        <w:r w:rsidR="004E5C92" w:rsidRPr="006D6475">
          <w:rPr>
            <w:rStyle w:val="Hyperlink"/>
            <w:noProof/>
            <w:webHidden/>
            <w:lang w:val="en-US"/>
          </w:rPr>
          <w:fldChar w:fldCharType="end"/>
        </w:r>
      </w:hyperlink>
    </w:p>
    <w:p w:rsidR="004E5C92" w:rsidRPr="006D6475" w:rsidRDefault="006A5037" w:rsidP="0069715C">
      <w:pPr>
        <w:pStyle w:val="TOC1"/>
        <w:spacing w:before="60"/>
        <w:ind w:right="1134" w:firstLine="2"/>
        <w:rPr>
          <w:rStyle w:val="Hyperlink"/>
          <w:noProof/>
        </w:rPr>
      </w:pPr>
      <w:hyperlink w:anchor="_Toc329011613" w:history="1">
        <w:r w:rsidR="004E5C92" w:rsidRPr="006D6475">
          <w:rPr>
            <w:rStyle w:val="Hyperlink"/>
            <w:noProof/>
            <w:lang w:val="en-US"/>
          </w:rPr>
          <w:t xml:space="preserve">Financial </w:t>
        </w:r>
        <w:r w:rsidR="004E5360" w:rsidRPr="006D6475">
          <w:rPr>
            <w:rStyle w:val="Hyperlink"/>
            <w:noProof/>
            <w:lang w:val="en-US"/>
          </w:rPr>
          <w:t>instruments</w:t>
        </w:r>
        <w:r w:rsidR="004E5C92" w:rsidRPr="006D6475">
          <w:rPr>
            <w:rStyle w:val="Hyperlink"/>
            <w:noProof/>
            <w:webHidden/>
            <w:lang w:val="en-US"/>
          </w:rPr>
          <w:tab/>
        </w:r>
        <w:r w:rsidR="00FC6178" w:rsidRPr="006D6475">
          <w:rPr>
            <w:rStyle w:val="Hyperlink"/>
            <w:noProof/>
            <w:webHidden/>
            <w:lang w:val="en-US"/>
          </w:rPr>
          <w:tab/>
        </w:r>
        <w:r w:rsidR="004E5C92" w:rsidRPr="006D6475">
          <w:rPr>
            <w:rStyle w:val="Hyperlink"/>
            <w:noProof/>
            <w:webHidden/>
            <w:lang w:val="en-US"/>
          </w:rPr>
          <w:fldChar w:fldCharType="begin"/>
        </w:r>
        <w:r w:rsidR="004E5C92" w:rsidRPr="006D6475">
          <w:rPr>
            <w:rStyle w:val="Hyperlink"/>
            <w:noProof/>
            <w:webHidden/>
            <w:lang w:val="en-US"/>
          </w:rPr>
          <w:instrText xml:space="preserve"> PAGEREF _Toc329011613 \h </w:instrText>
        </w:r>
        <w:r w:rsidR="004E5C92" w:rsidRPr="006D6475">
          <w:rPr>
            <w:rStyle w:val="Hyperlink"/>
            <w:noProof/>
            <w:webHidden/>
            <w:lang w:val="en-US"/>
          </w:rPr>
        </w:r>
        <w:r w:rsidR="004E5C92" w:rsidRPr="006D6475">
          <w:rPr>
            <w:rStyle w:val="Hyperlink"/>
            <w:noProof/>
            <w:webHidden/>
            <w:lang w:val="en-US"/>
          </w:rPr>
          <w:fldChar w:fldCharType="separate"/>
        </w:r>
        <w:r w:rsidR="00370AAC">
          <w:rPr>
            <w:rStyle w:val="Hyperlink"/>
            <w:noProof/>
            <w:webHidden/>
            <w:lang w:val="en-US"/>
          </w:rPr>
          <w:t>30</w:t>
        </w:r>
        <w:r w:rsidR="004E5C92" w:rsidRPr="006D6475">
          <w:rPr>
            <w:rStyle w:val="Hyperlink"/>
            <w:noProof/>
            <w:webHidden/>
            <w:lang w:val="en-US"/>
          </w:rPr>
          <w:fldChar w:fldCharType="end"/>
        </w:r>
      </w:hyperlink>
    </w:p>
    <w:p w:rsidR="004E5C92" w:rsidRPr="006D6475" w:rsidRDefault="006A5037" w:rsidP="0069715C">
      <w:pPr>
        <w:pStyle w:val="TOC1"/>
        <w:spacing w:before="60"/>
        <w:ind w:right="1134" w:firstLine="2"/>
        <w:rPr>
          <w:rStyle w:val="Hyperlink"/>
          <w:noProof/>
        </w:rPr>
      </w:pPr>
      <w:hyperlink w:anchor="_Toc329011614" w:history="1">
        <w:r w:rsidR="004E5C92" w:rsidRPr="006D6475">
          <w:rPr>
            <w:rStyle w:val="Hyperlink"/>
            <w:noProof/>
            <w:lang w:val="en-US"/>
          </w:rPr>
          <w:t>Determination of the provision for impairment</w:t>
        </w:r>
        <w:r w:rsidR="004E5360" w:rsidRPr="006D6475">
          <w:rPr>
            <w:rStyle w:val="Hyperlink"/>
            <w:noProof/>
            <w:lang w:val="en-US"/>
          </w:rPr>
          <w:t xml:space="preserve"> of receivables</w:t>
        </w:r>
        <w:r w:rsidR="004E5C92" w:rsidRPr="006D6475">
          <w:rPr>
            <w:rStyle w:val="Hyperlink"/>
            <w:noProof/>
            <w:webHidden/>
            <w:lang w:val="en-US"/>
          </w:rPr>
          <w:tab/>
        </w:r>
        <w:r w:rsidR="00FC6178" w:rsidRPr="006D6475">
          <w:rPr>
            <w:rStyle w:val="Hyperlink"/>
            <w:noProof/>
            <w:webHidden/>
            <w:lang w:val="en-US"/>
          </w:rPr>
          <w:tab/>
        </w:r>
        <w:r w:rsidR="004E5C92" w:rsidRPr="006D6475">
          <w:rPr>
            <w:rStyle w:val="Hyperlink"/>
            <w:noProof/>
            <w:webHidden/>
            <w:lang w:val="en-US"/>
          </w:rPr>
          <w:fldChar w:fldCharType="begin"/>
        </w:r>
        <w:r w:rsidR="004E5C92" w:rsidRPr="006D6475">
          <w:rPr>
            <w:rStyle w:val="Hyperlink"/>
            <w:noProof/>
            <w:webHidden/>
            <w:lang w:val="en-US"/>
          </w:rPr>
          <w:instrText xml:space="preserve"> PAGEREF _Toc329011614 \h </w:instrText>
        </w:r>
        <w:r w:rsidR="004E5C92" w:rsidRPr="006D6475">
          <w:rPr>
            <w:rStyle w:val="Hyperlink"/>
            <w:noProof/>
            <w:webHidden/>
            <w:lang w:val="en-US"/>
          </w:rPr>
        </w:r>
        <w:r w:rsidR="004E5C92" w:rsidRPr="006D6475">
          <w:rPr>
            <w:rStyle w:val="Hyperlink"/>
            <w:noProof/>
            <w:webHidden/>
            <w:lang w:val="en-US"/>
          </w:rPr>
          <w:fldChar w:fldCharType="separate"/>
        </w:r>
        <w:r w:rsidR="00370AAC">
          <w:rPr>
            <w:rStyle w:val="Hyperlink"/>
            <w:noProof/>
            <w:webHidden/>
            <w:lang w:val="en-US"/>
          </w:rPr>
          <w:t>31</w:t>
        </w:r>
        <w:r w:rsidR="004E5C92" w:rsidRPr="006D6475">
          <w:rPr>
            <w:rStyle w:val="Hyperlink"/>
            <w:noProof/>
            <w:webHidden/>
            <w:lang w:val="en-US"/>
          </w:rPr>
          <w:fldChar w:fldCharType="end"/>
        </w:r>
      </w:hyperlink>
    </w:p>
    <w:p w:rsidR="004E5C92" w:rsidRPr="006D6475" w:rsidRDefault="006A5037" w:rsidP="0069715C">
      <w:pPr>
        <w:pStyle w:val="TOC1"/>
        <w:spacing w:before="60"/>
        <w:ind w:right="1134" w:firstLine="2"/>
        <w:rPr>
          <w:rStyle w:val="Hyperlink"/>
          <w:noProof/>
        </w:rPr>
      </w:pPr>
      <w:hyperlink w:anchor="_Toc329011615" w:history="1">
        <w:r w:rsidR="004E5C92" w:rsidRPr="006D6475">
          <w:rPr>
            <w:rStyle w:val="Hyperlink"/>
            <w:noProof/>
            <w:lang w:val="en-US"/>
          </w:rPr>
          <w:t>Use and release of a provision for asset impairment</w:t>
        </w:r>
        <w:r w:rsidR="004E5C92" w:rsidRPr="006D6475">
          <w:rPr>
            <w:rStyle w:val="Hyperlink"/>
            <w:noProof/>
            <w:webHidden/>
            <w:lang w:val="en-US"/>
          </w:rPr>
          <w:tab/>
        </w:r>
        <w:r w:rsidR="00FC6178" w:rsidRPr="006D6475">
          <w:rPr>
            <w:rStyle w:val="Hyperlink"/>
            <w:noProof/>
            <w:webHidden/>
            <w:lang w:val="en-US"/>
          </w:rPr>
          <w:tab/>
        </w:r>
        <w:r w:rsidR="004E5C92" w:rsidRPr="006D6475">
          <w:rPr>
            <w:rStyle w:val="Hyperlink"/>
            <w:noProof/>
            <w:webHidden/>
            <w:lang w:val="en-US"/>
          </w:rPr>
          <w:fldChar w:fldCharType="begin"/>
        </w:r>
        <w:r w:rsidR="004E5C92" w:rsidRPr="006D6475">
          <w:rPr>
            <w:rStyle w:val="Hyperlink"/>
            <w:noProof/>
            <w:webHidden/>
            <w:lang w:val="en-US"/>
          </w:rPr>
          <w:instrText xml:space="preserve"> PAGEREF _Toc329011615 \h </w:instrText>
        </w:r>
        <w:r w:rsidR="004E5C92" w:rsidRPr="006D6475">
          <w:rPr>
            <w:rStyle w:val="Hyperlink"/>
            <w:noProof/>
            <w:webHidden/>
            <w:lang w:val="en-US"/>
          </w:rPr>
        </w:r>
        <w:r w:rsidR="004E5C92" w:rsidRPr="006D6475">
          <w:rPr>
            <w:rStyle w:val="Hyperlink"/>
            <w:noProof/>
            <w:webHidden/>
            <w:lang w:val="en-US"/>
          </w:rPr>
          <w:fldChar w:fldCharType="separate"/>
        </w:r>
        <w:r w:rsidR="00370AAC">
          <w:rPr>
            <w:rStyle w:val="Hyperlink"/>
            <w:noProof/>
            <w:webHidden/>
            <w:lang w:val="en-US"/>
          </w:rPr>
          <w:t>32</w:t>
        </w:r>
        <w:r w:rsidR="004E5C92" w:rsidRPr="006D6475">
          <w:rPr>
            <w:rStyle w:val="Hyperlink"/>
            <w:noProof/>
            <w:webHidden/>
            <w:lang w:val="en-US"/>
          </w:rPr>
          <w:fldChar w:fldCharType="end"/>
        </w:r>
      </w:hyperlink>
    </w:p>
    <w:p w:rsidR="004E5C92" w:rsidRPr="006D6475" w:rsidRDefault="006A5037" w:rsidP="0069715C">
      <w:pPr>
        <w:pStyle w:val="TOC1"/>
        <w:spacing w:before="60"/>
        <w:ind w:right="1134" w:firstLine="2"/>
        <w:rPr>
          <w:rStyle w:val="Hyperlink"/>
          <w:noProof/>
        </w:rPr>
      </w:pPr>
      <w:hyperlink w:anchor="_Toc329011617" w:history="1">
        <w:r w:rsidR="004E5C92" w:rsidRPr="006D6475">
          <w:rPr>
            <w:rStyle w:val="Hyperlink"/>
            <w:noProof/>
            <w:lang w:val="en-US"/>
          </w:rPr>
          <w:t>Inventories</w:t>
        </w:r>
        <w:r w:rsidR="004E5C92" w:rsidRPr="006D6475">
          <w:rPr>
            <w:rStyle w:val="Hyperlink"/>
            <w:noProof/>
            <w:webHidden/>
            <w:lang w:val="en-US"/>
          </w:rPr>
          <w:tab/>
        </w:r>
        <w:r w:rsidR="00FC6178" w:rsidRPr="006D6475">
          <w:rPr>
            <w:rStyle w:val="Hyperlink"/>
            <w:noProof/>
            <w:webHidden/>
            <w:lang w:val="en-US"/>
          </w:rPr>
          <w:tab/>
        </w:r>
        <w:r w:rsidR="004E5C92" w:rsidRPr="006D6475">
          <w:rPr>
            <w:rStyle w:val="Hyperlink"/>
            <w:noProof/>
            <w:webHidden/>
            <w:lang w:val="en-US"/>
          </w:rPr>
          <w:fldChar w:fldCharType="begin"/>
        </w:r>
        <w:r w:rsidR="004E5C92" w:rsidRPr="006D6475">
          <w:rPr>
            <w:rStyle w:val="Hyperlink"/>
            <w:noProof/>
            <w:webHidden/>
            <w:lang w:val="en-US"/>
          </w:rPr>
          <w:instrText xml:space="preserve"> PAGEREF _Toc329011617 \h </w:instrText>
        </w:r>
        <w:r w:rsidR="004E5C92" w:rsidRPr="006D6475">
          <w:rPr>
            <w:rStyle w:val="Hyperlink"/>
            <w:noProof/>
            <w:webHidden/>
            <w:lang w:val="en-US"/>
          </w:rPr>
        </w:r>
        <w:r w:rsidR="004E5C92" w:rsidRPr="006D6475">
          <w:rPr>
            <w:rStyle w:val="Hyperlink"/>
            <w:noProof/>
            <w:webHidden/>
            <w:lang w:val="en-US"/>
          </w:rPr>
          <w:fldChar w:fldCharType="separate"/>
        </w:r>
        <w:r w:rsidR="00370AAC">
          <w:rPr>
            <w:rStyle w:val="Hyperlink"/>
            <w:noProof/>
            <w:webHidden/>
            <w:lang w:val="en-US"/>
          </w:rPr>
          <w:t>32</w:t>
        </w:r>
        <w:r w:rsidR="004E5C92" w:rsidRPr="006D6475">
          <w:rPr>
            <w:rStyle w:val="Hyperlink"/>
            <w:noProof/>
            <w:webHidden/>
            <w:lang w:val="en-US"/>
          </w:rPr>
          <w:fldChar w:fldCharType="end"/>
        </w:r>
      </w:hyperlink>
    </w:p>
    <w:p w:rsidR="004E5C92" w:rsidRPr="006D6475" w:rsidRDefault="006A5037" w:rsidP="00573B7A">
      <w:pPr>
        <w:pStyle w:val="TOC1"/>
        <w:spacing w:before="60"/>
        <w:ind w:right="1134" w:firstLine="2"/>
        <w:rPr>
          <w:rStyle w:val="Hyperlink"/>
          <w:noProof/>
        </w:rPr>
      </w:pPr>
      <w:hyperlink w:anchor="_Toc329011618" w:history="1">
        <w:r w:rsidR="004E5C92" w:rsidRPr="006D6475">
          <w:rPr>
            <w:rStyle w:val="Hyperlink"/>
            <w:noProof/>
            <w:lang w:val="en-US"/>
          </w:rPr>
          <w:t>Property and equipment</w:t>
        </w:r>
        <w:r w:rsidR="004E5C92" w:rsidRPr="006D6475">
          <w:rPr>
            <w:rStyle w:val="Hyperlink"/>
            <w:noProof/>
            <w:webHidden/>
            <w:lang w:val="en-US"/>
          </w:rPr>
          <w:tab/>
        </w:r>
        <w:r w:rsidR="00FC6178" w:rsidRPr="006D6475">
          <w:rPr>
            <w:rStyle w:val="Hyperlink"/>
            <w:noProof/>
            <w:webHidden/>
            <w:lang w:val="en-US"/>
          </w:rPr>
          <w:tab/>
        </w:r>
        <w:r w:rsidR="0069715C" w:rsidRPr="006D6475">
          <w:rPr>
            <w:rStyle w:val="Hyperlink"/>
            <w:noProof/>
            <w:webHidden/>
            <w:lang w:val="en-US"/>
          </w:rPr>
          <w:t>3</w:t>
        </w:r>
        <w:r w:rsidR="00877BA7">
          <w:rPr>
            <w:rStyle w:val="Hyperlink"/>
            <w:noProof/>
            <w:webHidden/>
            <w:lang w:val="en-US"/>
          </w:rPr>
          <w:t>3</w:t>
        </w:r>
      </w:hyperlink>
    </w:p>
    <w:p w:rsidR="004E5C92" w:rsidRPr="006D6475" w:rsidRDefault="006A5037" w:rsidP="00877BA7">
      <w:pPr>
        <w:pStyle w:val="TOC1"/>
        <w:spacing w:before="60"/>
        <w:ind w:right="1134" w:firstLine="2"/>
        <w:rPr>
          <w:rStyle w:val="Hyperlink"/>
          <w:noProof/>
        </w:rPr>
      </w:pPr>
      <w:hyperlink w:anchor="_Toc329011619" w:history="1">
        <w:r w:rsidR="004E5C92" w:rsidRPr="006D6475">
          <w:rPr>
            <w:rStyle w:val="Hyperlink"/>
            <w:noProof/>
            <w:lang w:val="en-US"/>
          </w:rPr>
          <w:t>Fixed assets acquired under lease</w:t>
        </w:r>
        <w:r w:rsidR="004E5C92" w:rsidRPr="006D6475">
          <w:rPr>
            <w:rStyle w:val="Hyperlink"/>
            <w:noProof/>
            <w:webHidden/>
            <w:lang w:val="en-US"/>
          </w:rPr>
          <w:tab/>
        </w:r>
        <w:r w:rsidR="00FC6178" w:rsidRPr="006D6475">
          <w:rPr>
            <w:rStyle w:val="Hyperlink"/>
            <w:noProof/>
            <w:webHidden/>
            <w:lang w:val="en-US"/>
          </w:rPr>
          <w:tab/>
        </w:r>
        <w:r w:rsidR="0069715C" w:rsidRPr="006D6475">
          <w:rPr>
            <w:rStyle w:val="Hyperlink"/>
            <w:noProof/>
            <w:webHidden/>
            <w:lang w:val="en-US"/>
          </w:rPr>
          <w:t>3</w:t>
        </w:r>
        <w:r w:rsidR="00877BA7">
          <w:rPr>
            <w:rStyle w:val="Hyperlink"/>
            <w:noProof/>
            <w:webHidden/>
            <w:lang w:val="en-US"/>
          </w:rPr>
          <w:t>4</w:t>
        </w:r>
      </w:hyperlink>
    </w:p>
    <w:p w:rsidR="004E5C92" w:rsidRPr="006D6475" w:rsidRDefault="006A5037" w:rsidP="00877BA7">
      <w:pPr>
        <w:pStyle w:val="TOC1"/>
        <w:spacing w:before="60"/>
        <w:ind w:right="1134" w:firstLine="2"/>
        <w:rPr>
          <w:rStyle w:val="Hyperlink"/>
          <w:noProof/>
        </w:rPr>
      </w:pPr>
      <w:hyperlink w:anchor="_Toc329011620" w:history="1">
        <w:r w:rsidR="004E5C92" w:rsidRPr="006D6475">
          <w:rPr>
            <w:rStyle w:val="Hyperlink"/>
            <w:noProof/>
            <w:lang w:val="en-US"/>
          </w:rPr>
          <w:t>Intangible assets</w:t>
        </w:r>
        <w:r w:rsidR="004E5C92" w:rsidRPr="006D6475">
          <w:rPr>
            <w:rStyle w:val="Hyperlink"/>
            <w:noProof/>
            <w:webHidden/>
            <w:lang w:val="en-US"/>
          </w:rPr>
          <w:tab/>
        </w:r>
        <w:r w:rsidR="00FC6178" w:rsidRPr="006D6475">
          <w:rPr>
            <w:rStyle w:val="Hyperlink"/>
            <w:noProof/>
            <w:webHidden/>
            <w:lang w:val="en-US"/>
          </w:rPr>
          <w:tab/>
        </w:r>
        <w:r w:rsidR="0069715C" w:rsidRPr="006D6475">
          <w:rPr>
            <w:rStyle w:val="Hyperlink"/>
            <w:noProof/>
            <w:webHidden/>
            <w:lang w:val="en-US"/>
          </w:rPr>
          <w:t>3</w:t>
        </w:r>
        <w:r w:rsidR="00877BA7">
          <w:rPr>
            <w:rStyle w:val="Hyperlink"/>
            <w:noProof/>
            <w:webHidden/>
            <w:lang w:val="en-US"/>
          </w:rPr>
          <w:t>4</w:t>
        </w:r>
      </w:hyperlink>
    </w:p>
    <w:p w:rsidR="004E5C92" w:rsidRPr="006D6475" w:rsidRDefault="006A5037" w:rsidP="00877BA7">
      <w:pPr>
        <w:pStyle w:val="TOC1"/>
        <w:spacing w:before="60"/>
        <w:ind w:right="1134" w:firstLine="2"/>
        <w:rPr>
          <w:rStyle w:val="Hyperlink"/>
          <w:noProof/>
        </w:rPr>
      </w:pPr>
      <w:hyperlink w:anchor="_Toc329011621" w:history="1">
        <w:r w:rsidR="004E5C92" w:rsidRPr="006D6475">
          <w:rPr>
            <w:rStyle w:val="Hyperlink"/>
            <w:noProof/>
            <w:lang w:val="en-US"/>
          </w:rPr>
          <w:t>Provisions</w:t>
        </w:r>
        <w:r w:rsidR="004E5C92" w:rsidRPr="006D6475">
          <w:rPr>
            <w:rStyle w:val="Hyperlink"/>
            <w:noProof/>
            <w:webHidden/>
            <w:lang w:val="en-US"/>
          </w:rPr>
          <w:tab/>
        </w:r>
        <w:r w:rsidR="00FC6178" w:rsidRPr="006D6475">
          <w:rPr>
            <w:rStyle w:val="Hyperlink"/>
            <w:noProof/>
            <w:webHidden/>
            <w:lang w:val="en-US"/>
          </w:rPr>
          <w:tab/>
        </w:r>
        <w:r w:rsidR="0069715C" w:rsidRPr="006D6475">
          <w:rPr>
            <w:rStyle w:val="Hyperlink"/>
            <w:noProof/>
            <w:webHidden/>
            <w:lang w:val="en-US"/>
          </w:rPr>
          <w:t>3</w:t>
        </w:r>
        <w:r w:rsidR="00877BA7">
          <w:rPr>
            <w:rStyle w:val="Hyperlink"/>
            <w:noProof/>
            <w:webHidden/>
            <w:lang w:val="en-US"/>
          </w:rPr>
          <w:t>5</w:t>
        </w:r>
      </w:hyperlink>
    </w:p>
    <w:p w:rsidR="004E5C92" w:rsidRPr="006D6475" w:rsidRDefault="006A5037" w:rsidP="00877BA7">
      <w:pPr>
        <w:pStyle w:val="TOC1"/>
        <w:spacing w:before="60"/>
        <w:ind w:right="1134" w:firstLine="2"/>
        <w:rPr>
          <w:rStyle w:val="Hyperlink"/>
          <w:noProof/>
        </w:rPr>
      </w:pPr>
      <w:hyperlink w:anchor="_Toc329011622" w:history="1">
        <w:r w:rsidR="004E5C92" w:rsidRPr="006D6475">
          <w:rPr>
            <w:rStyle w:val="Hyperlink"/>
            <w:noProof/>
            <w:lang w:val="en-US"/>
          </w:rPr>
          <w:t>Contingent assets and liabilities</w:t>
        </w:r>
        <w:r w:rsidR="004E5C92" w:rsidRPr="006D6475">
          <w:rPr>
            <w:rStyle w:val="Hyperlink"/>
            <w:noProof/>
            <w:webHidden/>
            <w:lang w:val="en-US"/>
          </w:rPr>
          <w:tab/>
        </w:r>
        <w:r w:rsidR="00FC6178" w:rsidRPr="006D6475">
          <w:rPr>
            <w:rStyle w:val="Hyperlink"/>
            <w:noProof/>
            <w:webHidden/>
            <w:lang w:val="en-US"/>
          </w:rPr>
          <w:tab/>
        </w:r>
        <w:r w:rsidR="0069715C" w:rsidRPr="006D6475">
          <w:rPr>
            <w:rStyle w:val="Hyperlink"/>
            <w:noProof/>
            <w:webHidden/>
            <w:lang w:val="en-US"/>
          </w:rPr>
          <w:t>3</w:t>
        </w:r>
        <w:r w:rsidR="00877BA7">
          <w:rPr>
            <w:rStyle w:val="Hyperlink"/>
            <w:noProof/>
            <w:webHidden/>
            <w:lang w:val="en-US"/>
          </w:rPr>
          <w:t>5</w:t>
        </w:r>
      </w:hyperlink>
    </w:p>
    <w:p w:rsidR="004E5C92" w:rsidRPr="006D6475" w:rsidRDefault="006A5037" w:rsidP="00877BA7">
      <w:pPr>
        <w:pStyle w:val="TOC1"/>
        <w:spacing w:before="60"/>
        <w:ind w:right="1134" w:firstLine="2"/>
        <w:rPr>
          <w:rStyle w:val="Hyperlink"/>
          <w:noProof/>
        </w:rPr>
      </w:pPr>
      <w:hyperlink w:anchor="_Toc329011623" w:history="1">
        <w:r w:rsidR="004E5C92" w:rsidRPr="006D6475">
          <w:rPr>
            <w:rStyle w:val="Hyperlink"/>
            <w:noProof/>
            <w:lang w:val="en-US"/>
          </w:rPr>
          <w:t>Employee benefits</w:t>
        </w:r>
        <w:r w:rsidR="004E5C92" w:rsidRPr="006D6475">
          <w:rPr>
            <w:rStyle w:val="Hyperlink"/>
            <w:noProof/>
            <w:webHidden/>
            <w:lang w:val="en-US"/>
          </w:rPr>
          <w:tab/>
        </w:r>
        <w:r w:rsidR="00FC6178" w:rsidRPr="006D6475">
          <w:rPr>
            <w:rStyle w:val="Hyperlink"/>
            <w:noProof/>
            <w:webHidden/>
            <w:lang w:val="en-US"/>
          </w:rPr>
          <w:tab/>
        </w:r>
        <w:r w:rsidR="0069715C" w:rsidRPr="006D6475">
          <w:rPr>
            <w:rStyle w:val="Hyperlink"/>
            <w:noProof/>
            <w:webHidden/>
            <w:lang w:val="en-US"/>
          </w:rPr>
          <w:t>3</w:t>
        </w:r>
        <w:r w:rsidR="00877BA7">
          <w:rPr>
            <w:rStyle w:val="Hyperlink"/>
            <w:noProof/>
            <w:webHidden/>
            <w:lang w:val="en-US"/>
          </w:rPr>
          <w:t>5</w:t>
        </w:r>
      </w:hyperlink>
    </w:p>
    <w:p w:rsidR="004E5C92" w:rsidRPr="006D6475" w:rsidRDefault="006A5037" w:rsidP="00877BA7">
      <w:pPr>
        <w:pStyle w:val="TOC1"/>
        <w:spacing w:before="60"/>
        <w:ind w:right="1134" w:firstLine="2"/>
        <w:rPr>
          <w:rStyle w:val="Hyperlink"/>
          <w:noProof/>
        </w:rPr>
      </w:pPr>
      <w:hyperlink w:anchor="_Toc329011624" w:history="1">
        <w:r w:rsidR="004E5C92" w:rsidRPr="006D6475">
          <w:rPr>
            <w:rStyle w:val="Hyperlink"/>
            <w:noProof/>
            <w:lang w:val="en-US"/>
          </w:rPr>
          <w:t>Recognition of funds</w:t>
        </w:r>
        <w:r w:rsidR="004E5C92" w:rsidRPr="006D6475">
          <w:rPr>
            <w:rStyle w:val="Hyperlink"/>
            <w:noProof/>
            <w:webHidden/>
            <w:lang w:val="en-US"/>
          </w:rPr>
          <w:tab/>
        </w:r>
        <w:r w:rsidR="00FC6178" w:rsidRPr="006D6475">
          <w:rPr>
            <w:rStyle w:val="Hyperlink"/>
            <w:noProof/>
            <w:webHidden/>
            <w:lang w:val="en-US"/>
          </w:rPr>
          <w:tab/>
        </w:r>
        <w:r w:rsidR="0069715C" w:rsidRPr="006D6475">
          <w:rPr>
            <w:rStyle w:val="Hyperlink"/>
            <w:noProof/>
            <w:webHidden/>
            <w:lang w:val="en-US"/>
          </w:rPr>
          <w:t>3</w:t>
        </w:r>
        <w:r w:rsidR="00877BA7">
          <w:rPr>
            <w:rStyle w:val="Hyperlink"/>
            <w:noProof/>
            <w:webHidden/>
            <w:lang w:val="en-US"/>
          </w:rPr>
          <w:t>6</w:t>
        </w:r>
      </w:hyperlink>
    </w:p>
    <w:p w:rsidR="004E5C92" w:rsidRPr="006D6475" w:rsidRDefault="006A5037" w:rsidP="00877BA7">
      <w:pPr>
        <w:pStyle w:val="TOC1"/>
        <w:spacing w:before="60"/>
        <w:ind w:right="1134" w:firstLine="2"/>
        <w:rPr>
          <w:rStyle w:val="Hyperlink"/>
          <w:noProof/>
        </w:rPr>
      </w:pPr>
      <w:hyperlink w:anchor="_Toc329011625" w:history="1">
        <w:r w:rsidR="004E5C92" w:rsidRPr="006D6475">
          <w:rPr>
            <w:rStyle w:val="Hyperlink"/>
            <w:noProof/>
            <w:lang w:val="en-US"/>
          </w:rPr>
          <w:t>Reserve Account</w:t>
        </w:r>
        <w:r w:rsidR="004E5C92" w:rsidRPr="006D6475">
          <w:rPr>
            <w:rStyle w:val="Hyperlink"/>
            <w:noProof/>
            <w:webHidden/>
            <w:lang w:val="en-US"/>
          </w:rPr>
          <w:tab/>
        </w:r>
        <w:r w:rsidR="00FC6178" w:rsidRPr="006D6475">
          <w:rPr>
            <w:rStyle w:val="Hyperlink"/>
            <w:noProof/>
            <w:webHidden/>
            <w:lang w:val="en-US"/>
          </w:rPr>
          <w:tab/>
        </w:r>
        <w:r w:rsidR="0069715C" w:rsidRPr="006D6475">
          <w:rPr>
            <w:rStyle w:val="Hyperlink"/>
            <w:noProof/>
            <w:webHidden/>
            <w:lang w:val="en-US"/>
          </w:rPr>
          <w:t>3</w:t>
        </w:r>
        <w:r w:rsidR="00877BA7">
          <w:rPr>
            <w:rStyle w:val="Hyperlink"/>
            <w:noProof/>
            <w:webHidden/>
            <w:lang w:val="en-US"/>
          </w:rPr>
          <w:t>7</w:t>
        </w:r>
      </w:hyperlink>
    </w:p>
    <w:p w:rsidR="004E5C92" w:rsidRDefault="004E5360" w:rsidP="00877BA7">
      <w:pPr>
        <w:pStyle w:val="TOC1"/>
        <w:spacing w:before="60"/>
        <w:ind w:right="1134" w:firstLine="2"/>
        <w:rPr>
          <w:rStyle w:val="Hyperlink"/>
          <w:noProof/>
          <w:lang w:val="en-US"/>
        </w:rPr>
      </w:pPr>
      <w:r w:rsidRPr="006D6475">
        <w:rPr>
          <w:noProof/>
        </w:rPr>
        <w:t>Other funds</w:t>
      </w:r>
      <w:hyperlink w:anchor="_Toc329011626" w:history="1">
        <w:r w:rsidR="004E5C92" w:rsidRPr="006D6475">
          <w:rPr>
            <w:rStyle w:val="Hyperlink"/>
            <w:noProof/>
            <w:webHidden/>
            <w:lang w:val="en-US"/>
          </w:rPr>
          <w:tab/>
        </w:r>
        <w:r w:rsidR="00FC6178" w:rsidRPr="006D6475">
          <w:rPr>
            <w:rStyle w:val="Hyperlink"/>
            <w:noProof/>
            <w:webHidden/>
            <w:lang w:val="en-US"/>
          </w:rPr>
          <w:tab/>
        </w:r>
        <w:r w:rsidR="0069715C" w:rsidRPr="006D6475">
          <w:rPr>
            <w:rStyle w:val="Hyperlink"/>
            <w:noProof/>
            <w:webHidden/>
            <w:lang w:val="en-US"/>
          </w:rPr>
          <w:t>3</w:t>
        </w:r>
        <w:r w:rsidR="00877BA7">
          <w:rPr>
            <w:rStyle w:val="Hyperlink"/>
            <w:noProof/>
            <w:webHidden/>
            <w:lang w:val="en-US"/>
          </w:rPr>
          <w:t>8</w:t>
        </w:r>
      </w:hyperlink>
    </w:p>
    <w:p w:rsidR="004970ED" w:rsidRPr="004970ED" w:rsidRDefault="004970ED" w:rsidP="004970ED">
      <w:pPr>
        <w:pStyle w:val="TOC1"/>
        <w:spacing w:before="60"/>
        <w:ind w:right="1134" w:firstLine="2"/>
      </w:pPr>
      <w:r w:rsidRPr="004970ED">
        <w:rPr>
          <w:rStyle w:val="Hyperlink"/>
          <w:noProof/>
          <w:color w:val="auto"/>
          <w:u w:val="none"/>
          <w:lang w:val="en-US"/>
        </w:rPr>
        <w:t>New building fund</w:t>
      </w:r>
      <w:r w:rsidRPr="004970ED">
        <w:rPr>
          <w:rStyle w:val="Hyperlink"/>
          <w:noProof/>
          <w:color w:val="auto"/>
          <w:u w:val="none"/>
          <w:lang w:val="en-US"/>
        </w:rPr>
        <w:tab/>
      </w:r>
      <w:r w:rsidRPr="004970ED">
        <w:rPr>
          <w:rStyle w:val="Hyperlink"/>
          <w:noProof/>
          <w:webHidden/>
          <w:color w:val="auto"/>
          <w:u w:val="none"/>
          <w:lang w:val="en-US"/>
        </w:rPr>
        <w:tab/>
        <w:t>38</w:t>
      </w:r>
    </w:p>
    <w:p w:rsidR="00D90FF0" w:rsidRPr="006D6475" w:rsidRDefault="00D90FF0" w:rsidP="00573B7A">
      <w:pPr>
        <w:pStyle w:val="TOC1"/>
        <w:spacing w:before="60"/>
        <w:ind w:right="1134" w:firstLine="2"/>
        <w:rPr>
          <w:noProof/>
        </w:rPr>
      </w:pPr>
      <w:r w:rsidRPr="006D6475">
        <w:rPr>
          <w:noProof/>
        </w:rPr>
        <w:t>Extrabudgetary activities related funds</w:t>
      </w:r>
      <w:r w:rsidRPr="006D6475">
        <w:rPr>
          <w:noProof/>
        </w:rPr>
        <w:tab/>
      </w:r>
      <w:r w:rsidRPr="006D6475">
        <w:rPr>
          <w:noProof/>
        </w:rPr>
        <w:tab/>
      </w:r>
      <w:r w:rsidR="00E53A79" w:rsidRPr="006D6475">
        <w:rPr>
          <w:noProof/>
        </w:rPr>
        <w:t>3</w:t>
      </w:r>
      <w:r w:rsidR="00877BA7">
        <w:rPr>
          <w:noProof/>
        </w:rPr>
        <w:t>9</w:t>
      </w:r>
    </w:p>
    <w:p w:rsidR="00D90FF0" w:rsidRPr="006D6475" w:rsidRDefault="00D90FF0" w:rsidP="00FC2C50">
      <w:pPr>
        <w:pStyle w:val="TOC1"/>
        <w:spacing w:before="60"/>
        <w:ind w:right="1134" w:firstLine="2"/>
        <w:rPr>
          <w:noProof/>
        </w:rPr>
      </w:pPr>
      <w:r w:rsidRPr="006D6475">
        <w:rPr>
          <w:noProof/>
        </w:rPr>
        <w:t>Recognition of revenue</w:t>
      </w:r>
      <w:r w:rsidRPr="006D6475">
        <w:rPr>
          <w:noProof/>
        </w:rPr>
        <w:tab/>
      </w:r>
      <w:r w:rsidRPr="006D6475">
        <w:rPr>
          <w:noProof/>
        </w:rPr>
        <w:tab/>
      </w:r>
      <w:r w:rsidR="00FC2C50">
        <w:rPr>
          <w:noProof/>
        </w:rPr>
        <w:t>40</w:t>
      </w:r>
    </w:p>
    <w:p w:rsidR="004E5C92" w:rsidRPr="006D6475" w:rsidRDefault="006A5037" w:rsidP="00877BA7">
      <w:pPr>
        <w:pStyle w:val="TOC1"/>
        <w:spacing w:before="60"/>
        <w:ind w:right="1134" w:firstLine="2"/>
        <w:rPr>
          <w:rStyle w:val="Hyperlink"/>
          <w:noProof/>
        </w:rPr>
      </w:pPr>
      <w:hyperlink w:anchor="_Toc329011627" w:history="1">
        <w:r w:rsidR="004E5C92" w:rsidRPr="006D6475">
          <w:rPr>
            <w:rStyle w:val="Hyperlink"/>
            <w:noProof/>
            <w:lang w:val="en-US"/>
          </w:rPr>
          <w:t>Segment reporting</w:t>
        </w:r>
        <w:r w:rsidR="004E5C92" w:rsidRPr="006D6475">
          <w:rPr>
            <w:rStyle w:val="Hyperlink"/>
            <w:noProof/>
            <w:webHidden/>
            <w:lang w:val="en-US"/>
          </w:rPr>
          <w:tab/>
        </w:r>
        <w:r w:rsidR="00FC6178" w:rsidRPr="006D6475">
          <w:rPr>
            <w:rStyle w:val="Hyperlink"/>
            <w:noProof/>
            <w:webHidden/>
            <w:lang w:val="en-US"/>
          </w:rPr>
          <w:tab/>
        </w:r>
        <w:r w:rsidR="00877BA7">
          <w:rPr>
            <w:rStyle w:val="Hyperlink"/>
            <w:noProof/>
            <w:webHidden/>
            <w:lang w:val="en-US"/>
          </w:rPr>
          <w:t>40</w:t>
        </w:r>
      </w:hyperlink>
    </w:p>
    <w:p w:rsidR="004E5C92" w:rsidRPr="00C23094" w:rsidRDefault="006A5037" w:rsidP="00877BA7">
      <w:pPr>
        <w:pStyle w:val="TOC1"/>
        <w:spacing w:before="60"/>
        <w:ind w:right="1134" w:firstLine="2"/>
        <w:rPr>
          <w:rStyle w:val="Hyperlink"/>
          <w:noProof/>
        </w:rPr>
      </w:pPr>
      <w:hyperlink w:anchor="_Toc329011628" w:history="1">
        <w:r w:rsidR="004E5C92" w:rsidRPr="006D6475">
          <w:rPr>
            <w:rStyle w:val="Hyperlink"/>
            <w:noProof/>
            <w:lang w:val="en-US"/>
          </w:rPr>
          <w:t>Budget comparison</w:t>
        </w:r>
        <w:r w:rsidR="004E5C92" w:rsidRPr="006D6475">
          <w:rPr>
            <w:rStyle w:val="Hyperlink"/>
            <w:noProof/>
            <w:webHidden/>
            <w:lang w:val="en-US"/>
          </w:rPr>
          <w:tab/>
        </w:r>
        <w:r w:rsidR="00FC6178" w:rsidRPr="006D6475">
          <w:rPr>
            <w:rStyle w:val="Hyperlink"/>
            <w:noProof/>
            <w:webHidden/>
            <w:lang w:val="en-US"/>
          </w:rPr>
          <w:tab/>
        </w:r>
        <w:r w:rsidR="00877BA7">
          <w:rPr>
            <w:rStyle w:val="Hyperlink"/>
            <w:noProof/>
            <w:webHidden/>
            <w:lang w:val="en-US"/>
          </w:rPr>
          <w:t>41</w:t>
        </w:r>
      </w:hyperlink>
    </w:p>
    <w:p w:rsidR="004E5C92" w:rsidRPr="00C23094" w:rsidRDefault="006A5037" w:rsidP="002F117B">
      <w:pPr>
        <w:pStyle w:val="TOC1"/>
        <w:spacing w:before="120"/>
        <w:ind w:right="1134"/>
        <w:rPr>
          <w:rStyle w:val="Hyperlink"/>
          <w:noProof/>
          <w:lang w:val="en-US"/>
        </w:rPr>
      </w:pPr>
      <w:hyperlink w:anchor="_Toc329011629" w:history="1">
        <w:r w:rsidR="004E5C92" w:rsidRPr="00C23094">
          <w:rPr>
            <w:rStyle w:val="Hyperlink"/>
            <w:noProof/>
            <w:lang w:val="en-US"/>
          </w:rPr>
          <w:t xml:space="preserve">Note </w:t>
        </w:r>
        <w:r w:rsidR="00E35C0B">
          <w:rPr>
            <w:rStyle w:val="Hyperlink"/>
            <w:noProof/>
            <w:lang w:val="en-US"/>
          </w:rPr>
          <w:t>3</w:t>
        </w:r>
        <w:r w:rsidR="004E5C92" w:rsidRPr="00C23094">
          <w:rPr>
            <w:rStyle w:val="Hyperlink"/>
            <w:noProof/>
            <w:lang w:val="en-US"/>
          </w:rPr>
          <w:tab/>
          <w:t>Management of net assets</w:t>
        </w:r>
        <w:r w:rsidR="004E5C92" w:rsidRPr="00C23094">
          <w:rPr>
            <w:rStyle w:val="Hyperlink"/>
            <w:noProof/>
            <w:webHidden/>
            <w:lang w:val="en-US"/>
          </w:rPr>
          <w:tab/>
        </w:r>
        <w:r w:rsidR="00FC6178" w:rsidRPr="00C23094">
          <w:rPr>
            <w:rStyle w:val="Hyperlink"/>
            <w:noProof/>
            <w:webHidden/>
            <w:lang w:val="en-US"/>
          </w:rPr>
          <w:tab/>
        </w:r>
        <w:r w:rsidR="00877BA7">
          <w:rPr>
            <w:rStyle w:val="Hyperlink"/>
            <w:noProof/>
            <w:webHidden/>
            <w:lang w:val="en-US"/>
          </w:rPr>
          <w:t>41</w:t>
        </w:r>
      </w:hyperlink>
    </w:p>
    <w:p w:rsidR="004E5C92" w:rsidRPr="00C23094" w:rsidRDefault="006A5037" w:rsidP="002F117B">
      <w:pPr>
        <w:pStyle w:val="TOC1"/>
        <w:spacing w:before="120"/>
        <w:ind w:right="1134"/>
        <w:rPr>
          <w:rStyle w:val="Hyperlink"/>
          <w:noProof/>
          <w:lang w:val="en-US"/>
        </w:rPr>
      </w:pPr>
      <w:hyperlink w:anchor="_Toc329011630" w:history="1">
        <w:r w:rsidR="004E5C92" w:rsidRPr="00C23094">
          <w:rPr>
            <w:rStyle w:val="Hyperlink"/>
            <w:noProof/>
            <w:lang w:val="en-US"/>
          </w:rPr>
          <w:t xml:space="preserve">Note </w:t>
        </w:r>
        <w:r w:rsidR="00E35C0B">
          <w:rPr>
            <w:rStyle w:val="Hyperlink"/>
            <w:noProof/>
            <w:lang w:val="en-US"/>
          </w:rPr>
          <w:t>4</w:t>
        </w:r>
        <w:r w:rsidR="004E5C92" w:rsidRPr="00C23094">
          <w:rPr>
            <w:rStyle w:val="Hyperlink"/>
            <w:noProof/>
            <w:lang w:val="en-US"/>
          </w:rPr>
          <w:tab/>
        </w:r>
        <w:r w:rsidR="00D90FF0" w:rsidRPr="00C23094">
          <w:rPr>
            <w:rStyle w:val="Hyperlink"/>
            <w:noProof/>
            <w:lang w:val="en-US"/>
          </w:rPr>
          <w:t>Financial risk management</w:t>
        </w:r>
        <w:r w:rsidR="004E5C92" w:rsidRPr="00C23094">
          <w:rPr>
            <w:rStyle w:val="Hyperlink"/>
            <w:noProof/>
            <w:webHidden/>
            <w:lang w:val="en-US"/>
          </w:rPr>
          <w:tab/>
        </w:r>
        <w:r w:rsidR="00FC6178" w:rsidRPr="00C23094">
          <w:rPr>
            <w:rStyle w:val="Hyperlink"/>
            <w:noProof/>
            <w:webHidden/>
            <w:lang w:val="en-US"/>
          </w:rPr>
          <w:tab/>
        </w:r>
        <w:r w:rsidR="00877BA7">
          <w:rPr>
            <w:rStyle w:val="Hyperlink"/>
            <w:noProof/>
            <w:webHidden/>
            <w:lang w:val="en-US"/>
          </w:rPr>
          <w:t>4</w:t>
        </w:r>
      </w:hyperlink>
      <w:r w:rsidR="00FC2C50" w:rsidRPr="00FC2C50">
        <w:rPr>
          <w:rStyle w:val="Hyperlink"/>
          <w:noProof/>
          <w:color w:val="auto"/>
          <w:u w:val="none"/>
          <w:lang w:val="en-US"/>
        </w:rPr>
        <w:t>2</w:t>
      </w:r>
    </w:p>
    <w:p w:rsidR="00D90FF0" w:rsidRPr="00C23094" w:rsidRDefault="00D90FF0" w:rsidP="002F117B">
      <w:pPr>
        <w:pStyle w:val="TOC1"/>
        <w:spacing w:before="120"/>
        <w:ind w:right="1134"/>
        <w:rPr>
          <w:noProof/>
        </w:rPr>
      </w:pPr>
      <w:r w:rsidRPr="00C23094">
        <w:rPr>
          <w:noProof/>
        </w:rPr>
        <w:t xml:space="preserve">Note </w:t>
      </w:r>
      <w:r w:rsidR="00E35C0B">
        <w:rPr>
          <w:noProof/>
        </w:rPr>
        <w:t>5</w:t>
      </w:r>
      <w:r w:rsidRPr="00C23094">
        <w:rPr>
          <w:noProof/>
        </w:rPr>
        <w:tab/>
        <w:t>Judgment and accounting estimates</w:t>
      </w:r>
      <w:r w:rsidRPr="00C23094">
        <w:rPr>
          <w:noProof/>
        </w:rPr>
        <w:tab/>
      </w:r>
      <w:r w:rsidRPr="00C23094">
        <w:rPr>
          <w:noProof/>
        </w:rPr>
        <w:tab/>
      </w:r>
      <w:r w:rsidR="0069715C">
        <w:rPr>
          <w:noProof/>
        </w:rPr>
        <w:t>4</w:t>
      </w:r>
      <w:r w:rsidR="00877BA7">
        <w:rPr>
          <w:noProof/>
        </w:rPr>
        <w:t>4</w:t>
      </w:r>
    </w:p>
    <w:p w:rsidR="00877BA7" w:rsidRDefault="006A2571" w:rsidP="002F117B">
      <w:pPr>
        <w:pStyle w:val="TOC1"/>
        <w:spacing w:before="120"/>
        <w:ind w:right="1134"/>
        <w:rPr>
          <w:rStyle w:val="Hyperlink"/>
          <w:noProof/>
          <w:webHidden/>
          <w:lang w:val="en-US"/>
        </w:rPr>
      </w:pPr>
      <w:r>
        <w:fldChar w:fldCharType="begin"/>
      </w:r>
      <w:r>
        <w:rPr>
          <w:noProof/>
        </w:rPr>
        <w:instrText xml:space="preserve"> HYPERLINK \l "_Toc329011631" </w:instrText>
      </w:r>
      <w:r>
        <w:fldChar w:fldCharType="separate"/>
      </w:r>
      <w:r w:rsidR="004E5C92" w:rsidRPr="00C23094">
        <w:rPr>
          <w:rStyle w:val="Hyperlink"/>
          <w:noProof/>
          <w:lang w:val="en-US"/>
        </w:rPr>
        <w:t xml:space="preserve">Note </w:t>
      </w:r>
      <w:r w:rsidR="00E35C0B">
        <w:rPr>
          <w:rStyle w:val="Hyperlink"/>
          <w:noProof/>
          <w:lang w:val="en-US"/>
        </w:rPr>
        <w:t>6</w:t>
      </w:r>
      <w:r w:rsidR="004E5C92" w:rsidRPr="00C23094">
        <w:rPr>
          <w:rStyle w:val="Hyperlink"/>
          <w:noProof/>
          <w:lang w:val="en-US"/>
        </w:rPr>
        <w:t xml:space="preserve"> </w:t>
      </w:r>
      <w:r w:rsidR="004E5C92" w:rsidRPr="00C23094">
        <w:rPr>
          <w:rStyle w:val="Hyperlink"/>
          <w:noProof/>
          <w:lang w:val="en-US"/>
        </w:rPr>
        <w:tab/>
        <w:t>Cash and cash equivalents</w:t>
      </w:r>
      <w:r w:rsidR="004E5C92" w:rsidRPr="00C23094">
        <w:rPr>
          <w:rStyle w:val="Hyperlink"/>
          <w:noProof/>
          <w:webHidden/>
          <w:lang w:val="en-US"/>
        </w:rPr>
        <w:tab/>
      </w:r>
      <w:r w:rsidR="00FC6178" w:rsidRPr="00C23094">
        <w:rPr>
          <w:rStyle w:val="Hyperlink"/>
          <w:noProof/>
          <w:webHidden/>
          <w:lang w:val="en-US"/>
        </w:rPr>
        <w:tab/>
      </w:r>
      <w:r w:rsidR="0069715C">
        <w:rPr>
          <w:rStyle w:val="Hyperlink"/>
          <w:noProof/>
          <w:webHidden/>
          <w:lang w:val="en-US"/>
        </w:rPr>
        <w:t>4</w:t>
      </w:r>
      <w:r w:rsidR="00877BA7">
        <w:rPr>
          <w:rStyle w:val="Hyperlink"/>
          <w:noProof/>
          <w:webHidden/>
          <w:lang w:val="en-US"/>
        </w:rPr>
        <w:t>5</w:t>
      </w:r>
    </w:p>
    <w:p w:rsidR="00E5198F" w:rsidRPr="00E5198F" w:rsidRDefault="006A2571" w:rsidP="00386643">
      <w:pPr>
        <w:pStyle w:val="TOC1"/>
        <w:spacing w:before="120"/>
        <w:ind w:right="1134"/>
        <w:rPr>
          <w:rStyle w:val="Hyperlink"/>
          <w:noProof/>
          <w:color w:val="auto"/>
          <w:u w:val="none"/>
          <w:lang w:val="en-US"/>
        </w:rPr>
      </w:pPr>
      <w:r>
        <w:rPr>
          <w:rStyle w:val="Hyperlink"/>
          <w:noProof/>
          <w:lang w:val="en-US"/>
        </w:rPr>
        <w:fldChar w:fldCharType="end"/>
      </w:r>
    </w:p>
    <w:p w:rsidR="00E5198F" w:rsidRPr="00E5198F" w:rsidRDefault="00E5198F">
      <w:pPr>
        <w:tabs>
          <w:tab w:val="clear" w:pos="567"/>
          <w:tab w:val="clear" w:pos="1134"/>
          <w:tab w:val="clear" w:pos="1701"/>
          <w:tab w:val="clear" w:pos="2268"/>
          <w:tab w:val="clear" w:pos="2835"/>
        </w:tabs>
        <w:overflowPunct/>
        <w:autoSpaceDE/>
        <w:autoSpaceDN/>
        <w:adjustRightInd/>
        <w:spacing w:before="0"/>
        <w:textAlignment w:val="auto"/>
        <w:rPr>
          <w:rStyle w:val="Hyperlink"/>
          <w:noProof/>
          <w:color w:val="auto"/>
          <w:u w:val="none"/>
          <w:lang w:val="en-US"/>
        </w:rPr>
      </w:pPr>
      <w:r w:rsidRPr="00E5198F">
        <w:rPr>
          <w:rStyle w:val="Hyperlink"/>
          <w:noProof/>
          <w:color w:val="auto"/>
          <w:u w:val="none"/>
          <w:lang w:val="en-US"/>
        </w:rPr>
        <w:br w:type="page"/>
      </w:r>
    </w:p>
    <w:p w:rsidR="004E5C92" w:rsidRPr="00C23094" w:rsidRDefault="006A5037" w:rsidP="002F117B">
      <w:pPr>
        <w:pStyle w:val="TOC1"/>
        <w:spacing w:before="120"/>
        <w:ind w:right="1134"/>
        <w:rPr>
          <w:rStyle w:val="Hyperlink"/>
          <w:noProof/>
          <w:lang w:val="en-US"/>
        </w:rPr>
      </w:pPr>
      <w:hyperlink w:anchor="_Toc329011632" w:history="1">
        <w:r w:rsidR="004E5C92" w:rsidRPr="00C23094">
          <w:rPr>
            <w:rStyle w:val="Hyperlink"/>
            <w:noProof/>
            <w:lang w:val="en-US"/>
          </w:rPr>
          <w:t xml:space="preserve">Note </w:t>
        </w:r>
        <w:r w:rsidR="00E35C0B">
          <w:rPr>
            <w:rStyle w:val="Hyperlink"/>
            <w:noProof/>
            <w:lang w:val="en-US"/>
          </w:rPr>
          <w:t>7</w:t>
        </w:r>
        <w:r w:rsidR="004E5C92" w:rsidRPr="00C23094">
          <w:rPr>
            <w:rStyle w:val="Hyperlink"/>
            <w:noProof/>
            <w:lang w:val="en-US"/>
          </w:rPr>
          <w:tab/>
          <w:t>Investments</w:t>
        </w:r>
        <w:r w:rsidR="004E5C92" w:rsidRPr="00C23094">
          <w:rPr>
            <w:rStyle w:val="Hyperlink"/>
            <w:noProof/>
            <w:webHidden/>
            <w:lang w:val="en-US"/>
          </w:rPr>
          <w:tab/>
        </w:r>
        <w:r w:rsidR="00FC6178" w:rsidRPr="00C23094">
          <w:rPr>
            <w:rStyle w:val="Hyperlink"/>
            <w:noProof/>
            <w:webHidden/>
            <w:lang w:val="en-US"/>
          </w:rPr>
          <w:tab/>
        </w:r>
        <w:r w:rsidR="0069715C">
          <w:rPr>
            <w:rStyle w:val="Hyperlink"/>
            <w:noProof/>
            <w:webHidden/>
            <w:lang w:val="en-US"/>
          </w:rPr>
          <w:t>4</w:t>
        </w:r>
        <w:r w:rsidR="00877BA7">
          <w:rPr>
            <w:rStyle w:val="Hyperlink"/>
            <w:noProof/>
            <w:webHidden/>
            <w:lang w:val="en-US"/>
          </w:rPr>
          <w:t>5</w:t>
        </w:r>
      </w:hyperlink>
    </w:p>
    <w:p w:rsidR="004E5C92" w:rsidRPr="00C23094" w:rsidRDefault="006A5037" w:rsidP="002F117B">
      <w:pPr>
        <w:pStyle w:val="TOC1"/>
        <w:spacing w:before="120"/>
        <w:ind w:right="1134"/>
        <w:rPr>
          <w:rStyle w:val="Hyperlink"/>
          <w:noProof/>
          <w:lang w:val="en-US"/>
        </w:rPr>
      </w:pPr>
      <w:hyperlink w:anchor="_Toc329011633" w:history="1">
        <w:r w:rsidR="004E5C92" w:rsidRPr="00C23094">
          <w:rPr>
            <w:rStyle w:val="Hyperlink"/>
            <w:noProof/>
            <w:lang w:val="en-US"/>
          </w:rPr>
          <w:t xml:space="preserve">Note </w:t>
        </w:r>
        <w:r w:rsidR="00E35C0B">
          <w:rPr>
            <w:rStyle w:val="Hyperlink"/>
            <w:noProof/>
            <w:lang w:val="en-US"/>
          </w:rPr>
          <w:t>8</w:t>
        </w:r>
        <w:r w:rsidR="004E5C92" w:rsidRPr="00C23094">
          <w:rPr>
            <w:rStyle w:val="Hyperlink"/>
            <w:noProof/>
            <w:lang w:val="en-US"/>
          </w:rPr>
          <w:tab/>
          <w:t>Receivables</w:t>
        </w:r>
        <w:r w:rsidR="004E5C92" w:rsidRPr="00C23094">
          <w:rPr>
            <w:rStyle w:val="Hyperlink"/>
            <w:noProof/>
            <w:webHidden/>
            <w:lang w:val="en-US"/>
          </w:rPr>
          <w:tab/>
        </w:r>
        <w:r w:rsidR="00FC6178" w:rsidRPr="00C23094">
          <w:rPr>
            <w:rStyle w:val="Hyperlink"/>
            <w:noProof/>
            <w:webHidden/>
            <w:lang w:val="en-US"/>
          </w:rPr>
          <w:tab/>
        </w:r>
        <w:r w:rsidR="0069715C">
          <w:rPr>
            <w:rStyle w:val="Hyperlink"/>
            <w:noProof/>
            <w:webHidden/>
            <w:lang w:val="en-US"/>
          </w:rPr>
          <w:t>4</w:t>
        </w:r>
        <w:r w:rsidR="00877BA7">
          <w:rPr>
            <w:rStyle w:val="Hyperlink"/>
            <w:noProof/>
            <w:webHidden/>
            <w:lang w:val="en-US"/>
          </w:rPr>
          <w:t>6</w:t>
        </w:r>
      </w:hyperlink>
    </w:p>
    <w:p w:rsidR="004E5C92" w:rsidRPr="00C23094" w:rsidRDefault="006A5037" w:rsidP="002F117B">
      <w:pPr>
        <w:pStyle w:val="TOC1"/>
        <w:spacing w:before="120"/>
        <w:ind w:right="1134"/>
        <w:rPr>
          <w:rStyle w:val="Hyperlink"/>
          <w:noProof/>
          <w:lang w:val="en-US"/>
        </w:rPr>
      </w:pPr>
      <w:hyperlink w:anchor="_Toc329011634" w:history="1">
        <w:r w:rsidR="004E5C92" w:rsidRPr="00C23094">
          <w:rPr>
            <w:rStyle w:val="Hyperlink"/>
            <w:noProof/>
            <w:lang w:val="en-US"/>
          </w:rPr>
          <w:t xml:space="preserve">Note </w:t>
        </w:r>
        <w:r w:rsidR="00E35C0B">
          <w:rPr>
            <w:rStyle w:val="Hyperlink"/>
            <w:noProof/>
            <w:lang w:val="en-US"/>
          </w:rPr>
          <w:t>9</w:t>
        </w:r>
        <w:r w:rsidR="004E5C92" w:rsidRPr="00C23094">
          <w:rPr>
            <w:rStyle w:val="Hyperlink"/>
            <w:noProof/>
            <w:lang w:val="en-US"/>
          </w:rPr>
          <w:tab/>
          <w:t>Inventories</w:t>
        </w:r>
        <w:r w:rsidR="004E5C92" w:rsidRPr="00C23094">
          <w:rPr>
            <w:rStyle w:val="Hyperlink"/>
            <w:noProof/>
            <w:webHidden/>
            <w:lang w:val="en-US"/>
          </w:rPr>
          <w:tab/>
        </w:r>
        <w:r w:rsidR="0096438E" w:rsidRPr="00C23094">
          <w:rPr>
            <w:rStyle w:val="Hyperlink"/>
            <w:noProof/>
            <w:webHidden/>
            <w:lang w:val="en-US"/>
          </w:rPr>
          <w:tab/>
        </w:r>
        <w:r w:rsidR="0069715C">
          <w:rPr>
            <w:rStyle w:val="Hyperlink"/>
            <w:noProof/>
            <w:webHidden/>
            <w:lang w:val="en-US"/>
          </w:rPr>
          <w:t>4</w:t>
        </w:r>
        <w:r w:rsidR="00877BA7">
          <w:rPr>
            <w:rStyle w:val="Hyperlink"/>
            <w:noProof/>
            <w:webHidden/>
            <w:lang w:val="en-US"/>
          </w:rPr>
          <w:t>7</w:t>
        </w:r>
      </w:hyperlink>
    </w:p>
    <w:p w:rsidR="004E5C92" w:rsidRPr="00C23094" w:rsidRDefault="006A5037" w:rsidP="002F117B">
      <w:pPr>
        <w:pStyle w:val="TOC1"/>
        <w:spacing w:before="120"/>
        <w:ind w:right="1134"/>
        <w:rPr>
          <w:rStyle w:val="Hyperlink"/>
          <w:noProof/>
          <w:lang w:val="en-US"/>
        </w:rPr>
      </w:pPr>
      <w:hyperlink w:anchor="_Toc329011635" w:history="1">
        <w:r w:rsidR="004E5C92" w:rsidRPr="00C23094">
          <w:rPr>
            <w:rStyle w:val="Hyperlink"/>
            <w:noProof/>
            <w:lang w:val="en-US"/>
          </w:rPr>
          <w:t>Note 1</w:t>
        </w:r>
        <w:r w:rsidR="00E35C0B">
          <w:rPr>
            <w:rStyle w:val="Hyperlink"/>
            <w:noProof/>
            <w:lang w:val="en-US"/>
          </w:rPr>
          <w:t>0</w:t>
        </w:r>
        <w:r w:rsidR="004E5C92" w:rsidRPr="00C23094">
          <w:rPr>
            <w:rStyle w:val="Hyperlink"/>
            <w:noProof/>
            <w:lang w:val="en-US"/>
          </w:rPr>
          <w:tab/>
          <w:t>Other receivables</w:t>
        </w:r>
        <w:r w:rsidR="004E5C92" w:rsidRPr="00C23094">
          <w:rPr>
            <w:rStyle w:val="Hyperlink"/>
            <w:noProof/>
            <w:webHidden/>
            <w:lang w:val="en-US"/>
          </w:rPr>
          <w:tab/>
        </w:r>
        <w:r w:rsidR="0096438E" w:rsidRPr="00C23094">
          <w:rPr>
            <w:rStyle w:val="Hyperlink"/>
            <w:noProof/>
            <w:webHidden/>
            <w:lang w:val="en-US"/>
          </w:rPr>
          <w:tab/>
        </w:r>
        <w:r w:rsidR="0069715C">
          <w:rPr>
            <w:rStyle w:val="Hyperlink"/>
            <w:noProof/>
            <w:webHidden/>
            <w:lang w:val="en-US"/>
          </w:rPr>
          <w:t>4</w:t>
        </w:r>
      </w:hyperlink>
      <w:r w:rsidR="00E5198F">
        <w:rPr>
          <w:rStyle w:val="Hyperlink"/>
          <w:noProof/>
          <w:lang w:val="en-US"/>
        </w:rPr>
        <w:t>7</w:t>
      </w:r>
    </w:p>
    <w:p w:rsidR="004E5C92" w:rsidRPr="00C23094" w:rsidRDefault="006A5037" w:rsidP="002F117B">
      <w:pPr>
        <w:pStyle w:val="TOC1"/>
        <w:spacing w:before="120"/>
        <w:ind w:right="1134"/>
        <w:rPr>
          <w:rStyle w:val="Hyperlink"/>
          <w:noProof/>
          <w:lang w:val="en-US"/>
        </w:rPr>
      </w:pPr>
      <w:hyperlink w:anchor="_Toc329011636" w:history="1">
        <w:r w:rsidR="004E5C92" w:rsidRPr="00C23094">
          <w:rPr>
            <w:rStyle w:val="Hyperlink"/>
            <w:noProof/>
            <w:lang w:val="en-US"/>
          </w:rPr>
          <w:t>Note 1</w:t>
        </w:r>
        <w:r w:rsidR="00E35C0B">
          <w:rPr>
            <w:rStyle w:val="Hyperlink"/>
            <w:noProof/>
            <w:lang w:val="en-US"/>
          </w:rPr>
          <w:t>1</w:t>
        </w:r>
        <w:r w:rsidR="004E5C92" w:rsidRPr="00C23094">
          <w:rPr>
            <w:rStyle w:val="Hyperlink"/>
            <w:noProof/>
            <w:lang w:val="en-US"/>
          </w:rPr>
          <w:tab/>
          <w:t>Property and equipment</w:t>
        </w:r>
        <w:r w:rsidR="004E5C92" w:rsidRPr="00C23094">
          <w:rPr>
            <w:rStyle w:val="Hyperlink"/>
            <w:noProof/>
            <w:webHidden/>
            <w:lang w:val="en-US"/>
          </w:rPr>
          <w:tab/>
        </w:r>
        <w:r w:rsidR="0096438E" w:rsidRPr="00C23094">
          <w:rPr>
            <w:rStyle w:val="Hyperlink"/>
            <w:noProof/>
            <w:webHidden/>
            <w:lang w:val="en-US"/>
          </w:rPr>
          <w:tab/>
        </w:r>
        <w:r w:rsidR="0069715C">
          <w:rPr>
            <w:rStyle w:val="Hyperlink"/>
            <w:noProof/>
            <w:webHidden/>
            <w:lang w:val="en-US"/>
          </w:rPr>
          <w:t>4</w:t>
        </w:r>
        <w:r w:rsidR="00877BA7">
          <w:rPr>
            <w:rStyle w:val="Hyperlink"/>
            <w:noProof/>
            <w:webHidden/>
            <w:lang w:val="en-US"/>
          </w:rPr>
          <w:t>8</w:t>
        </w:r>
      </w:hyperlink>
    </w:p>
    <w:p w:rsidR="004E5C92" w:rsidRDefault="006A5037" w:rsidP="002F117B">
      <w:pPr>
        <w:pStyle w:val="TOC1"/>
        <w:spacing w:before="120"/>
        <w:ind w:right="1134"/>
        <w:rPr>
          <w:rStyle w:val="Hyperlink"/>
          <w:noProof/>
          <w:lang w:val="en-US"/>
        </w:rPr>
      </w:pPr>
      <w:hyperlink w:anchor="_Toc329011637" w:history="1">
        <w:r w:rsidR="004E5C92" w:rsidRPr="00C23094">
          <w:rPr>
            <w:rStyle w:val="Hyperlink"/>
            <w:noProof/>
            <w:lang w:val="en-US"/>
          </w:rPr>
          <w:t>Note 1</w:t>
        </w:r>
        <w:r w:rsidR="00E35C0B">
          <w:rPr>
            <w:rStyle w:val="Hyperlink"/>
            <w:noProof/>
            <w:lang w:val="en-US"/>
          </w:rPr>
          <w:t>2</w:t>
        </w:r>
        <w:r w:rsidR="004E5C92" w:rsidRPr="00C23094">
          <w:rPr>
            <w:rStyle w:val="Hyperlink"/>
            <w:noProof/>
            <w:lang w:val="en-US"/>
          </w:rPr>
          <w:tab/>
          <w:t>Intangible assets</w:t>
        </w:r>
        <w:r w:rsidR="004E5C92" w:rsidRPr="00C23094">
          <w:rPr>
            <w:rStyle w:val="Hyperlink"/>
            <w:noProof/>
            <w:webHidden/>
            <w:lang w:val="en-US"/>
          </w:rPr>
          <w:tab/>
        </w:r>
        <w:r w:rsidR="0096438E" w:rsidRPr="00C23094">
          <w:rPr>
            <w:rStyle w:val="Hyperlink"/>
            <w:noProof/>
            <w:webHidden/>
            <w:lang w:val="en-US"/>
          </w:rPr>
          <w:tab/>
        </w:r>
        <w:r w:rsidR="00556EE0">
          <w:rPr>
            <w:rStyle w:val="Hyperlink"/>
            <w:noProof/>
            <w:webHidden/>
            <w:lang w:val="en-US"/>
          </w:rPr>
          <w:t>49</w:t>
        </w:r>
      </w:hyperlink>
    </w:p>
    <w:p w:rsidR="009C7A12" w:rsidRPr="00C23094" w:rsidRDefault="009C7A12" w:rsidP="002F117B">
      <w:pPr>
        <w:pStyle w:val="TOC1"/>
        <w:spacing w:before="120"/>
        <w:ind w:right="1134"/>
        <w:rPr>
          <w:rStyle w:val="Hyperlink"/>
          <w:noProof/>
          <w:lang w:val="en-US"/>
        </w:rPr>
      </w:pPr>
      <w:r w:rsidRPr="006B7C14">
        <w:rPr>
          <w:rStyle w:val="Hyperlink"/>
          <w:noProof/>
          <w:color w:val="auto"/>
          <w:u w:val="none"/>
          <w:lang w:val="en-US"/>
        </w:rPr>
        <w:t>Note 13</w:t>
      </w:r>
      <w:r w:rsidRPr="006B7C14">
        <w:rPr>
          <w:rStyle w:val="Hyperlink"/>
          <w:noProof/>
          <w:color w:val="auto"/>
          <w:u w:val="none"/>
          <w:lang w:val="en-US"/>
        </w:rPr>
        <w:tab/>
        <w:t>Assets under</w:t>
      </w:r>
      <w:r w:rsidR="00FE0C8C">
        <w:rPr>
          <w:rStyle w:val="Hyperlink"/>
          <w:noProof/>
          <w:color w:val="auto"/>
          <w:u w:val="none"/>
          <w:lang w:val="en-US"/>
        </w:rPr>
        <w:t xml:space="preserve"> </w:t>
      </w:r>
      <w:r w:rsidRPr="006B7C14">
        <w:rPr>
          <w:rStyle w:val="Hyperlink"/>
          <w:noProof/>
          <w:color w:val="auto"/>
          <w:u w:val="none"/>
          <w:lang w:val="en-US"/>
        </w:rPr>
        <w:t>construction………………………………………………………………………………</w:t>
      </w:r>
      <w:r w:rsidR="00FE0C8C" w:rsidRPr="006B7C14">
        <w:rPr>
          <w:rStyle w:val="Hyperlink"/>
          <w:noProof/>
          <w:color w:val="auto"/>
          <w:u w:val="none"/>
          <w:lang w:val="en-US"/>
        </w:rPr>
        <w:t>…</w:t>
      </w:r>
      <w:r w:rsidRPr="006B7C14">
        <w:rPr>
          <w:rStyle w:val="Hyperlink"/>
          <w:noProof/>
          <w:color w:val="auto"/>
          <w:u w:val="none"/>
          <w:lang w:val="en-US"/>
        </w:rPr>
        <w:tab/>
      </w:r>
      <w:r w:rsidRPr="006B7C14">
        <w:rPr>
          <w:rStyle w:val="Hyperlink"/>
          <w:noProof/>
          <w:color w:val="auto"/>
          <w:u w:val="none"/>
          <w:lang w:val="en-US"/>
        </w:rPr>
        <w:tab/>
      </w:r>
      <w:r w:rsidR="00E5198F">
        <w:rPr>
          <w:rStyle w:val="Hyperlink"/>
          <w:noProof/>
          <w:color w:val="auto"/>
          <w:u w:val="none"/>
          <w:lang w:val="en-US"/>
        </w:rPr>
        <w:t>49</w:t>
      </w:r>
    </w:p>
    <w:p w:rsidR="004E5C92" w:rsidRPr="00C23094" w:rsidRDefault="006A5037" w:rsidP="002F117B">
      <w:pPr>
        <w:pStyle w:val="TOC1"/>
        <w:spacing w:before="120"/>
        <w:ind w:right="1134"/>
        <w:rPr>
          <w:rStyle w:val="Hyperlink"/>
          <w:noProof/>
          <w:lang w:val="en-US"/>
        </w:rPr>
      </w:pPr>
      <w:hyperlink w:anchor="_Toc329011638" w:history="1">
        <w:r w:rsidR="004E5C92" w:rsidRPr="00C23094">
          <w:rPr>
            <w:rStyle w:val="Hyperlink"/>
            <w:noProof/>
            <w:lang w:val="en-US"/>
          </w:rPr>
          <w:t>Note 1</w:t>
        </w:r>
        <w:r w:rsidR="009C7A12">
          <w:rPr>
            <w:rStyle w:val="Hyperlink"/>
            <w:noProof/>
            <w:lang w:val="en-US"/>
          </w:rPr>
          <w:t>4</w:t>
        </w:r>
        <w:r w:rsidR="004E5C92" w:rsidRPr="00C23094">
          <w:rPr>
            <w:rStyle w:val="Hyperlink"/>
            <w:noProof/>
            <w:lang w:val="en-US"/>
          </w:rPr>
          <w:tab/>
          <w:t>Suppliers and other creditors</w:t>
        </w:r>
        <w:r w:rsidR="004E5C92" w:rsidRPr="00C23094">
          <w:rPr>
            <w:rStyle w:val="Hyperlink"/>
            <w:noProof/>
            <w:webHidden/>
            <w:lang w:val="en-US"/>
          </w:rPr>
          <w:tab/>
        </w:r>
        <w:r w:rsidR="0096438E" w:rsidRPr="00C23094">
          <w:rPr>
            <w:rStyle w:val="Hyperlink"/>
            <w:noProof/>
            <w:webHidden/>
            <w:lang w:val="en-US"/>
          </w:rPr>
          <w:tab/>
        </w:r>
        <w:r w:rsidR="00877BA7">
          <w:rPr>
            <w:rStyle w:val="Hyperlink"/>
            <w:noProof/>
            <w:webHidden/>
            <w:lang w:val="en-US"/>
          </w:rPr>
          <w:t>50</w:t>
        </w:r>
      </w:hyperlink>
    </w:p>
    <w:p w:rsidR="004E5C92" w:rsidRPr="00C23094" w:rsidRDefault="006A5037" w:rsidP="002F117B">
      <w:pPr>
        <w:pStyle w:val="TOC1"/>
        <w:spacing w:before="120"/>
        <w:ind w:right="1134"/>
        <w:rPr>
          <w:rStyle w:val="Hyperlink"/>
          <w:noProof/>
          <w:lang w:val="en-US"/>
        </w:rPr>
      </w:pPr>
      <w:hyperlink w:anchor="_Toc329011639" w:history="1">
        <w:r w:rsidR="004E5C92" w:rsidRPr="00C23094">
          <w:rPr>
            <w:rStyle w:val="Hyperlink"/>
            <w:noProof/>
            <w:lang w:val="en-US"/>
          </w:rPr>
          <w:t>Note 1</w:t>
        </w:r>
        <w:r w:rsidR="009C7A12">
          <w:rPr>
            <w:rStyle w:val="Hyperlink"/>
            <w:noProof/>
            <w:lang w:val="en-US"/>
          </w:rPr>
          <w:t>5</w:t>
        </w:r>
        <w:r w:rsidR="004E5C92" w:rsidRPr="00C23094">
          <w:rPr>
            <w:rStyle w:val="Hyperlink"/>
            <w:noProof/>
            <w:lang w:val="en-US"/>
          </w:rPr>
          <w:tab/>
          <w:t>Deferred revenue</w:t>
        </w:r>
        <w:r w:rsidR="004E5C92" w:rsidRPr="00C23094">
          <w:rPr>
            <w:rStyle w:val="Hyperlink"/>
            <w:noProof/>
            <w:webHidden/>
            <w:lang w:val="en-US"/>
          </w:rPr>
          <w:tab/>
        </w:r>
        <w:r w:rsidR="0096438E" w:rsidRPr="00C23094">
          <w:rPr>
            <w:rStyle w:val="Hyperlink"/>
            <w:noProof/>
            <w:webHidden/>
            <w:lang w:val="en-US"/>
          </w:rPr>
          <w:tab/>
        </w:r>
        <w:r w:rsidR="00877BA7">
          <w:rPr>
            <w:rStyle w:val="Hyperlink"/>
            <w:noProof/>
            <w:webHidden/>
            <w:lang w:val="en-US"/>
          </w:rPr>
          <w:t>5</w:t>
        </w:r>
        <w:r w:rsidR="00556EE0">
          <w:rPr>
            <w:rStyle w:val="Hyperlink"/>
            <w:noProof/>
            <w:webHidden/>
            <w:lang w:val="en-US"/>
          </w:rPr>
          <w:t>0</w:t>
        </w:r>
      </w:hyperlink>
    </w:p>
    <w:p w:rsidR="004E5C92" w:rsidRPr="00C23094" w:rsidRDefault="006A5037" w:rsidP="002F117B">
      <w:pPr>
        <w:pStyle w:val="TOC1"/>
        <w:spacing w:before="120"/>
        <w:ind w:right="1134"/>
        <w:rPr>
          <w:rStyle w:val="Hyperlink"/>
          <w:noProof/>
          <w:lang w:val="en-US"/>
        </w:rPr>
      </w:pPr>
      <w:hyperlink w:anchor="_Toc329011640" w:history="1">
        <w:r w:rsidR="004E5C92" w:rsidRPr="00C23094">
          <w:rPr>
            <w:rStyle w:val="Hyperlink"/>
            <w:noProof/>
            <w:lang w:val="en-US"/>
          </w:rPr>
          <w:t>Note 1</w:t>
        </w:r>
        <w:r w:rsidR="009C7A12">
          <w:rPr>
            <w:rStyle w:val="Hyperlink"/>
            <w:noProof/>
            <w:lang w:val="en-US"/>
          </w:rPr>
          <w:t>6</w:t>
        </w:r>
        <w:r w:rsidR="004E5C92" w:rsidRPr="00C23094">
          <w:rPr>
            <w:rStyle w:val="Hyperlink"/>
            <w:noProof/>
            <w:lang w:val="en-US"/>
          </w:rPr>
          <w:tab/>
          <w:t>Borrowings and other financial debts</w:t>
        </w:r>
        <w:r w:rsidR="004E5C92" w:rsidRPr="00C23094">
          <w:rPr>
            <w:rStyle w:val="Hyperlink"/>
            <w:noProof/>
            <w:webHidden/>
            <w:lang w:val="en-US"/>
          </w:rPr>
          <w:tab/>
        </w:r>
        <w:r w:rsidR="0096438E" w:rsidRPr="00C23094">
          <w:rPr>
            <w:rStyle w:val="Hyperlink"/>
            <w:noProof/>
            <w:webHidden/>
            <w:lang w:val="en-US"/>
          </w:rPr>
          <w:tab/>
        </w:r>
        <w:r w:rsidR="00877BA7">
          <w:rPr>
            <w:rStyle w:val="Hyperlink"/>
            <w:noProof/>
            <w:webHidden/>
            <w:lang w:val="en-US"/>
          </w:rPr>
          <w:t>51</w:t>
        </w:r>
      </w:hyperlink>
    </w:p>
    <w:p w:rsidR="004E5C92" w:rsidRPr="00C23094" w:rsidRDefault="006A5037" w:rsidP="002F117B">
      <w:pPr>
        <w:pStyle w:val="TOC1"/>
        <w:spacing w:before="120"/>
        <w:ind w:right="1134"/>
        <w:rPr>
          <w:rStyle w:val="Hyperlink"/>
          <w:noProof/>
          <w:lang w:val="en-US"/>
        </w:rPr>
      </w:pPr>
      <w:hyperlink w:anchor="_Toc329011641" w:history="1">
        <w:r w:rsidR="004E5C92" w:rsidRPr="00C23094">
          <w:rPr>
            <w:rStyle w:val="Hyperlink"/>
            <w:noProof/>
            <w:lang w:val="en-US"/>
          </w:rPr>
          <w:t>Note 1</w:t>
        </w:r>
        <w:r w:rsidR="009C7A12">
          <w:rPr>
            <w:rStyle w:val="Hyperlink"/>
            <w:noProof/>
            <w:lang w:val="en-US"/>
          </w:rPr>
          <w:t>7</w:t>
        </w:r>
        <w:r w:rsidR="004E5C92" w:rsidRPr="00C23094">
          <w:rPr>
            <w:rStyle w:val="Hyperlink"/>
            <w:noProof/>
            <w:lang w:val="en-US"/>
          </w:rPr>
          <w:tab/>
          <w:t>Employee benefits</w:t>
        </w:r>
        <w:r w:rsidR="004E5C92" w:rsidRPr="00C23094">
          <w:rPr>
            <w:rStyle w:val="Hyperlink"/>
            <w:noProof/>
            <w:webHidden/>
            <w:lang w:val="en-US"/>
          </w:rPr>
          <w:tab/>
        </w:r>
        <w:r w:rsidR="0096438E" w:rsidRPr="00C23094">
          <w:rPr>
            <w:rStyle w:val="Hyperlink"/>
            <w:noProof/>
            <w:webHidden/>
            <w:lang w:val="en-US"/>
          </w:rPr>
          <w:tab/>
        </w:r>
        <w:r w:rsidR="00877BA7">
          <w:rPr>
            <w:rStyle w:val="Hyperlink"/>
            <w:noProof/>
            <w:webHidden/>
            <w:lang w:val="en-US"/>
          </w:rPr>
          <w:t>5</w:t>
        </w:r>
        <w:r w:rsidR="00556EE0">
          <w:rPr>
            <w:rStyle w:val="Hyperlink"/>
            <w:noProof/>
            <w:webHidden/>
            <w:lang w:val="en-US"/>
          </w:rPr>
          <w:t>1</w:t>
        </w:r>
      </w:hyperlink>
    </w:p>
    <w:p w:rsidR="004E5C92" w:rsidRPr="00C23094" w:rsidRDefault="006A5037" w:rsidP="009C7A12">
      <w:pPr>
        <w:pStyle w:val="TOC1"/>
        <w:tabs>
          <w:tab w:val="left" w:pos="1560"/>
        </w:tabs>
        <w:spacing w:before="60"/>
        <w:ind w:right="1134" w:firstLine="2"/>
        <w:rPr>
          <w:rStyle w:val="Hyperlink"/>
          <w:noProof/>
        </w:rPr>
      </w:pPr>
      <w:hyperlink w:anchor="_Toc329011642" w:history="1">
        <w:r w:rsidR="004E5C92" w:rsidRPr="00C23094">
          <w:rPr>
            <w:rStyle w:val="Hyperlink"/>
            <w:noProof/>
            <w:lang w:val="en-US"/>
          </w:rPr>
          <w:t>1</w:t>
        </w:r>
        <w:r w:rsidR="009C7A12">
          <w:rPr>
            <w:rStyle w:val="Hyperlink"/>
            <w:noProof/>
            <w:lang w:val="en-US"/>
          </w:rPr>
          <w:t>7</w:t>
        </w:r>
        <w:r w:rsidR="004E5C92" w:rsidRPr="00C23094">
          <w:rPr>
            <w:rStyle w:val="Hyperlink"/>
            <w:noProof/>
            <w:lang w:val="en-US"/>
          </w:rPr>
          <w:t>.1</w:t>
        </w:r>
        <w:r w:rsidR="004E5C92" w:rsidRPr="00C23094">
          <w:rPr>
            <w:rStyle w:val="Hyperlink"/>
            <w:noProof/>
          </w:rPr>
          <w:tab/>
        </w:r>
        <w:r w:rsidR="004E5C92" w:rsidRPr="00C23094">
          <w:rPr>
            <w:rStyle w:val="Hyperlink"/>
            <w:noProof/>
            <w:lang w:val="en-US"/>
          </w:rPr>
          <w:t>Short-term employee benefits</w:t>
        </w:r>
        <w:r w:rsidR="004E5C92" w:rsidRPr="00C23094">
          <w:rPr>
            <w:rStyle w:val="Hyperlink"/>
            <w:noProof/>
            <w:webHidden/>
            <w:lang w:val="en-US"/>
          </w:rPr>
          <w:tab/>
        </w:r>
        <w:r w:rsidR="0096438E" w:rsidRPr="00C23094">
          <w:rPr>
            <w:rStyle w:val="Hyperlink"/>
            <w:noProof/>
            <w:webHidden/>
            <w:lang w:val="en-US"/>
          </w:rPr>
          <w:tab/>
        </w:r>
        <w:r w:rsidR="00877BA7">
          <w:rPr>
            <w:rStyle w:val="Hyperlink"/>
            <w:noProof/>
            <w:webHidden/>
            <w:lang w:val="en-US"/>
          </w:rPr>
          <w:t>5</w:t>
        </w:r>
        <w:r w:rsidR="00556EE0">
          <w:rPr>
            <w:rStyle w:val="Hyperlink"/>
            <w:noProof/>
            <w:webHidden/>
            <w:lang w:val="en-US"/>
          </w:rPr>
          <w:t>1</w:t>
        </w:r>
      </w:hyperlink>
    </w:p>
    <w:p w:rsidR="004E5C92" w:rsidRPr="00C23094" w:rsidRDefault="006A5037" w:rsidP="009C7A12">
      <w:pPr>
        <w:pStyle w:val="TOC1"/>
        <w:tabs>
          <w:tab w:val="left" w:pos="1560"/>
        </w:tabs>
        <w:spacing w:before="60"/>
        <w:ind w:right="1134" w:firstLine="2"/>
        <w:rPr>
          <w:rStyle w:val="Hyperlink"/>
          <w:noProof/>
        </w:rPr>
      </w:pPr>
      <w:hyperlink w:anchor="_Toc329011643" w:history="1">
        <w:r w:rsidR="004E5C92" w:rsidRPr="00C23094">
          <w:rPr>
            <w:rStyle w:val="Hyperlink"/>
            <w:noProof/>
            <w:lang w:val="en-US"/>
          </w:rPr>
          <w:t>1</w:t>
        </w:r>
        <w:r w:rsidR="009C7A12">
          <w:rPr>
            <w:rStyle w:val="Hyperlink"/>
            <w:noProof/>
            <w:lang w:val="en-US"/>
          </w:rPr>
          <w:t>7</w:t>
        </w:r>
        <w:r w:rsidR="004E5C92" w:rsidRPr="00C23094">
          <w:rPr>
            <w:rStyle w:val="Hyperlink"/>
            <w:noProof/>
            <w:lang w:val="en-US"/>
          </w:rPr>
          <w:t xml:space="preserve">.2 </w:t>
        </w:r>
        <w:r w:rsidR="004E5C92" w:rsidRPr="00C23094">
          <w:rPr>
            <w:rStyle w:val="Hyperlink"/>
            <w:noProof/>
          </w:rPr>
          <w:tab/>
        </w:r>
        <w:r w:rsidR="004E5C92" w:rsidRPr="00C23094">
          <w:rPr>
            <w:rStyle w:val="Hyperlink"/>
            <w:noProof/>
            <w:lang w:val="en-US"/>
          </w:rPr>
          <w:t>Long-term employee benefits</w:t>
        </w:r>
        <w:r w:rsidR="004E5C92" w:rsidRPr="00C23094">
          <w:rPr>
            <w:rStyle w:val="Hyperlink"/>
            <w:noProof/>
            <w:webHidden/>
            <w:lang w:val="en-US"/>
          </w:rPr>
          <w:tab/>
        </w:r>
        <w:r w:rsidR="0096438E" w:rsidRPr="00C23094">
          <w:rPr>
            <w:rStyle w:val="Hyperlink"/>
            <w:noProof/>
            <w:webHidden/>
            <w:lang w:val="en-US"/>
          </w:rPr>
          <w:tab/>
        </w:r>
        <w:r w:rsidR="00877BA7">
          <w:rPr>
            <w:rStyle w:val="Hyperlink"/>
            <w:noProof/>
            <w:webHidden/>
            <w:lang w:val="en-US"/>
          </w:rPr>
          <w:t>5</w:t>
        </w:r>
        <w:r w:rsidR="00E67402">
          <w:rPr>
            <w:rStyle w:val="Hyperlink"/>
            <w:noProof/>
            <w:webHidden/>
            <w:lang w:val="en-US"/>
          </w:rPr>
          <w:t>2</w:t>
        </w:r>
      </w:hyperlink>
    </w:p>
    <w:p w:rsidR="004E5C92" w:rsidRPr="00C23094" w:rsidRDefault="006A5037" w:rsidP="002F117B">
      <w:pPr>
        <w:pStyle w:val="TOC1"/>
        <w:spacing w:before="120"/>
        <w:ind w:right="1134"/>
        <w:rPr>
          <w:rStyle w:val="Hyperlink"/>
          <w:noProof/>
          <w:lang w:val="en-US"/>
        </w:rPr>
      </w:pPr>
      <w:hyperlink w:anchor="_Toc329011644" w:history="1">
        <w:r w:rsidR="004E5C92" w:rsidRPr="00C23094">
          <w:rPr>
            <w:rStyle w:val="Hyperlink"/>
            <w:noProof/>
            <w:lang w:val="en-US"/>
          </w:rPr>
          <w:t>Note 1</w:t>
        </w:r>
        <w:r w:rsidR="009C7A12">
          <w:rPr>
            <w:rStyle w:val="Hyperlink"/>
            <w:noProof/>
            <w:lang w:val="en-US"/>
          </w:rPr>
          <w:t>8</w:t>
        </w:r>
        <w:r w:rsidR="004E5C92" w:rsidRPr="00C23094">
          <w:rPr>
            <w:rStyle w:val="Hyperlink"/>
            <w:noProof/>
            <w:lang w:val="en-US"/>
          </w:rPr>
          <w:tab/>
          <w:t>Provisions</w:t>
        </w:r>
        <w:r w:rsidR="004E5C92" w:rsidRPr="00C23094">
          <w:rPr>
            <w:rStyle w:val="Hyperlink"/>
            <w:noProof/>
            <w:webHidden/>
            <w:lang w:val="en-US"/>
          </w:rPr>
          <w:tab/>
        </w:r>
        <w:r w:rsidR="0096438E" w:rsidRPr="00C23094">
          <w:rPr>
            <w:rStyle w:val="Hyperlink"/>
            <w:noProof/>
            <w:webHidden/>
            <w:lang w:val="en-US"/>
          </w:rPr>
          <w:tab/>
        </w:r>
        <w:r w:rsidR="0069715C">
          <w:rPr>
            <w:rStyle w:val="Hyperlink"/>
            <w:noProof/>
            <w:webHidden/>
            <w:lang w:val="en-US"/>
          </w:rPr>
          <w:t>5</w:t>
        </w:r>
        <w:r w:rsidR="00E67402">
          <w:rPr>
            <w:rStyle w:val="Hyperlink"/>
            <w:noProof/>
            <w:webHidden/>
            <w:lang w:val="en-US"/>
          </w:rPr>
          <w:t>7</w:t>
        </w:r>
      </w:hyperlink>
    </w:p>
    <w:p w:rsidR="004E5C92" w:rsidRPr="00C23094" w:rsidRDefault="006A5037" w:rsidP="002F117B">
      <w:pPr>
        <w:pStyle w:val="TOC1"/>
        <w:spacing w:before="120"/>
        <w:ind w:right="1134"/>
        <w:rPr>
          <w:rStyle w:val="Hyperlink"/>
          <w:noProof/>
          <w:lang w:val="en-US"/>
        </w:rPr>
      </w:pPr>
      <w:hyperlink w:anchor="_Toc329011645" w:history="1">
        <w:r w:rsidR="004E5C92" w:rsidRPr="00C23094">
          <w:rPr>
            <w:rStyle w:val="Hyperlink"/>
            <w:noProof/>
            <w:lang w:val="en-US"/>
          </w:rPr>
          <w:t>Note 1</w:t>
        </w:r>
        <w:r w:rsidR="009C7A12">
          <w:rPr>
            <w:rStyle w:val="Hyperlink"/>
            <w:noProof/>
            <w:lang w:val="en-US"/>
          </w:rPr>
          <w:t>9</w:t>
        </w:r>
        <w:r w:rsidR="004E5C92" w:rsidRPr="00C23094">
          <w:rPr>
            <w:rStyle w:val="Hyperlink"/>
            <w:noProof/>
            <w:lang w:val="en-US"/>
          </w:rPr>
          <w:tab/>
          <w:t>Other debts</w:t>
        </w:r>
        <w:r w:rsidR="004E5C92" w:rsidRPr="00C23094">
          <w:rPr>
            <w:rStyle w:val="Hyperlink"/>
            <w:noProof/>
            <w:webHidden/>
            <w:lang w:val="en-US"/>
          </w:rPr>
          <w:tab/>
        </w:r>
        <w:r w:rsidR="0096438E" w:rsidRPr="00C23094">
          <w:rPr>
            <w:rStyle w:val="Hyperlink"/>
            <w:noProof/>
            <w:webHidden/>
            <w:lang w:val="en-US"/>
          </w:rPr>
          <w:tab/>
        </w:r>
        <w:r w:rsidR="0069715C">
          <w:rPr>
            <w:rStyle w:val="Hyperlink"/>
            <w:noProof/>
            <w:webHidden/>
            <w:lang w:val="en-US"/>
          </w:rPr>
          <w:t>5</w:t>
        </w:r>
        <w:r w:rsidR="00877BA7">
          <w:rPr>
            <w:rStyle w:val="Hyperlink"/>
            <w:noProof/>
            <w:webHidden/>
            <w:lang w:val="en-US"/>
          </w:rPr>
          <w:t>8</w:t>
        </w:r>
      </w:hyperlink>
    </w:p>
    <w:p w:rsidR="004E5C92" w:rsidRPr="00C23094" w:rsidRDefault="006A5037" w:rsidP="002F117B">
      <w:pPr>
        <w:pStyle w:val="TOC1"/>
        <w:spacing w:before="120"/>
        <w:ind w:right="1134"/>
        <w:rPr>
          <w:rStyle w:val="Hyperlink"/>
          <w:noProof/>
          <w:lang w:val="en-US"/>
        </w:rPr>
      </w:pPr>
      <w:hyperlink w:anchor="_Toc329011646" w:history="1">
        <w:r w:rsidR="004E5C92" w:rsidRPr="00C23094">
          <w:rPr>
            <w:rStyle w:val="Hyperlink"/>
            <w:noProof/>
            <w:lang w:val="en-US"/>
          </w:rPr>
          <w:t xml:space="preserve">Note </w:t>
        </w:r>
        <w:r w:rsidR="009C7A12">
          <w:rPr>
            <w:rStyle w:val="Hyperlink"/>
            <w:noProof/>
            <w:lang w:val="en-US"/>
          </w:rPr>
          <w:t>20</w:t>
        </w:r>
        <w:r w:rsidR="004E5C92" w:rsidRPr="00C23094">
          <w:rPr>
            <w:rStyle w:val="Hyperlink"/>
            <w:noProof/>
            <w:lang w:val="en-US"/>
          </w:rPr>
          <w:tab/>
          <w:t xml:space="preserve">Allocated and unallocated </w:t>
        </w:r>
        <w:r w:rsidR="00D6651A" w:rsidRPr="00C23094">
          <w:rPr>
            <w:rStyle w:val="Hyperlink"/>
            <w:noProof/>
            <w:lang w:val="en-US"/>
          </w:rPr>
          <w:t xml:space="preserve">extrabudgetary </w:t>
        </w:r>
        <w:r w:rsidR="004E5C92" w:rsidRPr="00C23094">
          <w:rPr>
            <w:rStyle w:val="Hyperlink"/>
            <w:noProof/>
            <w:lang w:val="en-US"/>
          </w:rPr>
          <w:t>funds</w:t>
        </w:r>
        <w:r w:rsidR="004E5C92" w:rsidRPr="00C23094">
          <w:rPr>
            <w:rStyle w:val="Hyperlink"/>
            <w:noProof/>
            <w:webHidden/>
            <w:lang w:val="en-US"/>
          </w:rPr>
          <w:tab/>
        </w:r>
        <w:r w:rsidR="0096438E" w:rsidRPr="00C23094">
          <w:rPr>
            <w:rStyle w:val="Hyperlink"/>
            <w:noProof/>
            <w:webHidden/>
            <w:lang w:val="en-US"/>
          </w:rPr>
          <w:tab/>
        </w:r>
        <w:r w:rsidR="0069715C">
          <w:rPr>
            <w:rStyle w:val="Hyperlink"/>
            <w:noProof/>
            <w:webHidden/>
            <w:lang w:val="en-US"/>
          </w:rPr>
          <w:t>5</w:t>
        </w:r>
        <w:r w:rsidR="00877BA7">
          <w:rPr>
            <w:rStyle w:val="Hyperlink"/>
            <w:noProof/>
            <w:webHidden/>
            <w:lang w:val="en-US"/>
          </w:rPr>
          <w:t>8</w:t>
        </w:r>
      </w:hyperlink>
    </w:p>
    <w:p w:rsidR="004E5C92" w:rsidRPr="00C23094" w:rsidRDefault="006A5037" w:rsidP="002F117B">
      <w:pPr>
        <w:pStyle w:val="TOC1"/>
        <w:spacing w:before="120"/>
        <w:ind w:right="1134"/>
        <w:rPr>
          <w:rStyle w:val="Hyperlink"/>
          <w:noProof/>
          <w:lang w:val="en-US"/>
        </w:rPr>
      </w:pPr>
      <w:hyperlink w:anchor="_Toc329011647" w:history="1">
        <w:r w:rsidR="004E5C92" w:rsidRPr="00C23094">
          <w:rPr>
            <w:rStyle w:val="Hyperlink"/>
            <w:noProof/>
            <w:lang w:val="en-US"/>
          </w:rPr>
          <w:t>Note 2</w:t>
        </w:r>
        <w:r w:rsidR="009C7A12">
          <w:rPr>
            <w:rStyle w:val="Hyperlink"/>
            <w:noProof/>
            <w:lang w:val="en-US"/>
          </w:rPr>
          <w:t>1</w:t>
        </w:r>
        <w:r w:rsidR="004E5C92" w:rsidRPr="00C23094">
          <w:rPr>
            <w:rStyle w:val="Hyperlink"/>
            <w:noProof/>
            <w:lang w:val="en-US"/>
          </w:rPr>
          <w:tab/>
          <w:t>Assessed contributions</w:t>
        </w:r>
        <w:r w:rsidR="004E5C92" w:rsidRPr="00C23094">
          <w:rPr>
            <w:rStyle w:val="Hyperlink"/>
            <w:noProof/>
            <w:webHidden/>
            <w:lang w:val="en-US"/>
          </w:rPr>
          <w:tab/>
        </w:r>
        <w:r w:rsidR="0096438E" w:rsidRPr="00C23094">
          <w:rPr>
            <w:rStyle w:val="Hyperlink"/>
            <w:noProof/>
            <w:webHidden/>
            <w:lang w:val="en-US"/>
          </w:rPr>
          <w:tab/>
        </w:r>
        <w:r w:rsidR="0069715C">
          <w:rPr>
            <w:rStyle w:val="Hyperlink"/>
            <w:noProof/>
            <w:webHidden/>
            <w:lang w:val="en-US"/>
          </w:rPr>
          <w:t>5</w:t>
        </w:r>
      </w:hyperlink>
      <w:r w:rsidR="00E5198F">
        <w:rPr>
          <w:rStyle w:val="Hyperlink"/>
          <w:noProof/>
          <w:lang w:val="en-US"/>
        </w:rPr>
        <w:t>8</w:t>
      </w:r>
    </w:p>
    <w:p w:rsidR="004E5C92" w:rsidRPr="00C23094" w:rsidRDefault="006A5037" w:rsidP="002F117B">
      <w:pPr>
        <w:pStyle w:val="TOC1"/>
        <w:spacing w:before="120"/>
        <w:ind w:right="1134"/>
        <w:rPr>
          <w:rStyle w:val="Hyperlink"/>
          <w:noProof/>
          <w:lang w:val="en-US"/>
        </w:rPr>
      </w:pPr>
      <w:hyperlink w:anchor="_Toc329011648" w:history="1">
        <w:r w:rsidR="004E5C92" w:rsidRPr="00C23094">
          <w:rPr>
            <w:rStyle w:val="Hyperlink"/>
            <w:noProof/>
            <w:lang w:val="en-US"/>
          </w:rPr>
          <w:t>Note 2</w:t>
        </w:r>
        <w:r w:rsidR="009C7A12">
          <w:rPr>
            <w:rStyle w:val="Hyperlink"/>
            <w:noProof/>
            <w:lang w:val="en-US"/>
          </w:rPr>
          <w:t>2</w:t>
        </w:r>
        <w:r w:rsidR="004E5C92" w:rsidRPr="00C23094">
          <w:rPr>
            <w:rStyle w:val="Hyperlink"/>
            <w:noProof/>
            <w:lang w:val="en-US"/>
          </w:rPr>
          <w:tab/>
        </w:r>
        <w:r w:rsidR="00D6651A" w:rsidRPr="00C23094">
          <w:rPr>
            <w:rStyle w:val="Hyperlink"/>
            <w:noProof/>
            <w:lang w:val="en-US"/>
          </w:rPr>
          <w:t>Revenue</w:t>
        </w:r>
        <w:r w:rsidR="004E5C92" w:rsidRPr="00C23094">
          <w:rPr>
            <w:rStyle w:val="Hyperlink"/>
            <w:noProof/>
            <w:webHidden/>
            <w:lang w:val="en-US"/>
          </w:rPr>
          <w:tab/>
        </w:r>
        <w:r w:rsidR="0096438E" w:rsidRPr="00C23094">
          <w:rPr>
            <w:rStyle w:val="Hyperlink"/>
            <w:noProof/>
            <w:webHidden/>
            <w:lang w:val="en-US"/>
          </w:rPr>
          <w:tab/>
        </w:r>
        <w:r w:rsidR="00E67402">
          <w:rPr>
            <w:rStyle w:val="Hyperlink"/>
            <w:noProof/>
            <w:webHidden/>
            <w:lang w:val="en-US"/>
          </w:rPr>
          <w:t>59</w:t>
        </w:r>
      </w:hyperlink>
    </w:p>
    <w:p w:rsidR="004E5C92" w:rsidRPr="00C23094" w:rsidRDefault="006A5037" w:rsidP="002F117B">
      <w:pPr>
        <w:pStyle w:val="TOC1"/>
        <w:spacing w:before="120"/>
        <w:ind w:right="1134"/>
        <w:rPr>
          <w:rStyle w:val="Hyperlink"/>
          <w:noProof/>
          <w:lang w:val="en-US"/>
        </w:rPr>
      </w:pPr>
      <w:hyperlink w:anchor="_Toc329011649" w:history="1">
        <w:r w:rsidR="004E5C92" w:rsidRPr="00C23094">
          <w:rPr>
            <w:rStyle w:val="Hyperlink"/>
            <w:noProof/>
            <w:lang w:val="en-US"/>
          </w:rPr>
          <w:t>Note 2</w:t>
        </w:r>
        <w:r w:rsidR="009C7A12">
          <w:rPr>
            <w:rStyle w:val="Hyperlink"/>
            <w:noProof/>
            <w:lang w:val="en-US"/>
          </w:rPr>
          <w:t>3</w:t>
        </w:r>
        <w:r w:rsidR="004E5C92" w:rsidRPr="00C23094">
          <w:rPr>
            <w:rStyle w:val="Hyperlink"/>
            <w:noProof/>
            <w:lang w:val="en-US"/>
          </w:rPr>
          <w:tab/>
        </w:r>
        <w:r w:rsidR="00D6651A" w:rsidRPr="00C23094">
          <w:rPr>
            <w:rStyle w:val="Hyperlink"/>
            <w:noProof/>
            <w:lang w:val="en-US"/>
          </w:rPr>
          <w:t>Expenses</w:t>
        </w:r>
        <w:r w:rsidR="004E5C92" w:rsidRPr="00C23094">
          <w:rPr>
            <w:rStyle w:val="Hyperlink"/>
            <w:noProof/>
            <w:webHidden/>
            <w:lang w:val="en-US"/>
          </w:rPr>
          <w:tab/>
        </w:r>
        <w:r w:rsidR="0096438E" w:rsidRPr="00C23094">
          <w:rPr>
            <w:rStyle w:val="Hyperlink"/>
            <w:noProof/>
            <w:webHidden/>
            <w:lang w:val="en-US"/>
          </w:rPr>
          <w:tab/>
        </w:r>
      </w:hyperlink>
      <w:r w:rsidR="00877BA7" w:rsidRPr="00877BA7">
        <w:rPr>
          <w:rStyle w:val="Hyperlink"/>
          <w:noProof/>
          <w:color w:val="auto"/>
          <w:u w:val="none"/>
          <w:lang w:val="en-US"/>
        </w:rPr>
        <w:t>6</w:t>
      </w:r>
      <w:r w:rsidR="00E67402">
        <w:rPr>
          <w:rStyle w:val="Hyperlink"/>
          <w:noProof/>
          <w:color w:val="auto"/>
          <w:u w:val="none"/>
          <w:lang w:val="en-US"/>
        </w:rPr>
        <w:t>0</w:t>
      </w:r>
    </w:p>
    <w:p w:rsidR="004E5C92" w:rsidRDefault="006A5037" w:rsidP="002F117B">
      <w:pPr>
        <w:pStyle w:val="TOC1"/>
        <w:spacing w:before="120"/>
        <w:ind w:right="1134"/>
        <w:rPr>
          <w:rStyle w:val="Hyperlink"/>
          <w:noProof/>
          <w:color w:val="auto"/>
          <w:u w:val="none"/>
          <w:lang w:val="en-US"/>
        </w:rPr>
      </w:pPr>
      <w:hyperlink w:anchor="_Toc329011650" w:history="1">
        <w:r w:rsidR="004E5C92" w:rsidRPr="00C23094">
          <w:rPr>
            <w:rStyle w:val="Hyperlink"/>
            <w:noProof/>
            <w:lang w:val="en-US"/>
          </w:rPr>
          <w:t>Note 2</w:t>
        </w:r>
        <w:r w:rsidR="009C7A12">
          <w:rPr>
            <w:rStyle w:val="Hyperlink"/>
            <w:noProof/>
            <w:lang w:val="en-US"/>
          </w:rPr>
          <w:t>4</w:t>
        </w:r>
        <w:r w:rsidR="004E5C92" w:rsidRPr="00C23094">
          <w:rPr>
            <w:rStyle w:val="Hyperlink"/>
            <w:noProof/>
            <w:lang w:val="en-US"/>
          </w:rPr>
          <w:tab/>
        </w:r>
        <w:r w:rsidR="00D6651A" w:rsidRPr="00C23094">
          <w:rPr>
            <w:rStyle w:val="Hyperlink"/>
            <w:noProof/>
            <w:lang w:val="en-US"/>
          </w:rPr>
          <w:t xml:space="preserve">Segment reporting – Statement of financial performance </w:t>
        </w:r>
        <w:r w:rsidR="00111BDD">
          <w:rPr>
            <w:rStyle w:val="Hyperlink"/>
            <w:noProof/>
            <w:lang w:val="en-US"/>
          </w:rPr>
          <w:t>201</w:t>
        </w:r>
        <w:r w:rsidR="00C47B2F">
          <w:rPr>
            <w:rStyle w:val="Hyperlink"/>
            <w:noProof/>
            <w:lang w:val="en-US"/>
          </w:rPr>
          <w:t>6</w:t>
        </w:r>
        <w:r w:rsidR="004E5C92" w:rsidRPr="00C23094">
          <w:rPr>
            <w:rStyle w:val="Hyperlink"/>
            <w:noProof/>
            <w:webHidden/>
            <w:lang w:val="en-US"/>
          </w:rPr>
          <w:tab/>
        </w:r>
        <w:r w:rsidR="0096438E" w:rsidRPr="00C23094">
          <w:rPr>
            <w:rStyle w:val="Hyperlink"/>
            <w:noProof/>
            <w:webHidden/>
            <w:lang w:val="en-US"/>
          </w:rPr>
          <w:tab/>
        </w:r>
      </w:hyperlink>
      <w:r w:rsidR="00877BA7" w:rsidRPr="00877BA7">
        <w:rPr>
          <w:rStyle w:val="Hyperlink"/>
          <w:noProof/>
          <w:color w:val="auto"/>
          <w:u w:val="none"/>
          <w:lang w:val="en-US"/>
        </w:rPr>
        <w:t>6</w:t>
      </w:r>
      <w:r w:rsidR="00E5198F">
        <w:rPr>
          <w:rStyle w:val="Hyperlink"/>
          <w:noProof/>
          <w:color w:val="auto"/>
          <w:u w:val="none"/>
          <w:lang w:val="en-US"/>
        </w:rPr>
        <w:t>2</w:t>
      </w:r>
    </w:p>
    <w:p w:rsidR="00E35C0B" w:rsidRDefault="006A5037" w:rsidP="002F117B">
      <w:pPr>
        <w:pStyle w:val="TOC1"/>
        <w:spacing w:before="120"/>
        <w:ind w:right="1134"/>
        <w:rPr>
          <w:rStyle w:val="Hyperlink"/>
          <w:noProof/>
          <w:color w:val="auto"/>
          <w:u w:val="none"/>
          <w:lang w:val="en-US"/>
        </w:rPr>
      </w:pPr>
      <w:hyperlink w:anchor="_Toc329011650" w:history="1">
        <w:r w:rsidR="00E35C0B" w:rsidRPr="00C23094">
          <w:rPr>
            <w:rStyle w:val="Hyperlink"/>
            <w:noProof/>
            <w:lang w:val="en-US"/>
          </w:rPr>
          <w:t>Note 2</w:t>
        </w:r>
        <w:r w:rsidR="009C7A12">
          <w:rPr>
            <w:rStyle w:val="Hyperlink"/>
            <w:noProof/>
            <w:lang w:val="en-US"/>
          </w:rPr>
          <w:t>5</w:t>
        </w:r>
        <w:r w:rsidR="00E35C0B" w:rsidRPr="00C23094">
          <w:rPr>
            <w:rStyle w:val="Hyperlink"/>
            <w:noProof/>
            <w:lang w:val="en-US"/>
          </w:rPr>
          <w:tab/>
        </w:r>
        <w:r w:rsidR="00E35C0B">
          <w:rPr>
            <w:rStyle w:val="Hyperlink"/>
            <w:noProof/>
            <w:lang w:val="en-US"/>
          </w:rPr>
          <w:t xml:space="preserve">Regional presence </w:t>
        </w:r>
        <w:r w:rsidR="00E35C0B" w:rsidRPr="00C23094">
          <w:rPr>
            <w:rStyle w:val="Hyperlink"/>
            <w:noProof/>
            <w:webHidden/>
            <w:lang w:val="en-US"/>
          </w:rPr>
          <w:tab/>
        </w:r>
        <w:r w:rsidR="00E35C0B" w:rsidRPr="00C23094">
          <w:rPr>
            <w:rStyle w:val="Hyperlink"/>
            <w:noProof/>
            <w:webHidden/>
            <w:lang w:val="en-US"/>
          </w:rPr>
          <w:tab/>
        </w:r>
      </w:hyperlink>
      <w:r w:rsidR="00877BA7" w:rsidRPr="00877BA7">
        <w:rPr>
          <w:rStyle w:val="Hyperlink"/>
          <w:noProof/>
          <w:color w:val="auto"/>
          <w:u w:val="none"/>
          <w:lang w:val="en-US"/>
        </w:rPr>
        <w:t>6</w:t>
      </w:r>
      <w:r w:rsidR="00E5198F">
        <w:rPr>
          <w:rStyle w:val="Hyperlink"/>
          <w:noProof/>
          <w:color w:val="auto"/>
          <w:u w:val="none"/>
          <w:lang w:val="en-US"/>
        </w:rPr>
        <w:t>4</w:t>
      </w:r>
    </w:p>
    <w:p w:rsidR="004E5C92" w:rsidRPr="00C23094" w:rsidRDefault="006A5037" w:rsidP="002F117B">
      <w:pPr>
        <w:pStyle w:val="TOC1"/>
        <w:spacing w:before="120"/>
        <w:ind w:right="1134"/>
        <w:rPr>
          <w:rStyle w:val="Hyperlink"/>
          <w:noProof/>
          <w:lang w:val="en-US"/>
        </w:rPr>
      </w:pPr>
      <w:hyperlink w:anchor="_Toc329011651" w:history="1">
        <w:r w:rsidR="004E5C92" w:rsidRPr="00C23094">
          <w:rPr>
            <w:rStyle w:val="Hyperlink"/>
            <w:noProof/>
            <w:lang w:val="en-US"/>
          </w:rPr>
          <w:t>Note 2</w:t>
        </w:r>
        <w:r w:rsidR="009C7A12">
          <w:rPr>
            <w:rStyle w:val="Hyperlink"/>
            <w:noProof/>
            <w:lang w:val="en-US"/>
          </w:rPr>
          <w:t>6</w:t>
        </w:r>
        <w:r w:rsidR="004E5C92" w:rsidRPr="00C23094">
          <w:rPr>
            <w:rStyle w:val="Hyperlink"/>
            <w:noProof/>
            <w:lang w:val="en-US"/>
          </w:rPr>
          <w:tab/>
        </w:r>
        <w:r w:rsidR="00F84E71" w:rsidRPr="00C23094">
          <w:rPr>
            <w:rStyle w:val="Hyperlink"/>
            <w:noProof/>
            <w:lang w:val="en-US"/>
          </w:rPr>
          <w:t>Reconciliation between budgeted amounts and actual amounts</w:t>
        </w:r>
        <w:r w:rsidR="004E5C92" w:rsidRPr="00C23094">
          <w:rPr>
            <w:rStyle w:val="Hyperlink"/>
            <w:noProof/>
            <w:webHidden/>
            <w:lang w:val="en-US"/>
          </w:rPr>
          <w:tab/>
        </w:r>
        <w:r w:rsidR="0096438E" w:rsidRPr="00C23094">
          <w:rPr>
            <w:rStyle w:val="Hyperlink"/>
            <w:noProof/>
            <w:webHidden/>
            <w:lang w:val="en-US"/>
          </w:rPr>
          <w:tab/>
        </w:r>
        <w:r w:rsidR="0069715C">
          <w:rPr>
            <w:rStyle w:val="Hyperlink"/>
            <w:noProof/>
            <w:webHidden/>
            <w:lang w:val="en-US"/>
          </w:rPr>
          <w:t>6</w:t>
        </w:r>
        <w:r w:rsidR="00E5198F">
          <w:rPr>
            <w:rStyle w:val="Hyperlink"/>
            <w:noProof/>
            <w:webHidden/>
            <w:lang w:val="en-US"/>
          </w:rPr>
          <w:t>4</w:t>
        </w:r>
      </w:hyperlink>
    </w:p>
    <w:p w:rsidR="004E5C92" w:rsidRPr="00C23094" w:rsidRDefault="006A5037" w:rsidP="002F117B">
      <w:pPr>
        <w:pStyle w:val="TOC1"/>
        <w:spacing w:before="120"/>
        <w:ind w:right="1134"/>
        <w:rPr>
          <w:rStyle w:val="Hyperlink"/>
          <w:noProof/>
          <w:lang w:val="en-US"/>
        </w:rPr>
      </w:pPr>
      <w:hyperlink w:anchor="_Toc329011652" w:history="1">
        <w:r w:rsidR="004E5C92" w:rsidRPr="00C23094">
          <w:rPr>
            <w:rStyle w:val="Hyperlink"/>
            <w:noProof/>
          </w:rPr>
          <w:t>Note 2</w:t>
        </w:r>
        <w:r w:rsidR="009C7A12">
          <w:rPr>
            <w:rStyle w:val="Hyperlink"/>
            <w:noProof/>
          </w:rPr>
          <w:t>7</w:t>
        </w:r>
        <w:r w:rsidR="004E5C92" w:rsidRPr="00C23094">
          <w:rPr>
            <w:rStyle w:val="Hyperlink"/>
            <w:noProof/>
          </w:rPr>
          <w:tab/>
        </w:r>
        <w:r w:rsidR="004955C8" w:rsidRPr="00C23094">
          <w:rPr>
            <w:rStyle w:val="Hyperlink"/>
            <w:noProof/>
          </w:rPr>
          <w:t>Related-party disclosures</w:t>
        </w:r>
        <w:r w:rsidR="004E5C92" w:rsidRPr="00C23094">
          <w:rPr>
            <w:rStyle w:val="Hyperlink"/>
            <w:noProof/>
            <w:webHidden/>
          </w:rPr>
          <w:tab/>
        </w:r>
        <w:r w:rsidR="0096438E" w:rsidRPr="00C23094">
          <w:rPr>
            <w:rStyle w:val="Hyperlink"/>
            <w:noProof/>
            <w:webHidden/>
          </w:rPr>
          <w:tab/>
        </w:r>
        <w:r w:rsidR="0069715C">
          <w:rPr>
            <w:rStyle w:val="Hyperlink"/>
            <w:noProof/>
            <w:webHidden/>
          </w:rPr>
          <w:t>6</w:t>
        </w:r>
        <w:r w:rsidR="00E5198F">
          <w:rPr>
            <w:rStyle w:val="Hyperlink"/>
            <w:noProof/>
            <w:webHidden/>
          </w:rPr>
          <w:t>5</w:t>
        </w:r>
      </w:hyperlink>
    </w:p>
    <w:p w:rsidR="004E5C92" w:rsidRPr="00C23094" w:rsidRDefault="006A5037" w:rsidP="002F117B">
      <w:pPr>
        <w:pStyle w:val="TOC1"/>
        <w:spacing w:before="120"/>
        <w:ind w:right="1134"/>
        <w:rPr>
          <w:rStyle w:val="Hyperlink"/>
          <w:noProof/>
          <w:lang w:val="en-US"/>
        </w:rPr>
      </w:pPr>
      <w:hyperlink w:anchor="_Toc329011653" w:history="1">
        <w:r w:rsidR="004E5C92" w:rsidRPr="00C23094">
          <w:rPr>
            <w:rStyle w:val="Hyperlink"/>
            <w:noProof/>
            <w:lang w:val="en-US"/>
          </w:rPr>
          <w:t>Note 2</w:t>
        </w:r>
        <w:r w:rsidR="009C7A12">
          <w:rPr>
            <w:rStyle w:val="Hyperlink"/>
            <w:noProof/>
            <w:lang w:val="en-US"/>
          </w:rPr>
          <w:t>8</w:t>
        </w:r>
        <w:r w:rsidR="004E5C92" w:rsidRPr="00C23094">
          <w:rPr>
            <w:rStyle w:val="Hyperlink"/>
            <w:noProof/>
            <w:lang w:val="en-US"/>
          </w:rPr>
          <w:tab/>
        </w:r>
        <w:r w:rsidR="004955C8" w:rsidRPr="00C23094">
          <w:rPr>
            <w:rStyle w:val="Hyperlink"/>
            <w:noProof/>
            <w:lang w:val="en-US"/>
          </w:rPr>
          <w:t>Obligations</w:t>
        </w:r>
        <w:r w:rsidR="004E5C92" w:rsidRPr="00C23094">
          <w:rPr>
            <w:rStyle w:val="Hyperlink"/>
            <w:noProof/>
            <w:webHidden/>
            <w:lang w:val="en-US"/>
          </w:rPr>
          <w:tab/>
        </w:r>
        <w:r w:rsidR="0096438E" w:rsidRPr="00C23094">
          <w:rPr>
            <w:rStyle w:val="Hyperlink"/>
            <w:noProof/>
            <w:webHidden/>
            <w:lang w:val="en-US"/>
          </w:rPr>
          <w:tab/>
        </w:r>
        <w:r w:rsidR="006E776D" w:rsidRPr="00C23094">
          <w:rPr>
            <w:rStyle w:val="Hyperlink"/>
            <w:noProof/>
            <w:webHidden/>
            <w:lang w:val="en-US"/>
          </w:rPr>
          <w:t>6</w:t>
        </w:r>
        <w:r w:rsidR="00E5198F">
          <w:rPr>
            <w:rStyle w:val="Hyperlink"/>
            <w:noProof/>
            <w:webHidden/>
            <w:lang w:val="en-US"/>
          </w:rPr>
          <w:t>6</w:t>
        </w:r>
      </w:hyperlink>
    </w:p>
    <w:p w:rsidR="004E5C92" w:rsidRPr="00C23094" w:rsidRDefault="006A5037" w:rsidP="002F117B">
      <w:pPr>
        <w:pStyle w:val="TOC1"/>
        <w:spacing w:before="120"/>
        <w:ind w:right="1134"/>
        <w:rPr>
          <w:rStyle w:val="Hyperlink"/>
          <w:noProof/>
          <w:lang w:val="en-US"/>
        </w:rPr>
      </w:pPr>
      <w:hyperlink w:anchor="_Toc329011654" w:history="1">
        <w:r w:rsidR="004E5C92" w:rsidRPr="00C23094">
          <w:rPr>
            <w:rStyle w:val="Hyperlink"/>
            <w:noProof/>
            <w:lang w:val="en-US"/>
          </w:rPr>
          <w:t>Note 2</w:t>
        </w:r>
        <w:r w:rsidR="009C7A12">
          <w:rPr>
            <w:rStyle w:val="Hyperlink"/>
            <w:noProof/>
            <w:lang w:val="en-US"/>
          </w:rPr>
          <w:t>9</w:t>
        </w:r>
        <w:r w:rsidR="004E5C92" w:rsidRPr="00C23094">
          <w:rPr>
            <w:rStyle w:val="Hyperlink"/>
            <w:noProof/>
            <w:lang w:val="en-US"/>
          </w:rPr>
          <w:tab/>
        </w:r>
        <w:r w:rsidR="004955C8" w:rsidRPr="00C23094">
          <w:rPr>
            <w:rStyle w:val="Hyperlink"/>
            <w:noProof/>
            <w:lang w:val="en-US"/>
          </w:rPr>
          <w:t>Events after the reporting date</w:t>
        </w:r>
        <w:r w:rsidR="004E5C92" w:rsidRPr="00C23094">
          <w:rPr>
            <w:rStyle w:val="Hyperlink"/>
            <w:noProof/>
            <w:webHidden/>
            <w:lang w:val="en-US"/>
          </w:rPr>
          <w:tab/>
        </w:r>
        <w:r w:rsidR="0096438E" w:rsidRPr="00C23094">
          <w:rPr>
            <w:rStyle w:val="Hyperlink"/>
            <w:noProof/>
            <w:webHidden/>
            <w:lang w:val="en-US"/>
          </w:rPr>
          <w:tab/>
        </w:r>
        <w:r w:rsidR="004955C8" w:rsidRPr="00C23094">
          <w:rPr>
            <w:rStyle w:val="Hyperlink"/>
            <w:noProof/>
            <w:webHidden/>
            <w:lang w:val="en-US"/>
          </w:rPr>
          <w:t>6</w:t>
        </w:r>
        <w:r w:rsidR="00E5198F">
          <w:rPr>
            <w:rStyle w:val="Hyperlink"/>
            <w:noProof/>
            <w:webHidden/>
            <w:lang w:val="en-US"/>
          </w:rPr>
          <w:t>7</w:t>
        </w:r>
      </w:hyperlink>
    </w:p>
    <w:p w:rsidR="0022373A" w:rsidRPr="001C2A98" w:rsidRDefault="0022373A" w:rsidP="00C076D4">
      <w:pPr>
        <w:pStyle w:val="TOC1"/>
        <w:spacing w:before="120"/>
        <w:ind w:right="1134"/>
        <w:rPr>
          <w:b/>
          <w:sz w:val="28"/>
          <w:lang w:val="en-US"/>
        </w:rPr>
      </w:pPr>
      <w:r w:rsidRPr="00C23094">
        <w:rPr>
          <w:rStyle w:val="Hyperlink"/>
          <w:noProof/>
        </w:rPr>
        <w:fldChar w:fldCharType="end"/>
      </w:r>
      <w:bookmarkStart w:id="18" w:name="_Toc304390545"/>
      <w:bookmarkStart w:id="19" w:name="_Toc304406411"/>
      <w:r w:rsidRPr="001C2A98">
        <w:rPr>
          <w:lang w:val="en-US"/>
        </w:rPr>
        <w:br w:type="page"/>
      </w:r>
    </w:p>
    <w:p w:rsidR="008D6FDF" w:rsidRPr="000D09E0" w:rsidRDefault="0022373A" w:rsidP="00C404A9">
      <w:pPr>
        <w:pStyle w:val="Tabletext"/>
        <w:jc w:val="center"/>
        <w:rPr>
          <w:b/>
          <w:bCs/>
          <w:noProof/>
          <w:lang w:val="en-US" w:eastAsia="zh-CN"/>
        </w:rPr>
      </w:pPr>
      <w:bookmarkStart w:id="20" w:name="_Toc305764056"/>
      <w:bookmarkStart w:id="21" w:name="_Toc329011603"/>
      <w:r w:rsidRPr="000D09E0">
        <w:rPr>
          <w:b/>
          <w:bCs/>
          <w:sz w:val="28"/>
          <w:szCs w:val="28"/>
          <w:lang w:val="en-US"/>
        </w:rPr>
        <w:t xml:space="preserve">I – </w:t>
      </w:r>
      <w:bookmarkEnd w:id="18"/>
      <w:bookmarkEnd w:id="19"/>
      <w:r w:rsidRPr="000D09E0">
        <w:rPr>
          <w:b/>
          <w:bCs/>
          <w:sz w:val="28"/>
          <w:szCs w:val="28"/>
          <w:lang w:val="en-US"/>
        </w:rPr>
        <w:t xml:space="preserve">Statement of financial position – Balance sheet at 31 December </w:t>
      </w:r>
      <w:bookmarkEnd w:id="20"/>
      <w:r w:rsidR="00111BDD" w:rsidRPr="000D09E0">
        <w:rPr>
          <w:b/>
          <w:bCs/>
          <w:sz w:val="28"/>
          <w:szCs w:val="28"/>
          <w:lang w:val="en-US"/>
        </w:rPr>
        <w:t>201</w:t>
      </w:r>
      <w:r w:rsidR="00A372DE" w:rsidRPr="000D09E0">
        <w:rPr>
          <w:b/>
          <w:bCs/>
          <w:sz w:val="28"/>
          <w:szCs w:val="28"/>
          <w:lang w:val="en-US"/>
        </w:rPr>
        <w:t>7</w:t>
      </w:r>
      <w:r w:rsidRPr="000D09E0">
        <w:rPr>
          <w:b/>
          <w:bCs/>
          <w:sz w:val="28"/>
          <w:szCs w:val="28"/>
          <w:lang w:val="en-US"/>
        </w:rPr>
        <w:t xml:space="preserve"> with comparative figures as at 31 December 201</w:t>
      </w:r>
      <w:bookmarkEnd w:id="21"/>
      <w:r w:rsidR="00A372DE" w:rsidRPr="000D09E0">
        <w:rPr>
          <w:b/>
          <w:bCs/>
          <w:sz w:val="28"/>
          <w:szCs w:val="28"/>
          <w:lang w:val="en-US"/>
        </w:rPr>
        <w:t>6</w:t>
      </w:r>
      <w:bookmarkStart w:id="22" w:name="_Toc305764057"/>
      <w:bookmarkStart w:id="23" w:name="_Toc329011604"/>
    </w:p>
    <w:tbl>
      <w:tblPr>
        <w:tblW w:w="5000" w:type="pct"/>
        <w:tblLook w:val="04A0" w:firstRow="1" w:lastRow="0" w:firstColumn="1" w:lastColumn="0" w:noHBand="0" w:noVBand="1"/>
      </w:tblPr>
      <w:tblGrid>
        <w:gridCol w:w="5087"/>
        <w:gridCol w:w="928"/>
        <w:gridCol w:w="1878"/>
        <w:gridCol w:w="1878"/>
      </w:tblGrid>
      <w:tr w:rsidR="000D4435" w:rsidRPr="000D4435" w:rsidTr="000D4435">
        <w:trPr>
          <w:trHeight w:val="255"/>
        </w:trPr>
        <w:tc>
          <w:tcPr>
            <w:tcW w:w="2603" w:type="pct"/>
            <w:tcBorders>
              <w:top w:val="single" w:sz="4" w:space="0" w:color="auto"/>
              <w:left w:val="single" w:sz="4" w:space="0" w:color="auto"/>
              <w:bottom w:val="single" w:sz="4" w:space="0" w:color="auto"/>
              <w:right w:val="nil"/>
            </w:tcBorders>
            <w:shd w:val="clear" w:color="auto" w:fill="auto"/>
            <w:noWrap/>
            <w:vAlign w:val="bottom"/>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8"/>
                <w:szCs w:val="18"/>
                <w:lang w:val="en-US" w:eastAsia="zh-CN"/>
              </w:rPr>
            </w:pPr>
            <w:r w:rsidRPr="000D4435">
              <w:rPr>
                <w:rFonts w:ascii="Arial" w:hAnsi="Arial" w:cs="Arial"/>
                <w:color w:val="000000"/>
                <w:sz w:val="18"/>
                <w:szCs w:val="18"/>
                <w:lang w:val="en-US" w:eastAsia="zh-CN"/>
              </w:rPr>
              <w:t>(in thousands of CHF)</w:t>
            </w:r>
          </w:p>
        </w:tc>
        <w:tc>
          <w:tcPr>
            <w:tcW w:w="475" w:type="pct"/>
            <w:tcBorders>
              <w:top w:val="single" w:sz="4" w:space="0" w:color="auto"/>
              <w:left w:val="single" w:sz="4" w:space="0" w:color="auto"/>
              <w:bottom w:val="single" w:sz="4" w:space="0" w:color="auto"/>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6F42AE">
              <w:rPr>
                <w:rFonts w:ascii="Arial" w:hAnsi="Arial" w:cs="Arial"/>
                <w:b/>
                <w:bCs/>
                <w:color w:val="000000"/>
                <w:sz w:val="18"/>
                <w:szCs w:val="18"/>
                <w:lang w:val="en-US" w:eastAsia="zh-CN"/>
              </w:rPr>
              <w:t>Notes</w:t>
            </w:r>
          </w:p>
        </w:tc>
        <w:tc>
          <w:tcPr>
            <w:tcW w:w="961" w:type="pct"/>
            <w:tcBorders>
              <w:top w:val="single" w:sz="4" w:space="0" w:color="auto"/>
              <w:left w:val="nil"/>
              <w:bottom w:val="single" w:sz="4" w:space="0" w:color="auto"/>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0D4435">
              <w:rPr>
                <w:rFonts w:ascii="Arial" w:hAnsi="Arial" w:cs="Arial"/>
                <w:b/>
                <w:bCs/>
                <w:color w:val="000000"/>
                <w:sz w:val="18"/>
                <w:szCs w:val="18"/>
                <w:lang w:val="en-US" w:eastAsia="zh-CN"/>
              </w:rPr>
              <w:t>31/12/2017</w:t>
            </w:r>
          </w:p>
        </w:tc>
        <w:tc>
          <w:tcPr>
            <w:tcW w:w="961" w:type="pct"/>
            <w:tcBorders>
              <w:top w:val="single" w:sz="4" w:space="0" w:color="auto"/>
              <w:left w:val="nil"/>
              <w:bottom w:val="single" w:sz="4" w:space="0" w:color="auto"/>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0D4435">
              <w:rPr>
                <w:rFonts w:ascii="Arial" w:hAnsi="Arial" w:cs="Arial"/>
                <w:b/>
                <w:bCs/>
                <w:color w:val="000000"/>
                <w:sz w:val="18"/>
                <w:szCs w:val="18"/>
                <w:lang w:val="en-US" w:eastAsia="zh-CN"/>
              </w:rPr>
              <w:t>31/12/2016</w:t>
            </w:r>
          </w:p>
        </w:tc>
      </w:tr>
      <w:tr w:rsidR="000D4435" w:rsidRPr="000D4435" w:rsidTr="000D4435">
        <w:trPr>
          <w:trHeight w:val="255"/>
        </w:trPr>
        <w:tc>
          <w:tcPr>
            <w:tcW w:w="2603" w:type="pct"/>
            <w:tcBorders>
              <w:top w:val="nil"/>
              <w:left w:val="single" w:sz="4" w:space="0" w:color="auto"/>
              <w:bottom w:val="nil"/>
              <w:right w:val="nil"/>
            </w:tcBorders>
            <w:shd w:val="clear" w:color="auto" w:fill="auto"/>
            <w:hideMark/>
          </w:tcPr>
          <w:p w:rsidR="000D4435" w:rsidRPr="000D4435" w:rsidRDefault="000D4435" w:rsidP="00AE0A92">
            <w:pPr>
              <w:tabs>
                <w:tab w:val="clear" w:pos="567"/>
                <w:tab w:val="clear" w:pos="1134"/>
                <w:tab w:val="clear" w:pos="1701"/>
                <w:tab w:val="clear" w:pos="2268"/>
                <w:tab w:val="clear" w:pos="2835"/>
              </w:tabs>
              <w:overflowPunct/>
              <w:autoSpaceDE/>
              <w:autoSpaceDN/>
              <w:snapToGrid w:val="0"/>
              <w:spacing w:before="60"/>
              <w:textAlignment w:val="auto"/>
              <w:rPr>
                <w:rFonts w:ascii="Arial" w:hAnsi="Arial" w:cs="Arial"/>
                <w:b/>
                <w:bCs/>
                <w:color w:val="000000"/>
                <w:sz w:val="18"/>
                <w:szCs w:val="18"/>
                <w:lang w:val="en-US" w:eastAsia="zh-CN"/>
              </w:rPr>
            </w:pPr>
            <w:r w:rsidRPr="000D4435">
              <w:rPr>
                <w:rFonts w:ascii="Arial" w:hAnsi="Arial" w:cs="Arial"/>
                <w:b/>
                <w:bCs/>
                <w:color w:val="000000"/>
                <w:sz w:val="18"/>
                <w:szCs w:val="18"/>
                <w:lang w:val="en-US" w:eastAsia="zh-CN"/>
              </w:rPr>
              <w:t>ASSETS</w:t>
            </w:r>
          </w:p>
        </w:tc>
        <w:tc>
          <w:tcPr>
            <w:tcW w:w="475" w:type="pct"/>
            <w:tcBorders>
              <w:top w:val="nil"/>
              <w:left w:val="single" w:sz="4" w:space="0" w:color="auto"/>
              <w:bottom w:val="nil"/>
              <w:right w:val="single" w:sz="4" w:space="0" w:color="auto"/>
            </w:tcBorders>
            <w:shd w:val="clear" w:color="auto" w:fill="auto"/>
            <w:hideMark/>
          </w:tcPr>
          <w:p w:rsidR="000D4435" w:rsidRPr="000D4435" w:rsidRDefault="000D4435" w:rsidP="00900732">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8"/>
                <w:szCs w:val="18"/>
                <w:lang w:val="en-US" w:eastAsia="zh-CN"/>
              </w:rPr>
            </w:pPr>
          </w:p>
        </w:tc>
        <w:tc>
          <w:tcPr>
            <w:tcW w:w="961" w:type="pct"/>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0D4435">
              <w:rPr>
                <w:rFonts w:ascii="Arial" w:hAnsi="Arial" w:cs="Arial"/>
                <w:b/>
                <w:bCs/>
                <w:color w:val="000000"/>
                <w:sz w:val="18"/>
                <w:szCs w:val="18"/>
                <w:lang w:val="en-US" w:eastAsia="zh-CN"/>
              </w:rPr>
              <w:t> </w:t>
            </w:r>
          </w:p>
        </w:tc>
        <w:tc>
          <w:tcPr>
            <w:tcW w:w="961" w:type="pct"/>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0D4435">
              <w:rPr>
                <w:rFonts w:ascii="Arial" w:hAnsi="Arial" w:cs="Arial"/>
                <w:b/>
                <w:bCs/>
                <w:color w:val="000000"/>
                <w:sz w:val="18"/>
                <w:szCs w:val="18"/>
                <w:lang w:val="en-US" w:eastAsia="zh-CN"/>
              </w:rPr>
              <w:t> </w:t>
            </w:r>
          </w:p>
        </w:tc>
      </w:tr>
      <w:tr w:rsidR="000D4435" w:rsidRPr="000D4435" w:rsidTr="000D4435">
        <w:trPr>
          <w:trHeight w:val="255"/>
        </w:trPr>
        <w:tc>
          <w:tcPr>
            <w:tcW w:w="2603" w:type="pct"/>
            <w:tcBorders>
              <w:top w:val="nil"/>
              <w:left w:val="single" w:sz="4" w:space="0" w:color="auto"/>
              <w:bottom w:val="nil"/>
              <w:right w:val="nil"/>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8"/>
                <w:szCs w:val="18"/>
                <w:lang w:val="en-US" w:eastAsia="zh-CN"/>
              </w:rPr>
            </w:pPr>
            <w:r w:rsidRPr="000D4435">
              <w:rPr>
                <w:rFonts w:ascii="Arial" w:hAnsi="Arial" w:cs="Arial"/>
                <w:b/>
                <w:bCs/>
                <w:color w:val="000000"/>
                <w:sz w:val="18"/>
                <w:szCs w:val="18"/>
                <w:lang w:val="en-US" w:eastAsia="zh-CN"/>
              </w:rPr>
              <w:t>Current assets</w:t>
            </w:r>
          </w:p>
        </w:tc>
        <w:tc>
          <w:tcPr>
            <w:tcW w:w="475" w:type="pct"/>
            <w:tcBorders>
              <w:top w:val="nil"/>
              <w:left w:val="single" w:sz="4" w:space="0" w:color="auto"/>
              <w:bottom w:val="nil"/>
              <w:right w:val="single" w:sz="4" w:space="0" w:color="auto"/>
            </w:tcBorders>
            <w:shd w:val="clear" w:color="auto" w:fill="auto"/>
            <w:hideMark/>
          </w:tcPr>
          <w:p w:rsidR="000D4435" w:rsidRPr="000D4435" w:rsidRDefault="000D4435" w:rsidP="00900732">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8"/>
                <w:szCs w:val="18"/>
                <w:lang w:val="en-US" w:eastAsia="zh-CN"/>
              </w:rPr>
            </w:pPr>
          </w:p>
        </w:tc>
        <w:tc>
          <w:tcPr>
            <w:tcW w:w="961" w:type="pct"/>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0D4435">
              <w:rPr>
                <w:rFonts w:ascii="Arial" w:hAnsi="Arial" w:cs="Arial"/>
                <w:color w:val="000000"/>
                <w:sz w:val="18"/>
                <w:szCs w:val="18"/>
                <w:lang w:val="en-US" w:eastAsia="zh-CN"/>
              </w:rPr>
              <w:t> </w:t>
            </w:r>
          </w:p>
        </w:tc>
        <w:tc>
          <w:tcPr>
            <w:tcW w:w="961" w:type="pct"/>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0D4435">
              <w:rPr>
                <w:rFonts w:ascii="Arial" w:hAnsi="Arial" w:cs="Arial"/>
                <w:color w:val="000000"/>
                <w:sz w:val="18"/>
                <w:szCs w:val="18"/>
                <w:lang w:val="en-US" w:eastAsia="zh-CN"/>
              </w:rPr>
              <w:t> </w:t>
            </w:r>
          </w:p>
        </w:tc>
      </w:tr>
      <w:tr w:rsidR="000D4435" w:rsidRPr="000D4435" w:rsidTr="000D4435">
        <w:trPr>
          <w:trHeight w:val="255"/>
        </w:trPr>
        <w:tc>
          <w:tcPr>
            <w:tcW w:w="2603" w:type="pct"/>
            <w:tcBorders>
              <w:top w:val="nil"/>
              <w:left w:val="single" w:sz="4" w:space="0" w:color="auto"/>
              <w:bottom w:val="nil"/>
              <w:right w:val="nil"/>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8"/>
                <w:szCs w:val="18"/>
                <w:lang w:val="en-US" w:eastAsia="zh-CN"/>
              </w:rPr>
            </w:pPr>
            <w:r w:rsidRPr="000D4435">
              <w:rPr>
                <w:rFonts w:ascii="Arial" w:hAnsi="Arial" w:cs="Arial"/>
                <w:color w:val="000000"/>
                <w:sz w:val="18"/>
                <w:szCs w:val="18"/>
                <w:lang w:val="en-US" w:eastAsia="zh-CN"/>
              </w:rPr>
              <w:t>Cash and cash equivalents</w:t>
            </w:r>
          </w:p>
        </w:tc>
        <w:tc>
          <w:tcPr>
            <w:tcW w:w="475" w:type="pct"/>
            <w:tcBorders>
              <w:top w:val="nil"/>
              <w:left w:val="single" w:sz="4" w:space="0" w:color="auto"/>
              <w:bottom w:val="nil"/>
              <w:right w:val="single" w:sz="4" w:space="0" w:color="auto"/>
            </w:tcBorders>
            <w:shd w:val="clear" w:color="auto" w:fill="auto"/>
            <w:hideMark/>
          </w:tcPr>
          <w:p w:rsidR="000D4435" w:rsidRPr="000D4435" w:rsidRDefault="00B17F52" w:rsidP="00900732">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8"/>
                <w:szCs w:val="18"/>
                <w:lang w:val="en-US" w:eastAsia="zh-CN"/>
              </w:rPr>
            </w:pPr>
            <w:r>
              <w:rPr>
                <w:rFonts w:ascii="Arial" w:hAnsi="Arial" w:cs="Arial"/>
                <w:color w:val="000000"/>
                <w:sz w:val="18"/>
                <w:szCs w:val="18"/>
                <w:lang w:val="en-US" w:eastAsia="zh-CN"/>
              </w:rPr>
              <w:t>6</w:t>
            </w:r>
          </w:p>
        </w:tc>
        <w:tc>
          <w:tcPr>
            <w:tcW w:w="961" w:type="pct"/>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18"/>
                <w:szCs w:val="18"/>
                <w:lang w:val="en-US" w:eastAsia="zh-CN"/>
              </w:rPr>
            </w:pPr>
            <w:r w:rsidRPr="000D4435">
              <w:rPr>
                <w:rFonts w:ascii="Arial" w:hAnsi="Arial" w:cs="Arial"/>
                <w:sz w:val="18"/>
                <w:szCs w:val="18"/>
                <w:lang w:val="en-US" w:eastAsia="zh-CN"/>
              </w:rPr>
              <w:t xml:space="preserve">                135,297 </w:t>
            </w:r>
          </w:p>
        </w:tc>
        <w:tc>
          <w:tcPr>
            <w:tcW w:w="961" w:type="pct"/>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0D4435">
              <w:rPr>
                <w:rFonts w:ascii="Arial" w:hAnsi="Arial" w:cs="Arial"/>
                <w:color w:val="000000"/>
                <w:sz w:val="18"/>
                <w:szCs w:val="18"/>
                <w:lang w:val="en-US" w:eastAsia="zh-CN"/>
              </w:rPr>
              <w:t xml:space="preserve">                108,435 </w:t>
            </w:r>
          </w:p>
        </w:tc>
      </w:tr>
      <w:tr w:rsidR="000D4435" w:rsidRPr="000D4435" w:rsidTr="000D4435">
        <w:trPr>
          <w:trHeight w:val="255"/>
        </w:trPr>
        <w:tc>
          <w:tcPr>
            <w:tcW w:w="2603" w:type="pct"/>
            <w:tcBorders>
              <w:top w:val="nil"/>
              <w:left w:val="single" w:sz="4" w:space="0" w:color="auto"/>
              <w:bottom w:val="nil"/>
              <w:right w:val="nil"/>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8"/>
                <w:szCs w:val="18"/>
                <w:lang w:val="en-US" w:eastAsia="zh-CN"/>
              </w:rPr>
            </w:pPr>
            <w:r w:rsidRPr="000D4435">
              <w:rPr>
                <w:rFonts w:ascii="Arial" w:hAnsi="Arial" w:cs="Arial"/>
                <w:color w:val="000000"/>
                <w:sz w:val="18"/>
                <w:szCs w:val="18"/>
                <w:lang w:val="en-US" w:eastAsia="zh-CN"/>
              </w:rPr>
              <w:t>Investments</w:t>
            </w:r>
          </w:p>
        </w:tc>
        <w:tc>
          <w:tcPr>
            <w:tcW w:w="475" w:type="pct"/>
            <w:tcBorders>
              <w:top w:val="nil"/>
              <w:left w:val="single" w:sz="4" w:space="0" w:color="auto"/>
              <w:bottom w:val="nil"/>
              <w:right w:val="single" w:sz="4" w:space="0" w:color="auto"/>
            </w:tcBorders>
            <w:shd w:val="clear" w:color="auto" w:fill="auto"/>
            <w:hideMark/>
          </w:tcPr>
          <w:p w:rsidR="000D4435" w:rsidRPr="000D4435" w:rsidRDefault="00B17F52" w:rsidP="00900732">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8"/>
                <w:szCs w:val="18"/>
                <w:lang w:val="en-US" w:eastAsia="zh-CN"/>
              </w:rPr>
            </w:pPr>
            <w:r>
              <w:rPr>
                <w:rFonts w:ascii="Arial" w:hAnsi="Arial" w:cs="Arial"/>
                <w:color w:val="000000"/>
                <w:sz w:val="18"/>
                <w:szCs w:val="18"/>
                <w:lang w:val="en-US" w:eastAsia="zh-CN"/>
              </w:rPr>
              <w:t>7</w:t>
            </w:r>
          </w:p>
        </w:tc>
        <w:tc>
          <w:tcPr>
            <w:tcW w:w="961" w:type="pct"/>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18"/>
                <w:szCs w:val="18"/>
                <w:lang w:val="en-US" w:eastAsia="zh-CN"/>
              </w:rPr>
            </w:pPr>
            <w:r w:rsidRPr="000D4435">
              <w:rPr>
                <w:rFonts w:ascii="Arial" w:hAnsi="Arial" w:cs="Arial"/>
                <w:sz w:val="18"/>
                <w:szCs w:val="18"/>
                <w:lang w:val="en-US" w:eastAsia="zh-CN"/>
              </w:rPr>
              <w:t xml:space="preserve">                 31,363 </w:t>
            </w:r>
          </w:p>
        </w:tc>
        <w:tc>
          <w:tcPr>
            <w:tcW w:w="961" w:type="pct"/>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0D4435">
              <w:rPr>
                <w:rFonts w:ascii="Arial" w:hAnsi="Arial" w:cs="Arial"/>
                <w:color w:val="000000"/>
                <w:sz w:val="18"/>
                <w:szCs w:val="18"/>
                <w:lang w:val="en-US" w:eastAsia="zh-CN"/>
              </w:rPr>
              <w:t xml:space="preserve">                 64,980 </w:t>
            </w:r>
          </w:p>
        </w:tc>
      </w:tr>
      <w:tr w:rsidR="000D4435" w:rsidRPr="000D4435" w:rsidTr="000D4435">
        <w:trPr>
          <w:trHeight w:val="255"/>
        </w:trPr>
        <w:tc>
          <w:tcPr>
            <w:tcW w:w="2603" w:type="pct"/>
            <w:tcBorders>
              <w:top w:val="nil"/>
              <w:left w:val="single" w:sz="4" w:space="0" w:color="auto"/>
              <w:bottom w:val="nil"/>
              <w:right w:val="nil"/>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8"/>
                <w:szCs w:val="18"/>
                <w:lang w:val="en-US" w:eastAsia="zh-CN"/>
              </w:rPr>
            </w:pPr>
            <w:r w:rsidRPr="000D4435">
              <w:rPr>
                <w:rFonts w:ascii="Arial" w:hAnsi="Arial" w:cs="Arial"/>
                <w:color w:val="000000"/>
                <w:sz w:val="18"/>
                <w:szCs w:val="18"/>
                <w:lang w:val="en-US" w:eastAsia="zh-CN"/>
              </w:rPr>
              <w:t>Receivables - exchange transactions</w:t>
            </w:r>
          </w:p>
        </w:tc>
        <w:tc>
          <w:tcPr>
            <w:tcW w:w="475" w:type="pct"/>
            <w:tcBorders>
              <w:top w:val="nil"/>
              <w:left w:val="single" w:sz="4" w:space="0" w:color="auto"/>
              <w:bottom w:val="nil"/>
              <w:right w:val="single" w:sz="4" w:space="0" w:color="auto"/>
            </w:tcBorders>
            <w:shd w:val="clear" w:color="auto" w:fill="auto"/>
            <w:hideMark/>
          </w:tcPr>
          <w:p w:rsidR="000D4435" w:rsidRPr="000D4435" w:rsidRDefault="00B17F52" w:rsidP="00900732">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8"/>
                <w:szCs w:val="18"/>
                <w:lang w:val="en-US" w:eastAsia="zh-CN"/>
              </w:rPr>
            </w:pPr>
            <w:r>
              <w:rPr>
                <w:rFonts w:ascii="Arial" w:hAnsi="Arial" w:cs="Arial"/>
                <w:color w:val="000000"/>
                <w:sz w:val="18"/>
                <w:szCs w:val="18"/>
                <w:lang w:val="en-US" w:eastAsia="zh-CN"/>
              </w:rPr>
              <w:t>8</w:t>
            </w:r>
          </w:p>
        </w:tc>
        <w:tc>
          <w:tcPr>
            <w:tcW w:w="961" w:type="pct"/>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18"/>
                <w:szCs w:val="18"/>
                <w:lang w:val="en-US" w:eastAsia="zh-CN"/>
              </w:rPr>
            </w:pPr>
            <w:r w:rsidRPr="000D4435">
              <w:rPr>
                <w:rFonts w:ascii="Arial" w:hAnsi="Arial" w:cs="Arial"/>
                <w:sz w:val="18"/>
                <w:szCs w:val="18"/>
                <w:lang w:val="en-US" w:eastAsia="zh-CN"/>
              </w:rPr>
              <w:t xml:space="preserve">                   8,934 </w:t>
            </w:r>
          </w:p>
        </w:tc>
        <w:tc>
          <w:tcPr>
            <w:tcW w:w="961" w:type="pct"/>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0D4435">
              <w:rPr>
                <w:rFonts w:ascii="Arial" w:hAnsi="Arial" w:cs="Arial"/>
                <w:color w:val="000000"/>
                <w:sz w:val="18"/>
                <w:szCs w:val="18"/>
                <w:lang w:val="en-US" w:eastAsia="zh-CN"/>
              </w:rPr>
              <w:t xml:space="preserve">                   9,033 </w:t>
            </w:r>
          </w:p>
        </w:tc>
      </w:tr>
      <w:tr w:rsidR="000D4435" w:rsidRPr="000D4435" w:rsidTr="000D4435">
        <w:trPr>
          <w:trHeight w:val="255"/>
        </w:trPr>
        <w:tc>
          <w:tcPr>
            <w:tcW w:w="2603" w:type="pct"/>
            <w:tcBorders>
              <w:top w:val="nil"/>
              <w:left w:val="single" w:sz="4" w:space="0" w:color="auto"/>
              <w:bottom w:val="nil"/>
              <w:right w:val="nil"/>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8"/>
                <w:szCs w:val="18"/>
                <w:lang w:val="en-US" w:eastAsia="zh-CN"/>
              </w:rPr>
            </w:pPr>
            <w:r w:rsidRPr="000D4435">
              <w:rPr>
                <w:rFonts w:ascii="Arial" w:hAnsi="Arial" w:cs="Arial"/>
                <w:color w:val="000000"/>
                <w:sz w:val="18"/>
                <w:szCs w:val="18"/>
                <w:lang w:val="en-US" w:eastAsia="zh-CN"/>
              </w:rPr>
              <w:t>Receivables - non-exchange transactions</w:t>
            </w:r>
          </w:p>
        </w:tc>
        <w:tc>
          <w:tcPr>
            <w:tcW w:w="475" w:type="pct"/>
            <w:tcBorders>
              <w:top w:val="nil"/>
              <w:left w:val="single" w:sz="4" w:space="0" w:color="auto"/>
              <w:bottom w:val="nil"/>
              <w:right w:val="single" w:sz="4" w:space="0" w:color="auto"/>
            </w:tcBorders>
            <w:shd w:val="clear" w:color="auto" w:fill="auto"/>
            <w:hideMark/>
          </w:tcPr>
          <w:p w:rsidR="000D4435" w:rsidRPr="000D4435" w:rsidRDefault="00B17F52" w:rsidP="00900732">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8"/>
                <w:szCs w:val="18"/>
                <w:lang w:val="en-US" w:eastAsia="zh-CN"/>
              </w:rPr>
            </w:pPr>
            <w:r>
              <w:rPr>
                <w:rFonts w:ascii="Arial" w:hAnsi="Arial" w:cs="Arial"/>
                <w:color w:val="000000"/>
                <w:sz w:val="18"/>
                <w:szCs w:val="18"/>
                <w:lang w:val="en-US" w:eastAsia="zh-CN"/>
              </w:rPr>
              <w:t>8</w:t>
            </w:r>
          </w:p>
        </w:tc>
        <w:tc>
          <w:tcPr>
            <w:tcW w:w="961" w:type="pct"/>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18"/>
                <w:szCs w:val="18"/>
                <w:lang w:val="en-US" w:eastAsia="zh-CN"/>
              </w:rPr>
            </w:pPr>
            <w:r w:rsidRPr="000D4435">
              <w:rPr>
                <w:rFonts w:ascii="Arial" w:hAnsi="Arial" w:cs="Arial"/>
                <w:sz w:val="18"/>
                <w:szCs w:val="18"/>
                <w:lang w:val="en-US" w:eastAsia="zh-CN"/>
              </w:rPr>
              <w:t xml:space="preserve">                 88,139 </w:t>
            </w:r>
          </w:p>
        </w:tc>
        <w:tc>
          <w:tcPr>
            <w:tcW w:w="961" w:type="pct"/>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0D4435">
              <w:rPr>
                <w:rFonts w:ascii="Arial" w:hAnsi="Arial" w:cs="Arial"/>
                <w:color w:val="000000"/>
                <w:sz w:val="18"/>
                <w:szCs w:val="18"/>
                <w:lang w:val="en-US" w:eastAsia="zh-CN"/>
              </w:rPr>
              <w:t xml:space="preserve">                 76,469 </w:t>
            </w:r>
          </w:p>
        </w:tc>
      </w:tr>
      <w:tr w:rsidR="000D4435" w:rsidRPr="000D4435" w:rsidTr="000D4435">
        <w:trPr>
          <w:trHeight w:val="255"/>
        </w:trPr>
        <w:tc>
          <w:tcPr>
            <w:tcW w:w="2603" w:type="pct"/>
            <w:tcBorders>
              <w:top w:val="nil"/>
              <w:left w:val="single" w:sz="4" w:space="0" w:color="auto"/>
              <w:bottom w:val="nil"/>
              <w:right w:val="nil"/>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8"/>
                <w:szCs w:val="18"/>
                <w:lang w:val="en-US" w:eastAsia="zh-CN"/>
              </w:rPr>
            </w:pPr>
            <w:r w:rsidRPr="000D4435">
              <w:rPr>
                <w:rFonts w:ascii="Arial" w:hAnsi="Arial" w:cs="Arial"/>
                <w:color w:val="000000"/>
                <w:sz w:val="18"/>
                <w:szCs w:val="18"/>
                <w:lang w:val="en-US" w:eastAsia="zh-CN"/>
              </w:rPr>
              <w:t>Inventories</w:t>
            </w:r>
          </w:p>
        </w:tc>
        <w:tc>
          <w:tcPr>
            <w:tcW w:w="475" w:type="pct"/>
            <w:tcBorders>
              <w:top w:val="nil"/>
              <w:left w:val="single" w:sz="4" w:space="0" w:color="auto"/>
              <w:bottom w:val="nil"/>
              <w:right w:val="single" w:sz="4" w:space="0" w:color="auto"/>
            </w:tcBorders>
            <w:shd w:val="clear" w:color="auto" w:fill="auto"/>
            <w:hideMark/>
          </w:tcPr>
          <w:p w:rsidR="000D4435" w:rsidRPr="000D4435" w:rsidRDefault="00B17F52" w:rsidP="00900732">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8"/>
                <w:szCs w:val="18"/>
                <w:lang w:val="en-US" w:eastAsia="zh-CN"/>
              </w:rPr>
            </w:pPr>
            <w:r>
              <w:rPr>
                <w:rFonts w:ascii="Arial" w:hAnsi="Arial" w:cs="Arial"/>
                <w:color w:val="000000"/>
                <w:sz w:val="18"/>
                <w:szCs w:val="18"/>
                <w:lang w:val="en-US" w:eastAsia="zh-CN"/>
              </w:rPr>
              <w:t>9</w:t>
            </w:r>
          </w:p>
        </w:tc>
        <w:tc>
          <w:tcPr>
            <w:tcW w:w="961" w:type="pct"/>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18"/>
                <w:szCs w:val="18"/>
                <w:lang w:val="en-US" w:eastAsia="zh-CN"/>
              </w:rPr>
            </w:pPr>
            <w:r w:rsidRPr="000D4435">
              <w:rPr>
                <w:rFonts w:ascii="Arial" w:hAnsi="Arial" w:cs="Arial"/>
                <w:sz w:val="18"/>
                <w:szCs w:val="18"/>
                <w:lang w:val="en-US" w:eastAsia="zh-CN"/>
              </w:rPr>
              <w:t xml:space="preserve">                      661 </w:t>
            </w:r>
          </w:p>
        </w:tc>
        <w:tc>
          <w:tcPr>
            <w:tcW w:w="961" w:type="pct"/>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0D4435">
              <w:rPr>
                <w:rFonts w:ascii="Arial" w:hAnsi="Arial" w:cs="Arial"/>
                <w:color w:val="000000"/>
                <w:sz w:val="18"/>
                <w:szCs w:val="18"/>
                <w:lang w:val="en-US" w:eastAsia="zh-CN"/>
              </w:rPr>
              <w:t xml:space="preserve">                      545 </w:t>
            </w:r>
          </w:p>
        </w:tc>
      </w:tr>
      <w:tr w:rsidR="000D4435" w:rsidRPr="000D4435" w:rsidTr="000D4435">
        <w:trPr>
          <w:trHeight w:val="255"/>
        </w:trPr>
        <w:tc>
          <w:tcPr>
            <w:tcW w:w="2603" w:type="pct"/>
            <w:tcBorders>
              <w:top w:val="nil"/>
              <w:left w:val="single" w:sz="4" w:space="0" w:color="auto"/>
              <w:bottom w:val="nil"/>
              <w:right w:val="nil"/>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8"/>
                <w:szCs w:val="18"/>
                <w:lang w:val="en-US" w:eastAsia="zh-CN"/>
              </w:rPr>
            </w:pPr>
            <w:r w:rsidRPr="000D4435">
              <w:rPr>
                <w:rFonts w:ascii="Arial" w:hAnsi="Arial" w:cs="Arial"/>
                <w:color w:val="000000"/>
                <w:sz w:val="18"/>
                <w:szCs w:val="18"/>
                <w:lang w:val="en-US" w:eastAsia="zh-CN"/>
              </w:rPr>
              <w:t>Other receivables</w:t>
            </w:r>
          </w:p>
        </w:tc>
        <w:tc>
          <w:tcPr>
            <w:tcW w:w="475" w:type="pct"/>
            <w:tcBorders>
              <w:top w:val="nil"/>
              <w:left w:val="single" w:sz="4" w:space="0" w:color="auto"/>
              <w:bottom w:val="nil"/>
              <w:right w:val="single" w:sz="4" w:space="0" w:color="auto"/>
            </w:tcBorders>
            <w:shd w:val="clear" w:color="auto" w:fill="auto"/>
            <w:hideMark/>
          </w:tcPr>
          <w:p w:rsidR="000D4435" w:rsidRPr="000D4435" w:rsidRDefault="000D4435" w:rsidP="00900732">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8"/>
                <w:szCs w:val="18"/>
                <w:lang w:val="en-US" w:eastAsia="zh-CN"/>
              </w:rPr>
            </w:pPr>
            <w:r w:rsidRPr="000D4435">
              <w:rPr>
                <w:rFonts w:ascii="Arial" w:hAnsi="Arial" w:cs="Arial"/>
                <w:color w:val="000000"/>
                <w:sz w:val="18"/>
                <w:szCs w:val="18"/>
                <w:lang w:val="en-US" w:eastAsia="zh-CN"/>
              </w:rPr>
              <w:t>1</w:t>
            </w:r>
            <w:r w:rsidR="00B17F52">
              <w:rPr>
                <w:rFonts w:ascii="Arial" w:hAnsi="Arial" w:cs="Arial"/>
                <w:color w:val="000000"/>
                <w:sz w:val="18"/>
                <w:szCs w:val="18"/>
                <w:lang w:val="en-US" w:eastAsia="zh-CN"/>
              </w:rPr>
              <w:t>0</w:t>
            </w:r>
          </w:p>
        </w:tc>
        <w:tc>
          <w:tcPr>
            <w:tcW w:w="961" w:type="pct"/>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0D4435">
              <w:rPr>
                <w:rFonts w:ascii="Arial" w:hAnsi="Arial" w:cs="Arial"/>
                <w:color w:val="000000"/>
                <w:sz w:val="18"/>
                <w:szCs w:val="18"/>
                <w:lang w:val="en-US" w:eastAsia="zh-CN"/>
              </w:rPr>
              <w:t xml:space="preserve">                   7,505 </w:t>
            </w:r>
          </w:p>
        </w:tc>
        <w:tc>
          <w:tcPr>
            <w:tcW w:w="961" w:type="pct"/>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0D4435">
              <w:rPr>
                <w:rFonts w:ascii="Arial" w:hAnsi="Arial" w:cs="Arial"/>
                <w:color w:val="000000"/>
                <w:sz w:val="18"/>
                <w:szCs w:val="18"/>
                <w:lang w:val="en-US" w:eastAsia="zh-CN"/>
              </w:rPr>
              <w:t xml:space="preserve">                   9,448 </w:t>
            </w:r>
          </w:p>
        </w:tc>
      </w:tr>
      <w:tr w:rsidR="000D4435" w:rsidRPr="000D4435" w:rsidTr="000D4435">
        <w:trPr>
          <w:trHeight w:val="255"/>
        </w:trPr>
        <w:tc>
          <w:tcPr>
            <w:tcW w:w="2603" w:type="pct"/>
            <w:tcBorders>
              <w:top w:val="nil"/>
              <w:left w:val="single" w:sz="4" w:space="0" w:color="auto"/>
              <w:bottom w:val="nil"/>
              <w:right w:val="nil"/>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8"/>
                <w:szCs w:val="18"/>
                <w:lang w:val="en-US" w:eastAsia="zh-CN"/>
              </w:rPr>
            </w:pPr>
            <w:r w:rsidRPr="000D4435">
              <w:rPr>
                <w:rFonts w:ascii="Arial" w:hAnsi="Arial" w:cs="Arial"/>
                <w:b/>
                <w:bCs/>
                <w:color w:val="000000"/>
                <w:sz w:val="18"/>
                <w:szCs w:val="18"/>
                <w:lang w:val="en-US" w:eastAsia="zh-CN"/>
              </w:rPr>
              <w:t>Total current assets</w:t>
            </w:r>
          </w:p>
        </w:tc>
        <w:tc>
          <w:tcPr>
            <w:tcW w:w="475" w:type="pct"/>
            <w:tcBorders>
              <w:top w:val="nil"/>
              <w:left w:val="single" w:sz="4" w:space="0" w:color="auto"/>
              <w:bottom w:val="nil"/>
              <w:right w:val="single" w:sz="4" w:space="0" w:color="auto"/>
            </w:tcBorders>
            <w:shd w:val="clear" w:color="auto" w:fill="auto"/>
            <w:hideMark/>
          </w:tcPr>
          <w:p w:rsidR="000D4435" w:rsidRPr="000D4435" w:rsidRDefault="000D4435" w:rsidP="00900732">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8"/>
                <w:szCs w:val="18"/>
                <w:lang w:val="en-US" w:eastAsia="zh-CN"/>
              </w:rPr>
            </w:pPr>
          </w:p>
        </w:tc>
        <w:tc>
          <w:tcPr>
            <w:tcW w:w="961" w:type="pct"/>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0D4435">
              <w:rPr>
                <w:rFonts w:ascii="Arial" w:hAnsi="Arial" w:cs="Arial"/>
                <w:b/>
                <w:bCs/>
                <w:color w:val="000000"/>
                <w:sz w:val="18"/>
                <w:szCs w:val="18"/>
                <w:lang w:val="en-US" w:eastAsia="zh-CN"/>
              </w:rPr>
              <w:t xml:space="preserve">                271,898 </w:t>
            </w:r>
          </w:p>
        </w:tc>
        <w:tc>
          <w:tcPr>
            <w:tcW w:w="961" w:type="pct"/>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0D4435">
              <w:rPr>
                <w:rFonts w:ascii="Arial" w:hAnsi="Arial" w:cs="Arial"/>
                <w:b/>
                <w:bCs/>
                <w:color w:val="000000"/>
                <w:sz w:val="18"/>
                <w:szCs w:val="18"/>
                <w:lang w:val="en-US" w:eastAsia="zh-CN"/>
              </w:rPr>
              <w:t xml:space="preserve">                268,910 </w:t>
            </w:r>
          </w:p>
        </w:tc>
      </w:tr>
      <w:tr w:rsidR="000D4435" w:rsidRPr="000D4435" w:rsidTr="000D4435">
        <w:trPr>
          <w:trHeight w:val="255"/>
        </w:trPr>
        <w:tc>
          <w:tcPr>
            <w:tcW w:w="2603" w:type="pct"/>
            <w:tcBorders>
              <w:top w:val="nil"/>
              <w:left w:val="single" w:sz="4" w:space="0" w:color="auto"/>
              <w:bottom w:val="nil"/>
              <w:right w:val="nil"/>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8"/>
                <w:szCs w:val="18"/>
                <w:lang w:val="en-US" w:eastAsia="zh-CN"/>
              </w:rPr>
            </w:pPr>
            <w:r w:rsidRPr="000D4435">
              <w:rPr>
                <w:rFonts w:ascii="Arial" w:hAnsi="Arial" w:cs="Arial"/>
                <w:b/>
                <w:bCs/>
                <w:color w:val="000000"/>
                <w:sz w:val="18"/>
                <w:szCs w:val="18"/>
                <w:lang w:val="en-US" w:eastAsia="zh-CN"/>
              </w:rPr>
              <w:t> </w:t>
            </w:r>
          </w:p>
        </w:tc>
        <w:tc>
          <w:tcPr>
            <w:tcW w:w="475" w:type="pct"/>
            <w:tcBorders>
              <w:top w:val="nil"/>
              <w:left w:val="single" w:sz="4" w:space="0" w:color="auto"/>
              <w:bottom w:val="nil"/>
              <w:right w:val="single" w:sz="4" w:space="0" w:color="auto"/>
            </w:tcBorders>
            <w:shd w:val="clear" w:color="auto" w:fill="auto"/>
            <w:hideMark/>
          </w:tcPr>
          <w:p w:rsidR="000D4435" w:rsidRPr="000D4435" w:rsidRDefault="000D4435" w:rsidP="00900732">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8"/>
                <w:szCs w:val="18"/>
                <w:lang w:val="en-US" w:eastAsia="zh-CN"/>
              </w:rPr>
            </w:pPr>
          </w:p>
        </w:tc>
        <w:tc>
          <w:tcPr>
            <w:tcW w:w="961" w:type="pct"/>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0D4435">
              <w:rPr>
                <w:rFonts w:ascii="Arial" w:hAnsi="Arial" w:cs="Arial"/>
                <w:b/>
                <w:bCs/>
                <w:color w:val="000000"/>
                <w:sz w:val="18"/>
                <w:szCs w:val="18"/>
                <w:lang w:val="en-US" w:eastAsia="zh-CN"/>
              </w:rPr>
              <w:t> </w:t>
            </w:r>
          </w:p>
        </w:tc>
        <w:tc>
          <w:tcPr>
            <w:tcW w:w="961" w:type="pct"/>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0D4435">
              <w:rPr>
                <w:rFonts w:ascii="Arial" w:hAnsi="Arial" w:cs="Arial"/>
                <w:b/>
                <w:bCs/>
                <w:color w:val="000000"/>
                <w:sz w:val="18"/>
                <w:szCs w:val="18"/>
                <w:lang w:val="en-US" w:eastAsia="zh-CN"/>
              </w:rPr>
              <w:t> </w:t>
            </w:r>
          </w:p>
        </w:tc>
      </w:tr>
      <w:tr w:rsidR="000D4435" w:rsidRPr="000D4435" w:rsidTr="000D4435">
        <w:trPr>
          <w:trHeight w:val="255"/>
        </w:trPr>
        <w:tc>
          <w:tcPr>
            <w:tcW w:w="2603" w:type="pct"/>
            <w:tcBorders>
              <w:top w:val="nil"/>
              <w:left w:val="single" w:sz="4" w:space="0" w:color="auto"/>
              <w:bottom w:val="nil"/>
              <w:right w:val="nil"/>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8"/>
                <w:szCs w:val="18"/>
                <w:lang w:val="en-US" w:eastAsia="zh-CN"/>
              </w:rPr>
            </w:pPr>
            <w:r w:rsidRPr="000D4435">
              <w:rPr>
                <w:rFonts w:ascii="Arial" w:hAnsi="Arial" w:cs="Arial"/>
                <w:b/>
                <w:bCs/>
                <w:color w:val="000000"/>
                <w:sz w:val="18"/>
                <w:szCs w:val="18"/>
                <w:lang w:val="en-US" w:eastAsia="zh-CN"/>
              </w:rPr>
              <w:t>Non-current assets</w:t>
            </w:r>
          </w:p>
        </w:tc>
        <w:tc>
          <w:tcPr>
            <w:tcW w:w="475" w:type="pct"/>
            <w:tcBorders>
              <w:top w:val="nil"/>
              <w:left w:val="single" w:sz="4" w:space="0" w:color="auto"/>
              <w:bottom w:val="nil"/>
              <w:right w:val="single" w:sz="4" w:space="0" w:color="auto"/>
            </w:tcBorders>
            <w:shd w:val="clear" w:color="auto" w:fill="auto"/>
            <w:hideMark/>
          </w:tcPr>
          <w:p w:rsidR="000D4435" w:rsidRPr="000D4435" w:rsidRDefault="000D4435" w:rsidP="00900732">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8"/>
                <w:szCs w:val="18"/>
                <w:lang w:val="en-US" w:eastAsia="zh-CN"/>
              </w:rPr>
            </w:pPr>
          </w:p>
        </w:tc>
        <w:tc>
          <w:tcPr>
            <w:tcW w:w="961" w:type="pct"/>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0D4435">
              <w:rPr>
                <w:rFonts w:ascii="Arial" w:hAnsi="Arial" w:cs="Arial"/>
                <w:color w:val="000000"/>
                <w:sz w:val="18"/>
                <w:szCs w:val="18"/>
                <w:lang w:val="en-US" w:eastAsia="zh-CN"/>
              </w:rPr>
              <w:t> </w:t>
            </w:r>
          </w:p>
        </w:tc>
        <w:tc>
          <w:tcPr>
            <w:tcW w:w="961" w:type="pct"/>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0D4435">
              <w:rPr>
                <w:rFonts w:ascii="Arial" w:hAnsi="Arial" w:cs="Arial"/>
                <w:color w:val="000000"/>
                <w:sz w:val="18"/>
                <w:szCs w:val="18"/>
                <w:lang w:val="en-US" w:eastAsia="zh-CN"/>
              </w:rPr>
              <w:t> </w:t>
            </w:r>
          </w:p>
        </w:tc>
      </w:tr>
      <w:tr w:rsidR="000D4435" w:rsidRPr="000D4435" w:rsidTr="000D4435">
        <w:trPr>
          <w:trHeight w:val="255"/>
        </w:trPr>
        <w:tc>
          <w:tcPr>
            <w:tcW w:w="2603" w:type="pct"/>
            <w:tcBorders>
              <w:top w:val="nil"/>
              <w:left w:val="single" w:sz="4" w:space="0" w:color="auto"/>
              <w:bottom w:val="nil"/>
              <w:right w:val="nil"/>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8"/>
                <w:szCs w:val="18"/>
                <w:lang w:val="en-US" w:eastAsia="zh-CN"/>
              </w:rPr>
            </w:pPr>
            <w:r w:rsidRPr="000D4435">
              <w:rPr>
                <w:rFonts w:ascii="Arial" w:hAnsi="Arial" w:cs="Arial"/>
                <w:color w:val="000000"/>
                <w:sz w:val="18"/>
                <w:szCs w:val="18"/>
                <w:lang w:val="en-US" w:eastAsia="zh-CN"/>
              </w:rPr>
              <w:t>Receivables - non-exchange transactions</w:t>
            </w:r>
          </w:p>
        </w:tc>
        <w:tc>
          <w:tcPr>
            <w:tcW w:w="475" w:type="pct"/>
            <w:tcBorders>
              <w:top w:val="nil"/>
              <w:left w:val="single" w:sz="4" w:space="0" w:color="auto"/>
              <w:bottom w:val="nil"/>
              <w:right w:val="single" w:sz="4" w:space="0" w:color="auto"/>
            </w:tcBorders>
            <w:shd w:val="clear" w:color="auto" w:fill="auto"/>
            <w:hideMark/>
          </w:tcPr>
          <w:p w:rsidR="000D4435" w:rsidRPr="000D4435" w:rsidRDefault="00111A74" w:rsidP="00900732">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8"/>
                <w:szCs w:val="18"/>
                <w:lang w:val="en-US" w:eastAsia="zh-CN"/>
              </w:rPr>
            </w:pPr>
            <w:r>
              <w:rPr>
                <w:rFonts w:ascii="Arial" w:hAnsi="Arial" w:cs="Arial"/>
                <w:color w:val="000000"/>
                <w:sz w:val="18"/>
                <w:szCs w:val="18"/>
                <w:lang w:val="en-US" w:eastAsia="zh-CN"/>
              </w:rPr>
              <w:t>8</w:t>
            </w:r>
          </w:p>
        </w:tc>
        <w:tc>
          <w:tcPr>
            <w:tcW w:w="961" w:type="pct"/>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0D4435">
              <w:rPr>
                <w:rFonts w:ascii="Arial" w:hAnsi="Arial" w:cs="Arial"/>
                <w:color w:val="000000"/>
                <w:sz w:val="18"/>
                <w:szCs w:val="18"/>
                <w:lang w:val="en-US" w:eastAsia="zh-CN"/>
              </w:rPr>
              <w:t xml:space="preserve">                        -   </w:t>
            </w:r>
          </w:p>
        </w:tc>
        <w:tc>
          <w:tcPr>
            <w:tcW w:w="961" w:type="pct"/>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0D4435">
              <w:rPr>
                <w:rFonts w:ascii="Arial" w:hAnsi="Arial" w:cs="Arial"/>
                <w:color w:val="000000"/>
                <w:sz w:val="18"/>
                <w:szCs w:val="18"/>
                <w:lang w:val="en-US" w:eastAsia="zh-CN"/>
              </w:rPr>
              <w:t xml:space="preserve">                        -   </w:t>
            </w:r>
          </w:p>
        </w:tc>
      </w:tr>
      <w:tr w:rsidR="000D4435" w:rsidRPr="000D4435" w:rsidTr="000D4435">
        <w:trPr>
          <w:trHeight w:val="255"/>
        </w:trPr>
        <w:tc>
          <w:tcPr>
            <w:tcW w:w="2603" w:type="pct"/>
            <w:tcBorders>
              <w:top w:val="nil"/>
              <w:left w:val="single" w:sz="4" w:space="0" w:color="auto"/>
              <w:bottom w:val="nil"/>
              <w:right w:val="nil"/>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8"/>
                <w:szCs w:val="18"/>
                <w:lang w:val="en-US" w:eastAsia="zh-CN"/>
              </w:rPr>
            </w:pPr>
            <w:r w:rsidRPr="000D4435">
              <w:rPr>
                <w:rFonts w:ascii="Arial" w:hAnsi="Arial" w:cs="Arial"/>
                <w:color w:val="000000"/>
                <w:sz w:val="18"/>
                <w:szCs w:val="18"/>
                <w:lang w:val="en-US" w:eastAsia="zh-CN"/>
              </w:rPr>
              <w:t>Property, plant and equipment</w:t>
            </w:r>
          </w:p>
        </w:tc>
        <w:tc>
          <w:tcPr>
            <w:tcW w:w="475" w:type="pct"/>
            <w:tcBorders>
              <w:top w:val="nil"/>
              <w:left w:val="single" w:sz="4" w:space="0" w:color="auto"/>
              <w:bottom w:val="nil"/>
              <w:right w:val="single" w:sz="4" w:space="0" w:color="auto"/>
            </w:tcBorders>
            <w:shd w:val="clear" w:color="auto" w:fill="auto"/>
            <w:hideMark/>
          </w:tcPr>
          <w:p w:rsidR="000D4435" w:rsidRPr="000D4435" w:rsidRDefault="000D4435" w:rsidP="00900732">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8"/>
                <w:szCs w:val="18"/>
                <w:lang w:val="en-US" w:eastAsia="zh-CN"/>
              </w:rPr>
            </w:pPr>
            <w:r w:rsidRPr="000D4435">
              <w:rPr>
                <w:rFonts w:ascii="Arial" w:hAnsi="Arial" w:cs="Arial"/>
                <w:color w:val="000000"/>
                <w:sz w:val="18"/>
                <w:szCs w:val="18"/>
                <w:lang w:val="en-US" w:eastAsia="zh-CN"/>
              </w:rPr>
              <w:t>1</w:t>
            </w:r>
            <w:r w:rsidR="00111A74">
              <w:rPr>
                <w:rFonts w:ascii="Arial" w:hAnsi="Arial" w:cs="Arial"/>
                <w:color w:val="000000"/>
                <w:sz w:val="18"/>
                <w:szCs w:val="18"/>
                <w:lang w:val="en-US" w:eastAsia="zh-CN"/>
              </w:rPr>
              <w:t>1</w:t>
            </w:r>
          </w:p>
        </w:tc>
        <w:tc>
          <w:tcPr>
            <w:tcW w:w="961" w:type="pct"/>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0D4435">
              <w:rPr>
                <w:rFonts w:ascii="Arial" w:hAnsi="Arial" w:cs="Arial"/>
                <w:color w:val="000000"/>
                <w:sz w:val="18"/>
                <w:szCs w:val="18"/>
                <w:lang w:val="en-US" w:eastAsia="zh-CN"/>
              </w:rPr>
              <w:t xml:space="preserve">                 99,000 </w:t>
            </w:r>
          </w:p>
        </w:tc>
        <w:tc>
          <w:tcPr>
            <w:tcW w:w="961" w:type="pct"/>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0D4435">
              <w:rPr>
                <w:rFonts w:ascii="Arial" w:hAnsi="Arial" w:cs="Arial"/>
                <w:color w:val="000000"/>
                <w:sz w:val="18"/>
                <w:szCs w:val="18"/>
                <w:lang w:val="en-US" w:eastAsia="zh-CN"/>
              </w:rPr>
              <w:t xml:space="preserve">                101,432 </w:t>
            </w:r>
          </w:p>
        </w:tc>
      </w:tr>
      <w:tr w:rsidR="000D4435" w:rsidRPr="000D4435" w:rsidTr="000D4435">
        <w:trPr>
          <w:trHeight w:val="255"/>
        </w:trPr>
        <w:tc>
          <w:tcPr>
            <w:tcW w:w="2603" w:type="pct"/>
            <w:tcBorders>
              <w:top w:val="nil"/>
              <w:left w:val="single" w:sz="4" w:space="0" w:color="auto"/>
              <w:bottom w:val="nil"/>
              <w:right w:val="nil"/>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8"/>
                <w:szCs w:val="18"/>
                <w:lang w:val="en-US" w:eastAsia="zh-CN"/>
              </w:rPr>
            </w:pPr>
            <w:r w:rsidRPr="000D4435">
              <w:rPr>
                <w:rFonts w:ascii="Arial" w:hAnsi="Arial" w:cs="Arial"/>
                <w:color w:val="000000"/>
                <w:sz w:val="18"/>
                <w:szCs w:val="18"/>
                <w:lang w:val="en-US" w:eastAsia="zh-CN"/>
              </w:rPr>
              <w:t>Intangible assets</w:t>
            </w:r>
          </w:p>
        </w:tc>
        <w:tc>
          <w:tcPr>
            <w:tcW w:w="475" w:type="pct"/>
            <w:tcBorders>
              <w:top w:val="nil"/>
              <w:left w:val="single" w:sz="4" w:space="0" w:color="auto"/>
              <w:bottom w:val="nil"/>
              <w:right w:val="single" w:sz="4" w:space="0" w:color="auto"/>
            </w:tcBorders>
            <w:shd w:val="clear" w:color="auto" w:fill="auto"/>
            <w:hideMark/>
          </w:tcPr>
          <w:p w:rsidR="000D4435" w:rsidRPr="000D4435" w:rsidRDefault="00111A74" w:rsidP="00900732">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8"/>
                <w:szCs w:val="18"/>
                <w:lang w:val="en-US" w:eastAsia="zh-CN"/>
              </w:rPr>
            </w:pPr>
            <w:r>
              <w:rPr>
                <w:rFonts w:ascii="Arial" w:hAnsi="Arial" w:cs="Arial"/>
                <w:color w:val="000000"/>
                <w:sz w:val="18"/>
                <w:szCs w:val="18"/>
                <w:lang w:val="en-US" w:eastAsia="zh-CN"/>
              </w:rPr>
              <w:t>12</w:t>
            </w:r>
          </w:p>
        </w:tc>
        <w:tc>
          <w:tcPr>
            <w:tcW w:w="961" w:type="pct"/>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0D4435">
              <w:rPr>
                <w:rFonts w:ascii="Arial" w:hAnsi="Arial" w:cs="Arial"/>
                <w:color w:val="000000"/>
                <w:sz w:val="18"/>
                <w:szCs w:val="18"/>
                <w:lang w:val="en-US" w:eastAsia="zh-CN"/>
              </w:rPr>
              <w:t xml:space="preserve">                      967 </w:t>
            </w:r>
          </w:p>
        </w:tc>
        <w:tc>
          <w:tcPr>
            <w:tcW w:w="961" w:type="pct"/>
            <w:tcBorders>
              <w:top w:val="nil"/>
              <w:left w:val="nil"/>
              <w:bottom w:val="nil"/>
              <w:right w:val="single" w:sz="4" w:space="0" w:color="auto"/>
            </w:tcBorders>
            <w:shd w:val="clear" w:color="auto" w:fill="auto"/>
            <w:noWrap/>
            <w:vAlign w:val="bottom"/>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0D4435">
              <w:rPr>
                <w:rFonts w:ascii="Arial" w:hAnsi="Arial" w:cs="Arial"/>
                <w:color w:val="000000"/>
                <w:sz w:val="18"/>
                <w:szCs w:val="18"/>
                <w:lang w:val="en-US" w:eastAsia="zh-CN"/>
              </w:rPr>
              <w:t xml:space="preserve">                   2,634 </w:t>
            </w:r>
          </w:p>
        </w:tc>
      </w:tr>
      <w:tr w:rsidR="000D4435" w:rsidRPr="000D4435" w:rsidTr="000D4435">
        <w:trPr>
          <w:trHeight w:val="255"/>
        </w:trPr>
        <w:tc>
          <w:tcPr>
            <w:tcW w:w="2603" w:type="pct"/>
            <w:tcBorders>
              <w:top w:val="nil"/>
              <w:left w:val="single" w:sz="4" w:space="0" w:color="auto"/>
              <w:bottom w:val="nil"/>
              <w:right w:val="nil"/>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8"/>
                <w:szCs w:val="18"/>
                <w:lang w:val="en-US" w:eastAsia="zh-CN"/>
              </w:rPr>
            </w:pPr>
            <w:r w:rsidRPr="000D4435">
              <w:rPr>
                <w:rFonts w:ascii="Arial" w:hAnsi="Arial" w:cs="Arial"/>
                <w:color w:val="000000"/>
                <w:sz w:val="18"/>
                <w:szCs w:val="18"/>
                <w:lang w:val="en-US" w:eastAsia="zh-CN"/>
              </w:rPr>
              <w:t>Assets under construction</w:t>
            </w:r>
          </w:p>
        </w:tc>
        <w:tc>
          <w:tcPr>
            <w:tcW w:w="475" w:type="pct"/>
            <w:tcBorders>
              <w:top w:val="nil"/>
              <w:left w:val="single" w:sz="4" w:space="0" w:color="auto"/>
              <w:bottom w:val="nil"/>
              <w:right w:val="single" w:sz="4" w:space="0" w:color="auto"/>
            </w:tcBorders>
            <w:shd w:val="clear" w:color="auto" w:fill="auto"/>
            <w:hideMark/>
          </w:tcPr>
          <w:p w:rsidR="000D4435" w:rsidRPr="000D4435" w:rsidRDefault="00111A74" w:rsidP="00900732">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8"/>
                <w:szCs w:val="18"/>
                <w:lang w:val="en-US" w:eastAsia="zh-CN"/>
              </w:rPr>
            </w:pPr>
            <w:r>
              <w:rPr>
                <w:rFonts w:ascii="Arial" w:hAnsi="Arial" w:cs="Arial"/>
                <w:color w:val="000000"/>
                <w:sz w:val="18"/>
                <w:szCs w:val="18"/>
                <w:lang w:val="en-US" w:eastAsia="zh-CN"/>
              </w:rPr>
              <w:t>13</w:t>
            </w:r>
          </w:p>
        </w:tc>
        <w:tc>
          <w:tcPr>
            <w:tcW w:w="961" w:type="pct"/>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0D4435">
              <w:rPr>
                <w:rFonts w:ascii="Arial" w:hAnsi="Arial" w:cs="Arial"/>
                <w:color w:val="000000"/>
                <w:sz w:val="18"/>
                <w:szCs w:val="18"/>
                <w:lang w:val="en-US" w:eastAsia="zh-CN"/>
              </w:rPr>
              <w:t xml:space="preserve">                      908 </w:t>
            </w:r>
          </w:p>
        </w:tc>
        <w:tc>
          <w:tcPr>
            <w:tcW w:w="961" w:type="pct"/>
            <w:tcBorders>
              <w:top w:val="nil"/>
              <w:left w:val="nil"/>
              <w:bottom w:val="nil"/>
              <w:right w:val="single" w:sz="4" w:space="0" w:color="auto"/>
            </w:tcBorders>
            <w:shd w:val="clear" w:color="auto" w:fill="auto"/>
            <w:noWrap/>
            <w:vAlign w:val="bottom"/>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0D4435">
              <w:rPr>
                <w:rFonts w:ascii="Arial" w:hAnsi="Arial" w:cs="Arial"/>
                <w:color w:val="000000"/>
                <w:sz w:val="18"/>
                <w:szCs w:val="18"/>
                <w:lang w:val="en-US" w:eastAsia="zh-CN"/>
              </w:rPr>
              <w:t> </w:t>
            </w:r>
          </w:p>
        </w:tc>
      </w:tr>
      <w:tr w:rsidR="000D4435" w:rsidRPr="000D4435" w:rsidTr="000D4435">
        <w:trPr>
          <w:trHeight w:val="225"/>
        </w:trPr>
        <w:tc>
          <w:tcPr>
            <w:tcW w:w="2603" w:type="pct"/>
            <w:tcBorders>
              <w:top w:val="nil"/>
              <w:left w:val="single" w:sz="4" w:space="0" w:color="auto"/>
              <w:bottom w:val="nil"/>
              <w:right w:val="nil"/>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8"/>
                <w:szCs w:val="18"/>
                <w:lang w:val="en-US" w:eastAsia="zh-CN"/>
              </w:rPr>
            </w:pPr>
            <w:r w:rsidRPr="000D4435">
              <w:rPr>
                <w:rFonts w:ascii="Arial" w:hAnsi="Arial" w:cs="Arial"/>
                <w:b/>
                <w:bCs/>
                <w:color w:val="000000"/>
                <w:sz w:val="18"/>
                <w:szCs w:val="18"/>
                <w:lang w:val="en-US" w:eastAsia="zh-CN"/>
              </w:rPr>
              <w:t>Total non-current assets</w:t>
            </w:r>
          </w:p>
        </w:tc>
        <w:tc>
          <w:tcPr>
            <w:tcW w:w="475" w:type="pct"/>
            <w:tcBorders>
              <w:top w:val="nil"/>
              <w:left w:val="single" w:sz="4" w:space="0" w:color="auto"/>
              <w:bottom w:val="nil"/>
              <w:right w:val="single" w:sz="4" w:space="0" w:color="auto"/>
            </w:tcBorders>
            <w:shd w:val="clear" w:color="auto" w:fill="auto"/>
            <w:hideMark/>
          </w:tcPr>
          <w:p w:rsidR="000D4435" w:rsidRPr="000D4435" w:rsidRDefault="000D4435" w:rsidP="00900732">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8"/>
                <w:szCs w:val="18"/>
                <w:lang w:val="en-US" w:eastAsia="zh-CN"/>
              </w:rPr>
            </w:pPr>
          </w:p>
        </w:tc>
        <w:tc>
          <w:tcPr>
            <w:tcW w:w="961" w:type="pct"/>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0D4435">
              <w:rPr>
                <w:rFonts w:ascii="Arial" w:hAnsi="Arial" w:cs="Arial"/>
                <w:b/>
                <w:bCs/>
                <w:color w:val="000000"/>
                <w:sz w:val="18"/>
                <w:szCs w:val="18"/>
                <w:lang w:val="en-US" w:eastAsia="zh-CN"/>
              </w:rPr>
              <w:t xml:space="preserve">                100,876 </w:t>
            </w:r>
          </w:p>
        </w:tc>
        <w:tc>
          <w:tcPr>
            <w:tcW w:w="961" w:type="pct"/>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0D4435">
              <w:rPr>
                <w:rFonts w:ascii="Arial" w:hAnsi="Arial" w:cs="Arial"/>
                <w:b/>
                <w:bCs/>
                <w:color w:val="000000"/>
                <w:sz w:val="18"/>
                <w:szCs w:val="18"/>
                <w:lang w:val="en-US" w:eastAsia="zh-CN"/>
              </w:rPr>
              <w:t xml:space="preserve">                104,066 </w:t>
            </w:r>
          </w:p>
        </w:tc>
      </w:tr>
      <w:tr w:rsidR="000D4435" w:rsidRPr="000D4435" w:rsidTr="000D4435">
        <w:trPr>
          <w:trHeight w:val="255"/>
        </w:trPr>
        <w:tc>
          <w:tcPr>
            <w:tcW w:w="2603" w:type="pct"/>
            <w:tcBorders>
              <w:top w:val="nil"/>
              <w:left w:val="single" w:sz="4" w:space="0" w:color="auto"/>
              <w:bottom w:val="nil"/>
              <w:right w:val="nil"/>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8"/>
                <w:szCs w:val="18"/>
                <w:lang w:val="en-US" w:eastAsia="zh-CN"/>
              </w:rPr>
            </w:pPr>
            <w:r w:rsidRPr="000D4435">
              <w:rPr>
                <w:rFonts w:ascii="Arial" w:hAnsi="Arial" w:cs="Arial"/>
                <w:b/>
                <w:bCs/>
                <w:color w:val="000000"/>
                <w:sz w:val="18"/>
                <w:szCs w:val="18"/>
                <w:lang w:val="en-US" w:eastAsia="zh-CN"/>
              </w:rPr>
              <w:t> </w:t>
            </w:r>
          </w:p>
        </w:tc>
        <w:tc>
          <w:tcPr>
            <w:tcW w:w="475" w:type="pct"/>
            <w:tcBorders>
              <w:top w:val="nil"/>
              <w:left w:val="single" w:sz="4" w:space="0" w:color="auto"/>
              <w:bottom w:val="nil"/>
              <w:right w:val="single" w:sz="4" w:space="0" w:color="auto"/>
            </w:tcBorders>
            <w:shd w:val="clear" w:color="auto" w:fill="auto"/>
            <w:hideMark/>
          </w:tcPr>
          <w:p w:rsidR="000D4435" w:rsidRPr="000D4435" w:rsidRDefault="000D4435" w:rsidP="00900732">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8"/>
                <w:szCs w:val="18"/>
                <w:lang w:val="en-US" w:eastAsia="zh-CN"/>
              </w:rPr>
            </w:pPr>
          </w:p>
        </w:tc>
        <w:tc>
          <w:tcPr>
            <w:tcW w:w="961" w:type="pct"/>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0D4435">
              <w:rPr>
                <w:rFonts w:ascii="Arial" w:hAnsi="Arial" w:cs="Arial"/>
                <w:b/>
                <w:bCs/>
                <w:color w:val="000000"/>
                <w:sz w:val="18"/>
                <w:szCs w:val="18"/>
                <w:lang w:val="en-US" w:eastAsia="zh-CN"/>
              </w:rPr>
              <w:t> </w:t>
            </w:r>
          </w:p>
        </w:tc>
        <w:tc>
          <w:tcPr>
            <w:tcW w:w="961" w:type="pct"/>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0D4435">
              <w:rPr>
                <w:rFonts w:ascii="Arial" w:hAnsi="Arial" w:cs="Arial"/>
                <w:b/>
                <w:bCs/>
                <w:color w:val="000000"/>
                <w:sz w:val="18"/>
                <w:szCs w:val="18"/>
                <w:lang w:val="en-US" w:eastAsia="zh-CN"/>
              </w:rPr>
              <w:t> </w:t>
            </w:r>
          </w:p>
        </w:tc>
      </w:tr>
      <w:tr w:rsidR="000D4435" w:rsidRPr="000D4435" w:rsidTr="000D4435">
        <w:trPr>
          <w:trHeight w:val="499"/>
        </w:trPr>
        <w:tc>
          <w:tcPr>
            <w:tcW w:w="2603" w:type="pct"/>
            <w:tcBorders>
              <w:top w:val="single" w:sz="4" w:space="0" w:color="auto"/>
              <w:left w:val="single" w:sz="4" w:space="0" w:color="auto"/>
              <w:bottom w:val="single" w:sz="4" w:space="0" w:color="auto"/>
              <w:right w:val="nil"/>
            </w:tcBorders>
            <w:shd w:val="clear" w:color="auto" w:fill="auto"/>
            <w:noWrap/>
            <w:vAlign w:val="center"/>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8"/>
                <w:szCs w:val="18"/>
                <w:lang w:val="en-US" w:eastAsia="zh-CN"/>
              </w:rPr>
            </w:pPr>
            <w:r w:rsidRPr="000D4435">
              <w:rPr>
                <w:rFonts w:ascii="Arial" w:hAnsi="Arial" w:cs="Arial"/>
                <w:b/>
                <w:bCs/>
                <w:color w:val="000000"/>
                <w:sz w:val="18"/>
                <w:szCs w:val="18"/>
                <w:lang w:val="en-US" w:eastAsia="zh-CN"/>
              </w:rPr>
              <w:t>Total ASSETS</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4435" w:rsidRPr="000D4435" w:rsidRDefault="000D4435" w:rsidP="00900732">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8"/>
                <w:szCs w:val="18"/>
                <w:lang w:val="en-US" w:eastAsia="zh-CN"/>
              </w:rPr>
            </w:pPr>
          </w:p>
        </w:tc>
        <w:tc>
          <w:tcPr>
            <w:tcW w:w="961" w:type="pct"/>
            <w:tcBorders>
              <w:top w:val="single" w:sz="4" w:space="0" w:color="auto"/>
              <w:left w:val="nil"/>
              <w:bottom w:val="single" w:sz="4" w:space="0" w:color="auto"/>
              <w:right w:val="single" w:sz="4" w:space="0" w:color="auto"/>
            </w:tcBorders>
            <w:shd w:val="clear" w:color="auto" w:fill="auto"/>
            <w:noWrap/>
            <w:vAlign w:val="center"/>
            <w:hideMark/>
          </w:tcPr>
          <w:p w:rsidR="000D4435" w:rsidRPr="000D4435" w:rsidRDefault="000D4435" w:rsidP="00111A7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0D4435">
              <w:rPr>
                <w:rFonts w:ascii="Arial" w:hAnsi="Arial" w:cs="Arial"/>
                <w:b/>
                <w:bCs/>
                <w:color w:val="000000"/>
                <w:sz w:val="18"/>
                <w:szCs w:val="18"/>
                <w:lang w:val="en-US" w:eastAsia="zh-CN"/>
              </w:rPr>
              <w:t xml:space="preserve">                372,774 </w:t>
            </w:r>
          </w:p>
        </w:tc>
        <w:tc>
          <w:tcPr>
            <w:tcW w:w="961" w:type="pct"/>
            <w:tcBorders>
              <w:top w:val="single" w:sz="4" w:space="0" w:color="auto"/>
              <w:left w:val="nil"/>
              <w:bottom w:val="single" w:sz="4" w:space="0" w:color="auto"/>
              <w:right w:val="single" w:sz="4" w:space="0" w:color="auto"/>
            </w:tcBorders>
            <w:shd w:val="clear" w:color="auto" w:fill="auto"/>
            <w:noWrap/>
            <w:vAlign w:val="center"/>
            <w:hideMark/>
          </w:tcPr>
          <w:p w:rsidR="000D4435" w:rsidRPr="000D4435" w:rsidRDefault="000D4435" w:rsidP="00111A7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0D4435">
              <w:rPr>
                <w:rFonts w:ascii="Arial" w:hAnsi="Arial" w:cs="Arial"/>
                <w:b/>
                <w:bCs/>
                <w:color w:val="000000"/>
                <w:sz w:val="18"/>
                <w:szCs w:val="18"/>
                <w:lang w:val="en-US" w:eastAsia="zh-CN"/>
              </w:rPr>
              <w:t xml:space="preserve">                372,976 </w:t>
            </w:r>
          </w:p>
        </w:tc>
      </w:tr>
      <w:tr w:rsidR="000D4435" w:rsidRPr="000D4435" w:rsidTr="000D4435">
        <w:trPr>
          <w:trHeight w:val="255"/>
        </w:trPr>
        <w:tc>
          <w:tcPr>
            <w:tcW w:w="2603" w:type="pct"/>
            <w:tcBorders>
              <w:top w:val="nil"/>
              <w:left w:val="single" w:sz="4" w:space="0" w:color="auto"/>
              <w:bottom w:val="nil"/>
              <w:right w:val="nil"/>
            </w:tcBorders>
            <w:shd w:val="clear" w:color="auto" w:fill="auto"/>
            <w:hideMark/>
          </w:tcPr>
          <w:p w:rsidR="000D4435" w:rsidRPr="000D4435" w:rsidRDefault="000D4435" w:rsidP="008A7FE5">
            <w:pPr>
              <w:tabs>
                <w:tab w:val="clear" w:pos="567"/>
                <w:tab w:val="clear" w:pos="1134"/>
                <w:tab w:val="clear" w:pos="1701"/>
                <w:tab w:val="clear" w:pos="2268"/>
                <w:tab w:val="clear" w:pos="2835"/>
              </w:tabs>
              <w:overflowPunct/>
              <w:autoSpaceDE/>
              <w:autoSpaceDN/>
              <w:adjustRightInd/>
              <w:spacing w:before="60"/>
              <w:textAlignment w:val="auto"/>
              <w:rPr>
                <w:rFonts w:ascii="Arial" w:hAnsi="Arial" w:cs="Arial"/>
                <w:b/>
                <w:bCs/>
                <w:color w:val="000000"/>
                <w:sz w:val="18"/>
                <w:szCs w:val="18"/>
                <w:lang w:val="en-US" w:eastAsia="zh-CN"/>
              </w:rPr>
            </w:pPr>
            <w:r w:rsidRPr="000D4435">
              <w:rPr>
                <w:rFonts w:ascii="Arial" w:hAnsi="Arial" w:cs="Arial"/>
                <w:b/>
                <w:bCs/>
                <w:color w:val="000000"/>
                <w:sz w:val="18"/>
                <w:szCs w:val="18"/>
                <w:lang w:val="en-US" w:eastAsia="zh-CN"/>
              </w:rPr>
              <w:t>LIABILITIES</w:t>
            </w:r>
          </w:p>
        </w:tc>
        <w:tc>
          <w:tcPr>
            <w:tcW w:w="475" w:type="pct"/>
            <w:tcBorders>
              <w:top w:val="nil"/>
              <w:left w:val="single" w:sz="4" w:space="0" w:color="auto"/>
              <w:bottom w:val="nil"/>
              <w:right w:val="single" w:sz="4" w:space="0" w:color="auto"/>
            </w:tcBorders>
            <w:shd w:val="clear" w:color="auto" w:fill="auto"/>
            <w:hideMark/>
          </w:tcPr>
          <w:p w:rsidR="000D4435" w:rsidRPr="000D4435" w:rsidRDefault="000D4435" w:rsidP="00900732">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8"/>
                <w:szCs w:val="18"/>
                <w:lang w:val="en-US" w:eastAsia="zh-CN"/>
              </w:rPr>
            </w:pPr>
          </w:p>
        </w:tc>
        <w:tc>
          <w:tcPr>
            <w:tcW w:w="961" w:type="pct"/>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0D4435">
              <w:rPr>
                <w:rFonts w:ascii="Arial" w:hAnsi="Arial" w:cs="Arial"/>
                <w:color w:val="000000"/>
                <w:sz w:val="18"/>
                <w:szCs w:val="18"/>
                <w:lang w:val="en-US" w:eastAsia="zh-CN"/>
              </w:rPr>
              <w:t> </w:t>
            </w:r>
          </w:p>
        </w:tc>
        <w:tc>
          <w:tcPr>
            <w:tcW w:w="961" w:type="pct"/>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0D4435">
              <w:rPr>
                <w:rFonts w:ascii="Arial" w:hAnsi="Arial" w:cs="Arial"/>
                <w:color w:val="000000"/>
                <w:sz w:val="18"/>
                <w:szCs w:val="18"/>
                <w:lang w:val="en-US" w:eastAsia="zh-CN"/>
              </w:rPr>
              <w:t> </w:t>
            </w:r>
          </w:p>
        </w:tc>
      </w:tr>
      <w:tr w:rsidR="000D4435" w:rsidRPr="000D4435" w:rsidTr="000D4435">
        <w:trPr>
          <w:trHeight w:val="255"/>
        </w:trPr>
        <w:tc>
          <w:tcPr>
            <w:tcW w:w="2603" w:type="pct"/>
            <w:tcBorders>
              <w:top w:val="nil"/>
              <w:left w:val="single" w:sz="4" w:space="0" w:color="auto"/>
              <w:bottom w:val="nil"/>
              <w:right w:val="nil"/>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8"/>
                <w:szCs w:val="18"/>
                <w:lang w:val="en-US" w:eastAsia="zh-CN"/>
              </w:rPr>
            </w:pPr>
            <w:r w:rsidRPr="000D4435">
              <w:rPr>
                <w:rFonts w:ascii="Arial" w:hAnsi="Arial" w:cs="Arial"/>
                <w:b/>
                <w:bCs/>
                <w:color w:val="000000"/>
                <w:sz w:val="18"/>
                <w:szCs w:val="18"/>
                <w:lang w:val="en-US" w:eastAsia="zh-CN"/>
              </w:rPr>
              <w:t>Current liabilities</w:t>
            </w:r>
          </w:p>
        </w:tc>
        <w:tc>
          <w:tcPr>
            <w:tcW w:w="475" w:type="pct"/>
            <w:tcBorders>
              <w:top w:val="nil"/>
              <w:left w:val="single" w:sz="4" w:space="0" w:color="auto"/>
              <w:bottom w:val="nil"/>
              <w:right w:val="single" w:sz="4" w:space="0" w:color="auto"/>
            </w:tcBorders>
            <w:shd w:val="clear" w:color="auto" w:fill="auto"/>
            <w:hideMark/>
          </w:tcPr>
          <w:p w:rsidR="000D4435" w:rsidRPr="000D4435" w:rsidRDefault="000D4435" w:rsidP="00900732">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8"/>
                <w:szCs w:val="18"/>
                <w:lang w:val="en-US" w:eastAsia="zh-CN"/>
              </w:rPr>
            </w:pPr>
          </w:p>
        </w:tc>
        <w:tc>
          <w:tcPr>
            <w:tcW w:w="961" w:type="pct"/>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0D4435">
              <w:rPr>
                <w:rFonts w:ascii="Arial" w:hAnsi="Arial" w:cs="Arial"/>
                <w:color w:val="000000"/>
                <w:sz w:val="18"/>
                <w:szCs w:val="18"/>
                <w:lang w:val="en-US" w:eastAsia="zh-CN"/>
              </w:rPr>
              <w:t> </w:t>
            </w:r>
          </w:p>
        </w:tc>
        <w:tc>
          <w:tcPr>
            <w:tcW w:w="961" w:type="pct"/>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0D4435">
              <w:rPr>
                <w:rFonts w:ascii="Arial" w:hAnsi="Arial" w:cs="Arial"/>
                <w:color w:val="000000"/>
                <w:sz w:val="18"/>
                <w:szCs w:val="18"/>
                <w:lang w:val="en-US" w:eastAsia="zh-CN"/>
              </w:rPr>
              <w:t> </w:t>
            </w:r>
          </w:p>
        </w:tc>
      </w:tr>
      <w:tr w:rsidR="000D4435" w:rsidRPr="000D4435" w:rsidTr="000D4435">
        <w:trPr>
          <w:trHeight w:val="255"/>
        </w:trPr>
        <w:tc>
          <w:tcPr>
            <w:tcW w:w="2603" w:type="pct"/>
            <w:tcBorders>
              <w:top w:val="nil"/>
              <w:left w:val="single" w:sz="4" w:space="0" w:color="auto"/>
              <w:bottom w:val="nil"/>
              <w:right w:val="nil"/>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8"/>
                <w:szCs w:val="18"/>
                <w:lang w:val="en-US" w:eastAsia="zh-CN"/>
              </w:rPr>
            </w:pPr>
            <w:r w:rsidRPr="000D4435">
              <w:rPr>
                <w:rFonts w:ascii="Arial" w:hAnsi="Arial" w:cs="Arial"/>
                <w:color w:val="000000"/>
                <w:sz w:val="18"/>
                <w:szCs w:val="18"/>
                <w:lang w:val="en-US" w:eastAsia="zh-CN"/>
              </w:rPr>
              <w:t>Suppliers and other creditors</w:t>
            </w:r>
          </w:p>
        </w:tc>
        <w:tc>
          <w:tcPr>
            <w:tcW w:w="475" w:type="pct"/>
            <w:tcBorders>
              <w:top w:val="nil"/>
              <w:left w:val="single" w:sz="4" w:space="0" w:color="auto"/>
              <w:bottom w:val="nil"/>
              <w:right w:val="single" w:sz="4" w:space="0" w:color="auto"/>
            </w:tcBorders>
            <w:shd w:val="clear" w:color="auto" w:fill="auto"/>
            <w:hideMark/>
          </w:tcPr>
          <w:p w:rsidR="000D4435" w:rsidRPr="000D4435" w:rsidRDefault="000D4435" w:rsidP="00900732">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8"/>
                <w:szCs w:val="18"/>
                <w:lang w:val="en-US" w:eastAsia="zh-CN"/>
              </w:rPr>
            </w:pPr>
            <w:r w:rsidRPr="000D4435">
              <w:rPr>
                <w:rFonts w:ascii="Arial" w:hAnsi="Arial" w:cs="Arial"/>
                <w:color w:val="000000"/>
                <w:sz w:val="18"/>
                <w:szCs w:val="18"/>
                <w:lang w:val="en-US" w:eastAsia="zh-CN"/>
              </w:rPr>
              <w:t>14</w:t>
            </w:r>
          </w:p>
        </w:tc>
        <w:tc>
          <w:tcPr>
            <w:tcW w:w="961" w:type="pct"/>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18"/>
                <w:szCs w:val="18"/>
                <w:lang w:val="en-US" w:eastAsia="zh-CN"/>
              </w:rPr>
            </w:pPr>
            <w:r w:rsidRPr="000D4435">
              <w:rPr>
                <w:rFonts w:ascii="Arial" w:hAnsi="Arial" w:cs="Arial"/>
                <w:sz w:val="18"/>
                <w:szCs w:val="18"/>
                <w:lang w:val="en-US" w:eastAsia="zh-CN"/>
              </w:rPr>
              <w:t xml:space="preserve">                   9,671 </w:t>
            </w:r>
          </w:p>
        </w:tc>
        <w:tc>
          <w:tcPr>
            <w:tcW w:w="961" w:type="pct"/>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0D4435">
              <w:rPr>
                <w:rFonts w:ascii="Arial" w:hAnsi="Arial" w:cs="Arial"/>
                <w:color w:val="000000"/>
                <w:sz w:val="18"/>
                <w:szCs w:val="18"/>
                <w:lang w:val="en-US" w:eastAsia="zh-CN"/>
              </w:rPr>
              <w:t xml:space="preserve">                   9,148 </w:t>
            </w:r>
          </w:p>
        </w:tc>
      </w:tr>
      <w:tr w:rsidR="000D4435" w:rsidRPr="000D4435" w:rsidTr="000D4435">
        <w:trPr>
          <w:trHeight w:val="255"/>
        </w:trPr>
        <w:tc>
          <w:tcPr>
            <w:tcW w:w="2603" w:type="pct"/>
            <w:tcBorders>
              <w:top w:val="nil"/>
              <w:left w:val="single" w:sz="4" w:space="0" w:color="auto"/>
              <w:bottom w:val="nil"/>
              <w:right w:val="nil"/>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8"/>
                <w:szCs w:val="18"/>
                <w:lang w:val="en-US" w:eastAsia="zh-CN"/>
              </w:rPr>
            </w:pPr>
            <w:r w:rsidRPr="000D4435">
              <w:rPr>
                <w:rFonts w:ascii="Arial" w:hAnsi="Arial" w:cs="Arial"/>
                <w:color w:val="000000"/>
                <w:sz w:val="18"/>
                <w:szCs w:val="18"/>
                <w:lang w:val="en-US" w:eastAsia="zh-CN"/>
              </w:rPr>
              <w:t>Deferred revenue</w:t>
            </w:r>
          </w:p>
        </w:tc>
        <w:tc>
          <w:tcPr>
            <w:tcW w:w="475" w:type="pct"/>
            <w:tcBorders>
              <w:top w:val="nil"/>
              <w:left w:val="single" w:sz="4" w:space="0" w:color="auto"/>
              <w:bottom w:val="nil"/>
              <w:right w:val="single" w:sz="4" w:space="0" w:color="auto"/>
            </w:tcBorders>
            <w:shd w:val="clear" w:color="auto" w:fill="auto"/>
            <w:hideMark/>
          </w:tcPr>
          <w:p w:rsidR="000D4435" w:rsidRPr="000D4435" w:rsidRDefault="000D4435" w:rsidP="00900732">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8"/>
                <w:szCs w:val="18"/>
                <w:lang w:val="en-US" w:eastAsia="zh-CN"/>
              </w:rPr>
            </w:pPr>
            <w:r w:rsidRPr="000D4435">
              <w:rPr>
                <w:rFonts w:ascii="Arial" w:hAnsi="Arial" w:cs="Arial"/>
                <w:color w:val="000000"/>
                <w:sz w:val="18"/>
                <w:szCs w:val="18"/>
                <w:lang w:val="en-US" w:eastAsia="zh-CN"/>
              </w:rPr>
              <w:t>15</w:t>
            </w:r>
          </w:p>
        </w:tc>
        <w:tc>
          <w:tcPr>
            <w:tcW w:w="961" w:type="pct"/>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18"/>
                <w:szCs w:val="18"/>
                <w:lang w:val="en-US" w:eastAsia="zh-CN"/>
              </w:rPr>
            </w:pPr>
            <w:r w:rsidRPr="000D4435">
              <w:rPr>
                <w:rFonts w:ascii="Arial" w:hAnsi="Arial" w:cs="Arial"/>
                <w:sz w:val="18"/>
                <w:szCs w:val="18"/>
                <w:lang w:val="en-US" w:eastAsia="zh-CN"/>
              </w:rPr>
              <w:t xml:space="preserve">                134,275 </w:t>
            </w:r>
          </w:p>
        </w:tc>
        <w:tc>
          <w:tcPr>
            <w:tcW w:w="961" w:type="pct"/>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0D4435">
              <w:rPr>
                <w:rFonts w:ascii="Arial" w:hAnsi="Arial" w:cs="Arial"/>
                <w:color w:val="000000"/>
                <w:sz w:val="18"/>
                <w:szCs w:val="18"/>
                <w:lang w:val="en-US" w:eastAsia="zh-CN"/>
              </w:rPr>
              <w:t xml:space="preserve">                129,022 </w:t>
            </w:r>
          </w:p>
        </w:tc>
      </w:tr>
      <w:tr w:rsidR="000D4435" w:rsidRPr="000D4435" w:rsidTr="000D4435">
        <w:trPr>
          <w:trHeight w:val="255"/>
        </w:trPr>
        <w:tc>
          <w:tcPr>
            <w:tcW w:w="2603" w:type="pct"/>
            <w:tcBorders>
              <w:top w:val="nil"/>
              <w:left w:val="single" w:sz="4" w:space="0" w:color="auto"/>
              <w:bottom w:val="nil"/>
              <w:right w:val="nil"/>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8"/>
                <w:szCs w:val="18"/>
                <w:lang w:val="en-US" w:eastAsia="zh-CN"/>
              </w:rPr>
            </w:pPr>
            <w:r w:rsidRPr="000D4435">
              <w:rPr>
                <w:rFonts w:ascii="Arial" w:hAnsi="Arial" w:cs="Arial"/>
                <w:color w:val="000000"/>
                <w:sz w:val="18"/>
                <w:szCs w:val="18"/>
                <w:lang w:val="en-US" w:eastAsia="zh-CN"/>
              </w:rPr>
              <w:t>Borrowings and financial debts</w:t>
            </w:r>
          </w:p>
        </w:tc>
        <w:tc>
          <w:tcPr>
            <w:tcW w:w="475" w:type="pct"/>
            <w:tcBorders>
              <w:top w:val="nil"/>
              <w:left w:val="single" w:sz="4" w:space="0" w:color="auto"/>
              <w:bottom w:val="nil"/>
              <w:right w:val="single" w:sz="4" w:space="0" w:color="auto"/>
            </w:tcBorders>
            <w:shd w:val="clear" w:color="auto" w:fill="auto"/>
            <w:hideMark/>
          </w:tcPr>
          <w:p w:rsidR="000D4435" w:rsidRPr="000D4435" w:rsidRDefault="000D4435" w:rsidP="00900732">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8"/>
                <w:szCs w:val="18"/>
                <w:lang w:val="en-US" w:eastAsia="zh-CN"/>
              </w:rPr>
            </w:pPr>
            <w:r w:rsidRPr="000D4435">
              <w:rPr>
                <w:rFonts w:ascii="Arial" w:hAnsi="Arial" w:cs="Arial"/>
                <w:color w:val="000000"/>
                <w:sz w:val="18"/>
                <w:szCs w:val="18"/>
                <w:lang w:val="en-US" w:eastAsia="zh-CN"/>
              </w:rPr>
              <w:t>16</w:t>
            </w:r>
          </w:p>
        </w:tc>
        <w:tc>
          <w:tcPr>
            <w:tcW w:w="961" w:type="pct"/>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18"/>
                <w:szCs w:val="18"/>
                <w:lang w:val="en-US" w:eastAsia="zh-CN"/>
              </w:rPr>
            </w:pPr>
            <w:r w:rsidRPr="000D4435">
              <w:rPr>
                <w:rFonts w:ascii="Arial" w:hAnsi="Arial" w:cs="Arial"/>
                <w:sz w:val="18"/>
                <w:szCs w:val="18"/>
                <w:lang w:val="en-US" w:eastAsia="zh-CN"/>
              </w:rPr>
              <w:t xml:space="preserve">                   1,493 </w:t>
            </w:r>
          </w:p>
        </w:tc>
        <w:tc>
          <w:tcPr>
            <w:tcW w:w="961" w:type="pct"/>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0D4435">
              <w:rPr>
                <w:rFonts w:ascii="Arial" w:hAnsi="Arial" w:cs="Arial"/>
                <w:color w:val="000000"/>
                <w:sz w:val="18"/>
                <w:szCs w:val="18"/>
                <w:lang w:val="en-US" w:eastAsia="zh-CN"/>
              </w:rPr>
              <w:t xml:space="preserve">                   1,493 </w:t>
            </w:r>
          </w:p>
        </w:tc>
      </w:tr>
      <w:tr w:rsidR="000D4435" w:rsidRPr="000D4435" w:rsidTr="000D4435">
        <w:trPr>
          <w:trHeight w:val="255"/>
        </w:trPr>
        <w:tc>
          <w:tcPr>
            <w:tcW w:w="2603" w:type="pct"/>
            <w:tcBorders>
              <w:top w:val="nil"/>
              <w:left w:val="single" w:sz="4" w:space="0" w:color="auto"/>
              <w:bottom w:val="nil"/>
              <w:right w:val="nil"/>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8"/>
                <w:szCs w:val="18"/>
                <w:lang w:val="en-US" w:eastAsia="zh-CN"/>
              </w:rPr>
            </w:pPr>
            <w:r w:rsidRPr="000D4435">
              <w:rPr>
                <w:rFonts w:ascii="Arial" w:hAnsi="Arial" w:cs="Arial"/>
                <w:color w:val="000000"/>
                <w:sz w:val="18"/>
                <w:szCs w:val="18"/>
                <w:lang w:val="en-US" w:eastAsia="zh-CN"/>
              </w:rPr>
              <w:t>Employee benefits</w:t>
            </w:r>
          </w:p>
        </w:tc>
        <w:tc>
          <w:tcPr>
            <w:tcW w:w="475" w:type="pct"/>
            <w:tcBorders>
              <w:top w:val="nil"/>
              <w:left w:val="single" w:sz="4" w:space="0" w:color="auto"/>
              <w:bottom w:val="nil"/>
              <w:right w:val="single" w:sz="4" w:space="0" w:color="auto"/>
            </w:tcBorders>
            <w:shd w:val="clear" w:color="auto" w:fill="auto"/>
            <w:hideMark/>
          </w:tcPr>
          <w:p w:rsidR="000D4435" w:rsidRPr="000D4435" w:rsidRDefault="000D4435" w:rsidP="00900732">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8"/>
                <w:szCs w:val="18"/>
                <w:lang w:val="en-US" w:eastAsia="zh-CN"/>
              </w:rPr>
            </w:pPr>
            <w:r w:rsidRPr="000D4435">
              <w:rPr>
                <w:rFonts w:ascii="Arial" w:hAnsi="Arial" w:cs="Arial"/>
                <w:color w:val="000000"/>
                <w:sz w:val="18"/>
                <w:szCs w:val="18"/>
                <w:lang w:val="en-US" w:eastAsia="zh-CN"/>
              </w:rPr>
              <w:t>17</w:t>
            </w:r>
          </w:p>
        </w:tc>
        <w:tc>
          <w:tcPr>
            <w:tcW w:w="961" w:type="pct"/>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18"/>
                <w:szCs w:val="18"/>
                <w:lang w:val="en-US" w:eastAsia="zh-CN"/>
              </w:rPr>
            </w:pPr>
            <w:r w:rsidRPr="000D4435">
              <w:rPr>
                <w:rFonts w:ascii="Arial" w:hAnsi="Arial" w:cs="Arial"/>
                <w:sz w:val="18"/>
                <w:szCs w:val="18"/>
                <w:lang w:val="en-US" w:eastAsia="zh-CN"/>
              </w:rPr>
              <w:t xml:space="preserve">                      226 </w:t>
            </w:r>
          </w:p>
        </w:tc>
        <w:tc>
          <w:tcPr>
            <w:tcW w:w="961" w:type="pct"/>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0D4435">
              <w:rPr>
                <w:rFonts w:ascii="Arial" w:hAnsi="Arial" w:cs="Arial"/>
                <w:color w:val="000000"/>
                <w:sz w:val="18"/>
                <w:szCs w:val="18"/>
                <w:lang w:val="en-US" w:eastAsia="zh-CN"/>
              </w:rPr>
              <w:t xml:space="preserve">                   1,094 </w:t>
            </w:r>
          </w:p>
        </w:tc>
      </w:tr>
      <w:tr w:rsidR="000D4435" w:rsidRPr="000D4435" w:rsidTr="000D4435">
        <w:trPr>
          <w:trHeight w:val="255"/>
        </w:trPr>
        <w:tc>
          <w:tcPr>
            <w:tcW w:w="2603" w:type="pct"/>
            <w:tcBorders>
              <w:top w:val="nil"/>
              <w:left w:val="single" w:sz="4" w:space="0" w:color="auto"/>
              <w:bottom w:val="nil"/>
              <w:right w:val="nil"/>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8"/>
                <w:szCs w:val="18"/>
                <w:lang w:val="en-US" w:eastAsia="zh-CN"/>
              </w:rPr>
            </w:pPr>
            <w:r w:rsidRPr="000D4435">
              <w:rPr>
                <w:rFonts w:ascii="Arial" w:hAnsi="Arial" w:cs="Arial"/>
                <w:color w:val="000000"/>
                <w:sz w:val="18"/>
                <w:szCs w:val="18"/>
                <w:lang w:val="en-US" w:eastAsia="zh-CN"/>
              </w:rPr>
              <w:t>Provisions</w:t>
            </w:r>
          </w:p>
        </w:tc>
        <w:tc>
          <w:tcPr>
            <w:tcW w:w="475" w:type="pct"/>
            <w:tcBorders>
              <w:top w:val="nil"/>
              <w:left w:val="single" w:sz="4" w:space="0" w:color="auto"/>
              <w:bottom w:val="nil"/>
              <w:right w:val="single" w:sz="4" w:space="0" w:color="auto"/>
            </w:tcBorders>
            <w:shd w:val="clear" w:color="auto" w:fill="auto"/>
            <w:hideMark/>
          </w:tcPr>
          <w:p w:rsidR="000D4435" w:rsidRPr="000D4435" w:rsidRDefault="000D4435" w:rsidP="00900732">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8"/>
                <w:szCs w:val="18"/>
                <w:lang w:val="en-US" w:eastAsia="zh-CN"/>
              </w:rPr>
            </w:pPr>
            <w:r w:rsidRPr="000D4435">
              <w:rPr>
                <w:rFonts w:ascii="Arial" w:hAnsi="Arial" w:cs="Arial"/>
                <w:color w:val="000000"/>
                <w:sz w:val="18"/>
                <w:szCs w:val="18"/>
                <w:lang w:val="en-US" w:eastAsia="zh-CN"/>
              </w:rPr>
              <w:t>18</w:t>
            </w:r>
          </w:p>
        </w:tc>
        <w:tc>
          <w:tcPr>
            <w:tcW w:w="961" w:type="pct"/>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18"/>
                <w:szCs w:val="18"/>
                <w:lang w:val="en-US" w:eastAsia="zh-CN"/>
              </w:rPr>
            </w:pPr>
            <w:r w:rsidRPr="000D4435">
              <w:rPr>
                <w:rFonts w:ascii="Arial" w:hAnsi="Arial" w:cs="Arial"/>
                <w:sz w:val="18"/>
                <w:szCs w:val="18"/>
                <w:lang w:val="en-US" w:eastAsia="zh-CN"/>
              </w:rPr>
              <w:t xml:space="preserve">                   1,636 </w:t>
            </w:r>
          </w:p>
        </w:tc>
        <w:tc>
          <w:tcPr>
            <w:tcW w:w="961" w:type="pct"/>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0D4435">
              <w:rPr>
                <w:rFonts w:ascii="Arial" w:hAnsi="Arial" w:cs="Arial"/>
                <w:color w:val="000000"/>
                <w:sz w:val="18"/>
                <w:szCs w:val="18"/>
                <w:lang w:val="en-US" w:eastAsia="zh-CN"/>
              </w:rPr>
              <w:t xml:space="preserve">                   1,452 </w:t>
            </w:r>
          </w:p>
        </w:tc>
      </w:tr>
      <w:tr w:rsidR="000D4435" w:rsidRPr="000D4435" w:rsidTr="000D4435">
        <w:trPr>
          <w:trHeight w:val="255"/>
        </w:trPr>
        <w:tc>
          <w:tcPr>
            <w:tcW w:w="2603" w:type="pct"/>
            <w:tcBorders>
              <w:top w:val="nil"/>
              <w:left w:val="single" w:sz="4" w:space="0" w:color="auto"/>
              <w:bottom w:val="nil"/>
              <w:right w:val="nil"/>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8"/>
                <w:szCs w:val="18"/>
                <w:lang w:val="en-US" w:eastAsia="zh-CN"/>
              </w:rPr>
            </w:pPr>
            <w:r w:rsidRPr="000D4435">
              <w:rPr>
                <w:rFonts w:ascii="Arial" w:hAnsi="Arial" w:cs="Arial"/>
                <w:color w:val="000000"/>
                <w:sz w:val="18"/>
                <w:szCs w:val="18"/>
                <w:lang w:val="en-US" w:eastAsia="zh-CN"/>
              </w:rPr>
              <w:t>Other debts</w:t>
            </w:r>
          </w:p>
        </w:tc>
        <w:tc>
          <w:tcPr>
            <w:tcW w:w="475" w:type="pct"/>
            <w:tcBorders>
              <w:top w:val="nil"/>
              <w:left w:val="single" w:sz="4" w:space="0" w:color="auto"/>
              <w:bottom w:val="nil"/>
              <w:right w:val="single" w:sz="4" w:space="0" w:color="auto"/>
            </w:tcBorders>
            <w:shd w:val="clear" w:color="auto" w:fill="auto"/>
            <w:hideMark/>
          </w:tcPr>
          <w:p w:rsidR="000D4435" w:rsidRPr="000D4435" w:rsidRDefault="000D4435" w:rsidP="00900732">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8"/>
                <w:szCs w:val="18"/>
                <w:lang w:val="en-US" w:eastAsia="zh-CN"/>
              </w:rPr>
            </w:pPr>
            <w:r w:rsidRPr="000D4435">
              <w:rPr>
                <w:rFonts w:ascii="Arial" w:hAnsi="Arial" w:cs="Arial"/>
                <w:color w:val="000000"/>
                <w:sz w:val="18"/>
                <w:szCs w:val="18"/>
                <w:lang w:val="en-US" w:eastAsia="zh-CN"/>
              </w:rPr>
              <w:t>19</w:t>
            </w:r>
          </w:p>
        </w:tc>
        <w:tc>
          <w:tcPr>
            <w:tcW w:w="961" w:type="pct"/>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0D4435">
              <w:rPr>
                <w:rFonts w:ascii="Arial" w:hAnsi="Arial" w:cs="Arial"/>
                <w:color w:val="000000"/>
                <w:sz w:val="18"/>
                <w:szCs w:val="18"/>
                <w:lang w:val="en-US" w:eastAsia="zh-CN"/>
              </w:rPr>
              <w:t xml:space="preserve">                   1,810 </w:t>
            </w:r>
          </w:p>
        </w:tc>
        <w:tc>
          <w:tcPr>
            <w:tcW w:w="961" w:type="pct"/>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0D4435">
              <w:rPr>
                <w:rFonts w:ascii="Arial" w:hAnsi="Arial" w:cs="Arial"/>
                <w:color w:val="000000"/>
                <w:sz w:val="18"/>
                <w:szCs w:val="18"/>
                <w:lang w:val="en-US" w:eastAsia="zh-CN"/>
              </w:rPr>
              <w:t xml:space="preserve">                   5,075 </w:t>
            </w:r>
          </w:p>
        </w:tc>
      </w:tr>
      <w:tr w:rsidR="000D4435" w:rsidRPr="000D4435" w:rsidTr="000D4435">
        <w:trPr>
          <w:trHeight w:val="255"/>
        </w:trPr>
        <w:tc>
          <w:tcPr>
            <w:tcW w:w="2603" w:type="pct"/>
            <w:tcBorders>
              <w:top w:val="nil"/>
              <w:left w:val="single" w:sz="4" w:space="0" w:color="auto"/>
              <w:bottom w:val="nil"/>
              <w:right w:val="nil"/>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8"/>
                <w:szCs w:val="18"/>
                <w:lang w:val="en-US" w:eastAsia="zh-CN"/>
              </w:rPr>
            </w:pPr>
            <w:r w:rsidRPr="000D4435">
              <w:rPr>
                <w:rFonts w:ascii="Arial" w:hAnsi="Arial" w:cs="Arial"/>
                <w:b/>
                <w:bCs/>
                <w:color w:val="000000"/>
                <w:sz w:val="18"/>
                <w:szCs w:val="18"/>
                <w:lang w:val="en-US" w:eastAsia="zh-CN"/>
              </w:rPr>
              <w:t>Total current liabilities</w:t>
            </w:r>
          </w:p>
        </w:tc>
        <w:tc>
          <w:tcPr>
            <w:tcW w:w="475" w:type="pct"/>
            <w:tcBorders>
              <w:top w:val="nil"/>
              <w:left w:val="single" w:sz="4" w:space="0" w:color="auto"/>
              <w:bottom w:val="nil"/>
              <w:right w:val="single" w:sz="4" w:space="0" w:color="auto"/>
            </w:tcBorders>
            <w:shd w:val="clear" w:color="auto" w:fill="auto"/>
            <w:hideMark/>
          </w:tcPr>
          <w:p w:rsidR="000D4435" w:rsidRPr="000D4435" w:rsidRDefault="000D4435" w:rsidP="00900732">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8"/>
                <w:szCs w:val="18"/>
                <w:lang w:val="en-US" w:eastAsia="zh-CN"/>
              </w:rPr>
            </w:pPr>
          </w:p>
        </w:tc>
        <w:tc>
          <w:tcPr>
            <w:tcW w:w="961" w:type="pct"/>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0D4435">
              <w:rPr>
                <w:rFonts w:ascii="Arial" w:hAnsi="Arial" w:cs="Arial"/>
                <w:b/>
                <w:bCs/>
                <w:color w:val="000000"/>
                <w:sz w:val="18"/>
                <w:szCs w:val="18"/>
                <w:lang w:val="en-US" w:eastAsia="zh-CN"/>
              </w:rPr>
              <w:t xml:space="preserve">                149,112 </w:t>
            </w:r>
          </w:p>
        </w:tc>
        <w:tc>
          <w:tcPr>
            <w:tcW w:w="961" w:type="pct"/>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0D4435">
              <w:rPr>
                <w:rFonts w:ascii="Arial" w:hAnsi="Arial" w:cs="Arial"/>
                <w:b/>
                <w:bCs/>
                <w:color w:val="000000"/>
                <w:sz w:val="18"/>
                <w:szCs w:val="18"/>
                <w:lang w:val="en-US" w:eastAsia="zh-CN"/>
              </w:rPr>
              <w:t xml:space="preserve">                147,284 </w:t>
            </w:r>
          </w:p>
        </w:tc>
      </w:tr>
      <w:tr w:rsidR="000D4435" w:rsidRPr="000D4435" w:rsidTr="000D4435">
        <w:trPr>
          <w:trHeight w:val="255"/>
        </w:trPr>
        <w:tc>
          <w:tcPr>
            <w:tcW w:w="2603" w:type="pct"/>
            <w:tcBorders>
              <w:top w:val="nil"/>
              <w:left w:val="single" w:sz="4" w:space="0" w:color="auto"/>
              <w:bottom w:val="nil"/>
              <w:right w:val="nil"/>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8"/>
                <w:szCs w:val="18"/>
                <w:lang w:val="en-US" w:eastAsia="zh-CN"/>
              </w:rPr>
            </w:pPr>
            <w:r w:rsidRPr="000D4435">
              <w:rPr>
                <w:rFonts w:ascii="Arial" w:hAnsi="Arial" w:cs="Arial"/>
                <w:b/>
                <w:bCs/>
                <w:color w:val="000000"/>
                <w:sz w:val="18"/>
                <w:szCs w:val="18"/>
                <w:lang w:val="en-US" w:eastAsia="zh-CN"/>
              </w:rPr>
              <w:t> </w:t>
            </w:r>
          </w:p>
        </w:tc>
        <w:tc>
          <w:tcPr>
            <w:tcW w:w="475" w:type="pct"/>
            <w:tcBorders>
              <w:top w:val="nil"/>
              <w:left w:val="single" w:sz="4" w:space="0" w:color="auto"/>
              <w:bottom w:val="nil"/>
              <w:right w:val="single" w:sz="4" w:space="0" w:color="auto"/>
            </w:tcBorders>
            <w:shd w:val="clear" w:color="auto" w:fill="auto"/>
            <w:hideMark/>
          </w:tcPr>
          <w:p w:rsidR="000D4435" w:rsidRPr="000D4435" w:rsidRDefault="000D4435" w:rsidP="00900732">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8"/>
                <w:szCs w:val="18"/>
                <w:lang w:val="en-US" w:eastAsia="zh-CN"/>
              </w:rPr>
            </w:pPr>
          </w:p>
        </w:tc>
        <w:tc>
          <w:tcPr>
            <w:tcW w:w="961" w:type="pct"/>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0D4435">
              <w:rPr>
                <w:rFonts w:ascii="Arial" w:hAnsi="Arial" w:cs="Arial"/>
                <w:b/>
                <w:bCs/>
                <w:color w:val="000000"/>
                <w:sz w:val="18"/>
                <w:szCs w:val="18"/>
                <w:lang w:val="en-US" w:eastAsia="zh-CN"/>
              </w:rPr>
              <w:t> </w:t>
            </w:r>
          </w:p>
        </w:tc>
        <w:tc>
          <w:tcPr>
            <w:tcW w:w="961" w:type="pct"/>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0D4435">
              <w:rPr>
                <w:rFonts w:ascii="Arial" w:hAnsi="Arial" w:cs="Arial"/>
                <w:b/>
                <w:bCs/>
                <w:color w:val="000000"/>
                <w:sz w:val="18"/>
                <w:szCs w:val="18"/>
                <w:lang w:val="en-US" w:eastAsia="zh-CN"/>
              </w:rPr>
              <w:t> </w:t>
            </w:r>
          </w:p>
        </w:tc>
      </w:tr>
      <w:tr w:rsidR="000D4435" w:rsidRPr="000D4435" w:rsidTr="000D4435">
        <w:trPr>
          <w:trHeight w:val="255"/>
        </w:trPr>
        <w:tc>
          <w:tcPr>
            <w:tcW w:w="2603" w:type="pct"/>
            <w:tcBorders>
              <w:top w:val="nil"/>
              <w:left w:val="single" w:sz="4" w:space="0" w:color="auto"/>
              <w:bottom w:val="nil"/>
              <w:right w:val="nil"/>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8"/>
                <w:szCs w:val="18"/>
                <w:lang w:val="en-US" w:eastAsia="zh-CN"/>
              </w:rPr>
            </w:pPr>
            <w:r w:rsidRPr="000D4435">
              <w:rPr>
                <w:rFonts w:ascii="Arial" w:hAnsi="Arial" w:cs="Arial"/>
                <w:b/>
                <w:bCs/>
                <w:color w:val="000000"/>
                <w:sz w:val="18"/>
                <w:szCs w:val="18"/>
                <w:lang w:val="en-US" w:eastAsia="zh-CN"/>
              </w:rPr>
              <w:t>Non-current liabilities</w:t>
            </w:r>
          </w:p>
        </w:tc>
        <w:tc>
          <w:tcPr>
            <w:tcW w:w="475" w:type="pct"/>
            <w:tcBorders>
              <w:top w:val="nil"/>
              <w:left w:val="single" w:sz="4" w:space="0" w:color="auto"/>
              <w:bottom w:val="nil"/>
              <w:right w:val="single" w:sz="4" w:space="0" w:color="auto"/>
            </w:tcBorders>
            <w:shd w:val="clear" w:color="auto" w:fill="auto"/>
            <w:hideMark/>
          </w:tcPr>
          <w:p w:rsidR="000D4435" w:rsidRPr="000D4435" w:rsidRDefault="000D4435" w:rsidP="00900732">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8"/>
                <w:szCs w:val="18"/>
                <w:lang w:val="en-US" w:eastAsia="zh-CN"/>
              </w:rPr>
            </w:pPr>
          </w:p>
        </w:tc>
        <w:tc>
          <w:tcPr>
            <w:tcW w:w="961" w:type="pct"/>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0D4435">
              <w:rPr>
                <w:rFonts w:ascii="Arial" w:hAnsi="Arial" w:cs="Arial"/>
                <w:color w:val="000000"/>
                <w:sz w:val="18"/>
                <w:szCs w:val="18"/>
                <w:lang w:val="en-US" w:eastAsia="zh-CN"/>
              </w:rPr>
              <w:t> </w:t>
            </w:r>
          </w:p>
        </w:tc>
        <w:tc>
          <w:tcPr>
            <w:tcW w:w="961" w:type="pct"/>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0D4435">
              <w:rPr>
                <w:rFonts w:ascii="Arial" w:hAnsi="Arial" w:cs="Arial"/>
                <w:color w:val="000000"/>
                <w:sz w:val="18"/>
                <w:szCs w:val="18"/>
                <w:lang w:val="en-US" w:eastAsia="zh-CN"/>
              </w:rPr>
              <w:t> </w:t>
            </w:r>
          </w:p>
        </w:tc>
      </w:tr>
      <w:tr w:rsidR="000D4435" w:rsidRPr="000D4435" w:rsidTr="000D4435">
        <w:trPr>
          <w:trHeight w:val="255"/>
        </w:trPr>
        <w:tc>
          <w:tcPr>
            <w:tcW w:w="2603" w:type="pct"/>
            <w:tcBorders>
              <w:top w:val="nil"/>
              <w:left w:val="single" w:sz="4" w:space="0" w:color="auto"/>
              <w:bottom w:val="nil"/>
              <w:right w:val="nil"/>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8"/>
                <w:szCs w:val="18"/>
                <w:lang w:val="en-US" w:eastAsia="zh-CN"/>
              </w:rPr>
            </w:pPr>
            <w:r w:rsidRPr="000D4435">
              <w:rPr>
                <w:rFonts w:ascii="Arial" w:hAnsi="Arial" w:cs="Arial"/>
                <w:color w:val="000000"/>
                <w:sz w:val="18"/>
                <w:szCs w:val="18"/>
                <w:lang w:val="en-US" w:eastAsia="zh-CN"/>
              </w:rPr>
              <w:t>Borrowings</w:t>
            </w:r>
          </w:p>
        </w:tc>
        <w:tc>
          <w:tcPr>
            <w:tcW w:w="475" w:type="pct"/>
            <w:tcBorders>
              <w:top w:val="nil"/>
              <w:left w:val="single" w:sz="4" w:space="0" w:color="auto"/>
              <w:bottom w:val="nil"/>
              <w:right w:val="single" w:sz="4" w:space="0" w:color="auto"/>
            </w:tcBorders>
            <w:shd w:val="clear" w:color="auto" w:fill="auto"/>
            <w:hideMark/>
          </w:tcPr>
          <w:p w:rsidR="000D4435" w:rsidRPr="000D4435" w:rsidRDefault="000D4435" w:rsidP="00900732">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8"/>
                <w:szCs w:val="18"/>
                <w:lang w:val="en-US" w:eastAsia="zh-CN"/>
              </w:rPr>
            </w:pPr>
            <w:r w:rsidRPr="000D4435">
              <w:rPr>
                <w:rFonts w:ascii="Arial" w:hAnsi="Arial" w:cs="Arial"/>
                <w:color w:val="000000"/>
                <w:sz w:val="18"/>
                <w:szCs w:val="18"/>
                <w:lang w:val="en-US" w:eastAsia="zh-CN"/>
              </w:rPr>
              <w:t>16</w:t>
            </w:r>
          </w:p>
        </w:tc>
        <w:tc>
          <w:tcPr>
            <w:tcW w:w="961" w:type="pct"/>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18"/>
                <w:szCs w:val="18"/>
                <w:lang w:val="en-US" w:eastAsia="zh-CN"/>
              </w:rPr>
            </w:pPr>
            <w:r w:rsidRPr="000D4435">
              <w:rPr>
                <w:rFonts w:ascii="Arial" w:hAnsi="Arial" w:cs="Arial"/>
                <w:sz w:val="18"/>
                <w:szCs w:val="18"/>
                <w:lang w:val="en-US" w:eastAsia="zh-CN"/>
              </w:rPr>
              <w:t xml:space="preserve">                 41,526 </w:t>
            </w:r>
          </w:p>
        </w:tc>
        <w:tc>
          <w:tcPr>
            <w:tcW w:w="961" w:type="pct"/>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0D4435">
              <w:rPr>
                <w:rFonts w:ascii="Arial" w:hAnsi="Arial" w:cs="Arial"/>
                <w:color w:val="000000"/>
                <w:sz w:val="18"/>
                <w:szCs w:val="18"/>
                <w:lang w:val="en-US" w:eastAsia="zh-CN"/>
              </w:rPr>
              <w:t xml:space="preserve">                 42,299 </w:t>
            </w:r>
          </w:p>
        </w:tc>
      </w:tr>
      <w:tr w:rsidR="000D4435" w:rsidRPr="000D4435" w:rsidTr="000D4435">
        <w:trPr>
          <w:trHeight w:val="255"/>
        </w:trPr>
        <w:tc>
          <w:tcPr>
            <w:tcW w:w="2603" w:type="pct"/>
            <w:tcBorders>
              <w:top w:val="nil"/>
              <w:left w:val="single" w:sz="4" w:space="0" w:color="auto"/>
              <w:bottom w:val="nil"/>
              <w:right w:val="nil"/>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8"/>
                <w:szCs w:val="18"/>
                <w:lang w:val="en-US" w:eastAsia="zh-CN"/>
              </w:rPr>
            </w:pPr>
            <w:r w:rsidRPr="000D4435">
              <w:rPr>
                <w:rFonts w:ascii="Arial" w:hAnsi="Arial" w:cs="Arial"/>
                <w:color w:val="000000"/>
                <w:sz w:val="18"/>
                <w:szCs w:val="18"/>
                <w:lang w:val="en-US" w:eastAsia="zh-CN"/>
              </w:rPr>
              <w:t>Employee benefits</w:t>
            </w:r>
          </w:p>
        </w:tc>
        <w:tc>
          <w:tcPr>
            <w:tcW w:w="475" w:type="pct"/>
            <w:tcBorders>
              <w:top w:val="nil"/>
              <w:left w:val="single" w:sz="4" w:space="0" w:color="auto"/>
              <w:bottom w:val="nil"/>
              <w:right w:val="single" w:sz="4" w:space="0" w:color="auto"/>
            </w:tcBorders>
            <w:shd w:val="clear" w:color="auto" w:fill="auto"/>
            <w:hideMark/>
          </w:tcPr>
          <w:p w:rsidR="000D4435" w:rsidRPr="000D4435" w:rsidRDefault="000D4435" w:rsidP="00900732">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8"/>
                <w:szCs w:val="18"/>
                <w:lang w:val="en-US" w:eastAsia="zh-CN"/>
              </w:rPr>
            </w:pPr>
            <w:r w:rsidRPr="000D4435">
              <w:rPr>
                <w:rFonts w:ascii="Arial" w:hAnsi="Arial" w:cs="Arial"/>
                <w:color w:val="000000"/>
                <w:sz w:val="18"/>
                <w:szCs w:val="18"/>
                <w:lang w:val="en-US" w:eastAsia="zh-CN"/>
              </w:rPr>
              <w:t>17</w:t>
            </w:r>
          </w:p>
        </w:tc>
        <w:tc>
          <w:tcPr>
            <w:tcW w:w="961" w:type="pct"/>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18"/>
                <w:szCs w:val="18"/>
                <w:lang w:val="en-US" w:eastAsia="zh-CN"/>
              </w:rPr>
            </w:pPr>
            <w:r w:rsidRPr="000D4435">
              <w:rPr>
                <w:rFonts w:ascii="Arial" w:hAnsi="Arial" w:cs="Arial"/>
                <w:sz w:val="18"/>
                <w:szCs w:val="18"/>
                <w:lang w:val="en-US" w:eastAsia="zh-CN"/>
              </w:rPr>
              <w:t xml:space="preserve">                638,365 </w:t>
            </w:r>
          </w:p>
        </w:tc>
        <w:tc>
          <w:tcPr>
            <w:tcW w:w="961" w:type="pct"/>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0D4435">
              <w:rPr>
                <w:rFonts w:ascii="Arial" w:hAnsi="Arial" w:cs="Arial"/>
                <w:color w:val="000000"/>
                <w:sz w:val="18"/>
                <w:szCs w:val="18"/>
                <w:lang w:val="en-US" w:eastAsia="zh-CN"/>
              </w:rPr>
              <w:t xml:space="preserve">                575,123 </w:t>
            </w:r>
          </w:p>
        </w:tc>
      </w:tr>
      <w:tr w:rsidR="000D4435" w:rsidRPr="000D4435" w:rsidTr="000D4435">
        <w:trPr>
          <w:trHeight w:val="255"/>
        </w:trPr>
        <w:tc>
          <w:tcPr>
            <w:tcW w:w="2603" w:type="pct"/>
            <w:tcBorders>
              <w:top w:val="nil"/>
              <w:left w:val="single" w:sz="4" w:space="0" w:color="auto"/>
              <w:bottom w:val="nil"/>
              <w:right w:val="nil"/>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8"/>
                <w:szCs w:val="18"/>
                <w:lang w:val="en-US" w:eastAsia="zh-CN"/>
              </w:rPr>
            </w:pPr>
            <w:r w:rsidRPr="000D4435">
              <w:rPr>
                <w:rFonts w:ascii="Arial" w:hAnsi="Arial" w:cs="Arial"/>
                <w:color w:val="000000"/>
                <w:sz w:val="18"/>
                <w:szCs w:val="18"/>
                <w:lang w:val="en-US" w:eastAsia="zh-CN"/>
              </w:rPr>
              <w:t>Allocated third-party funds</w:t>
            </w:r>
          </w:p>
        </w:tc>
        <w:tc>
          <w:tcPr>
            <w:tcW w:w="475" w:type="pct"/>
            <w:tcBorders>
              <w:top w:val="nil"/>
              <w:left w:val="single" w:sz="4" w:space="0" w:color="auto"/>
              <w:bottom w:val="nil"/>
              <w:right w:val="single" w:sz="4" w:space="0" w:color="auto"/>
            </w:tcBorders>
            <w:shd w:val="clear" w:color="auto" w:fill="auto"/>
            <w:hideMark/>
          </w:tcPr>
          <w:p w:rsidR="000D4435" w:rsidRPr="000D4435" w:rsidRDefault="000D4435" w:rsidP="00900732">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8"/>
                <w:szCs w:val="18"/>
                <w:lang w:val="en-US" w:eastAsia="zh-CN"/>
              </w:rPr>
            </w:pPr>
            <w:r w:rsidRPr="000D4435">
              <w:rPr>
                <w:rFonts w:ascii="Arial" w:hAnsi="Arial" w:cs="Arial"/>
                <w:color w:val="000000"/>
                <w:sz w:val="18"/>
                <w:szCs w:val="18"/>
                <w:lang w:val="en-US" w:eastAsia="zh-CN"/>
              </w:rPr>
              <w:t>20</w:t>
            </w:r>
          </w:p>
        </w:tc>
        <w:tc>
          <w:tcPr>
            <w:tcW w:w="961" w:type="pct"/>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18"/>
                <w:szCs w:val="18"/>
                <w:lang w:val="en-US" w:eastAsia="zh-CN"/>
              </w:rPr>
            </w:pPr>
            <w:r w:rsidRPr="000D4435">
              <w:rPr>
                <w:rFonts w:ascii="Arial" w:hAnsi="Arial" w:cs="Arial"/>
                <w:sz w:val="18"/>
                <w:szCs w:val="18"/>
                <w:lang w:val="en-US" w:eastAsia="zh-CN"/>
              </w:rPr>
              <w:t xml:space="preserve">                 22,994 </w:t>
            </w:r>
          </w:p>
        </w:tc>
        <w:tc>
          <w:tcPr>
            <w:tcW w:w="961" w:type="pct"/>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0D4435">
              <w:rPr>
                <w:rFonts w:ascii="Arial" w:hAnsi="Arial" w:cs="Arial"/>
                <w:color w:val="000000"/>
                <w:sz w:val="18"/>
                <w:szCs w:val="18"/>
                <w:lang w:val="en-US" w:eastAsia="zh-CN"/>
              </w:rPr>
              <w:t xml:space="preserve">                 23,612 </w:t>
            </w:r>
          </w:p>
        </w:tc>
      </w:tr>
      <w:tr w:rsidR="000D4435" w:rsidRPr="000D4435" w:rsidTr="000D4435">
        <w:trPr>
          <w:trHeight w:val="255"/>
        </w:trPr>
        <w:tc>
          <w:tcPr>
            <w:tcW w:w="2603" w:type="pct"/>
            <w:tcBorders>
              <w:top w:val="nil"/>
              <w:left w:val="single" w:sz="4" w:space="0" w:color="auto"/>
              <w:bottom w:val="nil"/>
              <w:right w:val="nil"/>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8"/>
                <w:szCs w:val="18"/>
                <w:lang w:val="en-US" w:eastAsia="zh-CN"/>
              </w:rPr>
            </w:pPr>
            <w:r w:rsidRPr="000D4435">
              <w:rPr>
                <w:rFonts w:ascii="Arial" w:hAnsi="Arial" w:cs="Arial"/>
                <w:color w:val="000000"/>
                <w:sz w:val="18"/>
                <w:szCs w:val="18"/>
                <w:lang w:val="en-US" w:eastAsia="zh-CN"/>
              </w:rPr>
              <w:t>Third-party funds in process of allocation</w:t>
            </w:r>
          </w:p>
        </w:tc>
        <w:tc>
          <w:tcPr>
            <w:tcW w:w="475" w:type="pct"/>
            <w:tcBorders>
              <w:top w:val="nil"/>
              <w:left w:val="single" w:sz="4" w:space="0" w:color="auto"/>
              <w:bottom w:val="nil"/>
              <w:right w:val="single" w:sz="4" w:space="0" w:color="auto"/>
            </w:tcBorders>
            <w:shd w:val="clear" w:color="auto" w:fill="auto"/>
            <w:hideMark/>
          </w:tcPr>
          <w:p w:rsidR="000D4435" w:rsidRPr="000D4435" w:rsidRDefault="000D4435" w:rsidP="00900732">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8"/>
                <w:szCs w:val="18"/>
                <w:lang w:val="en-US" w:eastAsia="zh-CN"/>
              </w:rPr>
            </w:pPr>
            <w:r w:rsidRPr="000D4435">
              <w:rPr>
                <w:rFonts w:ascii="Arial" w:hAnsi="Arial" w:cs="Arial"/>
                <w:color w:val="000000"/>
                <w:sz w:val="18"/>
                <w:szCs w:val="18"/>
                <w:lang w:val="en-US" w:eastAsia="zh-CN"/>
              </w:rPr>
              <w:t>20</w:t>
            </w:r>
          </w:p>
        </w:tc>
        <w:tc>
          <w:tcPr>
            <w:tcW w:w="961" w:type="pct"/>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18"/>
                <w:szCs w:val="18"/>
                <w:lang w:val="en-US" w:eastAsia="zh-CN"/>
              </w:rPr>
            </w:pPr>
            <w:r w:rsidRPr="000D4435">
              <w:rPr>
                <w:rFonts w:ascii="Arial" w:hAnsi="Arial" w:cs="Arial"/>
                <w:sz w:val="18"/>
                <w:szCs w:val="18"/>
                <w:lang w:val="en-US" w:eastAsia="zh-CN"/>
              </w:rPr>
              <w:t xml:space="preserve">                   3,300 </w:t>
            </w:r>
          </w:p>
        </w:tc>
        <w:tc>
          <w:tcPr>
            <w:tcW w:w="961" w:type="pct"/>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0D4435">
              <w:rPr>
                <w:rFonts w:ascii="Arial" w:hAnsi="Arial" w:cs="Arial"/>
                <w:color w:val="000000"/>
                <w:sz w:val="18"/>
                <w:szCs w:val="18"/>
                <w:lang w:val="en-US" w:eastAsia="zh-CN"/>
              </w:rPr>
              <w:t xml:space="preserve">                   3,813 </w:t>
            </w:r>
          </w:p>
        </w:tc>
      </w:tr>
      <w:tr w:rsidR="000D4435" w:rsidRPr="000D4435" w:rsidTr="000D4435">
        <w:trPr>
          <w:trHeight w:val="255"/>
        </w:trPr>
        <w:tc>
          <w:tcPr>
            <w:tcW w:w="2603" w:type="pct"/>
            <w:tcBorders>
              <w:top w:val="nil"/>
              <w:left w:val="single" w:sz="4" w:space="0" w:color="auto"/>
              <w:bottom w:val="nil"/>
              <w:right w:val="nil"/>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8"/>
                <w:szCs w:val="18"/>
                <w:lang w:val="en-US" w:eastAsia="zh-CN"/>
              </w:rPr>
            </w:pPr>
            <w:r w:rsidRPr="000D4435">
              <w:rPr>
                <w:rFonts w:ascii="Arial" w:hAnsi="Arial" w:cs="Arial"/>
                <w:b/>
                <w:bCs/>
                <w:color w:val="000000"/>
                <w:sz w:val="18"/>
                <w:szCs w:val="18"/>
                <w:lang w:val="en-US" w:eastAsia="zh-CN"/>
              </w:rPr>
              <w:t>Total non-current liabilities</w:t>
            </w:r>
          </w:p>
        </w:tc>
        <w:tc>
          <w:tcPr>
            <w:tcW w:w="475" w:type="pct"/>
            <w:tcBorders>
              <w:top w:val="nil"/>
              <w:left w:val="single" w:sz="4" w:space="0" w:color="auto"/>
              <w:bottom w:val="nil"/>
              <w:right w:val="single" w:sz="4" w:space="0" w:color="auto"/>
            </w:tcBorders>
            <w:shd w:val="clear" w:color="auto" w:fill="auto"/>
            <w:hideMark/>
          </w:tcPr>
          <w:p w:rsidR="000D4435" w:rsidRPr="000D4435" w:rsidRDefault="000D4435" w:rsidP="00900732">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8"/>
                <w:szCs w:val="18"/>
                <w:lang w:val="en-US" w:eastAsia="zh-CN"/>
              </w:rPr>
            </w:pPr>
          </w:p>
        </w:tc>
        <w:tc>
          <w:tcPr>
            <w:tcW w:w="961" w:type="pct"/>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0D4435">
              <w:rPr>
                <w:rFonts w:ascii="Arial" w:hAnsi="Arial" w:cs="Arial"/>
                <w:b/>
                <w:bCs/>
                <w:color w:val="000000"/>
                <w:sz w:val="18"/>
                <w:szCs w:val="18"/>
                <w:lang w:val="en-US" w:eastAsia="zh-CN"/>
              </w:rPr>
              <w:t xml:space="preserve">                706,185 </w:t>
            </w:r>
          </w:p>
        </w:tc>
        <w:tc>
          <w:tcPr>
            <w:tcW w:w="961" w:type="pct"/>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0D4435">
              <w:rPr>
                <w:rFonts w:ascii="Arial" w:hAnsi="Arial" w:cs="Arial"/>
                <w:b/>
                <w:bCs/>
                <w:color w:val="000000"/>
                <w:sz w:val="18"/>
                <w:szCs w:val="18"/>
                <w:lang w:val="en-US" w:eastAsia="zh-CN"/>
              </w:rPr>
              <w:t xml:space="preserve">                644,847 </w:t>
            </w:r>
          </w:p>
        </w:tc>
      </w:tr>
      <w:tr w:rsidR="000D4435" w:rsidRPr="000D4435" w:rsidTr="000D4435">
        <w:trPr>
          <w:trHeight w:val="255"/>
        </w:trPr>
        <w:tc>
          <w:tcPr>
            <w:tcW w:w="2603" w:type="pct"/>
            <w:tcBorders>
              <w:top w:val="nil"/>
              <w:left w:val="single" w:sz="4" w:space="0" w:color="auto"/>
              <w:bottom w:val="nil"/>
              <w:right w:val="nil"/>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8"/>
                <w:szCs w:val="18"/>
                <w:lang w:val="en-US" w:eastAsia="zh-CN"/>
              </w:rPr>
            </w:pPr>
            <w:r w:rsidRPr="000D4435">
              <w:rPr>
                <w:rFonts w:ascii="Arial" w:hAnsi="Arial" w:cs="Arial"/>
                <w:b/>
                <w:bCs/>
                <w:color w:val="000000"/>
                <w:sz w:val="18"/>
                <w:szCs w:val="18"/>
                <w:lang w:val="en-US" w:eastAsia="zh-CN"/>
              </w:rPr>
              <w:t> </w:t>
            </w:r>
          </w:p>
        </w:tc>
        <w:tc>
          <w:tcPr>
            <w:tcW w:w="475" w:type="pct"/>
            <w:tcBorders>
              <w:top w:val="nil"/>
              <w:left w:val="single" w:sz="4" w:space="0" w:color="auto"/>
              <w:bottom w:val="nil"/>
              <w:right w:val="single" w:sz="4" w:space="0" w:color="auto"/>
            </w:tcBorders>
            <w:shd w:val="clear" w:color="auto" w:fill="auto"/>
            <w:hideMark/>
          </w:tcPr>
          <w:p w:rsidR="000D4435" w:rsidRPr="000D4435" w:rsidRDefault="000D4435" w:rsidP="00900732">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8"/>
                <w:szCs w:val="18"/>
                <w:lang w:val="en-US" w:eastAsia="zh-CN"/>
              </w:rPr>
            </w:pPr>
          </w:p>
        </w:tc>
        <w:tc>
          <w:tcPr>
            <w:tcW w:w="961" w:type="pct"/>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0D4435">
              <w:rPr>
                <w:rFonts w:ascii="Arial" w:hAnsi="Arial" w:cs="Arial"/>
                <w:b/>
                <w:bCs/>
                <w:color w:val="000000"/>
                <w:sz w:val="18"/>
                <w:szCs w:val="18"/>
                <w:lang w:val="en-US" w:eastAsia="zh-CN"/>
              </w:rPr>
              <w:t> </w:t>
            </w:r>
          </w:p>
        </w:tc>
        <w:tc>
          <w:tcPr>
            <w:tcW w:w="961" w:type="pct"/>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0D4435">
              <w:rPr>
                <w:rFonts w:ascii="Arial" w:hAnsi="Arial" w:cs="Arial"/>
                <w:b/>
                <w:bCs/>
                <w:color w:val="000000"/>
                <w:sz w:val="18"/>
                <w:szCs w:val="18"/>
                <w:lang w:val="en-US" w:eastAsia="zh-CN"/>
              </w:rPr>
              <w:t> </w:t>
            </w:r>
          </w:p>
        </w:tc>
      </w:tr>
      <w:tr w:rsidR="000D4435" w:rsidRPr="000D4435" w:rsidTr="000D4435">
        <w:trPr>
          <w:trHeight w:val="499"/>
        </w:trPr>
        <w:tc>
          <w:tcPr>
            <w:tcW w:w="2603" w:type="pct"/>
            <w:tcBorders>
              <w:top w:val="single" w:sz="4" w:space="0" w:color="auto"/>
              <w:left w:val="single" w:sz="4" w:space="0" w:color="auto"/>
              <w:bottom w:val="single" w:sz="4" w:space="0" w:color="auto"/>
              <w:right w:val="nil"/>
            </w:tcBorders>
            <w:shd w:val="clear" w:color="auto" w:fill="auto"/>
            <w:noWrap/>
            <w:vAlign w:val="center"/>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8"/>
                <w:szCs w:val="18"/>
                <w:lang w:val="en-US" w:eastAsia="zh-CN"/>
              </w:rPr>
            </w:pPr>
            <w:r w:rsidRPr="000D4435">
              <w:rPr>
                <w:rFonts w:ascii="Arial" w:hAnsi="Arial" w:cs="Arial"/>
                <w:b/>
                <w:bCs/>
                <w:color w:val="000000"/>
                <w:sz w:val="18"/>
                <w:szCs w:val="18"/>
                <w:lang w:val="en-US" w:eastAsia="zh-CN"/>
              </w:rPr>
              <w:t>TOTAL LIABILITIES</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4435" w:rsidRPr="000D4435" w:rsidRDefault="000D4435" w:rsidP="00900732">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8"/>
                <w:szCs w:val="18"/>
                <w:lang w:val="en-US" w:eastAsia="zh-CN"/>
              </w:rPr>
            </w:pPr>
          </w:p>
        </w:tc>
        <w:tc>
          <w:tcPr>
            <w:tcW w:w="961" w:type="pct"/>
            <w:tcBorders>
              <w:top w:val="single" w:sz="4" w:space="0" w:color="auto"/>
              <w:left w:val="nil"/>
              <w:bottom w:val="single" w:sz="4" w:space="0" w:color="auto"/>
              <w:right w:val="single" w:sz="4" w:space="0" w:color="auto"/>
            </w:tcBorders>
            <w:shd w:val="clear" w:color="auto" w:fill="auto"/>
            <w:noWrap/>
            <w:vAlign w:val="center"/>
            <w:hideMark/>
          </w:tcPr>
          <w:p w:rsidR="000D4435" w:rsidRPr="000D4435" w:rsidRDefault="000D4435" w:rsidP="007117A0">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0D4435">
              <w:rPr>
                <w:rFonts w:ascii="Arial" w:hAnsi="Arial" w:cs="Arial"/>
                <w:b/>
                <w:bCs/>
                <w:color w:val="000000"/>
                <w:sz w:val="18"/>
                <w:szCs w:val="18"/>
                <w:lang w:val="en-US" w:eastAsia="zh-CN"/>
              </w:rPr>
              <w:t xml:space="preserve">                855,297 </w:t>
            </w:r>
          </w:p>
        </w:tc>
        <w:tc>
          <w:tcPr>
            <w:tcW w:w="961" w:type="pct"/>
            <w:tcBorders>
              <w:top w:val="single" w:sz="4" w:space="0" w:color="auto"/>
              <w:left w:val="nil"/>
              <w:bottom w:val="single" w:sz="4" w:space="0" w:color="auto"/>
              <w:right w:val="single" w:sz="4" w:space="0" w:color="auto"/>
            </w:tcBorders>
            <w:shd w:val="clear" w:color="auto" w:fill="auto"/>
            <w:noWrap/>
            <w:vAlign w:val="center"/>
            <w:hideMark/>
          </w:tcPr>
          <w:p w:rsidR="000D4435" w:rsidRPr="000D4435" w:rsidRDefault="000D4435" w:rsidP="007117A0">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0D4435">
              <w:rPr>
                <w:rFonts w:ascii="Arial" w:hAnsi="Arial" w:cs="Arial"/>
                <w:b/>
                <w:bCs/>
                <w:color w:val="000000"/>
                <w:sz w:val="18"/>
                <w:szCs w:val="18"/>
                <w:lang w:val="en-US" w:eastAsia="zh-CN"/>
              </w:rPr>
              <w:t xml:space="preserve">                792,131 </w:t>
            </w:r>
          </w:p>
        </w:tc>
      </w:tr>
      <w:tr w:rsidR="000D4435" w:rsidRPr="000D4435" w:rsidTr="000D4435">
        <w:trPr>
          <w:trHeight w:val="255"/>
        </w:trPr>
        <w:tc>
          <w:tcPr>
            <w:tcW w:w="2603" w:type="pct"/>
            <w:tcBorders>
              <w:top w:val="nil"/>
              <w:left w:val="single" w:sz="4" w:space="0" w:color="auto"/>
              <w:bottom w:val="nil"/>
              <w:right w:val="nil"/>
            </w:tcBorders>
            <w:shd w:val="clear" w:color="auto" w:fill="auto"/>
            <w:hideMark/>
          </w:tcPr>
          <w:p w:rsidR="000D4435" w:rsidRPr="000D4435" w:rsidRDefault="000D4435" w:rsidP="009C4ABA">
            <w:pPr>
              <w:tabs>
                <w:tab w:val="clear" w:pos="567"/>
                <w:tab w:val="clear" w:pos="1134"/>
                <w:tab w:val="clear" w:pos="1701"/>
                <w:tab w:val="clear" w:pos="2268"/>
                <w:tab w:val="clear" w:pos="2835"/>
              </w:tabs>
              <w:overflowPunct/>
              <w:autoSpaceDE/>
              <w:autoSpaceDN/>
              <w:adjustRightInd/>
              <w:spacing w:before="60"/>
              <w:textAlignment w:val="auto"/>
              <w:rPr>
                <w:rFonts w:ascii="Arial" w:hAnsi="Arial" w:cs="Arial"/>
                <w:b/>
                <w:bCs/>
                <w:color w:val="000000"/>
                <w:sz w:val="18"/>
                <w:szCs w:val="18"/>
                <w:lang w:val="en-US" w:eastAsia="zh-CN"/>
              </w:rPr>
            </w:pPr>
            <w:r w:rsidRPr="000D4435">
              <w:rPr>
                <w:rFonts w:ascii="Arial" w:hAnsi="Arial" w:cs="Arial"/>
                <w:b/>
                <w:bCs/>
                <w:color w:val="000000"/>
                <w:sz w:val="18"/>
                <w:szCs w:val="18"/>
                <w:lang w:val="en-US" w:eastAsia="zh-CN"/>
              </w:rPr>
              <w:t>NET ASSETS</w:t>
            </w:r>
          </w:p>
        </w:tc>
        <w:tc>
          <w:tcPr>
            <w:tcW w:w="475" w:type="pct"/>
            <w:tcBorders>
              <w:top w:val="nil"/>
              <w:left w:val="single" w:sz="4" w:space="0" w:color="auto"/>
              <w:bottom w:val="nil"/>
              <w:right w:val="single" w:sz="4" w:space="0" w:color="auto"/>
            </w:tcBorders>
            <w:shd w:val="clear" w:color="auto" w:fill="auto"/>
            <w:hideMark/>
          </w:tcPr>
          <w:p w:rsidR="000D4435" w:rsidRPr="000D4435" w:rsidRDefault="000D4435" w:rsidP="00900732">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8"/>
                <w:szCs w:val="18"/>
                <w:lang w:val="en-US" w:eastAsia="zh-CN"/>
              </w:rPr>
            </w:pPr>
          </w:p>
        </w:tc>
        <w:tc>
          <w:tcPr>
            <w:tcW w:w="961" w:type="pct"/>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0D4435">
              <w:rPr>
                <w:rFonts w:ascii="Arial" w:hAnsi="Arial" w:cs="Arial"/>
                <w:color w:val="000000"/>
                <w:sz w:val="18"/>
                <w:szCs w:val="18"/>
                <w:lang w:val="en-US" w:eastAsia="zh-CN"/>
              </w:rPr>
              <w:t> </w:t>
            </w:r>
          </w:p>
        </w:tc>
        <w:tc>
          <w:tcPr>
            <w:tcW w:w="961" w:type="pct"/>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0D4435">
              <w:rPr>
                <w:rFonts w:ascii="Arial" w:hAnsi="Arial" w:cs="Arial"/>
                <w:color w:val="000000"/>
                <w:sz w:val="18"/>
                <w:szCs w:val="18"/>
                <w:lang w:val="en-US" w:eastAsia="zh-CN"/>
              </w:rPr>
              <w:t> </w:t>
            </w:r>
          </w:p>
        </w:tc>
      </w:tr>
      <w:tr w:rsidR="000D4435" w:rsidRPr="000D4435" w:rsidTr="000D4435">
        <w:trPr>
          <w:trHeight w:val="255"/>
        </w:trPr>
        <w:tc>
          <w:tcPr>
            <w:tcW w:w="2603" w:type="pct"/>
            <w:tcBorders>
              <w:top w:val="nil"/>
              <w:left w:val="single" w:sz="4" w:space="0" w:color="auto"/>
              <w:bottom w:val="nil"/>
              <w:right w:val="nil"/>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8"/>
                <w:szCs w:val="18"/>
                <w:lang w:val="en-US" w:eastAsia="zh-CN"/>
              </w:rPr>
            </w:pPr>
            <w:r w:rsidRPr="000D4435">
              <w:rPr>
                <w:rFonts w:ascii="Arial" w:hAnsi="Arial" w:cs="Arial"/>
                <w:color w:val="000000"/>
                <w:sz w:val="18"/>
                <w:szCs w:val="18"/>
                <w:lang w:val="en-US" w:eastAsia="zh-CN"/>
              </w:rPr>
              <w:t>Organization's capital</w:t>
            </w:r>
          </w:p>
        </w:tc>
        <w:tc>
          <w:tcPr>
            <w:tcW w:w="475" w:type="pct"/>
            <w:tcBorders>
              <w:top w:val="nil"/>
              <w:left w:val="single" w:sz="4" w:space="0" w:color="auto"/>
              <w:bottom w:val="nil"/>
              <w:right w:val="single" w:sz="4" w:space="0" w:color="auto"/>
            </w:tcBorders>
            <w:shd w:val="clear" w:color="auto" w:fill="auto"/>
            <w:hideMark/>
          </w:tcPr>
          <w:p w:rsidR="000D4435" w:rsidRPr="000D4435" w:rsidRDefault="000D4435" w:rsidP="00900732">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8"/>
                <w:szCs w:val="18"/>
                <w:lang w:val="en-US" w:eastAsia="zh-CN"/>
              </w:rPr>
            </w:pPr>
          </w:p>
        </w:tc>
        <w:tc>
          <w:tcPr>
            <w:tcW w:w="961" w:type="pct"/>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0D4435">
              <w:rPr>
                <w:rFonts w:ascii="Arial" w:hAnsi="Arial" w:cs="Arial"/>
                <w:color w:val="000000"/>
                <w:sz w:val="18"/>
                <w:szCs w:val="18"/>
                <w:lang w:val="en-US" w:eastAsia="zh-CN"/>
              </w:rPr>
              <w:t> </w:t>
            </w:r>
          </w:p>
        </w:tc>
        <w:tc>
          <w:tcPr>
            <w:tcW w:w="961" w:type="pct"/>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0D4435">
              <w:rPr>
                <w:rFonts w:ascii="Arial" w:hAnsi="Arial" w:cs="Arial"/>
                <w:color w:val="000000"/>
                <w:sz w:val="18"/>
                <w:szCs w:val="18"/>
                <w:lang w:val="en-US" w:eastAsia="zh-CN"/>
              </w:rPr>
              <w:t> </w:t>
            </w:r>
          </w:p>
        </w:tc>
      </w:tr>
      <w:tr w:rsidR="000D4435" w:rsidRPr="000D4435" w:rsidTr="000D4435">
        <w:trPr>
          <w:trHeight w:val="510"/>
        </w:trPr>
        <w:tc>
          <w:tcPr>
            <w:tcW w:w="2603" w:type="pct"/>
            <w:tcBorders>
              <w:top w:val="nil"/>
              <w:left w:val="single" w:sz="4" w:space="0" w:color="auto"/>
              <w:bottom w:val="nil"/>
              <w:right w:val="nil"/>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8"/>
                <w:szCs w:val="18"/>
                <w:lang w:val="en-US" w:eastAsia="zh-CN"/>
              </w:rPr>
            </w:pPr>
            <w:r w:rsidRPr="000D4435">
              <w:rPr>
                <w:rFonts w:ascii="Arial" w:hAnsi="Arial" w:cs="Arial"/>
                <w:color w:val="000000"/>
                <w:sz w:val="18"/>
                <w:szCs w:val="18"/>
                <w:lang w:val="en-US" w:eastAsia="zh-CN"/>
              </w:rPr>
              <w:t>Reserve account before reallocation of the surplus/ deficit of the period</w:t>
            </w:r>
          </w:p>
        </w:tc>
        <w:tc>
          <w:tcPr>
            <w:tcW w:w="475" w:type="pct"/>
            <w:tcBorders>
              <w:top w:val="nil"/>
              <w:left w:val="single" w:sz="4" w:space="0" w:color="auto"/>
              <w:bottom w:val="nil"/>
              <w:right w:val="single" w:sz="4" w:space="0" w:color="auto"/>
            </w:tcBorders>
            <w:shd w:val="clear" w:color="auto" w:fill="auto"/>
            <w:hideMark/>
          </w:tcPr>
          <w:p w:rsidR="000D4435" w:rsidRPr="000D4435" w:rsidRDefault="007117A0" w:rsidP="00900732">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8"/>
                <w:szCs w:val="18"/>
                <w:lang w:val="en-US" w:eastAsia="zh-CN"/>
              </w:rPr>
            </w:pPr>
            <w:r>
              <w:rPr>
                <w:rFonts w:ascii="Arial" w:hAnsi="Arial" w:cs="Arial"/>
                <w:color w:val="000000"/>
                <w:sz w:val="18"/>
                <w:szCs w:val="18"/>
                <w:lang w:val="en-US" w:eastAsia="zh-CN"/>
              </w:rPr>
              <w:t>2</w:t>
            </w:r>
          </w:p>
        </w:tc>
        <w:tc>
          <w:tcPr>
            <w:tcW w:w="961" w:type="pct"/>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18"/>
                <w:szCs w:val="18"/>
                <w:lang w:val="en-US" w:eastAsia="zh-CN"/>
              </w:rPr>
            </w:pPr>
            <w:r w:rsidRPr="000D4435">
              <w:rPr>
                <w:rFonts w:ascii="Arial" w:hAnsi="Arial" w:cs="Arial"/>
                <w:sz w:val="18"/>
                <w:szCs w:val="18"/>
                <w:lang w:val="en-US" w:eastAsia="zh-CN"/>
              </w:rPr>
              <w:t xml:space="preserve">                 27,089 </w:t>
            </w:r>
          </w:p>
        </w:tc>
        <w:tc>
          <w:tcPr>
            <w:tcW w:w="961" w:type="pct"/>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0D4435">
              <w:rPr>
                <w:rFonts w:ascii="Arial" w:hAnsi="Arial" w:cs="Arial"/>
                <w:color w:val="000000"/>
                <w:sz w:val="18"/>
                <w:szCs w:val="18"/>
                <w:lang w:val="en-US" w:eastAsia="zh-CN"/>
              </w:rPr>
              <w:t xml:space="preserve">                 26,522 </w:t>
            </w:r>
          </w:p>
        </w:tc>
      </w:tr>
      <w:tr w:rsidR="000D4435" w:rsidRPr="000D4435" w:rsidTr="000D4435">
        <w:trPr>
          <w:trHeight w:val="255"/>
        </w:trPr>
        <w:tc>
          <w:tcPr>
            <w:tcW w:w="2603" w:type="pct"/>
            <w:tcBorders>
              <w:top w:val="nil"/>
              <w:left w:val="single" w:sz="4" w:space="0" w:color="auto"/>
              <w:bottom w:val="nil"/>
              <w:right w:val="nil"/>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8"/>
                <w:szCs w:val="18"/>
                <w:lang w:val="en-US" w:eastAsia="zh-CN"/>
              </w:rPr>
            </w:pPr>
            <w:r w:rsidRPr="000D4435">
              <w:rPr>
                <w:rFonts w:ascii="Arial" w:hAnsi="Arial" w:cs="Arial"/>
                <w:color w:val="000000"/>
                <w:sz w:val="18"/>
                <w:szCs w:val="18"/>
                <w:lang w:val="en-US" w:eastAsia="zh-CN"/>
              </w:rPr>
              <w:t>Other Extra-budgetary reserves</w:t>
            </w:r>
          </w:p>
        </w:tc>
        <w:tc>
          <w:tcPr>
            <w:tcW w:w="475" w:type="pct"/>
            <w:tcBorders>
              <w:top w:val="nil"/>
              <w:left w:val="single" w:sz="4" w:space="0" w:color="auto"/>
              <w:bottom w:val="nil"/>
              <w:right w:val="single" w:sz="4" w:space="0" w:color="auto"/>
            </w:tcBorders>
            <w:shd w:val="clear" w:color="auto" w:fill="auto"/>
            <w:hideMark/>
          </w:tcPr>
          <w:p w:rsidR="000D4435" w:rsidRPr="000D4435" w:rsidRDefault="007117A0" w:rsidP="00900732">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8"/>
                <w:szCs w:val="18"/>
                <w:lang w:val="en-US" w:eastAsia="zh-CN"/>
              </w:rPr>
            </w:pPr>
            <w:r>
              <w:rPr>
                <w:rFonts w:ascii="Arial" w:hAnsi="Arial" w:cs="Arial"/>
                <w:color w:val="000000"/>
                <w:sz w:val="18"/>
                <w:szCs w:val="18"/>
                <w:lang w:val="en-US" w:eastAsia="zh-CN"/>
              </w:rPr>
              <w:t>2</w:t>
            </w:r>
          </w:p>
        </w:tc>
        <w:tc>
          <w:tcPr>
            <w:tcW w:w="961" w:type="pct"/>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18"/>
                <w:szCs w:val="18"/>
                <w:lang w:val="en-US" w:eastAsia="zh-CN"/>
              </w:rPr>
            </w:pPr>
            <w:r w:rsidRPr="000D4435">
              <w:rPr>
                <w:rFonts w:ascii="Arial" w:hAnsi="Arial" w:cs="Arial"/>
                <w:sz w:val="18"/>
                <w:szCs w:val="18"/>
                <w:lang w:val="en-US" w:eastAsia="zh-CN"/>
              </w:rPr>
              <w:t xml:space="preserve">                 58,726 </w:t>
            </w:r>
          </w:p>
        </w:tc>
        <w:tc>
          <w:tcPr>
            <w:tcW w:w="961" w:type="pct"/>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0D4435">
              <w:rPr>
                <w:rFonts w:ascii="Arial" w:hAnsi="Arial" w:cs="Arial"/>
                <w:color w:val="000000"/>
                <w:sz w:val="18"/>
                <w:szCs w:val="18"/>
                <w:lang w:val="en-US" w:eastAsia="zh-CN"/>
              </w:rPr>
              <w:t xml:space="preserve">                 52,613 </w:t>
            </w:r>
          </w:p>
        </w:tc>
      </w:tr>
      <w:tr w:rsidR="000D4435" w:rsidRPr="000D4435" w:rsidTr="000D4435">
        <w:trPr>
          <w:trHeight w:val="255"/>
        </w:trPr>
        <w:tc>
          <w:tcPr>
            <w:tcW w:w="2603" w:type="pct"/>
            <w:tcBorders>
              <w:top w:val="nil"/>
              <w:left w:val="single" w:sz="4" w:space="0" w:color="auto"/>
              <w:bottom w:val="nil"/>
              <w:right w:val="nil"/>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8"/>
                <w:szCs w:val="18"/>
                <w:lang w:val="en-US" w:eastAsia="zh-CN"/>
              </w:rPr>
            </w:pPr>
            <w:r w:rsidRPr="000D4435">
              <w:rPr>
                <w:rFonts w:ascii="Arial" w:hAnsi="Arial" w:cs="Arial"/>
                <w:color w:val="000000"/>
                <w:sz w:val="18"/>
                <w:szCs w:val="18"/>
                <w:lang w:val="en-US" w:eastAsia="zh-CN"/>
              </w:rPr>
              <w:t>ASHI actuarial losses</w:t>
            </w:r>
          </w:p>
        </w:tc>
        <w:tc>
          <w:tcPr>
            <w:tcW w:w="475" w:type="pct"/>
            <w:tcBorders>
              <w:top w:val="nil"/>
              <w:left w:val="single" w:sz="4" w:space="0" w:color="auto"/>
              <w:bottom w:val="nil"/>
              <w:right w:val="single" w:sz="4" w:space="0" w:color="auto"/>
            </w:tcBorders>
            <w:shd w:val="clear" w:color="auto" w:fill="auto"/>
            <w:hideMark/>
          </w:tcPr>
          <w:p w:rsidR="000D4435" w:rsidRPr="000D4435" w:rsidRDefault="000D4435" w:rsidP="00900732">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8"/>
                <w:szCs w:val="18"/>
                <w:lang w:val="en-US" w:eastAsia="zh-CN"/>
              </w:rPr>
            </w:pPr>
            <w:r w:rsidRPr="000D4435">
              <w:rPr>
                <w:rFonts w:ascii="Arial" w:hAnsi="Arial" w:cs="Arial"/>
                <w:color w:val="000000"/>
                <w:sz w:val="18"/>
                <w:szCs w:val="18"/>
                <w:lang w:val="en-US" w:eastAsia="zh-CN"/>
              </w:rPr>
              <w:t>17</w:t>
            </w:r>
          </w:p>
        </w:tc>
        <w:tc>
          <w:tcPr>
            <w:tcW w:w="961" w:type="pct"/>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18"/>
                <w:szCs w:val="18"/>
                <w:lang w:val="en-US" w:eastAsia="zh-CN"/>
              </w:rPr>
            </w:pPr>
            <w:r w:rsidRPr="000D4435">
              <w:rPr>
                <w:rFonts w:ascii="Arial" w:hAnsi="Arial" w:cs="Arial"/>
                <w:sz w:val="18"/>
                <w:szCs w:val="18"/>
                <w:lang w:val="en-US" w:eastAsia="zh-CN"/>
              </w:rPr>
              <w:t xml:space="preserve">               -369,704 </w:t>
            </w:r>
          </w:p>
        </w:tc>
        <w:tc>
          <w:tcPr>
            <w:tcW w:w="961" w:type="pct"/>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0D4435">
              <w:rPr>
                <w:rFonts w:ascii="Arial" w:hAnsi="Arial" w:cs="Arial"/>
                <w:color w:val="000000"/>
                <w:sz w:val="18"/>
                <w:szCs w:val="18"/>
                <w:lang w:val="en-US" w:eastAsia="zh-CN"/>
              </w:rPr>
              <w:t xml:space="preserve">               -322,579 </w:t>
            </w:r>
          </w:p>
        </w:tc>
      </w:tr>
      <w:tr w:rsidR="000D4435" w:rsidRPr="000D4435" w:rsidTr="000D4435">
        <w:trPr>
          <w:trHeight w:val="255"/>
        </w:trPr>
        <w:tc>
          <w:tcPr>
            <w:tcW w:w="2603" w:type="pct"/>
            <w:tcBorders>
              <w:top w:val="nil"/>
              <w:left w:val="single" w:sz="4" w:space="0" w:color="auto"/>
              <w:bottom w:val="nil"/>
              <w:right w:val="nil"/>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8"/>
                <w:szCs w:val="18"/>
                <w:lang w:val="en-US" w:eastAsia="zh-CN"/>
              </w:rPr>
            </w:pPr>
            <w:r w:rsidRPr="000D4435">
              <w:rPr>
                <w:rFonts w:ascii="Arial" w:hAnsi="Arial" w:cs="Arial"/>
                <w:color w:val="000000"/>
                <w:sz w:val="18"/>
                <w:szCs w:val="18"/>
                <w:lang w:val="en-US" w:eastAsia="zh-CN"/>
              </w:rPr>
              <w:t>Cumulated balances</w:t>
            </w:r>
          </w:p>
        </w:tc>
        <w:tc>
          <w:tcPr>
            <w:tcW w:w="475" w:type="pct"/>
            <w:tcBorders>
              <w:top w:val="nil"/>
              <w:left w:val="single" w:sz="4" w:space="0" w:color="auto"/>
              <w:bottom w:val="nil"/>
              <w:right w:val="single" w:sz="4" w:space="0" w:color="auto"/>
            </w:tcBorders>
            <w:shd w:val="clear" w:color="auto" w:fill="auto"/>
            <w:hideMark/>
          </w:tcPr>
          <w:p w:rsidR="000D4435" w:rsidRPr="000D4435" w:rsidRDefault="000D4435" w:rsidP="00900732">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8"/>
                <w:szCs w:val="18"/>
                <w:lang w:val="en-US" w:eastAsia="zh-CN"/>
              </w:rPr>
            </w:pPr>
          </w:p>
        </w:tc>
        <w:tc>
          <w:tcPr>
            <w:tcW w:w="961" w:type="pct"/>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18"/>
                <w:szCs w:val="18"/>
                <w:lang w:val="en-US" w:eastAsia="zh-CN"/>
              </w:rPr>
            </w:pPr>
            <w:r w:rsidRPr="000D4435">
              <w:rPr>
                <w:rFonts w:ascii="Arial" w:hAnsi="Arial" w:cs="Arial"/>
                <w:sz w:val="18"/>
                <w:szCs w:val="18"/>
                <w:lang w:val="en-US" w:eastAsia="zh-CN"/>
              </w:rPr>
              <w:t xml:space="preserve">               -181,557 </w:t>
            </w:r>
          </w:p>
        </w:tc>
        <w:tc>
          <w:tcPr>
            <w:tcW w:w="961" w:type="pct"/>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0D4435">
              <w:rPr>
                <w:rFonts w:ascii="Arial" w:hAnsi="Arial" w:cs="Arial"/>
                <w:color w:val="000000"/>
                <w:sz w:val="18"/>
                <w:szCs w:val="18"/>
                <w:lang w:val="en-US" w:eastAsia="zh-CN"/>
              </w:rPr>
              <w:t xml:space="preserve">               -164,018 </w:t>
            </w:r>
          </w:p>
        </w:tc>
      </w:tr>
      <w:tr w:rsidR="000D4435" w:rsidRPr="000D4435" w:rsidTr="000D4435">
        <w:trPr>
          <w:trHeight w:val="300"/>
        </w:trPr>
        <w:tc>
          <w:tcPr>
            <w:tcW w:w="2603" w:type="pct"/>
            <w:tcBorders>
              <w:top w:val="nil"/>
              <w:left w:val="single" w:sz="4" w:space="0" w:color="auto"/>
              <w:bottom w:val="nil"/>
              <w:right w:val="nil"/>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8"/>
                <w:szCs w:val="18"/>
                <w:lang w:val="en-US" w:eastAsia="zh-CN"/>
              </w:rPr>
            </w:pPr>
            <w:r w:rsidRPr="000D4435">
              <w:rPr>
                <w:rFonts w:ascii="Arial" w:hAnsi="Arial" w:cs="Arial"/>
                <w:color w:val="000000"/>
                <w:sz w:val="18"/>
                <w:szCs w:val="18"/>
                <w:lang w:val="en-US" w:eastAsia="zh-CN"/>
              </w:rPr>
              <w:t>Surplus/Deficit for the period</w:t>
            </w:r>
          </w:p>
        </w:tc>
        <w:tc>
          <w:tcPr>
            <w:tcW w:w="475" w:type="pct"/>
            <w:tcBorders>
              <w:top w:val="nil"/>
              <w:left w:val="single" w:sz="4" w:space="0" w:color="auto"/>
              <w:bottom w:val="nil"/>
              <w:right w:val="single" w:sz="4" w:space="0" w:color="auto"/>
            </w:tcBorders>
            <w:shd w:val="clear" w:color="auto" w:fill="auto"/>
            <w:hideMark/>
          </w:tcPr>
          <w:p w:rsidR="000D4435" w:rsidRPr="000D4435" w:rsidRDefault="000D4435" w:rsidP="0090073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color w:val="000000"/>
                <w:sz w:val="18"/>
                <w:szCs w:val="18"/>
                <w:lang w:val="en-US" w:eastAsia="zh-CN"/>
              </w:rPr>
            </w:pPr>
          </w:p>
        </w:tc>
        <w:tc>
          <w:tcPr>
            <w:tcW w:w="961" w:type="pct"/>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0D4435">
              <w:rPr>
                <w:rFonts w:ascii="Arial" w:hAnsi="Arial" w:cs="Arial"/>
                <w:color w:val="000000"/>
                <w:sz w:val="18"/>
                <w:szCs w:val="18"/>
                <w:lang w:val="en-US" w:eastAsia="zh-CN"/>
              </w:rPr>
              <w:t xml:space="preserve">                -17,078 </w:t>
            </w:r>
          </w:p>
        </w:tc>
        <w:tc>
          <w:tcPr>
            <w:tcW w:w="961" w:type="pct"/>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0D4435">
              <w:rPr>
                <w:rFonts w:ascii="Arial" w:hAnsi="Arial" w:cs="Arial"/>
                <w:color w:val="000000"/>
                <w:sz w:val="18"/>
                <w:szCs w:val="18"/>
                <w:lang w:val="en-US" w:eastAsia="zh-CN"/>
              </w:rPr>
              <w:t xml:space="preserve">                -11,693 </w:t>
            </w:r>
          </w:p>
        </w:tc>
      </w:tr>
      <w:tr w:rsidR="000D4435" w:rsidRPr="000D4435" w:rsidTr="000D4435">
        <w:trPr>
          <w:trHeight w:val="499"/>
        </w:trPr>
        <w:tc>
          <w:tcPr>
            <w:tcW w:w="26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8"/>
                <w:szCs w:val="18"/>
                <w:lang w:val="en-US" w:eastAsia="zh-CN"/>
              </w:rPr>
            </w:pPr>
            <w:r w:rsidRPr="000D4435">
              <w:rPr>
                <w:rFonts w:ascii="Arial" w:hAnsi="Arial" w:cs="Arial"/>
                <w:b/>
                <w:bCs/>
                <w:color w:val="000000"/>
                <w:sz w:val="18"/>
                <w:szCs w:val="18"/>
                <w:lang w:val="en-US" w:eastAsia="zh-CN"/>
              </w:rPr>
              <w:t xml:space="preserve"> TOTAL NET ASSETS </w:t>
            </w:r>
          </w:p>
        </w:tc>
        <w:tc>
          <w:tcPr>
            <w:tcW w:w="475" w:type="pct"/>
            <w:tcBorders>
              <w:top w:val="single" w:sz="4" w:space="0" w:color="auto"/>
              <w:left w:val="nil"/>
              <w:bottom w:val="single" w:sz="4" w:space="0" w:color="auto"/>
              <w:right w:val="single" w:sz="4" w:space="0" w:color="auto"/>
            </w:tcBorders>
            <w:shd w:val="clear" w:color="auto" w:fill="auto"/>
            <w:noWrap/>
            <w:vAlign w:val="center"/>
            <w:hideMark/>
          </w:tcPr>
          <w:p w:rsidR="000D4435" w:rsidRPr="000D4435" w:rsidRDefault="000D4435" w:rsidP="00900732">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8"/>
                <w:szCs w:val="18"/>
                <w:lang w:val="en-US" w:eastAsia="zh-CN"/>
              </w:rPr>
            </w:pPr>
          </w:p>
        </w:tc>
        <w:tc>
          <w:tcPr>
            <w:tcW w:w="961" w:type="pct"/>
            <w:tcBorders>
              <w:top w:val="single" w:sz="4" w:space="0" w:color="auto"/>
              <w:left w:val="nil"/>
              <w:bottom w:val="single" w:sz="4" w:space="0" w:color="auto"/>
              <w:right w:val="single" w:sz="4" w:space="0" w:color="auto"/>
            </w:tcBorders>
            <w:shd w:val="clear" w:color="auto" w:fill="auto"/>
            <w:noWrap/>
            <w:vAlign w:val="center"/>
            <w:hideMark/>
          </w:tcPr>
          <w:p w:rsidR="000D4435" w:rsidRPr="000D4435" w:rsidRDefault="000D4435" w:rsidP="00CC0170">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0D4435">
              <w:rPr>
                <w:rFonts w:ascii="Arial" w:hAnsi="Arial" w:cs="Arial"/>
                <w:b/>
                <w:bCs/>
                <w:color w:val="000000"/>
                <w:sz w:val="18"/>
                <w:szCs w:val="18"/>
                <w:lang w:val="en-US" w:eastAsia="zh-CN"/>
              </w:rPr>
              <w:t xml:space="preserve">               -482,524 </w:t>
            </w:r>
          </w:p>
        </w:tc>
        <w:tc>
          <w:tcPr>
            <w:tcW w:w="961" w:type="pct"/>
            <w:tcBorders>
              <w:top w:val="single" w:sz="4" w:space="0" w:color="auto"/>
              <w:left w:val="nil"/>
              <w:bottom w:val="single" w:sz="4" w:space="0" w:color="auto"/>
              <w:right w:val="single" w:sz="4" w:space="0" w:color="auto"/>
            </w:tcBorders>
            <w:shd w:val="clear" w:color="auto" w:fill="auto"/>
            <w:noWrap/>
            <w:vAlign w:val="center"/>
            <w:hideMark/>
          </w:tcPr>
          <w:p w:rsidR="000D4435" w:rsidRPr="000D4435" w:rsidRDefault="000D4435" w:rsidP="00CC0170">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0D4435">
              <w:rPr>
                <w:rFonts w:ascii="Arial" w:hAnsi="Arial" w:cs="Arial"/>
                <w:b/>
                <w:bCs/>
                <w:color w:val="000000"/>
                <w:sz w:val="18"/>
                <w:szCs w:val="18"/>
                <w:lang w:val="en-US" w:eastAsia="zh-CN"/>
              </w:rPr>
              <w:t xml:space="preserve">               -419,155 </w:t>
            </w:r>
          </w:p>
        </w:tc>
      </w:tr>
    </w:tbl>
    <w:p w:rsidR="00C370FC" w:rsidRPr="00782664" w:rsidRDefault="00C370FC" w:rsidP="00775BDE">
      <w:pPr>
        <w:pStyle w:val="Tabletext"/>
        <w:rPr>
          <w:sz w:val="28"/>
          <w:szCs w:val="28"/>
          <w:lang w:val="en-US"/>
        </w:rPr>
      </w:pPr>
    </w:p>
    <w:p w:rsidR="00C370FC" w:rsidRDefault="00C370FC" w:rsidP="00775BDE">
      <w:pPr>
        <w:pStyle w:val="Tabletext"/>
        <w:rPr>
          <w:sz w:val="28"/>
          <w:szCs w:val="28"/>
          <w:lang w:val="en-US"/>
        </w:rPr>
      </w:pPr>
    </w:p>
    <w:p w:rsidR="008D6FDF" w:rsidRDefault="008D6FDF" w:rsidP="00775BDE">
      <w:pPr>
        <w:pStyle w:val="Tabletext"/>
        <w:rPr>
          <w:lang w:val="en-US"/>
        </w:rPr>
      </w:pPr>
    </w:p>
    <w:p w:rsidR="0022373A" w:rsidRPr="000D09E0" w:rsidRDefault="0022373A" w:rsidP="004E3A16">
      <w:pPr>
        <w:tabs>
          <w:tab w:val="clear" w:pos="567"/>
          <w:tab w:val="clear" w:pos="1134"/>
          <w:tab w:val="clear" w:pos="1701"/>
          <w:tab w:val="clear" w:pos="2268"/>
          <w:tab w:val="clear" w:pos="2835"/>
        </w:tabs>
        <w:overflowPunct/>
        <w:autoSpaceDE/>
        <w:autoSpaceDN/>
        <w:adjustRightInd/>
        <w:spacing w:before="0"/>
        <w:jc w:val="center"/>
        <w:textAlignment w:val="auto"/>
        <w:rPr>
          <w:b/>
          <w:bCs/>
          <w:sz w:val="16"/>
          <w:szCs w:val="16"/>
          <w:lang w:val="en-US"/>
        </w:rPr>
      </w:pPr>
      <w:r w:rsidRPr="000D09E0">
        <w:rPr>
          <w:b/>
          <w:bCs/>
          <w:sz w:val="28"/>
          <w:szCs w:val="28"/>
          <w:lang w:val="en-US"/>
        </w:rPr>
        <w:t>II – Statement of financial performance for the period which closed on</w:t>
      </w:r>
      <w:r w:rsidR="008F33DF" w:rsidRPr="000D09E0">
        <w:rPr>
          <w:b/>
          <w:bCs/>
          <w:sz w:val="28"/>
          <w:szCs w:val="28"/>
          <w:lang w:val="en-US"/>
        </w:rPr>
        <w:br/>
      </w:r>
      <w:r w:rsidRPr="000D09E0">
        <w:rPr>
          <w:b/>
          <w:bCs/>
          <w:sz w:val="28"/>
          <w:szCs w:val="28"/>
          <w:lang w:val="en-US"/>
        </w:rPr>
        <w:t xml:space="preserve">31 December </w:t>
      </w:r>
      <w:bookmarkEnd w:id="22"/>
      <w:r w:rsidR="00111BDD" w:rsidRPr="000D09E0">
        <w:rPr>
          <w:b/>
          <w:bCs/>
          <w:sz w:val="28"/>
          <w:szCs w:val="28"/>
          <w:lang w:val="en-US"/>
        </w:rPr>
        <w:t>201</w:t>
      </w:r>
      <w:r w:rsidR="00A372DE" w:rsidRPr="000D09E0">
        <w:rPr>
          <w:b/>
          <w:bCs/>
          <w:sz w:val="28"/>
          <w:szCs w:val="28"/>
          <w:lang w:val="en-US"/>
        </w:rPr>
        <w:t>7</w:t>
      </w:r>
      <w:r w:rsidRPr="000D09E0">
        <w:rPr>
          <w:b/>
          <w:bCs/>
          <w:sz w:val="28"/>
          <w:szCs w:val="28"/>
          <w:lang w:val="en-US"/>
        </w:rPr>
        <w:t xml:space="preserve"> with comparative figures as at 31 December 201</w:t>
      </w:r>
      <w:bookmarkEnd w:id="23"/>
      <w:r w:rsidR="00A372DE" w:rsidRPr="000D09E0">
        <w:rPr>
          <w:b/>
          <w:bCs/>
          <w:sz w:val="28"/>
          <w:szCs w:val="28"/>
          <w:lang w:val="en-US"/>
        </w:rPr>
        <w:t>6</w:t>
      </w:r>
      <w:r w:rsidR="00B202F7" w:rsidRPr="000D09E0">
        <w:rPr>
          <w:b/>
          <w:bCs/>
          <w:sz w:val="28"/>
          <w:szCs w:val="28"/>
          <w:lang w:val="en-US"/>
        </w:rPr>
        <w:br/>
      </w:r>
    </w:p>
    <w:tbl>
      <w:tblPr>
        <w:tblW w:w="9320" w:type="dxa"/>
        <w:tblInd w:w="-5" w:type="dxa"/>
        <w:tblLook w:val="04A0" w:firstRow="1" w:lastRow="0" w:firstColumn="1" w:lastColumn="0" w:noHBand="0" w:noVBand="1"/>
      </w:tblPr>
      <w:tblGrid>
        <w:gridCol w:w="5300"/>
        <w:gridCol w:w="880"/>
        <w:gridCol w:w="1460"/>
        <w:gridCol w:w="1680"/>
      </w:tblGrid>
      <w:tr w:rsidR="000D4435" w:rsidRPr="000D4435" w:rsidTr="000D4435">
        <w:trPr>
          <w:trHeight w:val="255"/>
        </w:trPr>
        <w:tc>
          <w:tcPr>
            <w:tcW w:w="5300" w:type="dxa"/>
            <w:tcBorders>
              <w:top w:val="single" w:sz="4" w:space="0" w:color="auto"/>
              <w:left w:val="single" w:sz="4" w:space="0" w:color="auto"/>
              <w:bottom w:val="single" w:sz="4" w:space="0" w:color="auto"/>
              <w:right w:val="nil"/>
            </w:tcBorders>
            <w:shd w:val="clear" w:color="auto" w:fill="auto"/>
            <w:noWrap/>
            <w:vAlign w:val="bottom"/>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0D4435">
              <w:rPr>
                <w:rFonts w:ascii="Arial" w:hAnsi="Arial" w:cs="Arial"/>
                <w:color w:val="000000"/>
                <w:sz w:val="20"/>
                <w:lang w:val="en-US" w:eastAsia="zh-CN"/>
              </w:rPr>
              <w:t>(in thousands of Swiss francs)</w:t>
            </w:r>
          </w:p>
        </w:tc>
        <w:tc>
          <w:tcPr>
            <w:tcW w:w="880" w:type="dxa"/>
            <w:tcBorders>
              <w:top w:val="single" w:sz="4" w:space="0" w:color="auto"/>
              <w:left w:val="single" w:sz="4" w:space="0" w:color="auto"/>
              <w:bottom w:val="single" w:sz="4" w:space="0" w:color="auto"/>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6F42AE">
              <w:rPr>
                <w:rFonts w:ascii="Arial" w:hAnsi="Arial" w:cs="Arial"/>
                <w:b/>
                <w:bCs/>
                <w:color w:val="000000"/>
                <w:sz w:val="20"/>
                <w:lang w:val="en-US" w:eastAsia="zh-CN"/>
              </w:rPr>
              <w:t>Notes</w:t>
            </w:r>
          </w:p>
        </w:tc>
        <w:tc>
          <w:tcPr>
            <w:tcW w:w="1460" w:type="dxa"/>
            <w:tcBorders>
              <w:top w:val="single" w:sz="4" w:space="0" w:color="auto"/>
              <w:left w:val="nil"/>
              <w:bottom w:val="single" w:sz="4" w:space="0" w:color="auto"/>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0D4435">
              <w:rPr>
                <w:rFonts w:ascii="Arial" w:hAnsi="Arial" w:cs="Arial"/>
                <w:b/>
                <w:bCs/>
                <w:color w:val="000000"/>
                <w:sz w:val="20"/>
                <w:lang w:val="en-US" w:eastAsia="zh-CN"/>
              </w:rPr>
              <w:t>31/12/2017</w:t>
            </w:r>
          </w:p>
        </w:tc>
        <w:tc>
          <w:tcPr>
            <w:tcW w:w="1680" w:type="dxa"/>
            <w:tcBorders>
              <w:top w:val="single" w:sz="4" w:space="0" w:color="auto"/>
              <w:left w:val="nil"/>
              <w:bottom w:val="single" w:sz="4" w:space="0" w:color="auto"/>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0D4435">
              <w:rPr>
                <w:rFonts w:ascii="Arial" w:hAnsi="Arial" w:cs="Arial"/>
                <w:b/>
                <w:bCs/>
                <w:color w:val="000000"/>
                <w:sz w:val="20"/>
                <w:lang w:val="en-US" w:eastAsia="zh-CN"/>
              </w:rPr>
              <w:t>31/12/2016</w:t>
            </w:r>
          </w:p>
        </w:tc>
      </w:tr>
      <w:tr w:rsidR="000D4435" w:rsidRPr="000D4435" w:rsidTr="000D4435">
        <w:trPr>
          <w:trHeight w:val="255"/>
        </w:trPr>
        <w:tc>
          <w:tcPr>
            <w:tcW w:w="5300" w:type="dxa"/>
            <w:tcBorders>
              <w:top w:val="nil"/>
              <w:left w:val="single" w:sz="4" w:space="0" w:color="auto"/>
              <w:bottom w:val="nil"/>
              <w:right w:val="nil"/>
            </w:tcBorders>
            <w:shd w:val="clear" w:color="auto" w:fill="auto"/>
            <w:noWrap/>
            <w:vAlign w:val="bottom"/>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0D4435">
              <w:rPr>
                <w:rFonts w:ascii="Arial" w:hAnsi="Arial" w:cs="Arial"/>
                <w:color w:val="000000"/>
                <w:sz w:val="20"/>
                <w:lang w:val="en-US" w:eastAsia="zh-CN"/>
              </w:rPr>
              <w:t> </w:t>
            </w:r>
          </w:p>
        </w:tc>
        <w:tc>
          <w:tcPr>
            <w:tcW w:w="880" w:type="dxa"/>
            <w:tcBorders>
              <w:top w:val="nil"/>
              <w:left w:val="single" w:sz="4" w:space="0" w:color="auto"/>
              <w:bottom w:val="nil"/>
              <w:right w:val="single" w:sz="4" w:space="0" w:color="auto"/>
            </w:tcBorders>
            <w:shd w:val="clear" w:color="auto" w:fill="auto"/>
            <w:hideMark/>
          </w:tcPr>
          <w:p w:rsidR="000D4435" w:rsidRPr="000D4435" w:rsidRDefault="000D4435" w:rsidP="00AC3FB9">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20"/>
                <w:lang w:val="en-US" w:eastAsia="zh-CN"/>
              </w:rPr>
            </w:pPr>
          </w:p>
        </w:tc>
        <w:tc>
          <w:tcPr>
            <w:tcW w:w="1460" w:type="dxa"/>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0D4435">
              <w:rPr>
                <w:rFonts w:ascii="Arial" w:hAnsi="Arial" w:cs="Arial"/>
                <w:b/>
                <w:bCs/>
                <w:color w:val="000000"/>
                <w:sz w:val="20"/>
                <w:lang w:val="en-US" w:eastAsia="zh-CN"/>
              </w:rPr>
              <w:t> </w:t>
            </w:r>
          </w:p>
        </w:tc>
        <w:tc>
          <w:tcPr>
            <w:tcW w:w="1680" w:type="dxa"/>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0D4435">
              <w:rPr>
                <w:rFonts w:ascii="Arial" w:hAnsi="Arial" w:cs="Arial"/>
                <w:b/>
                <w:bCs/>
                <w:color w:val="000000"/>
                <w:sz w:val="20"/>
                <w:lang w:val="en-US" w:eastAsia="zh-CN"/>
              </w:rPr>
              <w:t> </w:t>
            </w:r>
          </w:p>
        </w:tc>
      </w:tr>
      <w:tr w:rsidR="000D4435" w:rsidRPr="000D4435" w:rsidTr="000D4435">
        <w:trPr>
          <w:trHeight w:val="255"/>
        </w:trPr>
        <w:tc>
          <w:tcPr>
            <w:tcW w:w="5300" w:type="dxa"/>
            <w:tcBorders>
              <w:top w:val="nil"/>
              <w:left w:val="single" w:sz="4" w:space="0" w:color="auto"/>
              <w:bottom w:val="nil"/>
              <w:right w:val="nil"/>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20"/>
                <w:lang w:val="en-US" w:eastAsia="zh-CN"/>
              </w:rPr>
            </w:pPr>
            <w:r w:rsidRPr="000D4435">
              <w:rPr>
                <w:rFonts w:ascii="Arial" w:hAnsi="Arial" w:cs="Arial"/>
                <w:b/>
                <w:bCs/>
                <w:color w:val="000000"/>
                <w:sz w:val="20"/>
                <w:lang w:val="en-US" w:eastAsia="zh-CN"/>
              </w:rPr>
              <w:t>REVENUE</w:t>
            </w:r>
          </w:p>
        </w:tc>
        <w:tc>
          <w:tcPr>
            <w:tcW w:w="880" w:type="dxa"/>
            <w:tcBorders>
              <w:top w:val="nil"/>
              <w:left w:val="single" w:sz="4" w:space="0" w:color="auto"/>
              <w:bottom w:val="nil"/>
              <w:right w:val="single" w:sz="4" w:space="0" w:color="auto"/>
            </w:tcBorders>
            <w:shd w:val="clear" w:color="auto" w:fill="auto"/>
            <w:hideMark/>
          </w:tcPr>
          <w:p w:rsidR="000D4435" w:rsidRPr="000D4435" w:rsidRDefault="000D4435" w:rsidP="00AC3FB9">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20"/>
                <w:lang w:val="en-US" w:eastAsia="zh-CN"/>
              </w:rPr>
            </w:pPr>
            <w:r w:rsidRPr="000D4435">
              <w:rPr>
                <w:rFonts w:ascii="Arial" w:hAnsi="Arial" w:cs="Arial"/>
                <w:color w:val="000000"/>
                <w:sz w:val="20"/>
                <w:lang w:val="en-US" w:eastAsia="zh-CN"/>
              </w:rPr>
              <w:t>2</w:t>
            </w:r>
            <w:r w:rsidR="00AE6D90">
              <w:rPr>
                <w:rFonts w:ascii="Arial" w:hAnsi="Arial" w:cs="Arial"/>
                <w:color w:val="000000"/>
                <w:sz w:val="20"/>
                <w:lang w:val="en-US" w:eastAsia="zh-CN"/>
              </w:rPr>
              <w:t>2</w:t>
            </w:r>
          </w:p>
        </w:tc>
        <w:tc>
          <w:tcPr>
            <w:tcW w:w="1460" w:type="dxa"/>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0D4435">
              <w:rPr>
                <w:rFonts w:ascii="Arial" w:hAnsi="Arial" w:cs="Arial"/>
                <w:b/>
                <w:bCs/>
                <w:color w:val="000000"/>
                <w:sz w:val="20"/>
                <w:lang w:val="en-US" w:eastAsia="zh-CN"/>
              </w:rPr>
              <w:t> </w:t>
            </w:r>
          </w:p>
        </w:tc>
        <w:tc>
          <w:tcPr>
            <w:tcW w:w="1680" w:type="dxa"/>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0D4435">
              <w:rPr>
                <w:rFonts w:ascii="Arial" w:hAnsi="Arial" w:cs="Arial"/>
                <w:b/>
                <w:bCs/>
                <w:color w:val="000000"/>
                <w:sz w:val="20"/>
                <w:lang w:val="en-US" w:eastAsia="zh-CN"/>
              </w:rPr>
              <w:t> </w:t>
            </w:r>
          </w:p>
        </w:tc>
      </w:tr>
      <w:tr w:rsidR="000D4435" w:rsidRPr="000D4435" w:rsidTr="000D4435">
        <w:trPr>
          <w:trHeight w:val="255"/>
        </w:trPr>
        <w:tc>
          <w:tcPr>
            <w:tcW w:w="5300" w:type="dxa"/>
            <w:tcBorders>
              <w:top w:val="nil"/>
              <w:left w:val="single" w:sz="4" w:space="0" w:color="auto"/>
              <w:bottom w:val="nil"/>
              <w:right w:val="nil"/>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20"/>
                <w:lang w:val="en-US" w:eastAsia="zh-CN"/>
              </w:rPr>
            </w:pPr>
            <w:r w:rsidRPr="000D4435">
              <w:rPr>
                <w:rFonts w:ascii="Arial" w:hAnsi="Arial" w:cs="Arial"/>
                <w:b/>
                <w:bCs/>
                <w:color w:val="000000"/>
                <w:sz w:val="20"/>
                <w:lang w:val="en-US" w:eastAsia="zh-CN"/>
              </w:rPr>
              <w:t> </w:t>
            </w:r>
          </w:p>
        </w:tc>
        <w:tc>
          <w:tcPr>
            <w:tcW w:w="880" w:type="dxa"/>
            <w:tcBorders>
              <w:top w:val="nil"/>
              <w:left w:val="single" w:sz="4" w:space="0" w:color="auto"/>
              <w:bottom w:val="nil"/>
              <w:right w:val="single" w:sz="4" w:space="0" w:color="auto"/>
            </w:tcBorders>
            <w:shd w:val="clear" w:color="auto" w:fill="auto"/>
            <w:hideMark/>
          </w:tcPr>
          <w:p w:rsidR="000D4435" w:rsidRPr="000D4435" w:rsidRDefault="000D4435" w:rsidP="00AC3FB9">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20"/>
                <w:lang w:val="en-US" w:eastAsia="zh-CN"/>
              </w:rPr>
            </w:pPr>
          </w:p>
        </w:tc>
        <w:tc>
          <w:tcPr>
            <w:tcW w:w="1460" w:type="dxa"/>
            <w:tcBorders>
              <w:top w:val="nil"/>
              <w:left w:val="nil"/>
              <w:bottom w:val="nil"/>
              <w:right w:val="single" w:sz="4" w:space="0" w:color="auto"/>
            </w:tcBorders>
            <w:shd w:val="clear" w:color="auto" w:fill="auto"/>
            <w:hideMark/>
          </w:tcPr>
          <w:p w:rsidR="000D4435" w:rsidRPr="000D4435" w:rsidRDefault="000D4435" w:rsidP="0027350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p>
        </w:tc>
        <w:tc>
          <w:tcPr>
            <w:tcW w:w="1680" w:type="dxa"/>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0D4435">
              <w:rPr>
                <w:rFonts w:ascii="Arial" w:hAnsi="Arial" w:cs="Arial"/>
                <w:b/>
                <w:bCs/>
                <w:color w:val="000000"/>
                <w:sz w:val="20"/>
                <w:lang w:val="en-US" w:eastAsia="zh-CN"/>
              </w:rPr>
              <w:t> </w:t>
            </w:r>
          </w:p>
        </w:tc>
      </w:tr>
      <w:tr w:rsidR="000D4435" w:rsidRPr="000D4435" w:rsidTr="000D4435">
        <w:trPr>
          <w:trHeight w:val="255"/>
        </w:trPr>
        <w:tc>
          <w:tcPr>
            <w:tcW w:w="5300" w:type="dxa"/>
            <w:tcBorders>
              <w:top w:val="nil"/>
              <w:left w:val="single" w:sz="4" w:space="0" w:color="auto"/>
              <w:bottom w:val="nil"/>
              <w:right w:val="nil"/>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0D4435">
              <w:rPr>
                <w:rFonts w:ascii="Arial" w:hAnsi="Arial" w:cs="Arial"/>
                <w:color w:val="000000"/>
                <w:sz w:val="20"/>
                <w:lang w:val="en-US" w:eastAsia="zh-CN"/>
              </w:rPr>
              <w:t>Assessed contributions</w:t>
            </w:r>
          </w:p>
        </w:tc>
        <w:tc>
          <w:tcPr>
            <w:tcW w:w="880" w:type="dxa"/>
            <w:tcBorders>
              <w:top w:val="nil"/>
              <w:left w:val="single" w:sz="4" w:space="0" w:color="auto"/>
              <w:bottom w:val="nil"/>
              <w:right w:val="single" w:sz="4" w:space="0" w:color="auto"/>
            </w:tcBorders>
            <w:shd w:val="clear" w:color="auto" w:fill="auto"/>
            <w:hideMark/>
          </w:tcPr>
          <w:p w:rsidR="000D4435" w:rsidRPr="000D4435" w:rsidRDefault="000D4435" w:rsidP="00AC3FB9">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20"/>
                <w:lang w:val="en-US" w:eastAsia="zh-CN"/>
              </w:rPr>
            </w:pPr>
          </w:p>
        </w:tc>
        <w:tc>
          <w:tcPr>
            <w:tcW w:w="1460" w:type="dxa"/>
            <w:tcBorders>
              <w:top w:val="nil"/>
              <w:left w:val="nil"/>
              <w:bottom w:val="nil"/>
              <w:right w:val="single" w:sz="4" w:space="0" w:color="auto"/>
            </w:tcBorders>
            <w:shd w:val="clear" w:color="auto" w:fill="auto"/>
            <w:noWrap/>
            <w:vAlign w:val="bottom"/>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0D4435">
              <w:rPr>
                <w:rFonts w:ascii="Arial" w:hAnsi="Arial" w:cs="Arial"/>
                <w:color w:val="000000"/>
                <w:sz w:val="20"/>
                <w:lang w:val="en-US" w:eastAsia="zh-CN"/>
              </w:rPr>
              <w:t>122,390</w:t>
            </w:r>
          </w:p>
        </w:tc>
        <w:tc>
          <w:tcPr>
            <w:tcW w:w="1680" w:type="dxa"/>
            <w:tcBorders>
              <w:top w:val="nil"/>
              <w:left w:val="nil"/>
              <w:bottom w:val="nil"/>
              <w:right w:val="single" w:sz="4" w:space="0" w:color="auto"/>
            </w:tcBorders>
            <w:shd w:val="clear" w:color="auto" w:fill="auto"/>
            <w:noWrap/>
            <w:vAlign w:val="bottom"/>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0D4435">
              <w:rPr>
                <w:rFonts w:ascii="Arial" w:hAnsi="Arial" w:cs="Arial"/>
                <w:color w:val="000000"/>
                <w:sz w:val="20"/>
                <w:lang w:val="en-US" w:eastAsia="zh-CN"/>
              </w:rPr>
              <w:t>122,888</w:t>
            </w:r>
          </w:p>
        </w:tc>
      </w:tr>
      <w:tr w:rsidR="000D4435" w:rsidRPr="000D4435" w:rsidTr="000D4435">
        <w:trPr>
          <w:trHeight w:val="255"/>
        </w:trPr>
        <w:tc>
          <w:tcPr>
            <w:tcW w:w="5300" w:type="dxa"/>
            <w:tcBorders>
              <w:top w:val="nil"/>
              <w:left w:val="single" w:sz="4" w:space="0" w:color="auto"/>
              <w:bottom w:val="nil"/>
              <w:right w:val="nil"/>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0D4435">
              <w:rPr>
                <w:rFonts w:ascii="Arial" w:hAnsi="Arial" w:cs="Arial"/>
                <w:color w:val="000000"/>
                <w:sz w:val="20"/>
                <w:lang w:val="en-US" w:eastAsia="zh-CN"/>
              </w:rPr>
              <w:t>Voluntary contributions</w:t>
            </w:r>
          </w:p>
        </w:tc>
        <w:tc>
          <w:tcPr>
            <w:tcW w:w="880" w:type="dxa"/>
            <w:tcBorders>
              <w:top w:val="nil"/>
              <w:left w:val="single" w:sz="4" w:space="0" w:color="auto"/>
              <w:bottom w:val="nil"/>
              <w:right w:val="single" w:sz="4" w:space="0" w:color="auto"/>
            </w:tcBorders>
            <w:shd w:val="clear" w:color="auto" w:fill="auto"/>
            <w:hideMark/>
          </w:tcPr>
          <w:p w:rsidR="000D4435" w:rsidRPr="000D4435" w:rsidRDefault="000D4435" w:rsidP="00AC3FB9">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20"/>
                <w:lang w:val="en-US" w:eastAsia="zh-CN"/>
              </w:rPr>
            </w:pPr>
          </w:p>
        </w:tc>
        <w:tc>
          <w:tcPr>
            <w:tcW w:w="1460" w:type="dxa"/>
            <w:tcBorders>
              <w:top w:val="nil"/>
              <w:left w:val="nil"/>
              <w:bottom w:val="nil"/>
              <w:right w:val="single" w:sz="4" w:space="0" w:color="auto"/>
            </w:tcBorders>
            <w:shd w:val="clear" w:color="auto" w:fill="auto"/>
            <w:noWrap/>
            <w:vAlign w:val="bottom"/>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0D4435">
              <w:rPr>
                <w:rFonts w:ascii="Arial" w:hAnsi="Arial" w:cs="Arial"/>
                <w:color w:val="000000"/>
                <w:sz w:val="20"/>
                <w:lang w:val="en-US" w:eastAsia="zh-CN"/>
              </w:rPr>
              <w:t>10,610</w:t>
            </w:r>
          </w:p>
        </w:tc>
        <w:tc>
          <w:tcPr>
            <w:tcW w:w="1680" w:type="dxa"/>
            <w:tcBorders>
              <w:top w:val="nil"/>
              <w:left w:val="nil"/>
              <w:bottom w:val="nil"/>
              <w:right w:val="single" w:sz="4" w:space="0" w:color="auto"/>
            </w:tcBorders>
            <w:shd w:val="clear" w:color="auto" w:fill="auto"/>
            <w:noWrap/>
            <w:vAlign w:val="bottom"/>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0D4435">
              <w:rPr>
                <w:rFonts w:ascii="Arial" w:hAnsi="Arial" w:cs="Arial"/>
                <w:color w:val="000000"/>
                <w:sz w:val="20"/>
                <w:lang w:val="en-US" w:eastAsia="zh-CN"/>
              </w:rPr>
              <w:t>10,232</w:t>
            </w:r>
          </w:p>
        </w:tc>
      </w:tr>
      <w:tr w:rsidR="000D4435" w:rsidRPr="000D4435" w:rsidTr="000D4435">
        <w:trPr>
          <w:trHeight w:val="255"/>
        </w:trPr>
        <w:tc>
          <w:tcPr>
            <w:tcW w:w="5300" w:type="dxa"/>
            <w:tcBorders>
              <w:top w:val="nil"/>
              <w:left w:val="single" w:sz="4" w:space="0" w:color="auto"/>
              <w:bottom w:val="nil"/>
              <w:right w:val="nil"/>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0D4435">
              <w:rPr>
                <w:rFonts w:ascii="Arial" w:hAnsi="Arial" w:cs="Arial"/>
                <w:color w:val="000000"/>
                <w:sz w:val="20"/>
                <w:lang w:val="en-US" w:eastAsia="zh-CN"/>
              </w:rPr>
              <w:t>Other operating revenue</w:t>
            </w:r>
          </w:p>
        </w:tc>
        <w:tc>
          <w:tcPr>
            <w:tcW w:w="880" w:type="dxa"/>
            <w:tcBorders>
              <w:top w:val="nil"/>
              <w:left w:val="single" w:sz="4" w:space="0" w:color="auto"/>
              <w:bottom w:val="nil"/>
              <w:right w:val="single" w:sz="4" w:space="0" w:color="auto"/>
            </w:tcBorders>
            <w:shd w:val="clear" w:color="auto" w:fill="auto"/>
            <w:hideMark/>
          </w:tcPr>
          <w:p w:rsidR="000D4435" w:rsidRPr="000D4435" w:rsidRDefault="000D4435" w:rsidP="00AC3FB9">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20"/>
                <w:lang w:val="en-US" w:eastAsia="zh-CN"/>
              </w:rPr>
            </w:pPr>
          </w:p>
        </w:tc>
        <w:tc>
          <w:tcPr>
            <w:tcW w:w="1460" w:type="dxa"/>
            <w:tcBorders>
              <w:top w:val="nil"/>
              <w:left w:val="nil"/>
              <w:bottom w:val="nil"/>
              <w:right w:val="single" w:sz="4" w:space="0" w:color="auto"/>
            </w:tcBorders>
            <w:shd w:val="clear" w:color="auto" w:fill="auto"/>
            <w:noWrap/>
            <w:vAlign w:val="bottom"/>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0D4435">
              <w:rPr>
                <w:rFonts w:ascii="Arial" w:hAnsi="Arial" w:cs="Arial"/>
                <w:color w:val="000000"/>
                <w:sz w:val="20"/>
                <w:lang w:val="en-US" w:eastAsia="zh-CN"/>
              </w:rPr>
              <w:t>44,398</w:t>
            </w:r>
          </w:p>
        </w:tc>
        <w:tc>
          <w:tcPr>
            <w:tcW w:w="1680" w:type="dxa"/>
            <w:tcBorders>
              <w:top w:val="nil"/>
              <w:left w:val="nil"/>
              <w:bottom w:val="nil"/>
              <w:right w:val="single" w:sz="4" w:space="0" w:color="auto"/>
            </w:tcBorders>
            <w:shd w:val="clear" w:color="auto" w:fill="auto"/>
            <w:noWrap/>
            <w:vAlign w:val="bottom"/>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0D4435">
              <w:rPr>
                <w:rFonts w:ascii="Arial" w:hAnsi="Arial" w:cs="Arial"/>
                <w:color w:val="000000"/>
                <w:sz w:val="20"/>
                <w:lang w:val="en-US" w:eastAsia="zh-CN"/>
              </w:rPr>
              <w:t>41,919</w:t>
            </w:r>
          </w:p>
        </w:tc>
      </w:tr>
      <w:tr w:rsidR="000D4435" w:rsidRPr="000D4435" w:rsidTr="000D4435">
        <w:trPr>
          <w:trHeight w:val="255"/>
        </w:trPr>
        <w:tc>
          <w:tcPr>
            <w:tcW w:w="5300" w:type="dxa"/>
            <w:tcBorders>
              <w:top w:val="nil"/>
              <w:left w:val="single" w:sz="4" w:space="0" w:color="auto"/>
              <w:bottom w:val="nil"/>
              <w:right w:val="nil"/>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0D4435">
              <w:rPr>
                <w:rFonts w:ascii="Arial" w:hAnsi="Arial" w:cs="Arial"/>
                <w:color w:val="000000"/>
                <w:sz w:val="20"/>
                <w:lang w:val="en-US" w:eastAsia="zh-CN"/>
              </w:rPr>
              <w:t>In-kind contributions</w:t>
            </w:r>
          </w:p>
        </w:tc>
        <w:tc>
          <w:tcPr>
            <w:tcW w:w="880" w:type="dxa"/>
            <w:tcBorders>
              <w:top w:val="nil"/>
              <w:left w:val="single" w:sz="4" w:space="0" w:color="auto"/>
              <w:bottom w:val="nil"/>
              <w:right w:val="single" w:sz="4" w:space="0" w:color="auto"/>
            </w:tcBorders>
            <w:shd w:val="clear" w:color="auto" w:fill="auto"/>
            <w:hideMark/>
          </w:tcPr>
          <w:p w:rsidR="000D4435" w:rsidRPr="000D4435" w:rsidRDefault="000D4435" w:rsidP="00AC3FB9">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20"/>
                <w:lang w:val="en-US" w:eastAsia="zh-CN"/>
              </w:rPr>
            </w:pPr>
          </w:p>
        </w:tc>
        <w:tc>
          <w:tcPr>
            <w:tcW w:w="1460" w:type="dxa"/>
            <w:tcBorders>
              <w:top w:val="nil"/>
              <w:left w:val="nil"/>
              <w:bottom w:val="nil"/>
              <w:right w:val="single" w:sz="4" w:space="0" w:color="auto"/>
            </w:tcBorders>
            <w:shd w:val="clear" w:color="auto" w:fill="auto"/>
            <w:noWrap/>
            <w:vAlign w:val="bottom"/>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0D4435">
              <w:rPr>
                <w:rFonts w:ascii="Arial" w:hAnsi="Arial" w:cs="Arial"/>
                <w:color w:val="000000"/>
                <w:sz w:val="20"/>
                <w:lang w:val="en-US" w:eastAsia="zh-CN"/>
              </w:rPr>
              <w:t>882</w:t>
            </w:r>
          </w:p>
        </w:tc>
        <w:tc>
          <w:tcPr>
            <w:tcW w:w="1680" w:type="dxa"/>
            <w:tcBorders>
              <w:top w:val="nil"/>
              <w:left w:val="nil"/>
              <w:bottom w:val="nil"/>
              <w:right w:val="single" w:sz="4" w:space="0" w:color="auto"/>
            </w:tcBorders>
            <w:shd w:val="clear" w:color="auto" w:fill="auto"/>
            <w:noWrap/>
            <w:vAlign w:val="bottom"/>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0D4435">
              <w:rPr>
                <w:rFonts w:ascii="Arial" w:hAnsi="Arial" w:cs="Arial"/>
                <w:color w:val="000000"/>
                <w:sz w:val="20"/>
                <w:lang w:val="en-US" w:eastAsia="zh-CN"/>
              </w:rPr>
              <w:t>901</w:t>
            </w:r>
          </w:p>
        </w:tc>
      </w:tr>
      <w:tr w:rsidR="000D4435" w:rsidRPr="000D4435" w:rsidTr="000D4435">
        <w:trPr>
          <w:trHeight w:val="255"/>
        </w:trPr>
        <w:tc>
          <w:tcPr>
            <w:tcW w:w="5300" w:type="dxa"/>
            <w:tcBorders>
              <w:top w:val="nil"/>
              <w:left w:val="single" w:sz="4" w:space="0" w:color="auto"/>
              <w:bottom w:val="nil"/>
              <w:right w:val="nil"/>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0D4435">
              <w:rPr>
                <w:rFonts w:ascii="Arial" w:hAnsi="Arial" w:cs="Arial"/>
                <w:color w:val="000000"/>
                <w:sz w:val="20"/>
                <w:lang w:val="en-US" w:eastAsia="zh-CN"/>
              </w:rPr>
              <w:t>Finance revenue</w:t>
            </w:r>
          </w:p>
        </w:tc>
        <w:tc>
          <w:tcPr>
            <w:tcW w:w="880" w:type="dxa"/>
            <w:tcBorders>
              <w:top w:val="nil"/>
              <w:left w:val="single" w:sz="4" w:space="0" w:color="auto"/>
              <w:bottom w:val="nil"/>
              <w:right w:val="single" w:sz="4" w:space="0" w:color="auto"/>
            </w:tcBorders>
            <w:shd w:val="clear" w:color="auto" w:fill="auto"/>
            <w:hideMark/>
          </w:tcPr>
          <w:p w:rsidR="000D4435" w:rsidRPr="000D4435" w:rsidRDefault="000D4435" w:rsidP="00AC3FB9">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20"/>
                <w:lang w:val="en-US" w:eastAsia="zh-CN"/>
              </w:rPr>
            </w:pPr>
          </w:p>
        </w:tc>
        <w:tc>
          <w:tcPr>
            <w:tcW w:w="1460" w:type="dxa"/>
            <w:tcBorders>
              <w:top w:val="nil"/>
              <w:left w:val="nil"/>
              <w:bottom w:val="nil"/>
              <w:right w:val="single" w:sz="4" w:space="0" w:color="auto"/>
            </w:tcBorders>
            <w:shd w:val="clear" w:color="auto" w:fill="auto"/>
            <w:noWrap/>
            <w:vAlign w:val="bottom"/>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0D4435">
              <w:rPr>
                <w:rFonts w:ascii="Arial" w:hAnsi="Arial" w:cs="Arial"/>
                <w:color w:val="000000"/>
                <w:sz w:val="20"/>
                <w:lang w:val="en-US" w:eastAsia="zh-CN"/>
              </w:rPr>
              <w:t>258</w:t>
            </w:r>
          </w:p>
        </w:tc>
        <w:tc>
          <w:tcPr>
            <w:tcW w:w="1680" w:type="dxa"/>
            <w:tcBorders>
              <w:top w:val="nil"/>
              <w:left w:val="nil"/>
              <w:bottom w:val="nil"/>
              <w:right w:val="single" w:sz="4" w:space="0" w:color="auto"/>
            </w:tcBorders>
            <w:shd w:val="clear" w:color="auto" w:fill="auto"/>
            <w:noWrap/>
            <w:vAlign w:val="bottom"/>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0D4435">
              <w:rPr>
                <w:rFonts w:ascii="Arial" w:hAnsi="Arial" w:cs="Arial"/>
                <w:color w:val="000000"/>
                <w:sz w:val="20"/>
                <w:lang w:val="en-US" w:eastAsia="zh-CN"/>
              </w:rPr>
              <w:t>562</w:t>
            </w:r>
          </w:p>
        </w:tc>
      </w:tr>
      <w:tr w:rsidR="000D4435" w:rsidRPr="000D4435" w:rsidTr="000D4435">
        <w:trPr>
          <w:trHeight w:val="255"/>
        </w:trPr>
        <w:tc>
          <w:tcPr>
            <w:tcW w:w="5300" w:type="dxa"/>
            <w:tcBorders>
              <w:top w:val="nil"/>
              <w:left w:val="single" w:sz="4" w:space="0" w:color="auto"/>
              <w:bottom w:val="nil"/>
              <w:right w:val="nil"/>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0D4435">
              <w:rPr>
                <w:rFonts w:ascii="Arial" w:hAnsi="Arial" w:cs="Arial"/>
                <w:color w:val="000000"/>
                <w:sz w:val="20"/>
                <w:lang w:val="en-US" w:eastAsia="zh-CN"/>
              </w:rPr>
              <w:t> </w:t>
            </w:r>
          </w:p>
        </w:tc>
        <w:tc>
          <w:tcPr>
            <w:tcW w:w="880" w:type="dxa"/>
            <w:tcBorders>
              <w:top w:val="nil"/>
              <w:left w:val="single" w:sz="4" w:space="0" w:color="auto"/>
              <w:bottom w:val="nil"/>
              <w:right w:val="single" w:sz="4" w:space="0" w:color="auto"/>
            </w:tcBorders>
            <w:shd w:val="clear" w:color="auto" w:fill="auto"/>
            <w:hideMark/>
          </w:tcPr>
          <w:p w:rsidR="000D4435" w:rsidRPr="000D4435" w:rsidRDefault="000D4435" w:rsidP="00AC3FB9">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20"/>
                <w:lang w:val="en-US" w:eastAsia="zh-CN"/>
              </w:rPr>
            </w:pPr>
          </w:p>
        </w:tc>
        <w:tc>
          <w:tcPr>
            <w:tcW w:w="1460" w:type="dxa"/>
            <w:tcBorders>
              <w:top w:val="nil"/>
              <w:left w:val="nil"/>
              <w:bottom w:val="nil"/>
              <w:right w:val="single" w:sz="4" w:space="0" w:color="auto"/>
            </w:tcBorders>
            <w:shd w:val="clear" w:color="auto" w:fill="auto"/>
            <w:hideMark/>
          </w:tcPr>
          <w:p w:rsidR="000D4435" w:rsidRPr="000D4435" w:rsidRDefault="000D4435" w:rsidP="000F0FF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0D4435">
              <w:rPr>
                <w:rFonts w:ascii="Arial" w:hAnsi="Arial" w:cs="Arial"/>
                <w:color w:val="000000"/>
                <w:sz w:val="20"/>
                <w:lang w:val="en-US" w:eastAsia="zh-CN"/>
              </w:rPr>
              <w:t> </w:t>
            </w:r>
          </w:p>
        </w:tc>
        <w:tc>
          <w:tcPr>
            <w:tcW w:w="1680" w:type="dxa"/>
            <w:tcBorders>
              <w:top w:val="nil"/>
              <w:left w:val="nil"/>
              <w:bottom w:val="nil"/>
              <w:right w:val="single" w:sz="4" w:space="0" w:color="auto"/>
            </w:tcBorders>
            <w:shd w:val="clear" w:color="auto" w:fill="auto"/>
            <w:hideMark/>
          </w:tcPr>
          <w:p w:rsidR="000D4435" w:rsidRPr="000D4435" w:rsidRDefault="000D4435" w:rsidP="000F0FF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0D4435">
              <w:rPr>
                <w:rFonts w:ascii="Arial" w:hAnsi="Arial" w:cs="Arial"/>
                <w:color w:val="000000"/>
                <w:sz w:val="20"/>
                <w:lang w:val="en-US" w:eastAsia="zh-CN"/>
              </w:rPr>
              <w:t> </w:t>
            </w:r>
          </w:p>
        </w:tc>
      </w:tr>
      <w:tr w:rsidR="000D4435" w:rsidRPr="000D4435" w:rsidTr="000D4435">
        <w:trPr>
          <w:trHeight w:val="499"/>
        </w:trPr>
        <w:tc>
          <w:tcPr>
            <w:tcW w:w="5300" w:type="dxa"/>
            <w:tcBorders>
              <w:top w:val="single" w:sz="4" w:space="0" w:color="auto"/>
              <w:left w:val="single" w:sz="4" w:space="0" w:color="auto"/>
              <w:bottom w:val="single" w:sz="4" w:space="0" w:color="auto"/>
              <w:right w:val="nil"/>
            </w:tcBorders>
            <w:shd w:val="clear" w:color="auto" w:fill="auto"/>
            <w:noWrap/>
            <w:vAlign w:val="center"/>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20"/>
                <w:lang w:val="en-US" w:eastAsia="zh-CN"/>
              </w:rPr>
            </w:pPr>
            <w:r w:rsidRPr="000D4435">
              <w:rPr>
                <w:rFonts w:ascii="Arial" w:hAnsi="Arial" w:cs="Arial"/>
                <w:b/>
                <w:bCs/>
                <w:color w:val="000000"/>
                <w:sz w:val="20"/>
                <w:lang w:val="en-US" w:eastAsia="zh-CN"/>
              </w:rPr>
              <w:t>Total revenue</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4435" w:rsidRPr="000D4435" w:rsidRDefault="000D4435" w:rsidP="00AC3FB9">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20"/>
                <w:lang w:val="en-US" w:eastAsia="zh-CN"/>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0D4435">
              <w:rPr>
                <w:rFonts w:ascii="Arial" w:hAnsi="Arial" w:cs="Arial"/>
                <w:b/>
                <w:bCs/>
                <w:color w:val="000000"/>
                <w:sz w:val="20"/>
                <w:lang w:val="en-US" w:eastAsia="zh-CN"/>
              </w:rPr>
              <w:t>178,537</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0D4435">
              <w:rPr>
                <w:rFonts w:ascii="Arial" w:hAnsi="Arial" w:cs="Arial"/>
                <w:b/>
                <w:bCs/>
                <w:color w:val="000000"/>
                <w:sz w:val="20"/>
                <w:lang w:val="en-US" w:eastAsia="zh-CN"/>
              </w:rPr>
              <w:t>176,502</w:t>
            </w:r>
          </w:p>
        </w:tc>
      </w:tr>
      <w:tr w:rsidR="000D4435" w:rsidRPr="000D4435" w:rsidTr="000D4435">
        <w:trPr>
          <w:trHeight w:val="255"/>
        </w:trPr>
        <w:tc>
          <w:tcPr>
            <w:tcW w:w="5300" w:type="dxa"/>
            <w:tcBorders>
              <w:top w:val="nil"/>
              <w:left w:val="single" w:sz="4" w:space="0" w:color="auto"/>
              <w:bottom w:val="nil"/>
              <w:right w:val="nil"/>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20"/>
                <w:lang w:val="en-US" w:eastAsia="zh-CN"/>
              </w:rPr>
            </w:pPr>
            <w:r w:rsidRPr="000D4435">
              <w:rPr>
                <w:rFonts w:ascii="Arial" w:hAnsi="Arial" w:cs="Arial"/>
                <w:b/>
                <w:bCs/>
                <w:color w:val="000000"/>
                <w:sz w:val="20"/>
                <w:lang w:val="en-US" w:eastAsia="zh-CN"/>
              </w:rPr>
              <w:t> </w:t>
            </w:r>
          </w:p>
        </w:tc>
        <w:tc>
          <w:tcPr>
            <w:tcW w:w="880" w:type="dxa"/>
            <w:tcBorders>
              <w:top w:val="nil"/>
              <w:left w:val="single" w:sz="4" w:space="0" w:color="auto"/>
              <w:bottom w:val="nil"/>
              <w:right w:val="single" w:sz="4" w:space="0" w:color="auto"/>
            </w:tcBorders>
            <w:shd w:val="clear" w:color="auto" w:fill="auto"/>
            <w:hideMark/>
          </w:tcPr>
          <w:p w:rsidR="000D4435" w:rsidRPr="000D4435" w:rsidRDefault="000D4435" w:rsidP="00AC3FB9">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20"/>
                <w:lang w:val="en-US" w:eastAsia="zh-CN"/>
              </w:rPr>
            </w:pPr>
          </w:p>
        </w:tc>
        <w:tc>
          <w:tcPr>
            <w:tcW w:w="1460" w:type="dxa"/>
            <w:tcBorders>
              <w:top w:val="nil"/>
              <w:left w:val="nil"/>
              <w:bottom w:val="nil"/>
              <w:right w:val="single" w:sz="4" w:space="0" w:color="auto"/>
            </w:tcBorders>
            <w:shd w:val="clear" w:color="auto" w:fill="auto"/>
            <w:hideMark/>
          </w:tcPr>
          <w:p w:rsidR="000D4435" w:rsidRPr="000D4435" w:rsidRDefault="000D4435" w:rsidP="000F0FF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0D4435">
              <w:rPr>
                <w:rFonts w:ascii="Arial" w:hAnsi="Arial" w:cs="Arial"/>
                <w:b/>
                <w:bCs/>
                <w:color w:val="000000"/>
                <w:sz w:val="20"/>
                <w:lang w:val="en-US" w:eastAsia="zh-CN"/>
              </w:rPr>
              <w:t> </w:t>
            </w:r>
          </w:p>
        </w:tc>
        <w:tc>
          <w:tcPr>
            <w:tcW w:w="1680" w:type="dxa"/>
            <w:tcBorders>
              <w:top w:val="nil"/>
              <w:left w:val="nil"/>
              <w:bottom w:val="nil"/>
              <w:right w:val="single" w:sz="4" w:space="0" w:color="auto"/>
            </w:tcBorders>
            <w:shd w:val="clear" w:color="auto" w:fill="auto"/>
            <w:hideMark/>
          </w:tcPr>
          <w:p w:rsidR="000D4435" w:rsidRPr="000D4435" w:rsidRDefault="000D4435" w:rsidP="000F0FF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0D4435">
              <w:rPr>
                <w:rFonts w:ascii="Arial" w:hAnsi="Arial" w:cs="Arial"/>
                <w:b/>
                <w:bCs/>
                <w:color w:val="000000"/>
                <w:sz w:val="20"/>
                <w:lang w:val="en-US" w:eastAsia="zh-CN"/>
              </w:rPr>
              <w:t> </w:t>
            </w:r>
          </w:p>
        </w:tc>
      </w:tr>
      <w:tr w:rsidR="000D4435" w:rsidRPr="000D4435" w:rsidTr="000D4435">
        <w:trPr>
          <w:trHeight w:val="315"/>
        </w:trPr>
        <w:tc>
          <w:tcPr>
            <w:tcW w:w="5300" w:type="dxa"/>
            <w:tcBorders>
              <w:top w:val="nil"/>
              <w:left w:val="single" w:sz="4" w:space="0" w:color="auto"/>
              <w:bottom w:val="nil"/>
              <w:right w:val="nil"/>
            </w:tcBorders>
            <w:shd w:val="clear" w:color="auto" w:fill="auto"/>
            <w:noWrap/>
            <w:vAlign w:val="bottom"/>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Cs w:val="24"/>
                <w:lang w:val="en-US" w:eastAsia="zh-CN"/>
              </w:rPr>
            </w:pPr>
            <w:r w:rsidRPr="000D4435">
              <w:rPr>
                <w:rFonts w:cs="Arial"/>
                <w:b/>
                <w:bCs/>
                <w:color w:val="000000"/>
                <w:szCs w:val="24"/>
                <w:lang w:val="en-US" w:eastAsia="zh-CN"/>
              </w:rPr>
              <w:t>EXPENSES</w:t>
            </w:r>
          </w:p>
        </w:tc>
        <w:tc>
          <w:tcPr>
            <w:tcW w:w="880" w:type="dxa"/>
            <w:tcBorders>
              <w:top w:val="nil"/>
              <w:left w:val="single" w:sz="4" w:space="0" w:color="auto"/>
              <w:bottom w:val="nil"/>
              <w:right w:val="single" w:sz="4" w:space="0" w:color="auto"/>
            </w:tcBorders>
            <w:shd w:val="clear" w:color="auto" w:fill="auto"/>
            <w:hideMark/>
          </w:tcPr>
          <w:p w:rsidR="000D4435" w:rsidRPr="000D4435" w:rsidRDefault="000D4435" w:rsidP="00AC3FB9">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20"/>
                <w:lang w:val="en-US" w:eastAsia="zh-CN"/>
              </w:rPr>
            </w:pPr>
            <w:r w:rsidRPr="000D4435">
              <w:rPr>
                <w:rFonts w:ascii="Arial" w:hAnsi="Arial" w:cs="Arial"/>
                <w:color w:val="000000"/>
                <w:sz w:val="20"/>
                <w:lang w:val="en-US" w:eastAsia="zh-CN"/>
              </w:rPr>
              <w:t>2</w:t>
            </w:r>
            <w:r w:rsidR="00AE6D90">
              <w:rPr>
                <w:rFonts w:ascii="Arial" w:hAnsi="Arial" w:cs="Arial"/>
                <w:color w:val="000000"/>
                <w:sz w:val="20"/>
                <w:lang w:val="en-US" w:eastAsia="zh-CN"/>
              </w:rPr>
              <w:t>3</w:t>
            </w:r>
          </w:p>
        </w:tc>
        <w:tc>
          <w:tcPr>
            <w:tcW w:w="1460" w:type="dxa"/>
            <w:tcBorders>
              <w:top w:val="nil"/>
              <w:left w:val="nil"/>
              <w:bottom w:val="nil"/>
              <w:right w:val="single" w:sz="4" w:space="0" w:color="auto"/>
            </w:tcBorders>
            <w:shd w:val="clear" w:color="auto" w:fill="auto"/>
            <w:hideMark/>
          </w:tcPr>
          <w:p w:rsidR="000D4435" w:rsidRPr="000D4435" w:rsidRDefault="000D4435" w:rsidP="000F0FF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0D4435">
              <w:rPr>
                <w:rFonts w:ascii="Arial" w:hAnsi="Arial" w:cs="Arial"/>
                <w:color w:val="000000"/>
                <w:sz w:val="20"/>
                <w:lang w:val="en-US" w:eastAsia="zh-CN"/>
              </w:rPr>
              <w:t> </w:t>
            </w:r>
          </w:p>
        </w:tc>
        <w:tc>
          <w:tcPr>
            <w:tcW w:w="1680" w:type="dxa"/>
            <w:tcBorders>
              <w:top w:val="nil"/>
              <w:left w:val="nil"/>
              <w:bottom w:val="nil"/>
              <w:right w:val="single" w:sz="4" w:space="0" w:color="auto"/>
            </w:tcBorders>
            <w:shd w:val="clear" w:color="auto" w:fill="auto"/>
            <w:hideMark/>
          </w:tcPr>
          <w:p w:rsidR="000D4435" w:rsidRPr="000D4435" w:rsidRDefault="000D4435" w:rsidP="000F0FF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0D4435">
              <w:rPr>
                <w:rFonts w:ascii="Arial" w:hAnsi="Arial" w:cs="Arial"/>
                <w:color w:val="000000"/>
                <w:sz w:val="20"/>
                <w:lang w:val="en-US" w:eastAsia="zh-CN"/>
              </w:rPr>
              <w:t> </w:t>
            </w:r>
          </w:p>
        </w:tc>
      </w:tr>
      <w:tr w:rsidR="000D4435" w:rsidRPr="000D4435" w:rsidTr="000D4435">
        <w:trPr>
          <w:trHeight w:val="255"/>
        </w:trPr>
        <w:tc>
          <w:tcPr>
            <w:tcW w:w="5300" w:type="dxa"/>
            <w:tcBorders>
              <w:top w:val="nil"/>
              <w:left w:val="single" w:sz="4" w:space="0" w:color="auto"/>
              <w:bottom w:val="nil"/>
              <w:right w:val="nil"/>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20"/>
                <w:lang w:val="en-US" w:eastAsia="zh-CN"/>
              </w:rPr>
            </w:pPr>
            <w:r w:rsidRPr="000D4435">
              <w:rPr>
                <w:rFonts w:ascii="Arial" w:hAnsi="Arial" w:cs="Arial"/>
                <w:b/>
                <w:bCs/>
                <w:color w:val="000000"/>
                <w:sz w:val="20"/>
                <w:lang w:val="en-US" w:eastAsia="zh-CN"/>
              </w:rPr>
              <w:t> </w:t>
            </w:r>
          </w:p>
        </w:tc>
        <w:tc>
          <w:tcPr>
            <w:tcW w:w="880" w:type="dxa"/>
            <w:tcBorders>
              <w:top w:val="nil"/>
              <w:left w:val="single" w:sz="4" w:space="0" w:color="auto"/>
              <w:bottom w:val="nil"/>
              <w:right w:val="single" w:sz="4" w:space="0" w:color="auto"/>
            </w:tcBorders>
            <w:shd w:val="clear" w:color="auto" w:fill="auto"/>
            <w:hideMark/>
          </w:tcPr>
          <w:p w:rsidR="000D4435" w:rsidRPr="000D4435" w:rsidRDefault="000D4435" w:rsidP="00AC3FB9">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20"/>
                <w:lang w:val="en-US" w:eastAsia="zh-CN"/>
              </w:rPr>
            </w:pPr>
          </w:p>
        </w:tc>
        <w:tc>
          <w:tcPr>
            <w:tcW w:w="1460" w:type="dxa"/>
            <w:tcBorders>
              <w:top w:val="nil"/>
              <w:left w:val="nil"/>
              <w:bottom w:val="nil"/>
              <w:right w:val="single" w:sz="4" w:space="0" w:color="auto"/>
            </w:tcBorders>
            <w:shd w:val="clear" w:color="auto" w:fill="auto"/>
            <w:hideMark/>
          </w:tcPr>
          <w:p w:rsidR="000D4435" w:rsidRPr="000D4435" w:rsidRDefault="000D4435" w:rsidP="000F0FF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0D4435">
              <w:rPr>
                <w:rFonts w:ascii="Arial" w:hAnsi="Arial" w:cs="Arial"/>
                <w:color w:val="000000"/>
                <w:sz w:val="20"/>
                <w:lang w:val="en-US" w:eastAsia="zh-CN"/>
              </w:rPr>
              <w:t> </w:t>
            </w:r>
          </w:p>
        </w:tc>
        <w:tc>
          <w:tcPr>
            <w:tcW w:w="1680" w:type="dxa"/>
            <w:tcBorders>
              <w:top w:val="nil"/>
              <w:left w:val="nil"/>
              <w:bottom w:val="nil"/>
              <w:right w:val="single" w:sz="4" w:space="0" w:color="auto"/>
            </w:tcBorders>
            <w:shd w:val="clear" w:color="auto" w:fill="auto"/>
            <w:hideMark/>
          </w:tcPr>
          <w:p w:rsidR="000D4435" w:rsidRPr="000D4435" w:rsidRDefault="000D4435" w:rsidP="000F0FF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0D4435">
              <w:rPr>
                <w:rFonts w:ascii="Arial" w:hAnsi="Arial" w:cs="Arial"/>
                <w:color w:val="000000"/>
                <w:sz w:val="20"/>
                <w:lang w:val="en-US" w:eastAsia="zh-CN"/>
              </w:rPr>
              <w:t> </w:t>
            </w:r>
          </w:p>
        </w:tc>
      </w:tr>
      <w:tr w:rsidR="000D4435" w:rsidRPr="000D4435" w:rsidTr="000D4435">
        <w:trPr>
          <w:trHeight w:val="255"/>
        </w:trPr>
        <w:tc>
          <w:tcPr>
            <w:tcW w:w="5300" w:type="dxa"/>
            <w:tcBorders>
              <w:top w:val="nil"/>
              <w:left w:val="single" w:sz="4" w:space="0" w:color="auto"/>
              <w:bottom w:val="nil"/>
              <w:right w:val="nil"/>
            </w:tcBorders>
            <w:shd w:val="clear" w:color="auto" w:fill="auto"/>
            <w:noWrap/>
            <w:vAlign w:val="bottom"/>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0D4435">
              <w:rPr>
                <w:rFonts w:ascii="Arial" w:hAnsi="Arial" w:cs="Arial"/>
                <w:color w:val="000000"/>
                <w:sz w:val="20"/>
                <w:lang w:val="en-US" w:eastAsia="zh-CN"/>
              </w:rPr>
              <w:t>Employee expenses</w:t>
            </w:r>
          </w:p>
        </w:tc>
        <w:tc>
          <w:tcPr>
            <w:tcW w:w="880" w:type="dxa"/>
            <w:tcBorders>
              <w:top w:val="nil"/>
              <w:left w:val="single" w:sz="4" w:space="0" w:color="auto"/>
              <w:bottom w:val="nil"/>
              <w:right w:val="single" w:sz="4" w:space="0" w:color="auto"/>
            </w:tcBorders>
            <w:shd w:val="clear" w:color="auto" w:fill="auto"/>
            <w:hideMark/>
          </w:tcPr>
          <w:p w:rsidR="000D4435" w:rsidRPr="000D4435" w:rsidRDefault="000D4435" w:rsidP="00AC3FB9">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20"/>
                <w:lang w:val="en-US" w:eastAsia="zh-CN"/>
              </w:rPr>
            </w:pPr>
          </w:p>
        </w:tc>
        <w:tc>
          <w:tcPr>
            <w:tcW w:w="1460" w:type="dxa"/>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0D4435">
              <w:rPr>
                <w:rFonts w:ascii="Arial" w:hAnsi="Arial" w:cs="Arial"/>
                <w:color w:val="000000"/>
                <w:sz w:val="20"/>
                <w:lang w:val="en-US" w:eastAsia="zh-CN"/>
              </w:rPr>
              <w:t>148,748</w:t>
            </w:r>
          </w:p>
        </w:tc>
        <w:tc>
          <w:tcPr>
            <w:tcW w:w="1680" w:type="dxa"/>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0D4435">
              <w:rPr>
                <w:rFonts w:ascii="Arial" w:hAnsi="Arial" w:cs="Arial"/>
                <w:color w:val="000000"/>
                <w:sz w:val="20"/>
                <w:lang w:val="en-US" w:eastAsia="zh-CN"/>
              </w:rPr>
              <w:t>146,999</w:t>
            </w:r>
          </w:p>
        </w:tc>
      </w:tr>
      <w:tr w:rsidR="000D4435" w:rsidRPr="000D4435" w:rsidTr="000D4435">
        <w:trPr>
          <w:trHeight w:val="255"/>
        </w:trPr>
        <w:tc>
          <w:tcPr>
            <w:tcW w:w="5300" w:type="dxa"/>
            <w:tcBorders>
              <w:top w:val="nil"/>
              <w:left w:val="single" w:sz="4" w:space="0" w:color="auto"/>
              <w:bottom w:val="nil"/>
              <w:right w:val="nil"/>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0D4435">
              <w:rPr>
                <w:rFonts w:ascii="Arial" w:hAnsi="Arial" w:cs="Arial"/>
                <w:color w:val="000000"/>
                <w:sz w:val="20"/>
                <w:lang w:val="en-US" w:eastAsia="zh-CN"/>
              </w:rPr>
              <w:t>Mission expenses</w:t>
            </w:r>
          </w:p>
        </w:tc>
        <w:tc>
          <w:tcPr>
            <w:tcW w:w="880" w:type="dxa"/>
            <w:tcBorders>
              <w:top w:val="nil"/>
              <w:left w:val="single" w:sz="4" w:space="0" w:color="auto"/>
              <w:bottom w:val="nil"/>
              <w:right w:val="single" w:sz="4" w:space="0" w:color="auto"/>
            </w:tcBorders>
            <w:shd w:val="clear" w:color="auto" w:fill="auto"/>
            <w:hideMark/>
          </w:tcPr>
          <w:p w:rsidR="000D4435" w:rsidRPr="000D4435" w:rsidRDefault="000D4435" w:rsidP="00AC3FB9">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20"/>
                <w:lang w:val="en-US" w:eastAsia="zh-CN"/>
              </w:rPr>
            </w:pPr>
          </w:p>
        </w:tc>
        <w:tc>
          <w:tcPr>
            <w:tcW w:w="1460" w:type="dxa"/>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0D4435">
              <w:rPr>
                <w:rFonts w:ascii="Arial" w:hAnsi="Arial" w:cs="Arial"/>
                <w:color w:val="000000"/>
                <w:sz w:val="20"/>
                <w:lang w:val="en-US" w:eastAsia="zh-CN"/>
              </w:rPr>
              <w:t>6,968</w:t>
            </w:r>
          </w:p>
        </w:tc>
        <w:tc>
          <w:tcPr>
            <w:tcW w:w="1680" w:type="dxa"/>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0D4435">
              <w:rPr>
                <w:rFonts w:ascii="Arial" w:hAnsi="Arial" w:cs="Arial"/>
                <w:color w:val="000000"/>
                <w:sz w:val="20"/>
                <w:lang w:val="en-US" w:eastAsia="zh-CN"/>
              </w:rPr>
              <w:t>6,997</w:t>
            </w:r>
          </w:p>
        </w:tc>
      </w:tr>
      <w:tr w:rsidR="000D4435" w:rsidRPr="000D4435" w:rsidTr="000D4435">
        <w:trPr>
          <w:trHeight w:val="255"/>
        </w:trPr>
        <w:tc>
          <w:tcPr>
            <w:tcW w:w="5300" w:type="dxa"/>
            <w:tcBorders>
              <w:top w:val="nil"/>
              <w:left w:val="single" w:sz="4" w:space="0" w:color="auto"/>
              <w:bottom w:val="nil"/>
              <w:right w:val="nil"/>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0D4435">
              <w:rPr>
                <w:rFonts w:ascii="Arial" w:hAnsi="Arial" w:cs="Arial"/>
                <w:color w:val="000000"/>
                <w:sz w:val="20"/>
                <w:lang w:val="en-US" w:eastAsia="zh-CN"/>
              </w:rPr>
              <w:t>Contractual services</w:t>
            </w:r>
          </w:p>
        </w:tc>
        <w:tc>
          <w:tcPr>
            <w:tcW w:w="880" w:type="dxa"/>
            <w:tcBorders>
              <w:top w:val="nil"/>
              <w:left w:val="single" w:sz="4" w:space="0" w:color="auto"/>
              <w:bottom w:val="nil"/>
              <w:right w:val="single" w:sz="4" w:space="0" w:color="auto"/>
            </w:tcBorders>
            <w:shd w:val="clear" w:color="auto" w:fill="auto"/>
            <w:hideMark/>
          </w:tcPr>
          <w:p w:rsidR="000D4435" w:rsidRPr="000D4435" w:rsidRDefault="000D4435" w:rsidP="00AC3FB9">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20"/>
                <w:lang w:val="en-US" w:eastAsia="zh-CN"/>
              </w:rPr>
            </w:pPr>
          </w:p>
        </w:tc>
        <w:tc>
          <w:tcPr>
            <w:tcW w:w="1460" w:type="dxa"/>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0D4435">
              <w:rPr>
                <w:rFonts w:ascii="Arial" w:hAnsi="Arial" w:cs="Arial"/>
                <w:color w:val="000000"/>
                <w:sz w:val="20"/>
                <w:lang w:val="en-US" w:eastAsia="zh-CN"/>
              </w:rPr>
              <w:t>15,613</w:t>
            </w:r>
          </w:p>
        </w:tc>
        <w:tc>
          <w:tcPr>
            <w:tcW w:w="1680" w:type="dxa"/>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0D4435">
              <w:rPr>
                <w:rFonts w:ascii="Arial" w:hAnsi="Arial" w:cs="Arial"/>
                <w:color w:val="000000"/>
                <w:sz w:val="20"/>
                <w:lang w:val="en-US" w:eastAsia="zh-CN"/>
              </w:rPr>
              <w:t>14,107</w:t>
            </w:r>
          </w:p>
        </w:tc>
      </w:tr>
      <w:tr w:rsidR="000D4435" w:rsidRPr="000D4435" w:rsidTr="000D4435">
        <w:trPr>
          <w:trHeight w:val="255"/>
        </w:trPr>
        <w:tc>
          <w:tcPr>
            <w:tcW w:w="5300" w:type="dxa"/>
            <w:tcBorders>
              <w:top w:val="nil"/>
              <w:left w:val="single" w:sz="4" w:space="0" w:color="auto"/>
              <w:bottom w:val="nil"/>
              <w:right w:val="nil"/>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0D4435">
              <w:rPr>
                <w:rFonts w:ascii="Arial" w:hAnsi="Arial" w:cs="Arial"/>
                <w:color w:val="000000"/>
                <w:sz w:val="20"/>
                <w:lang w:val="en-US" w:eastAsia="zh-CN"/>
              </w:rPr>
              <w:t>Rental and maintenance of premises and equipment</w:t>
            </w:r>
          </w:p>
        </w:tc>
        <w:tc>
          <w:tcPr>
            <w:tcW w:w="880" w:type="dxa"/>
            <w:tcBorders>
              <w:top w:val="nil"/>
              <w:left w:val="single" w:sz="4" w:space="0" w:color="auto"/>
              <w:bottom w:val="nil"/>
              <w:right w:val="single" w:sz="4" w:space="0" w:color="auto"/>
            </w:tcBorders>
            <w:shd w:val="clear" w:color="auto" w:fill="auto"/>
            <w:hideMark/>
          </w:tcPr>
          <w:p w:rsidR="000D4435" w:rsidRPr="000D4435" w:rsidRDefault="000D4435" w:rsidP="00AC3FB9">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20"/>
                <w:lang w:val="en-US" w:eastAsia="zh-CN"/>
              </w:rPr>
            </w:pPr>
          </w:p>
        </w:tc>
        <w:tc>
          <w:tcPr>
            <w:tcW w:w="1460" w:type="dxa"/>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0D4435">
              <w:rPr>
                <w:rFonts w:ascii="Arial" w:hAnsi="Arial" w:cs="Arial"/>
                <w:color w:val="000000"/>
                <w:sz w:val="20"/>
                <w:lang w:val="en-US" w:eastAsia="zh-CN"/>
              </w:rPr>
              <w:t>4,411</w:t>
            </w:r>
          </w:p>
        </w:tc>
        <w:tc>
          <w:tcPr>
            <w:tcW w:w="1680" w:type="dxa"/>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0D4435">
              <w:rPr>
                <w:rFonts w:ascii="Arial" w:hAnsi="Arial" w:cs="Arial"/>
                <w:color w:val="000000"/>
                <w:sz w:val="20"/>
                <w:lang w:val="en-US" w:eastAsia="zh-CN"/>
              </w:rPr>
              <w:t>4,872</w:t>
            </w:r>
          </w:p>
        </w:tc>
      </w:tr>
      <w:tr w:rsidR="000D4435" w:rsidRPr="000D4435" w:rsidTr="000D4435">
        <w:trPr>
          <w:trHeight w:val="255"/>
        </w:trPr>
        <w:tc>
          <w:tcPr>
            <w:tcW w:w="5300" w:type="dxa"/>
            <w:tcBorders>
              <w:top w:val="nil"/>
              <w:left w:val="single" w:sz="4" w:space="0" w:color="auto"/>
              <w:bottom w:val="nil"/>
              <w:right w:val="nil"/>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0D4435">
              <w:rPr>
                <w:rFonts w:ascii="Arial" w:hAnsi="Arial" w:cs="Arial"/>
                <w:color w:val="000000"/>
                <w:sz w:val="20"/>
                <w:lang w:val="en-US" w:eastAsia="zh-CN"/>
              </w:rPr>
              <w:t>Equipment and supplies</w:t>
            </w:r>
          </w:p>
        </w:tc>
        <w:tc>
          <w:tcPr>
            <w:tcW w:w="880" w:type="dxa"/>
            <w:tcBorders>
              <w:top w:val="nil"/>
              <w:left w:val="single" w:sz="4" w:space="0" w:color="auto"/>
              <w:bottom w:val="nil"/>
              <w:right w:val="single" w:sz="4" w:space="0" w:color="auto"/>
            </w:tcBorders>
            <w:shd w:val="clear" w:color="auto" w:fill="auto"/>
            <w:hideMark/>
          </w:tcPr>
          <w:p w:rsidR="000D4435" w:rsidRPr="000D4435" w:rsidRDefault="000D4435" w:rsidP="00AC3FB9">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20"/>
                <w:lang w:val="en-US" w:eastAsia="zh-CN"/>
              </w:rPr>
            </w:pPr>
          </w:p>
        </w:tc>
        <w:tc>
          <w:tcPr>
            <w:tcW w:w="1460" w:type="dxa"/>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0D4435">
              <w:rPr>
                <w:rFonts w:ascii="Arial" w:hAnsi="Arial" w:cs="Arial"/>
                <w:color w:val="000000"/>
                <w:sz w:val="20"/>
                <w:lang w:val="en-US" w:eastAsia="zh-CN"/>
              </w:rPr>
              <w:t>3,875</w:t>
            </w:r>
          </w:p>
        </w:tc>
        <w:tc>
          <w:tcPr>
            <w:tcW w:w="1680" w:type="dxa"/>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0D4435">
              <w:rPr>
                <w:rFonts w:ascii="Arial" w:hAnsi="Arial" w:cs="Arial"/>
                <w:color w:val="000000"/>
                <w:sz w:val="20"/>
                <w:lang w:val="en-US" w:eastAsia="zh-CN"/>
              </w:rPr>
              <w:t>3,291</w:t>
            </w:r>
          </w:p>
        </w:tc>
      </w:tr>
      <w:tr w:rsidR="000D4435" w:rsidRPr="000D4435" w:rsidTr="000D4435">
        <w:trPr>
          <w:trHeight w:val="255"/>
        </w:trPr>
        <w:tc>
          <w:tcPr>
            <w:tcW w:w="5300" w:type="dxa"/>
            <w:tcBorders>
              <w:top w:val="nil"/>
              <w:left w:val="single" w:sz="4" w:space="0" w:color="auto"/>
              <w:bottom w:val="nil"/>
              <w:right w:val="nil"/>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0D4435">
              <w:rPr>
                <w:rFonts w:ascii="Arial" w:hAnsi="Arial" w:cs="Arial"/>
                <w:color w:val="000000"/>
                <w:sz w:val="20"/>
                <w:lang w:val="en-US" w:eastAsia="zh-CN"/>
              </w:rPr>
              <w:t>Depreciation and impairment losses</w:t>
            </w:r>
          </w:p>
        </w:tc>
        <w:tc>
          <w:tcPr>
            <w:tcW w:w="880" w:type="dxa"/>
            <w:tcBorders>
              <w:top w:val="nil"/>
              <w:left w:val="single" w:sz="4" w:space="0" w:color="auto"/>
              <w:bottom w:val="nil"/>
              <w:right w:val="single" w:sz="4" w:space="0" w:color="auto"/>
            </w:tcBorders>
            <w:shd w:val="clear" w:color="auto" w:fill="auto"/>
            <w:hideMark/>
          </w:tcPr>
          <w:p w:rsidR="000D4435" w:rsidRPr="000D4435" w:rsidRDefault="000D4435" w:rsidP="00AC3FB9">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20"/>
                <w:lang w:val="en-US" w:eastAsia="zh-CN"/>
              </w:rPr>
            </w:pPr>
          </w:p>
        </w:tc>
        <w:tc>
          <w:tcPr>
            <w:tcW w:w="1460" w:type="dxa"/>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0D4435">
              <w:rPr>
                <w:rFonts w:ascii="Arial" w:hAnsi="Arial" w:cs="Arial"/>
                <w:color w:val="000000"/>
                <w:sz w:val="20"/>
                <w:lang w:val="en-US" w:eastAsia="zh-CN"/>
              </w:rPr>
              <w:t>5,212</w:t>
            </w:r>
          </w:p>
        </w:tc>
        <w:tc>
          <w:tcPr>
            <w:tcW w:w="1680" w:type="dxa"/>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0D4435">
              <w:rPr>
                <w:rFonts w:ascii="Arial" w:hAnsi="Arial" w:cs="Arial"/>
                <w:color w:val="000000"/>
                <w:sz w:val="20"/>
                <w:lang w:val="en-US" w:eastAsia="zh-CN"/>
              </w:rPr>
              <w:t>5,610</w:t>
            </w:r>
          </w:p>
        </w:tc>
      </w:tr>
      <w:tr w:rsidR="000D4435" w:rsidRPr="000D4435" w:rsidTr="000D4435">
        <w:trPr>
          <w:trHeight w:val="255"/>
        </w:trPr>
        <w:tc>
          <w:tcPr>
            <w:tcW w:w="5300" w:type="dxa"/>
            <w:tcBorders>
              <w:top w:val="nil"/>
              <w:left w:val="single" w:sz="4" w:space="0" w:color="auto"/>
              <w:bottom w:val="nil"/>
              <w:right w:val="nil"/>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0D4435">
              <w:rPr>
                <w:rFonts w:ascii="Arial" w:hAnsi="Arial" w:cs="Arial"/>
                <w:color w:val="000000"/>
                <w:sz w:val="20"/>
                <w:lang w:val="en-US" w:eastAsia="zh-CN"/>
              </w:rPr>
              <w:t>Shipping, telecommunication and service expenses</w:t>
            </w:r>
          </w:p>
        </w:tc>
        <w:tc>
          <w:tcPr>
            <w:tcW w:w="880" w:type="dxa"/>
            <w:tcBorders>
              <w:top w:val="nil"/>
              <w:left w:val="single" w:sz="4" w:space="0" w:color="auto"/>
              <w:bottom w:val="nil"/>
              <w:right w:val="single" w:sz="4" w:space="0" w:color="auto"/>
            </w:tcBorders>
            <w:shd w:val="clear" w:color="auto" w:fill="auto"/>
            <w:hideMark/>
          </w:tcPr>
          <w:p w:rsidR="000D4435" w:rsidRPr="000D4435" w:rsidRDefault="000D4435" w:rsidP="00AC3FB9">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20"/>
                <w:lang w:val="en-US" w:eastAsia="zh-CN"/>
              </w:rPr>
            </w:pPr>
          </w:p>
        </w:tc>
        <w:tc>
          <w:tcPr>
            <w:tcW w:w="1460" w:type="dxa"/>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0D4435">
              <w:rPr>
                <w:rFonts w:ascii="Arial" w:hAnsi="Arial" w:cs="Arial"/>
                <w:color w:val="000000"/>
                <w:sz w:val="20"/>
                <w:lang w:val="en-US" w:eastAsia="zh-CN"/>
              </w:rPr>
              <w:t>1,576</w:t>
            </w:r>
          </w:p>
        </w:tc>
        <w:tc>
          <w:tcPr>
            <w:tcW w:w="1680" w:type="dxa"/>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0D4435">
              <w:rPr>
                <w:rFonts w:ascii="Arial" w:hAnsi="Arial" w:cs="Arial"/>
                <w:color w:val="000000"/>
                <w:sz w:val="20"/>
                <w:lang w:val="en-US" w:eastAsia="zh-CN"/>
              </w:rPr>
              <w:t>1,804</w:t>
            </w:r>
          </w:p>
        </w:tc>
      </w:tr>
      <w:tr w:rsidR="000D4435" w:rsidRPr="000D4435" w:rsidTr="000D4435">
        <w:trPr>
          <w:trHeight w:val="255"/>
        </w:trPr>
        <w:tc>
          <w:tcPr>
            <w:tcW w:w="5300" w:type="dxa"/>
            <w:tcBorders>
              <w:top w:val="nil"/>
              <w:left w:val="single" w:sz="4" w:space="0" w:color="auto"/>
              <w:bottom w:val="nil"/>
              <w:right w:val="nil"/>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0D4435">
              <w:rPr>
                <w:rFonts w:ascii="Arial" w:hAnsi="Arial" w:cs="Arial"/>
                <w:color w:val="000000"/>
                <w:sz w:val="20"/>
                <w:lang w:val="en-US" w:eastAsia="zh-CN"/>
              </w:rPr>
              <w:t>Other expenses</w:t>
            </w:r>
          </w:p>
        </w:tc>
        <w:tc>
          <w:tcPr>
            <w:tcW w:w="880" w:type="dxa"/>
            <w:tcBorders>
              <w:top w:val="nil"/>
              <w:left w:val="single" w:sz="4" w:space="0" w:color="auto"/>
              <w:bottom w:val="nil"/>
              <w:right w:val="single" w:sz="4" w:space="0" w:color="auto"/>
            </w:tcBorders>
            <w:shd w:val="clear" w:color="auto" w:fill="auto"/>
            <w:hideMark/>
          </w:tcPr>
          <w:p w:rsidR="000D4435" w:rsidRPr="000D4435" w:rsidRDefault="000D4435" w:rsidP="00AC3FB9">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20"/>
                <w:lang w:val="en-US" w:eastAsia="zh-CN"/>
              </w:rPr>
            </w:pPr>
          </w:p>
        </w:tc>
        <w:tc>
          <w:tcPr>
            <w:tcW w:w="1460" w:type="dxa"/>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0D4435">
              <w:rPr>
                <w:rFonts w:ascii="Arial" w:hAnsi="Arial" w:cs="Arial"/>
                <w:color w:val="000000"/>
                <w:sz w:val="20"/>
                <w:lang w:val="en-US" w:eastAsia="zh-CN"/>
              </w:rPr>
              <w:t>7,656</w:t>
            </w:r>
          </w:p>
        </w:tc>
        <w:tc>
          <w:tcPr>
            <w:tcW w:w="1680" w:type="dxa"/>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0D4435">
              <w:rPr>
                <w:rFonts w:ascii="Arial" w:hAnsi="Arial" w:cs="Arial"/>
                <w:color w:val="000000"/>
                <w:sz w:val="20"/>
                <w:lang w:val="en-US" w:eastAsia="zh-CN"/>
              </w:rPr>
              <w:t>3,207</w:t>
            </w:r>
          </w:p>
        </w:tc>
      </w:tr>
      <w:tr w:rsidR="000D4435" w:rsidRPr="000D4435" w:rsidTr="000D4435">
        <w:trPr>
          <w:trHeight w:val="255"/>
        </w:trPr>
        <w:tc>
          <w:tcPr>
            <w:tcW w:w="5300" w:type="dxa"/>
            <w:tcBorders>
              <w:top w:val="nil"/>
              <w:left w:val="single" w:sz="4" w:space="0" w:color="auto"/>
              <w:bottom w:val="nil"/>
              <w:right w:val="nil"/>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0D4435">
              <w:rPr>
                <w:rFonts w:ascii="Arial" w:hAnsi="Arial" w:cs="Arial"/>
                <w:color w:val="000000"/>
                <w:sz w:val="20"/>
                <w:lang w:val="en-US" w:eastAsia="zh-CN"/>
              </w:rPr>
              <w:t>In-kind expenses</w:t>
            </w:r>
          </w:p>
        </w:tc>
        <w:tc>
          <w:tcPr>
            <w:tcW w:w="880" w:type="dxa"/>
            <w:tcBorders>
              <w:top w:val="nil"/>
              <w:left w:val="single" w:sz="4" w:space="0" w:color="auto"/>
              <w:bottom w:val="nil"/>
              <w:right w:val="single" w:sz="4" w:space="0" w:color="auto"/>
            </w:tcBorders>
            <w:shd w:val="clear" w:color="auto" w:fill="auto"/>
            <w:hideMark/>
          </w:tcPr>
          <w:p w:rsidR="000D4435" w:rsidRPr="000D4435" w:rsidRDefault="000D4435" w:rsidP="00AC3FB9">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20"/>
                <w:lang w:val="en-US" w:eastAsia="zh-CN"/>
              </w:rPr>
            </w:pPr>
          </w:p>
        </w:tc>
        <w:tc>
          <w:tcPr>
            <w:tcW w:w="1460" w:type="dxa"/>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0D4435">
              <w:rPr>
                <w:rFonts w:ascii="Arial" w:hAnsi="Arial" w:cs="Arial"/>
                <w:color w:val="000000"/>
                <w:sz w:val="20"/>
                <w:lang w:val="en-US" w:eastAsia="zh-CN"/>
              </w:rPr>
              <w:t>882</w:t>
            </w:r>
          </w:p>
        </w:tc>
        <w:tc>
          <w:tcPr>
            <w:tcW w:w="1680" w:type="dxa"/>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0D4435">
              <w:rPr>
                <w:rFonts w:ascii="Arial" w:hAnsi="Arial" w:cs="Arial"/>
                <w:color w:val="000000"/>
                <w:sz w:val="20"/>
                <w:lang w:val="en-US" w:eastAsia="zh-CN"/>
              </w:rPr>
              <w:t>901</w:t>
            </w:r>
          </w:p>
        </w:tc>
      </w:tr>
      <w:tr w:rsidR="000D4435" w:rsidRPr="000D4435" w:rsidTr="000D4435">
        <w:trPr>
          <w:trHeight w:val="255"/>
        </w:trPr>
        <w:tc>
          <w:tcPr>
            <w:tcW w:w="5300" w:type="dxa"/>
            <w:tcBorders>
              <w:top w:val="nil"/>
              <w:left w:val="single" w:sz="4" w:space="0" w:color="auto"/>
              <w:bottom w:val="nil"/>
              <w:right w:val="nil"/>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0D4435">
              <w:rPr>
                <w:rFonts w:ascii="Arial" w:hAnsi="Arial" w:cs="Arial"/>
                <w:color w:val="000000"/>
                <w:sz w:val="20"/>
                <w:lang w:val="en-US" w:eastAsia="zh-CN"/>
              </w:rPr>
              <w:t>Finance expenses</w:t>
            </w:r>
          </w:p>
        </w:tc>
        <w:tc>
          <w:tcPr>
            <w:tcW w:w="880" w:type="dxa"/>
            <w:tcBorders>
              <w:top w:val="nil"/>
              <w:left w:val="single" w:sz="4" w:space="0" w:color="auto"/>
              <w:bottom w:val="nil"/>
              <w:right w:val="single" w:sz="4" w:space="0" w:color="auto"/>
            </w:tcBorders>
            <w:shd w:val="clear" w:color="auto" w:fill="auto"/>
            <w:hideMark/>
          </w:tcPr>
          <w:p w:rsidR="000D4435" w:rsidRPr="000D4435" w:rsidRDefault="000D4435" w:rsidP="00AC3FB9">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20"/>
                <w:lang w:val="en-US" w:eastAsia="zh-CN"/>
              </w:rPr>
            </w:pPr>
          </w:p>
        </w:tc>
        <w:tc>
          <w:tcPr>
            <w:tcW w:w="1460" w:type="dxa"/>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0D4435">
              <w:rPr>
                <w:rFonts w:ascii="Arial" w:hAnsi="Arial" w:cs="Arial"/>
                <w:color w:val="000000"/>
                <w:sz w:val="20"/>
                <w:lang w:val="en-US" w:eastAsia="zh-CN"/>
              </w:rPr>
              <w:t>675</w:t>
            </w:r>
          </w:p>
        </w:tc>
        <w:tc>
          <w:tcPr>
            <w:tcW w:w="1680" w:type="dxa"/>
            <w:tcBorders>
              <w:top w:val="nil"/>
              <w:left w:val="nil"/>
              <w:bottom w:val="nil"/>
              <w:right w:val="single" w:sz="4" w:space="0" w:color="auto"/>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0D4435">
              <w:rPr>
                <w:rFonts w:ascii="Arial" w:hAnsi="Arial" w:cs="Arial"/>
                <w:color w:val="000000"/>
                <w:sz w:val="20"/>
                <w:lang w:val="en-US" w:eastAsia="zh-CN"/>
              </w:rPr>
              <w:t>407</w:t>
            </w:r>
          </w:p>
        </w:tc>
      </w:tr>
      <w:tr w:rsidR="000D4435" w:rsidRPr="000D4435" w:rsidTr="000D4435">
        <w:trPr>
          <w:trHeight w:val="255"/>
        </w:trPr>
        <w:tc>
          <w:tcPr>
            <w:tcW w:w="5300" w:type="dxa"/>
            <w:tcBorders>
              <w:top w:val="nil"/>
              <w:left w:val="single" w:sz="4" w:space="0" w:color="auto"/>
              <w:bottom w:val="nil"/>
              <w:right w:val="nil"/>
            </w:tcBorders>
            <w:shd w:val="clear" w:color="auto" w:fill="auto"/>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0D4435">
              <w:rPr>
                <w:rFonts w:ascii="Arial" w:hAnsi="Arial" w:cs="Arial"/>
                <w:color w:val="000000"/>
                <w:sz w:val="20"/>
                <w:lang w:val="en-US" w:eastAsia="zh-CN"/>
              </w:rPr>
              <w:t> </w:t>
            </w:r>
          </w:p>
        </w:tc>
        <w:tc>
          <w:tcPr>
            <w:tcW w:w="880" w:type="dxa"/>
            <w:tcBorders>
              <w:top w:val="nil"/>
              <w:left w:val="single" w:sz="4" w:space="0" w:color="auto"/>
              <w:bottom w:val="nil"/>
              <w:right w:val="single" w:sz="4" w:space="0" w:color="auto"/>
            </w:tcBorders>
            <w:shd w:val="clear" w:color="auto" w:fill="auto"/>
            <w:hideMark/>
          </w:tcPr>
          <w:p w:rsidR="000D4435" w:rsidRPr="000D4435" w:rsidRDefault="000D4435" w:rsidP="00AC3FB9">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20"/>
                <w:lang w:val="en-US" w:eastAsia="zh-CN"/>
              </w:rPr>
            </w:pPr>
          </w:p>
        </w:tc>
        <w:tc>
          <w:tcPr>
            <w:tcW w:w="1460" w:type="dxa"/>
            <w:tcBorders>
              <w:top w:val="nil"/>
              <w:left w:val="nil"/>
              <w:bottom w:val="nil"/>
              <w:right w:val="single" w:sz="4" w:space="0" w:color="auto"/>
            </w:tcBorders>
            <w:shd w:val="clear" w:color="auto" w:fill="auto"/>
            <w:hideMark/>
          </w:tcPr>
          <w:p w:rsidR="000D4435" w:rsidRPr="000D4435" w:rsidRDefault="000D4435" w:rsidP="000F0FF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0D4435">
              <w:rPr>
                <w:rFonts w:ascii="Arial" w:hAnsi="Arial" w:cs="Arial"/>
                <w:color w:val="000000"/>
                <w:sz w:val="20"/>
                <w:lang w:val="en-US" w:eastAsia="zh-CN"/>
              </w:rPr>
              <w:t> </w:t>
            </w:r>
          </w:p>
        </w:tc>
        <w:tc>
          <w:tcPr>
            <w:tcW w:w="1680" w:type="dxa"/>
            <w:tcBorders>
              <w:top w:val="nil"/>
              <w:left w:val="nil"/>
              <w:bottom w:val="nil"/>
              <w:right w:val="single" w:sz="4" w:space="0" w:color="auto"/>
            </w:tcBorders>
            <w:shd w:val="clear" w:color="auto" w:fill="auto"/>
            <w:hideMark/>
          </w:tcPr>
          <w:p w:rsidR="000D4435" w:rsidRPr="000D4435" w:rsidRDefault="000D4435" w:rsidP="000F0FF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0D4435">
              <w:rPr>
                <w:rFonts w:ascii="Arial" w:hAnsi="Arial" w:cs="Arial"/>
                <w:color w:val="000000"/>
                <w:sz w:val="20"/>
                <w:lang w:val="en-US" w:eastAsia="zh-CN"/>
              </w:rPr>
              <w:t> </w:t>
            </w:r>
          </w:p>
        </w:tc>
      </w:tr>
      <w:tr w:rsidR="000D4435" w:rsidRPr="000D4435" w:rsidTr="000D4435">
        <w:trPr>
          <w:trHeight w:val="499"/>
        </w:trPr>
        <w:tc>
          <w:tcPr>
            <w:tcW w:w="5300" w:type="dxa"/>
            <w:tcBorders>
              <w:top w:val="single" w:sz="4" w:space="0" w:color="auto"/>
              <w:left w:val="single" w:sz="4" w:space="0" w:color="auto"/>
              <w:bottom w:val="single" w:sz="4" w:space="0" w:color="auto"/>
              <w:right w:val="nil"/>
            </w:tcBorders>
            <w:shd w:val="clear" w:color="auto" w:fill="auto"/>
            <w:noWrap/>
            <w:vAlign w:val="center"/>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20"/>
                <w:lang w:val="en-US" w:eastAsia="zh-CN"/>
              </w:rPr>
            </w:pPr>
            <w:r w:rsidRPr="000D4435">
              <w:rPr>
                <w:rFonts w:ascii="Arial" w:hAnsi="Arial" w:cs="Arial"/>
                <w:b/>
                <w:bCs/>
                <w:color w:val="000000"/>
                <w:sz w:val="20"/>
                <w:lang w:val="en-US" w:eastAsia="zh-CN"/>
              </w:rPr>
              <w:t>Total expenses</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4435" w:rsidRPr="000D4435" w:rsidRDefault="000D4435" w:rsidP="00AC3FB9">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20"/>
                <w:lang w:val="en-US" w:eastAsia="zh-CN"/>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0D4435">
              <w:rPr>
                <w:rFonts w:ascii="Arial" w:hAnsi="Arial" w:cs="Arial"/>
                <w:b/>
                <w:bCs/>
                <w:color w:val="000000"/>
                <w:sz w:val="20"/>
                <w:lang w:val="en-US" w:eastAsia="zh-CN"/>
              </w:rPr>
              <w:t>195,615</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0D4435">
              <w:rPr>
                <w:rFonts w:ascii="Arial" w:hAnsi="Arial" w:cs="Arial"/>
                <w:b/>
                <w:bCs/>
                <w:color w:val="000000"/>
                <w:sz w:val="20"/>
                <w:lang w:val="en-US" w:eastAsia="zh-CN"/>
              </w:rPr>
              <w:t>188,195</w:t>
            </w:r>
          </w:p>
        </w:tc>
      </w:tr>
      <w:tr w:rsidR="000D4435" w:rsidRPr="000D4435" w:rsidTr="000D4435">
        <w:trPr>
          <w:trHeight w:val="499"/>
        </w:trPr>
        <w:tc>
          <w:tcPr>
            <w:tcW w:w="5300" w:type="dxa"/>
            <w:tcBorders>
              <w:top w:val="nil"/>
              <w:left w:val="single" w:sz="4" w:space="0" w:color="auto"/>
              <w:bottom w:val="single" w:sz="4" w:space="0" w:color="auto"/>
              <w:right w:val="nil"/>
            </w:tcBorders>
            <w:shd w:val="clear" w:color="auto" w:fill="auto"/>
            <w:noWrap/>
            <w:vAlign w:val="center"/>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20"/>
                <w:lang w:val="en-US" w:eastAsia="zh-CN"/>
              </w:rPr>
            </w:pPr>
            <w:r w:rsidRPr="000D4435">
              <w:rPr>
                <w:rFonts w:ascii="Arial" w:hAnsi="Arial" w:cs="Arial"/>
                <w:b/>
                <w:bCs/>
                <w:color w:val="000000"/>
                <w:sz w:val="20"/>
                <w:lang w:val="en-US" w:eastAsia="zh-CN"/>
              </w:rPr>
              <w:t>Surplus/deficit for the period</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0D4435" w:rsidRPr="000D4435" w:rsidRDefault="000D4435" w:rsidP="00AC3FB9">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20"/>
                <w:lang w:val="en-US" w:eastAsia="zh-CN"/>
              </w:rPr>
            </w:pPr>
          </w:p>
        </w:tc>
        <w:tc>
          <w:tcPr>
            <w:tcW w:w="1460" w:type="dxa"/>
            <w:tcBorders>
              <w:top w:val="nil"/>
              <w:left w:val="nil"/>
              <w:bottom w:val="single" w:sz="4" w:space="0" w:color="auto"/>
              <w:right w:val="single" w:sz="4" w:space="0" w:color="auto"/>
            </w:tcBorders>
            <w:shd w:val="clear" w:color="auto" w:fill="auto"/>
            <w:noWrap/>
            <w:vAlign w:val="center"/>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0D4435">
              <w:rPr>
                <w:rFonts w:ascii="Arial" w:hAnsi="Arial" w:cs="Arial"/>
                <w:color w:val="000000"/>
                <w:sz w:val="20"/>
                <w:lang w:val="en-US" w:eastAsia="zh-CN"/>
              </w:rPr>
              <w:t>-17,078</w:t>
            </w:r>
          </w:p>
        </w:tc>
        <w:tc>
          <w:tcPr>
            <w:tcW w:w="1680" w:type="dxa"/>
            <w:tcBorders>
              <w:top w:val="nil"/>
              <w:left w:val="nil"/>
              <w:bottom w:val="single" w:sz="4" w:space="0" w:color="auto"/>
              <w:right w:val="single" w:sz="4" w:space="0" w:color="auto"/>
            </w:tcBorders>
            <w:shd w:val="clear" w:color="auto" w:fill="auto"/>
            <w:noWrap/>
            <w:vAlign w:val="center"/>
            <w:hideMark/>
          </w:tcPr>
          <w:p w:rsidR="000D4435" w:rsidRPr="000D4435" w:rsidRDefault="000D4435" w:rsidP="000D443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0D4435">
              <w:rPr>
                <w:rFonts w:ascii="Arial" w:hAnsi="Arial" w:cs="Arial"/>
                <w:color w:val="000000"/>
                <w:sz w:val="20"/>
                <w:lang w:val="en-US" w:eastAsia="zh-CN"/>
              </w:rPr>
              <w:t>-11,693</w:t>
            </w:r>
          </w:p>
        </w:tc>
      </w:tr>
    </w:tbl>
    <w:p w:rsidR="0022373A" w:rsidRPr="00671577" w:rsidRDefault="0022373A" w:rsidP="00FD2C4D">
      <w:pPr>
        <w:jc w:val="center"/>
        <w:rPr>
          <w:lang w:val="en-US"/>
        </w:rPr>
      </w:pPr>
    </w:p>
    <w:p w:rsidR="0022373A" w:rsidRPr="001C2A98" w:rsidRDefault="0022373A" w:rsidP="005D3458">
      <w:pPr>
        <w:tabs>
          <w:tab w:val="clear" w:pos="567"/>
          <w:tab w:val="clear" w:pos="1134"/>
          <w:tab w:val="clear" w:pos="1701"/>
          <w:tab w:val="clear" w:pos="2268"/>
          <w:tab w:val="clear" w:pos="2835"/>
        </w:tabs>
        <w:overflowPunct/>
        <w:autoSpaceDE/>
        <w:autoSpaceDN/>
        <w:adjustRightInd/>
        <w:spacing w:before="0"/>
        <w:textAlignment w:val="auto"/>
        <w:rPr>
          <w:b/>
          <w:sz w:val="28"/>
          <w:szCs w:val="24"/>
          <w:lang w:val="en-US"/>
        </w:rPr>
      </w:pPr>
      <w:r w:rsidRPr="001C2A98">
        <w:rPr>
          <w:szCs w:val="24"/>
          <w:lang w:val="en-US"/>
        </w:rPr>
        <w:br w:type="page"/>
      </w:r>
    </w:p>
    <w:p w:rsidR="0022373A" w:rsidRDefault="0022373A" w:rsidP="00A372DE">
      <w:pPr>
        <w:pStyle w:val="Tabletitle"/>
        <w:rPr>
          <w:sz w:val="28"/>
          <w:szCs w:val="28"/>
          <w:lang w:val="en-US"/>
        </w:rPr>
      </w:pPr>
      <w:bookmarkStart w:id="24" w:name="_Toc305764058"/>
      <w:bookmarkStart w:id="25" w:name="_Toc329011605"/>
      <w:r w:rsidRPr="00983A65">
        <w:rPr>
          <w:sz w:val="28"/>
          <w:szCs w:val="28"/>
          <w:lang w:val="en-US"/>
        </w:rPr>
        <w:t>III – Statement of changes in net assets for the period which closed</w:t>
      </w:r>
      <w:r w:rsidR="008060D0">
        <w:rPr>
          <w:sz w:val="28"/>
          <w:szCs w:val="28"/>
          <w:lang w:val="en-US"/>
        </w:rPr>
        <w:br/>
      </w:r>
      <w:r w:rsidRPr="00983A65">
        <w:rPr>
          <w:sz w:val="28"/>
          <w:szCs w:val="28"/>
          <w:lang w:val="en-US"/>
        </w:rPr>
        <w:t>on</w:t>
      </w:r>
      <w:r w:rsidR="008060D0">
        <w:rPr>
          <w:sz w:val="28"/>
          <w:szCs w:val="28"/>
          <w:lang w:val="en-US"/>
        </w:rPr>
        <w:t xml:space="preserve"> </w:t>
      </w:r>
      <w:r w:rsidRPr="00983A65">
        <w:rPr>
          <w:sz w:val="28"/>
          <w:szCs w:val="28"/>
          <w:lang w:val="en-US"/>
        </w:rPr>
        <w:t xml:space="preserve">31 December </w:t>
      </w:r>
      <w:bookmarkEnd w:id="24"/>
      <w:bookmarkEnd w:id="25"/>
      <w:r w:rsidR="00111BDD">
        <w:rPr>
          <w:sz w:val="28"/>
          <w:szCs w:val="28"/>
          <w:lang w:val="en-US"/>
        </w:rPr>
        <w:t>201</w:t>
      </w:r>
      <w:r w:rsidR="00A372DE">
        <w:rPr>
          <w:sz w:val="28"/>
          <w:szCs w:val="28"/>
          <w:lang w:val="en-US"/>
        </w:rPr>
        <w:t>7</w:t>
      </w:r>
    </w:p>
    <w:tbl>
      <w:tblPr>
        <w:tblW w:w="9500" w:type="dxa"/>
        <w:tblInd w:w="-10" w:type="dxa"/>
        <w:tblLook w:val="04A0" w:firstRow="1" w:lastRow="0" w:firstColumn="1" w:lastColumn="0" w:noHBand="0" w:noVBand="1"/>
      </w:tblPr>
      <w:tblGrid>
        <w:gridCol w:w="3300"/>
        <w:gridCol w:w="1520"/>
        <w:gridCol w:w="1620"/>
        <w:gridCol w:w="1560"/>
        <w:gridCol w:w="1500"/>
      </w:tblGrid>
      <w:tr w:rsidR="00C30067" w:rsidRPr="00C30067" w:rsidTr="00C30067">
        <w:trPr>
          <w:trHeight w:val="780"/>
        </w:trPr>
        <w:tc>
          <w:tcPr>
            <w:tcW w:w="33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0"/>
                <w:lang w:val="en-US" w:eastAsia="zh-CN"/>
              </w:rPr>
            </w:pPr>
            <w:bookmarkStart w:id="26" w:name="RANGE!A7:E28"/>
            <w:r w:rsidRPr="00C30067">
              <w:rPr>
                <w:rFonts w:cs="Arial"/>
                <w:b/>
                <w:bCs/>
                <w:color w:val="000000"/>
                <w:sz w:val="20"/>
                <w:lang w:val="en-US" w:eastAsia="zh-CN"/>
              </w:rPr>
              <w:t>(in thousands of CHF)</w:t>
            </w:r>
            <w:bookmarkEnd w:id="26"/>
          </w:p>
        </w:tc>
        <w:tc>
          <w:tcPr>
            <w:tcW w:w="1520" w:type="dxa"/>
            <w:tcBorders>
              <w:top w:val="single" w:sz="8" w:space="0" w:color="auto"/>
              <w:left w:val="nil"/>
              <w:bottom w:val="single" w:sz="8" w:space="0" w:color="auto"/>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0"/>
                <w:lang w:val="en-US" w:eastAsia="zh-CN"/>
              </w:rPr>
            </w:pPr>
            <w:r w:rsidRPr="00C30067">
              <w:rPr>
                <w:rFonts w:cs="Arial"/>
                <w:b/>
                <w:bCs/>
                <w:color w:val="000000"/>
                <w:sz w:val="20"/>
                <w:lang w:val="en-US" w:eastAsia="zh-CN"/>
              </w:rPr>
              <w:t>31.12.2016</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0"/>
                <w:lang w:val="en-US" w:eastAsia="zh-CN"/>
              </w:rPr>
            </w:pPr>
            <w:r w:rsidRPr="00C30067">
              <w:rPr>
                <w:rFonts w:cs="Arial"/>
                <w:b/>
                <w:bCs/>
                <w:color w:val="000000"/>
                <w:sz w:val="20"/>
                <w:lang w:val="en-US" w:eastAsia="zh-CN"/>
              </w:rPr>
              <w:t>Surplus deficit 2017</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0"/>
                <w:lang w:val="en-US" w:eastAsia="zh-CN"/>
              </w:rPr>
            </w:pPr>
            <w:r w:rsidRPr="00C30067">
              <w:rPr>
                <w:rFonts w:cs="Arial"/>
                <w:b/>
                <w:bCs/>
                <w:color w:val="000000"/>
                <w:sz w:val="20"/>
                <w:lang w:val="en-US" w:eastAsia="zh-CN"/>
              </w:rPr>
              <w:t>Other adjustments</w:t>
            </w:r>
          </w:p>
        </w:tc>
        <w:tc>
          <w:tcPr>
            <w:tcW w:w="1500" w:type="dxa"/>
            <w:tcBorders>
              <w:top w:val="single" w:sz="8" w:space="0" w:color="auto"/>
              <w:left w:val="nil"/>
              <w:bottom w:val="single" w:sz="8" w:space="0" w:color="auto"/>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0"/>
                <w:lang w:val="en-US" w:eastAsia="zh-CN"/>
              </w:rPr>
            </w:pPr>
            <w:r w:rsidRPr="00C30067">
              <w:rPr>
                <w:rFonts w:cs="Arial"/>
                <w:b/>
                <w:bCs/>
                <w:color w:val="000000"/>
                <w:sz w:val="20"/>
                <w:lang w:val="en-US" w:eastAsia="zh-CN"/>
              </w:rPr>
              <w:t>31.12.2017</w:t>
            </w:r>
          </w:p>
        </w:tc>
      </w:tr>
      <w:tr w:rsidR="00C30067" w:rsidRPr="00C30067" w:rsidTr="00C30067">
        <w:trPr>
          <w:trHeight w:val="255"/>
        </w:trPr>
        <w:tc>
          <w:tcPr>
            <w:tcW w:w="3300" w:type="dxa"/>
            <w:tcBorders>
              <w:top w:val="nil"/>
              <w:left w:val="single" w:sz="8" w:space="0" w:color="auto"/>
              <w:bottom w:val="nil"/>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8"/>
                <w:szCs w:val="18"/>
                <w:lang w:val="en-US" w:eastAsia="zh-CN"/>
              </w:rPr>
            </w:pPr>
            <w:r w:rsidRPr="00C30067">
              <w:rPr>
                <w:rFonts w:cs="Arial"/>
                <w:b/>
                <w:bCs/>
                <w:color w:val="000000"/>
                <w:sz w:val="18"/>
                <w:szCs w:val="18"/>
                <w:lang w:val="en-US" w:eastAsia="zh-CN"/>
              </w:rPr>
              <w:t xml:space="preserve">IPSAS transition </w:t>
            </w:r>
          </w:p>
        </w:tc>
        <w:tc>
          <w:tcPr>
            <w:tcW w:w="1520" w:type="dxa"/>
            <w:tcBorders>
              <w:top w:val="nil"/>
              <w:left w:val="nil"/>
              <w:bottom w:val="nil"/>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18"/>
                <w:szCs w:val="18"/>
                <w:lang w:val="en-US" w:eastAsia="zh-CN"/>
              </w:rPr>
            </w:pPr>
            <w:r w:rsidRPr="00C30067">
              <w:rPr>
                <w:rFonts w:cs="Arial"/>
                <w:b/>
                <w:bCs/>
                <w:sz w:val="18"/>
                <w:szCs w:val="18"/>
                <w:lang w:val="en-US" w:eastAsia="zh-CN"/>
              </w:rPr>
              <w:t>-125,100</w:t>
            </w:r>
          </w:p>
        </w:tc>
        <w:tc>
          <w:tcPr>
            <w:tcW w:w="1620" w:type="dxa"/>
            <w:tcBorders>
              <w:top w:val="nil"/>
              <w:left w:val="nil"/>
              <w:bottom w:val="nil"/>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C30067">
              <w:rPr>
                <w:rFonts w:cs="Arial"/>
                <w:b/>
                <w:bCs/>
                <w:color w:val="000000"/>
                <w:sz w:val="18"/>
                <w:szCs w:val="18"/>
                <w:lang w:val="en-US" w:eastAsia="zh-CN"/>
              </w:rPr>
              <w:t>0</w:t>
            </w:r>
          </w:p>
        </w:tc>
        <w:tc>
          <w:tcPr>
            <w:tcW w:w="1560" w:type="dxa"/>
            <w:tcBorders>
              <w:top w:val="nil"/>
              <w:left w:val="nil"/>
              <w:bottom w:val="nil"/>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18"/>
                <w:szCs w:val="18"/>
                <w:lang w:val="en-US" w:eastAsia="zh-CN"/>
              </w:rPr>
            </w:pPr>
            <w:r w:rsidRPr="00C30067">
              <w:rPr>
                <w:rFonts w:cs="Arial"/>
                <w:b/>
                <w:bCs/>
                <w:sz w:val="18"/>
                <w:szCs w:val="18"/>
                <w:lang w:val="en-US" w:eastAsia="zh-CN"/>
              </w:rPr>
              <w:t>0</w:t>
            </w:r>
          </w:p>
        </w:tc>
        <w:tc>
          <w:tcPr>
            <w:tcW w:w="1500" w:type="dxa"/>
            <w:tcBorders>
              <w:top w:val="nil"/>
              <w:left w:val="nil"/>
              <w:bottom w:val="nil"/>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C30067">
              <w:rPr>
                <w:rFonts w:cs="Arial"/>
                <w:b/>
                <w:bCs/>
                <w:color w:val="000000"/>
                <w:sz w:val="18"/>
                <w:szCs w:val="18"/>
                <w:lang w:val="en-US" w:eastAsia="zh-CN"/>
              </w:rPr>
              <w:t>-125,100</w:t>
            </w:r>
          </w:p>
        </w:tc>
      </w:tr>
      <w:tr w:rsidR="00C30067" w:rsidRPr="00C30067" w:rsidTr="00C30067">
        <w:trPr>
          <w:trHeight w:val="255"/>
        </w:trPr>
        <w:tc>
          <w:tcPr>
            <w:tcW w:w="3300" w:type="dxa"/>
            <w:tcBorders>
              <w:top w:val="nil"/>
              <w:left w:val="single" w:sz="8" w:space="0" w:color="auto"/>
              <w:bottom w:val="nil"/>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8"/>
                <w:szCs w:val="18"/>
                <w:lang w:val="en-US" w:eastAsia="zh-CN"/>
              </w:rPr>
            </w:pPr>
            <w:r w:rsidRPr="00C30067">
              <w:rPr>
                <w:rFonts w:cs="Arial"/>
                <w:b/>
                <w:bCs/>
                <w:color w:val="000000"/>
                <w:sz w:val="18"/>
                <w:szCs w:val="18"/>
                <w:lang w:val="en-US" w:eastAsia="zh-CN"/>
              </w:rPr>
              <w:t>Reserve Account</w:t>
            </w:r>
          </w:p>
        </w:tc>
        <w:tc>
          <w:tcPr>
            <w:tcW w:w="1520" w:type="dxa"/>
            <w:tcBorders>
              <w:top w:val="nil"/>
              <w:left w:val="nil"/>
              <w:bottom w:val="nil"/>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18"/>
                <w:szCs w:val="18"/>
                <w:lang w:val="en-US" w:eastAsia="zh-CN"/>
              </w:rPr>
            </w:pPr>
            <w:r w:rsidRPr="00C30067">
              <w:rPr>
                <w:rFonts w:cs="Arial"/>
                <w:b/>
                <w:bCs/>
                <w:sz w:val="18"/>
                <w:szCs w:val="18"/>
                <w:lang w:val="en-US" w:eastAsia="zh-CN"/>
              </w:rPr>
              <w:t>27,088</w:t>
            </w:r>
          </w:p>
        </w:tc>
        <w:tc>
          <w:tcPr>
            <w:tcW w:w="1620" w:type="dxa"/>
            <w:tcBorders>
              <w:top w:val="nil"/>
              <w:left w:val="nil"/>
              <w:bottom w:val="nil"/>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C30067">
              <w:rPr>
                <w:rFonts w:cs="Arial"/>
                <w:b/>
                <w:bCs/>
                <w:color w:val="000000"/>
                <w:sz w:val="18"/>
                <w:szCs w:val="18"/>
                <w:lang w:val="en-US" w:eastAsia="zh-CN"/>
              </w:rPr>
              <w:t>682</w:t>
            </w:r>
          </w:p>
        </w:tc>
        <w:tc>
          <w:tcPr>
            <w:tcW w:w="1560" w:type="dxa"/>
            <w:tcBorders>
              <w:top w:val="nil"/>
              <w:left w:val="nil"/>
              <w:bottom w:val="nil"/>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18"/>
                <w:szCs w:val="18"/>
                <w:lang w:val="en-US" w:eastAsia="zh-CN"/>
              </w:rPr>
            </w:pPr>
            <w:r w:rsidRPr="00C30067">
              <w:rPr>
                <w:rFonts w:cs="Arial"/>
                <w:b/>
                <w:bCs/>
                <w:sz w:val="18"/>
                <w:szCs w:val="18"/>
                <w:lang w:val="en-US" w:eastAsia="zh-CN"/>
              </w:rPr>
              <w:t>0</w:t>
            </w:r>
          </w:p>
        </w:tc>
        <w:tc>
          <w:tcPr>
            <w:tcW w:w="1500" w:type="dxa"/>
            <w:tcBorders>
              <w:top w:val="nil"/>
              <w:left w:val="nil"/>
              <w:bottom w:val="nil"/>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C30067">
              <w:rPr>
                <w:rFonts w:cs="Arial"/>
                <w:b/>
                <w:bCs/>
                <w:color w:val="000000"/>
                <w:sz w:val="18"/>
                <w:szCs w:val="18"/>
                <w:lang w:val="en-US" w:eastAsia="zh-CN"/>
              </w:rPr>
              <w:t>27,770</w:t>
            </w:r>
          </w:p>
        </w:tc>
      </w:tr>
      <w:tr w:rsidR="00C30067" w:rsidRPr="00C30067" w:rsidTr="00C30067">
        <w:trPr>
          <w:trHeight w:val="255"/>
        </w:trPr>
        <w:tc>
          <w:tcPr>
            <w:tcW w:w="3300" w:type="dxa"/>
            <w:tcBorders>
              <w:top w:val="nil"/>
              <w:left w:val="single" w:sz="8" w:space="0" w:color="auto"/>
              <w:bottom w:val="nil"/>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8"/>
                <w:szCs w:val="18"/>
                <w:lang w:val="en-US" w:eastAsia="zh-CN"/>
              </w:rPr>
            </w:pPr>
            <w:r w:rsidRPr="00C30067">
              <w:rPr>
                <w:rFonts w:cs="Arial"/>
                <w:b/>
                <w:bCs/>
                <w:color w:val="000000"/>
                <w:sz w:val="18"/>
                <w:szCs w:val="18"/>
                <w:lang w:val="en-US" w:eastAsia="zh-CN"/>
              </w:rPr>
              <w:t>Other reserves</w:t>
            </w:r>
          </w:p>
        </w:tc>
        <w:tc>
          <w:tcPr>
            <w:tcW w:w="1520" w:type="dxa"/>
            <w:tcBorders>
              <w:top w:val="nil"/>
              <w:left w:val="nil"/>
              <w:bottom w:val="nil"/>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C30067">
              <w:rPr>
                <w:rFonts w:cs="Arial"/>
                <w:b/>
                <w:bCs/>
                <w:color w:val="000000"/>
                <w:sz w:val="18"/>
                <w:szCs w:val="18"/>
                <w:lang w:val="en-US" w:eastAsia="zh-CN"/>
              </w:rPr>
              <w:t>45,057</w:t>
            </w:r>
          </w:p>
        </w:tc>
        <w:tc>
          <w:tcPr>
            <w:tcW w:w="1620" w:type="dxa"/>
            <w:tcBorders>
              <w:top w:val="nil"/>
              <w:left w:val="nil"/>
              <w:bottom w:val="nil"/>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C30067">
              <w:rPr>
                <w:rFonts w:cs="Arial"/>
                <w:b/>
                <w:bCs/>
                <w:color w:val="000000"/>
                <w:sz w:val="18"/>
                <w:szCs w:val="18"/>
                <w:lang w:val="en-US" w:eastAsia="zh-CN"/>
              </w:rPr>
              <w:t>8,101</w:t>
            </w:r>
          </w:p>
        </w:tc>
        <w:tc>
          <w:tcPr>
            <w:tcW w:w="1560" w:type="dxa"/>
            <w:tcBorders>
              <w:top w:val="nil"/>
              <w:left w:val="nil"/>
              <w:bottom w:val="nil"/>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C30067">
              <w:rPr>
                <w:rFonts w:cs="Arial"/>
                <w:b/>
                <w:bCs/>
                <w:color w:val="000000"/>
                <w:sz w:val="18"/>
                <w:szCs w:val="18"/>
                <w:lang w:val="en-US" w:eastAsia="zh-CN"/>
              </w:rPr>
              <w:t>480</w:t>
            </w:r>
          </w:p>
        </w:tc>
        <w:tc>
          <w:tcPr>
            <w:tcW w:w="1500" w:type="dxa"/>
            <w:tcBorders>
              <w:top w:val="nil"/>
              <w:left w:val="nil"/>
              <w:bottom w:val="nil"/>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C30067">
              <w:rPr>
                <w:rFonts w:cs="Arial"/>
                <w:b/>
                <w:bCs/>
                <w:color w:val="000000"/>
                <w:sz w:val="18"/>
                <w:szCs w:val="18"/>
                <w:lang w:val="en-US" w:eastAsia="zh-CN"/>
              </w:rPr>
              <w:t>53,638</w:t>
            </w:r>
          </w:p>
        </w:tc>
      </w:tr>
      <w:tr w:rsidR="00C30067" w:rsidRPr="00C30067" w:rsidTr="00C30067">
        <w:trPr>
          <w:trHeight w:val="255"/>
        </w:trPr>
        <w:tc>
          <w:tcPr>
            <w:tcW w:w="3300" w:type="dxa"/>
            <w:tcBorders>
              <w:top w:val="nil"/>
              <w:left w:val="single" w:sz="8" w:space="0" w:color="auto"/>
              <w:bottom w:val="nil"/>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C30067">
              <w:rPr>
                <w:rFonts w:cs="Arial"/>
                <w:color w:val="000000"/>
                <w:sz w:val="18"/>
                <w:szCs w:val="18"/>
                <w:lang w:val="en-US" w:eastAsia="zh-CN"/>
              </w:rPr>
              <w:t xml:space="preserve">Savings </w:t>
            </w:r>
            <w:proofErr w:type="spellStart"/>
            <w:r w:rsidRPr="00C30067">
              <w:rPr>
                <w:rFonts w:cs="Arial"/>
                <w:color w:val="000000"/>
                <w:sz w:val="18"/>
                <w:szCs w:val="18"/>
                <w:lang w:val="en-US" w:eastAsia="zh-CN"/>
              </w:rPr>
              <w:t>grom</w:t>
            </w:r>
            <w:proofErr w:type="spellEnd"/>
            <w:r w:rsidRPr="00C30067">
              <w:rPr>
                <w:rFonts w:cs="Arial"/>
                <w:color w:val="000000"/>
                <w:sz w:val="18"/>
                <w:szCs w:val="18"/>
                <w:lang w:val="en-US" w:eastAsia="zh-CN"/>
              </w:rPr>
              <w:t xml:space="preserve"> previous year</w:t>
            </w:r>
          </w:p>
        </w:tc>
        <w:tc>
          <w:tcPr>
            <w:tcW w:w="1520" w:type="dxa"/>
            <w:tcBorders>
              <w:top w:val="nil"/>
              <w:left w:val="nil"/>
              <w:bottom w:val="nil"/>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C30067">
              <w:rPr>
                <w:rFonts w:cs="Arial"/>
                <w:sz w:val="18"/>
                <w:szCs w:val="18"/>
                <w:lang w:val="en-US" w:eastAsia="zh-CN"/>
              </w:rPr>
              <w:t>0</w:t>
            </w:r>
          </w:p>
        </w:tc>
        <w:tc>
          <w:tcPr>
            <w:tcW w:w="1620" w:type="dxa"/>
            <w:tcBorders>
              <w:top w:val="nil"/>
              <w:left w:val="nil"/>
              <w:bottom w:val="nil"/>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C30067">
              <w:rPr>
                <w:rFonts w:cs="Arial"/>
                <w:color w:val="000000"/>
                <w:sz w:val="18"/>
                <w:szCs w:val="18"/>
                <w:lang w:val="en-US" w:eastAsia="zh-CN"/>
              </w:rPr>
              <w:t>5,764</w:t>
            </w:r>
          </w:p>
        </w:tc>
        <w:tc>
          <w:tcPr>
            <w:tcW w:w="1560" w:type="dxa"/>
            <w:tcBorders>
              <w:top w:val="nil"/>
              <w:left w:val="nil"/>
              <w:bottom w:val="nil"/>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C30067">
              <w:rPr>
                <w:rFonts w:cs="Arial"/>
                <w:sz w:val="18"/>
                <w:szCs w:val="18"/>
                <w:lang w:val="en-US" w:eastAsia="zh-CN"/>
              </w:rPr>
              <w:t>0</w:t>
            </w:r>
          </w:p>
        </w:tc>
        <w:tc>
          <w:tcPr>
            <w:tcW w:w="1500" w:type="dxa"/>
            <w:tcBorders>
              <w:top w:val="nil"/>
              <w:left w:val="nil"/>
              <w:bottom w:val="nil"/>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C30067">
              <w:rPr>
                <w:rFonts w:cs="Arial"/>
                <w:color w:val="000000"/>
                <w:sz w:val="18"/>
                <w:szCs w:val="18"/>
                <w:lang w:val="en-US" w:eastAsia="zh-CN"/>
              </w:rPr>
              <w:t>5,764</w:t>
            </w:r>
          </w:p>
        </w:tc>
      </w:tr>
      <w:tr w:rsidR="00C30067" w:rsidRPr="00C30067" w:rsidTr="00C30067">
        <w:trPr>
          <w:trHeight w:val="255"/>
        </w:trPr>
        <w:tc>
          <w:tcPr>
            <w:tcW w:w="3300" w:type="dxa"/>
            <w:tcBorders>
              <w:top w:val="nil"/>
              <w:left w:val="single" w:sz="8" w:space="0" w:color="auto"/>
              <w:bottom w:val="nil"/>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C30067">
              <w:rPr>
                <w:rFonts w:cs="Arial"/>
                <w:color w:val="000000"/>
                <w:sz w:val="18"/>
                <w:szCs w:val="18"/>
                <w:lang w:val="en-US" w:eastAsia="zh-CN"/>
              </w:rPr>
              <w:t>Investment fund</w:t>
            </w:r>
          </w:p>
        </w:tc>
        <w:tc>
          <w:tcPr>
            <w:tcW w:w="1520" w:type="dxa"/>
            <w:tcBorders>
              <w:top w:val="nil"/>
              <w:left w:val="nil"/>
              <w:bottom w:val="nil"/>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C30067">
              <w:rPr>
                <w:rFonts w:cs="Arial"/>
                <w:sz w:val="18"/>
                <w:szCs w:val="18"/>
                <w:lang w:val="en-US" w:eastAsia="zh-CN"/>
              </w:rPr>
              <w:t>8,690</w:t>
            </w:r>
          </w:p>
        </w:tc>
        <w:tc>
          <w:tcPr>
            <w:tcW w:w="1620" w:type="dxa"/>
            <w:tcBorders>
              <w:top w:val="nil"/>
              <w:left w:val="nil"/>
              <w:bottom w:val="nil"/>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C30067">
              <w:rPr>
                <w:rFonts w:cs="Arial"/>
                <w:color w:val="000000"/>
                <w:sz w:val="18"/>
                <w:szCs w:val="18"/>
                <w:lang w:val="en-US" w:eastAsia="zh-CN"/>
              </w:rPr>
              <w:t>176</w:t>
            </w:r>
          </w:p>
        </w:tc>
        <w:tc>
          <w:tcPr>
            <w:tcW w:w="1560" w:type="dxa"/>
            <w:tcBorders>
              <w:top w:val="nil"/>
              <w:left w:val="nil"/>
              <w:bottom w:val="nil"/>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C30067">
              <w:rPr>
                <w:rFonts w:cs="Arial"/>
                <w:color w:val="000000"/>
                <w:sz w:val="18"/>
                <w:szCs w:val="18"/>
                <w:lang w:val="en-US" w:eastAsia="zh-CN"/>
              </w:rPr>
              <w:t>1,364</w:t>
            </w:r>
          </w:p>
        </w:tc>
        <w:tc>
          <w:tcPr>
            <w:tcW w:w="1500" w:type="dxa"/>
            <w:tcBorders>
              <w:top w:val="nil"/>
              <w:left w:val="nil"/>
              <w:bottom w:val="nil"/>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C30067">
              <w:rPr>
                <w:rFonts w:cs="Arial"/>
                <w:color w:val="000000"/>
                <w:sz w:val="18"/>
                <w:szCs w:val="18"/>
                <w:lang w:val="en-US" w:eastAsia="zh-CN"/>
              </w:rPr>
              <w:t>10,230</w:t>
            </w:r>
          </w:p>
        </w:tc>
      </w:tr>
      <w:tr w:rsidR="00C30067" w:rsidRPr="00C30067" w:rsidTr="00C30067">
        <w:trPr>
          <w:trHeight w:val="255"/>
        </w:trPr>
        <w:tc>
          <w:tcPr>
            <w:tcW w:w="3300" w:type="dxa"/>
            <w:tcBorders>
              <w:top w:val="nil"/>
              <w:left w:val="single" w:sz="8" w:space="0" w:color="auto"/>
              <w:bottom w:val="nil"/>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C30067">
              <w:rPr>
                <w:rFonts w:cs="Arial"/>
                <w:color w:val="000000"/>
                <w:sz w:val="18"/>
                <w:szCs w:val="18"/>
                <w:lang w:val="en-US" w:eastAsia="zh-CN"/>
              </w:rPr>
              <w:t>New Building fund</w:t>
            </w:r>
          </w:p>
        </w:tc>
        <w:tc>
          <w:tcPr>
            <w:tcW w:w="1520" w:type="dxa"/>
            <w:tcBorders>
              <w:top w:val="nil"/>
              <w:left w:val="nil"/>
              <w:bottom w:val="nil"/>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C30067">
              <w:rPr>
                <w:rFonts w:cs="Arial"/>
                <w:sz w:val="18"/>
                <w:szCs w:val="18"/>
                <w:lang w:val="en-US" w:eastAsia="zh-CN"/>
              </w:rPr>
              <w:t>0</w:t>
            </w:r>
          </w:p>
        </w:tc>
        <w:tc>
          <w:tcPr>
            <w:tcW w:w="1620" w:type="dxa"/>
            <w:tcBorders>
              <w:top w:val="nil"/>
              <w:left w:val="nil"/>
              <w:bottom w:val="nil"/>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C30067">
              <w:rPr>
                <w:rFonts w:cs="Arial"/>
                <w:color w:val="000000"/>
                <w:sz w:val="18"/>
                <w:szCs w:val="18"/>
                <w:lang w:val="en-US" w:eastAsia="zh-CN"/>
              </w:rPr>
              <w:t>-671</w:t>
            </w:r>
          </w:p>
        </w:tc>
        <w:tc>
          <w:tcPr>
            <w:tcW w:w="1560" w:type="dxa"/>
            <w:tcBorders>
              <w:top w:val="nil"/>
              <w:left w:val="nil"/>
              <w:bottom w:val="nil"/>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C30067">
              <w:rPr>
                <w:rFonts w:cs="Arial"/>
                <w:color w:val="000000"/>
                <w:sz w:val="18"/>
                <w:szCs w:val="18"/>
                <w:lang w:val="en-US" w:eastAsia="zh-CN"/>
              </w:rPr>
              <w:t> </w:t>
            </w:r>
          </w:p>
        </w:tc>
        <w:tc>
          <w:tcPr>
            <w:tcW w:w="1500" w:type="dxa"/>
            <w:tcBorders>
              <w:top w:val="nil"/>
              <w:left w:val="nil"/>
              <w:bottom w:val="nil"/>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C30067">
              <w:rPr>
                <w:rFonts w:cs="Arial"/>
                <w:color w:val="000000"/>
                <w:sz w:val="18"/>
                <w:szCs w:val="18"/>
                <w:lang w:val="en-US" w:eastAsia="zh-CN"/>
              </w:rPr>
              <w:t>-671</w:t>
            </w:r>
          </w:p>
        </w:tc>
      </w:tr>
      <w:tr w:rsidR="00C30067" w:rsidRPr="00C30067" w:rsidTr="00C30067">
        <w:trPr>
          <w:trHeight w:val="255"/>
        </w:trPr>
        <w:tc>
          <w:tcPr>
            <w:tcW w:w="3300" w:type="dxa"/>
            <w:tcBorders>
              <w:top w:val="nil"/>
              <w:left w:val="single" w:sz="8" w:space="0" w:color="auto"/>
              <w:bottom w:val="nil"/>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C30067">
              <w:rPr>
                <w:rFonts w:cs="Arial"/>
                <w:color w:val="000000"/>
                <w:sz w:val="18"/>
                <w:szCs w:val="18"/>
                <w:lang w:val="en-US" w:eastAsia="zh-CN"/>
              </w:rPr>
              <w:t>Welfare fund</w:t>
            </w:r>
          </w:p>
        </w:tc>
        <w:tc>
          <w:tcPr>
            <w:tcW w:w="1520" w:type="dxa"/>
            <w:tcBorders>
              <w:top w:val="nil"/>
              <w:left w:val="nil"/>
              <w:bottom w:val="nil"/>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C30067">
              <w:rPr>
                <w:rFonts w:cs="Arial"/>
                <w:sz w:val="18"/>
                <w:szCs w:val="18"/>
                <w:lang w:val="en-US" w:eastAsia="zh-CN"/>
              </w:rPr>
              <w:t>413</w:t>
            </w:r>
          </w:p>
        </w:tc>
        <w:tc>
          <w:tcPr>
            <w:tcW w:w="1620" w:type="dxa"/>
            <w:tcBorders>
              <w:top w:val="nil"/>
              <w:left w:val="nil"/>
              <w:bottom w:val="nil"/>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C30067">
              <w:rPr>
                <w:rFonts w:cs="Arial"/>
                <w:color w:val="000000"/>
                <w:sz w:val="18"/>
                <w:szCs w:val="18"/>
                <w:lang w:val="en-US" w:eastAsia="zh-CN"/>
              </w:rPr>
              <w:t> </w:t>
            </w:r>
          </w:p>
        </w:tc>
        <w:tc>
          <w:tcPr>
            <w:tcW w:w="1560" w:type="dxa"/>
            <w:tcBorders>
              <w:top w:val="nil"/>
              <w:left w:val="nil"/>
              <w:bottom w:val="nil"/>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C30067">
              <w:rPr>
                <w:rFonts w:cs="Arial"/>
                <w:color w:val="000000"/>
                <w:sz w:val="18"/>
                <w:szCs w:val="18"/>
                <w:lang w:val="en-US" w:eastAsia="zh-CN"/>
              </w:rPr>
              <w:t>-20</w:t>
            </w:r>
          </w:p>
        </w:tc>
        <w:tc>
          <w:tcPr>
            <w:tcW w:w="1500" w:type="dxa"/>
            <w:tcBorders>
              <w:top w:val="nil"/>
              <w:left w:val="nil"/>
              <w:bottom w:val="nil"/>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C30067">
              <w:rPr>
                <w:rFonts w:cs="Arial"/>
                <w:color w:val="000000"/>
                <w:sz w:val="18"/>
                <w:szCs w:val="18"/>
                <w:lang w:val="en-US" w:eastAsia="zh-CN"/>
              </w:rPr>
              <w:t>393</w:t>
            </w:r>
          </w:p>
        </w:tc>
      </w:tr>
      <w:tr w:rsidR="00C30067" w:rsidRPr="00C30067" w:rsidTr="00C30067">
        <w:trPr>
          <w:trHeight w:val="255"/>
        </w:trPr>
        <w:tc>
          <w:tcPr>
            <w:tcW w:w="3300" w:type="dxa"/>
            <w:tcBorders>
              <w:top w:val="nil"/>
              <w:left w:val="single" w:sz="8" w:space="0" w:color="auto"/>
              <w:bottom w:val="nil"/>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C30067">
              <w:rPr>
                <w:rFonts w:cs="Arial"/>
                <w:color w:val="000000"/>
                <w:sz w:val="18"/>
                <w:szCs w:val="18"/>
                <w:lang w:val="en-US" w:eastAsia="zh-CN"/>
              </w:rPr>
              <w:t>Centenary fund</w:t>
            </w:r>
          </w:p>
        </w:tc>
        <w:tc>
          <w:tcPr>
            <w:tcW w:w="1520" w:type="dxa"/>
            <w:tcBorders>
              <w:top w:val="nil"/>
              <w:left w:val="nil"/>
              <w:bottom w:val="nil"/>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C30067">
              <w:rPr>
                <w:rFonts w:cs="Arial"/>
                <w:sz w:val="18"/>
                <w:szCs w:val="18"/>
                <w:lang w:val="en-US" w:eastAsia="zh-CN"/>
              </w:rPr>
              <w:t>256</w:t>
            </w:r>
          </w:p>
        </w:tc>
        <w:tc>
          <w:tcPr>
            <w:tcW w:w="1620" w:type="dxa"/>
            <w:tcBorders>
              <w:top w:val="nil"/>
              <w:left w:val="nil"/>
              <w:bottom w:val="nil"/>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C30067">
              <w:rPr>
                <w:rFonts w:cs="Arial"/>
                <w:color w:val="000000"/>
                <w:sz w:val="18"/>
                <w:szCs w:val="18"/>
                <w:lang w:val="en-US" w:eastAsia="zh-CN"/>
              </w:rPr>
              <w:t>-45</w:t>
            </w:r>
          </w:p>
        </w:tc>
        <w:tc>
          <w:tcPr>
            <w:tcW w:w="1560" w:type="dxa"/>
            <w:tcBorders>
              <w:top w:val="nil"/>
              <w:left w:val="nil"/>
              <w:bottom w:val="nil"/>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C30067">
              <w:rPr>
                <w:rFonts w:cs="Arial"/>
                <w:color w:val="000000"/>
                <w:sz w:val="18"/>
                <w:szCs w:val="18"/>
                <w:lang w:val="en-US" w:eastAsia="zh-CN"/>
              </w:rPr>
              <w:t> </w:t>
            </w:r>
          </w:p>
        </w:tc>
        <w:tc>
          <w:tcPr>
            <w:tcW w:w="1500" w:type="dxa"/>
            <w:tcBorders>
              <w:top w:val="nil"/>
              <w:left w:val="nil"/>
              <w:bottom w:val="nil"/>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C30067">
              <w:rPr>
                <w:rFonts w:cs="Arial"/>
                <w:color w:val="000000"/>
                <w:sz w:val="18"/>
                <w:szCs w:val="18"/>
                <w:lang w:val="en-US" w:eastAsia="zh-CN"/>
              </w:rPr>
              <w:t>212</w:t>
            </w:r>
          </w:p>
        </w:tc>
      </w:tr>
      <w:tr w:rsidR="00C30067" w:rsidRPr="00C30067" w:rsidTr="00C30067">
        <w:trPr>
          <w:trHeight w:val="255"/>
        </w:trPr>
        <w:tc>
          <w:tcPr>
            <w:tcW w:w="3300" w:type="dxa"/>
            <w:tcBorders>
              <w:top w:val="nil"/>
              <w:left w:val="single" w:sz="8" w:space="0" w:color="auto"/>
              <w:bottom w:val="nil"/>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C30067">
              <w:rPr>
                <w:rFonts w:cs="Arial"/>
                <w:color w:val="000000"/>
                <w:sz w:val="18"/>
                <w:szCs w:val="18"/>
                <w:lang w:val="en-US" w:eastAsia="zh-CN"/>
              </w:rPr>
              <w:t>SS&amp;B Complement fund</w:t>
            </w:r>
          </w:p>
        </w:tc>
        <w:tc>
          <w:tcPr>
            <w:tcW w:w="1520" w:type="dxa"/>
            <w:tcBorders>
              <w:top w:val="nil"/>
              <w:left w:val="nil"/>
              <w:bottom w:val="nil"/>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C30067">
              <w:rPr>
                <w:rFonts w:cs="Arial"/>
                <w:sz w:val="18"/>
                <w:szCs w:val="18"/>
                <w:lang w:val="en-US" w:eastAsia="zh-CN"/>
              </w:rPr>
              <w:t>6,223</w:t>
            </w:r>
          </w:p>
        </w:tc>
        <w:tc>
          <w:tcPr>
            <w:tcW w:w="1620" w:type="dxa"/>
            <w:tcBorders>
              <w:top w:val="nil"/>
              <w:left w:val="nil"/>
              <w:bottom w:val="nil"/>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C30067">
              <w:rPr>
                <w:rFonts w:cs="Arial"/>
                <w:color w:val="000000"/>
                <w:sz w:val="18"/>
                <w:szCs w:val="18"/>
                <w:lang w:val="en-US" w:eastAsia="zh-CN"/>
              </w:rPr>
              <w:t>-21</w:t>
            </w:r>
          </w:p>
        </w:tc>
        <w:tc>
          <w:tcPr>
            <w:tcW w:w="1560" w:type="dxa"/>
            <w:tcBorders>
              <w:top w:val="nil"/>
              <w:left w:val="nil"/>
              <w:bottom w:val="nil"/>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C30067">
              <w:rPr>
                <w:rFonts w:cs="Arial"/>
                <w:color w:val="000000"/>
                <w:sz w:val="18"/>
                <w:szCs w:val="18"/>
                <w:lang w:val="en-US" w:eastAsia="zh-CN"/>
              </w:rPr>
              <w:t> </w:t>
            </w:r>
          </w:p>
        </w:tc>
        <w:tc>
          <w:tcPr>
            <w:tcW w:w="1500" w:type="dxa"/>
            <w:tcBorders>
              <w:top w:val="nil"/>
              <w:left w:val="nil"/>
              <w:bottom w:val="nil"/>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C30067">
              <w:rPr>
                <w:rFonts w:cs="Arial"/>
                <w:color w:val="000000"/>
                <w:sz w:val="18"/>
                <w:szCs w:val="18"/>
                <w:lang w:val="en-US" w:eastAsia="zh-CN"/>
              </w:rPr>
              <w:t>6,202</w:t>
            </w:r>
          </w:p>
        </w:tc>
      </w:tr>
      <w:tr w:rsidR="00C30067" w:rsidRPr="00C30067" w:rsidTr="00C30067">
        <w:trPr>
          <w:trHeight w:val="255"/>
        </w:trPr>
        <w:tc>
          <w:tcPr>
            <w:tcW w:w="3300" w:type="dxa"/>
            <w:tcBorders>
              <w:top w:val="nil"/>
              <w:left w:val="single" w:sz="8" w:space="0" w:color="auto"/>
              <w:bottom w:val="nil"/>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C30067">
              <w:rPr>
                <w:rFonts w:cs="Arial"/>
                <w:color w:val="000000"/>
                <w:sz w:val="18"/>
                <w:szCs w:val="18"/>
                <w:lang w:val="en-US" w:eastAsia="zh-CN"/>
              </w:rPr>
              <w:t>SS&amp;B Provident fund</w:t>
            </w:r>
          </w:p>
        </w:tc>
        <w:tc>
          <w:tcPr>
            <w:tcW w:w="1520" w:type="dxa"/>
            <w:tcBorders>
              <w:top w:val="nil"/>
              <w:left w:val="nil"/>
              <w:bottom w:val="nil"/>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C30067">
              <w:rPr>
                <w:rFonts w:cs="Arial"/>
                <w:sz w:val="18"/>
                <w:szCs w:val="18"/>
                <w:lang w:val="en-US" w:eastAsia="zh-CN"/>
              </w:rPr>
              <w:t>0</w:t>
            </w:r>
          </w:p>
        </w:tc>
        <w:tc>
          <w:tcPr>
            <w:tcW w:w="1620" w:type="dxa"/>
            <w:tcBorders>
              <w:top w:val="nil"/>
              <w:left w:val="nil"/>
              <w:bottom w:val="nil"/>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C30067">
              <w:rPr>
                <w:rFonts w:cs="Arial"/>
                <w:color w:val="000000"/>
                <w:sz w:val="18"/>
                <w:szCs w:val="18"/>
                <w:lang w:val="en-US" w:eastAsia="zh-CN"/>
              </w:rPr>
              <w:t> </w:t>
            </w:r>
          </w:p>
        </w:tc>
        <w:tc>
          <w:tcPr>
            <w:tcW w:w="1560" w:type="dxa"/>
            <w:tcBorders>
              <w:top w:val="nil"/>
              <w:left w:val="nil"/>
              <w:bottom w:val="nil"/>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C30067">
              <w:rPr>
                <w:rFonts w:cs="Arial"/>
                <w:color w:val="000000"/>
                <w:sz w:val="18"/>
                <w:szCs w:val="18"/>
                <w:lang w:val="en-US" w:eastAsia="zh-CN"/>
              </w:rPr>
              <w:t> </w:t>
            </w:r>
          </w:p>
        </w:tc>
        <w:tc>
          <w:tcPr>
            <w:tcW w:w="1500" w:type="dxa"/>
            <w:tcBorders>
              <w:top w:val="nil"/>
              <w:left w:val="nil"/>
              <w:bottom w:val="nil"/>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C30067">
              <w:rPr>
                <w:rFonts w:cs="Arial"/>
                <w:color w:val="000000"/>
                <w:sz w:val="18"/>
                <w:szCs w:val="18"/>
                <w:lang w:val="en-US" w:eastAsia="zh-CN"/>
              </w:rPr>
              <w:t>0</w:t>
            </w:r>
          </w:p>
        </w:tc>
      </w:tr>
      <w:tr w:rsidR="00C30067" w:rsidRPr="00C30067" w:rsidTr="00C30067">
        <w:trPr>
          <w:trHeight w:val="255"/>
        </w:trPr>
        <w:tc>
          <w:tcPr>
            <w:tcW w:w="3300" w:type="dxa"/>
            <w:tcBorders>
              <w:top w:val="nil"/>
              <w:left w:val="single" w:sz="8" w:space="0" w:color="auto"/>
              <w:bottom w:val="nil"/>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C30067">
              <w:rPr>
                <w:rFonts w:cs="Arial"/>
                <w:color w:val="000000"/>
                <w:sz w:val="18"/>
                <w:szCs w:val="18"/>
                <w:lang w:val="en-US" w:eastAsia="zh-CN"/>
              </w:rPr>
              <w:t xml:space="preserve">SS&amp;B </w:t>
            </w:r>
            <w:proofErr w:type="spellStart"/>
            <w:r w:rsidRPr="00C30067">
              <w:rPr>
                <w:rFonts w:cs="Arial"/>
                <w:color w:val="000000"/>
                <w:sz w:val="18"/>
                <w:szCs w:val="18"/>
                <w:lang w:val="en-US" w:eastAsia="zh-CN"/>
              </w:rPr>
              <w:t>Assistence</w:t>
            </w:r>
            <w:proofErr w:type="spellEnd"/>
            <w:r w:rsidRPr="00C30067">
              <w:rPr>
                <w:rFonts w:cs="Arial"/>
                <w:color w:val="000000"/>
                <w:sz w:val="18"/>
                <w:szCs w:val="18"/>
                <w:lang w:val="en-US" w:eastAsia="zh-CN"/>
              </w:rPr>
              <w:t xml:space="preserve"> fund</w:t>
            </w:r>
          </w:p>
        </w:tc>
        <w:tc>
          <w:tcPr>
            <w:tcW w:w="1520" w:type="dxa"/>
            <w:tcBorders>
              <w:top w:val="nil"/>
              <w:left w:val="nil"/>
              <w:bottom w:val="nil"/>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C30067">
              <w:rPr>
                <w:rFonts w:cs="Arial"/>
                <w:sz w:val="18"/>
                <w:szCs w:val="18"/>
                <w:lang w:val="en-US" w:eastAsia="zh-CN"/>
              </w:rPr>
              <w:t>278</w:t>
            </w:r>
          </w:p>
        </w:tc>
        <w:tc>
          <w:tcPr>
            <w:tcW w:w="1620" w:type="dxa"/>
            <w:tcBorders>
              <w:top w:val="nil"/>
              <w:left w:val="nil"/>
              <w:bottom w:val="nil"/>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C30067">
              <w:rPr>
                <w:rFonts w:cs="Arial"/>
                <w:color w:val="000000"/>
                <w:sz w:val="18"/>
                <w:szCs w:val="18"/>
                <w:lang w:val="en-US" w:eastAsia="zh-CN"/>
              </w:rPr>
              <w:t>0</w:t>
            </w:r>
          </w:p>
        </w:tc>
        <w:tc>
          <w:tcPr>
            <w:tcW w:w="1560" w:type="dxa"/>
            <w:tcBorders>
              <w:top w:val="nil"/>
              <w:left w:val="nil"/>
              <w:bottom w:val="nil"/>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C30067">
              <w:rPr>
                <w:rFonts w:cs="Arial"/>
                <w:color w:val="000000"/>
                <w:sz w:val="18"/>
                <w:szCs w:val="18"/>
                <w:lang w:val="en-US" w:eastAsia="zh-CN"/>
              </w:rPr>
              <w:t> </w:t>
            </w:r>
          </w:p>
        </w:tc>
        <w:tc>
          <w:tcPr>
            <w:tcW w:w="1500" w:type="dxa"/>
            <w:tcBorders>
              <w:top w:val="nil"/>
              <w:left w:val="nil"/>
              <w:bottom w:val="nil"/>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C30067">
              <w:rPr>
                <w:rFonts w:cs="Arial"/>
                <w:color w:val="000000"/>
                <w:sz w:val="18"/>
                <w:szCs w:val="18"/>
                <w:lang w:val="en-US" w:eastAsia="zh-CN"/>
              </w:rPr>
              <w:t>278</w:t>
            </w:r>
          </w:p>
        </w:tc>
      </w:tr>
      <w:tr w:rsidR="00C30067" w:rsidRPr="00C30067" w:rsidTr="00C30067">
        <w:trPr>
          <w:trHeight w:val="255"/>
        </w:trPr>
        <w:tc>
          <w:tcPr>
            <w:tcW w:w="3300" w:type="dxa"/>
            <w:tcBorders>
              <w:top w:val="nil"/>
              <w:left w:val="single" w:sz="8" w:space="0" w:color="auto"/>
              <w:bottom w:val="nil"/>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proofErr w:type="spellStart"/>
            <w:r w:rsidRPr="00C30067">
              <w:rPr>
                <w:rFonts w:cs="Arial"/>
                <w:color w:val="000000"/>
                <w:sz w:val="18"/>
                <w:szCs w:val="18"/>
                <w:lang w:val="en-US" w:eastAsia="zh-CN"/>
              </w:rPr>
              <w:t>Ashi</w:t>
            </w:r>
            <w:proofErr w:type="spellEnd"/>
            <w:r w:rsidRPr="00C30067">
              <w:rPr>
                <w:rFonts w:cs="Arial"/>
                <w:color w:val="000000"/>
                <w:sz w:val="18"/>
                <w:szCs w:val="18"/>
                <w:lang w:val="en-US" w:eastAsia="zh-CN"/>
              </w:rPr>
              <w:t xml:space="preserve"> fund</w:t>
            </w:r>
          </w:p>
        </w:tc>
        <w:tc>
          <w:tcPr>
            <w:tcW w:w="1520" w:type="dxa"/>
            <w:tcBorders>
              <w:top w:val="nil"/>
              <w:left w:val="nil"/>
              <w:bottom w:val="nil"/>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C30067">
              <w:rPr>
                <w:rFonts w:cs="Arial"/>
                <w:sz w:val="18"/>
                <w:szCs w:val="18"/>
                <w:lang w:val="en-US" w:eastAsia="zh-CN"/>
              </w:rPr>
              <w:t>8,500</w:t>
            </w:r>
          </w:p>
        </w:tc>
        <w:tc>
          <w:tcPr>
            <w:tcW w:w="1620" w:type="dxa"/>
            <w:tcBorders>
              <w:top w:val="nil"/>
              <w:left w:val="nil"/>
              <w:bottom w:val="nil"/>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C30067">
              <w:rPr>
                <w:rFonts w:cs="Arial"/>
                <w:color w:val="000000"/>
                <w:sz w:val="18"/>
                <w:szCs w:val="18"/>
                <w:lang w:val="en-US" w:eastAsia="zh-CN"/>
              </w:rPr>
              <w:t>1,000</w:t>
            </w:r>
          </w:p>
        </w:tc>
        <w:tc>
          <w:tcPr>
            <w:tcW w:w="1560" w:type="dxa"/>
            <w:tcBorders>
              <w:top w:val="nil"/>
              <w:left w:val="nil"/>
              <w:bottom w:val="nil"/>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C30067">
              <w:rPr>
                <w:rFonts w:cs="Arial"/>
                <w:color w:val="000000"/>
                <w:sz w:val="18"/>
                <w:szCs w:val="18"/>
                <w:lang w:val="en-US" w:eastAsia="zh-CN"/>
              </w:rPr>
              <w:t> </w:t>
            </w:r>
          </w:p>
        </w:tc>
        <w:tc>
          <w:tcPr>
            <w:tcW w:w="1500" w:type="dxa"/>
            <w:tcBorders>
              <w:top w:val="nil"/>
              <w:left w:val="nil"/>
              <w:bottom w:val="nil"/>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C30067">
              <w:rPr>
                <w:rFonts w:cs="Arial"/>
                <w:color w:val="000000"/>
                <w:sz w:val="18"/>
                <w:szCs w:val="18"/>
                <w:lang w:val="en-US" w:eastAsia="zh-CN"/>
              </w:rPr>
              <w:t>9,500</w:t>
            </w:r>
          </w:p>
        </w:tc>
      </w:tr>
      <w:tr w:rsidR="00C30067" w:rsidRPr="00C30067" w:rsidTr="00C30067">
        <w:trPr>
          <w:trHeight w:val="255"/>
        </w:trPr>
        <w:tc>
          <w:tcPr>
            <w:tcW w:w="3300" w:type="dxa"/>
            <w:tcBorders>
              <w:top w:val="nil"/>
              <w:left w:val="single" w:sz="8" w:space="0" w:color="auto"/>
              <w:bottom w:val="nil"/>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C30067">
              <w:rPr>
                <w:rFonts w:cs="Arial"/>
                <w:color w:val="000000"/>
                <w:sz w:val="18"/>
                <w:szCs w:val="18"/>
                <w:lang w:val="en-US" w:eastAsia="zh-CN"/>
              </w:rPr>
              <w:t>Health Insurance fund</w:t>
            </w:r>
          </w:p>
        </w:tc>
        <w:tc>
          <w:tcPr>
            <w:tcW w:w="1520" w:type="dxa"/>
            <w:tcBorders>
              <w:top w:val="nil"/>
              <w:left w:val="nil"/>
              <w:bottom w:val="nil"/>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C30067">
              <w:rPr>
                <w:rFonts w:cs="Arial"/>
                <w:sz w:val="18"/>
                <w:szCs w:val="18"/>
                <w:lang w:val="en-US" w:eastAsia="zh-CN"/>
              </w:rPr>
              <w:t>12,193</w:t>
            </w:r>
          </w:p>
        </w:tc>
        <w:tc>
          <w:tcPr>
            <w:tcW w:w="1620" w:type="dxa"/>
            <w:tcBorders>
              <w:top w:val="nil"/>
              <w:left w:val="nil"/>
              <w:bottom w:val="nil"/>
              <w:right w:val="single" w:sz="8" w:space="0" w:color="auto"/>
            </w:tcBorders>
            <w:shd w:val="clear" w:color="auto" w:fill="auto"/>
            <w:noWrap/>
            <w:vAlign w:val="center"/>
            <w:hideMark/>
          </w:tcPr>
          <w:p w:rsidR="00C30067" w:rsidRPr="00C30067" w:rsidRDefault="00C30067" w:rsidP="002D50B7">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C30067">
              <w:rPr>
                <w:rFonts w:cs="Arial"/>
                <w:color w:val="000000"/>
                <w:sz w:val="18"/>
                <w:szCs w:val="18"/>
                <w:lang w:val="en-US" w:eastAsia="zh-CN"/>
              </w:rPr>
              <w:t>1,500</w:t>
            </w:r>
          </w:p>
        </w:tc>
        <w:tc>
          <w:tcPr>
            <w:tcW w:w="1560" w:type="dxa"/>
            <w:tcBorders>
              <w:top w:val="nil"/>
              <w:left w:val="nil"/>
              <w:bottom w:val="nil"/>
              <w:right w:val="single" w:sz="8" w:space="0" w:color="auto"/>
            </w:tcBorders>
            <w:shd w:val="clear" w:color="auto" w:fill="auto"/>
            <w:noWrap/>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C30067">
              <w:rPr>
                <w:rFonts w:cs="Arial"/>
                <w:color w:val="000000"/>
                <w:sz w:val="18"/>
                <w:szCs w:val="18"/>
                <w:lang w:val="en-US" w:eastAsia="zh-CN"/>
              </w:rPr>
              <w:t>114</w:t>
            </w:r>
          </w:p>
        </w:tc>
        <w:tc>
          <w:tcPr>
            <w:tcW w:w="1500" w:type="dxa"/>
            <w:tcBorders>
              <w:top w:val="nil"/>
              <w:left w:val="nil"/>
              <w:bottom w:val="nil"/>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C30067">
              <w:rPr>
                <w:rFonts w:cs="Arial"/>
                <w:color w:val="000000"/>
                <w:sz w:val="18"/>
                <w:szCs w:val="18"/>
                <w:lang w:val="en-US" w:eastAsia="zh-CN"/>
              </w:rPr>
              <w:t>13,808</w:t>
            </w:r>
          </w:p>
        </w:tc>
      </w:tr>
      <w:tr w:rsidR="00C30067" w:rsidRPr="00C30067" w:rsidTr="00C30067">
        <w:trPr>
          <w:trHeight w:val="255"/>
        </w:trPr>
        <w:tc>
          <w:tcPr>
            <w:tcW w:w="3300" w:type="dxa"/>
            <w:tcBorders>
              <w:top w:val="nil"/>
              <w:left w:val="single" w:sz="8" w:space="0" w:color="auto"/>
              <w:bottom w:val="nil"/>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C30067">
              <w:rPr>
                <w:rFonts w:cs="Arial"/>
                <w:color w:val="000000"/>
                <w:sz w:val="18"/>
                <w:szCs w:val="18"/>
                <w:lang w:val="en-US" w:eastAsia="zh-CN"/>
              </w:rPr>
              <w:t>Extra budgetary allocated reserves</w:t>
            </w:r>
          </w:p>
        </w:tc>
        <w:tc>
          <w:tcPr>
            <w:tcW w:w="1520" w:type="dxa"/>
            <w:tcBorders>
              <w:top w:val="nil"/>
              <w:left w:val="nil"/>
              <w:bottom w:val="nil"/>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C30067">
              <w:rPr>
                <w:rFonts w:cs="Arial"/>
                <w:sz w:val="18"/>
                <w:szCs w:val="18"/>
                <w:lang w:val="en-US" w:eastAsia="zh-CN"/>
              </w:rPr>
              <w:t>7,654</w:t>
            </w:r>
          </w:p>
        </w:tc>
        <w:tc>
          <w:tcPr>
            <w:tcW w:w="1620" w:type="dxa"/>
            <w:tcBorders>
              <w:top w:val="nil"/>
              <w:left w:val="nil"/>
              <w:bottom w:val="nil"/>
              <w:right w:val="single" w:sz="8" w:space="0" w:color="auto"/>
            </w:tcBorders>
            <w:shd w:val="clear" w:color="auto" w:fill="auto"/>
            <w:noWrap/>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C30067">
              <w:rPr>
                <w:rFonts w:cs="Arial"/>
                <w:color w:val="000000"/>
                <w:sz w:val="18"/>
                <w:szCs w:val="18"/>
                <w:lang w:val="en-US" w:eastAsia="zh-CN"/>
              </w:rPr>
              <w:t>397</w:t>
            </w:r>
          </w:p>
        </w:tc>
        <w:tc>
          <w:tcPr>
            <w:tcW w:w="1560" w:type="dxa"/>
            <w:tcBorders>
              <w:top w:val="nil"/>
              <w:left w:val="nil"/>
              <w:bottom w:val="nil"/>
              <w:right w:val="single" w:sz="8" w:space="0" w:color="auto"/>
            </w:tcBorders>
            <w:shd w:val="clear" w:color="auto" w:fill="auto"/>
            <w:noWrap/>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C30067">
              <w:rPr>
                <w:rFonts w:cs="Arial"/>
                <w:color w:val="000000"/>
                <w:sz w:val="18"/>
                <w:szCs w:val="18"/>
                <w:lang w:val="en-US" w:eastAsia="zh-CN"/>
              </w:rPr>
              <w:t>-1,012</w:t>
            </w:r>
          </w:p>
        </w:tc>
        <w:tc>
          <w:tcPr>
            <w:tcW w:w="1500" w:type="dxa"/>
            <w:tcBorders>
              <w:top w:val="nil"/>
              <w:left w:val="nil"/>
              <w:bottom w:val="nil"/>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C30067">
              <w:rPr>
                <w:rFonts w:cs="Arial"/>
                <w:color w:val="000000"/>
                <w:sz w:val="18"/>
                <w:szCs w:val="18"/>
                <w:lang w:val="en-US" w:eastAsia="zh-CN"/>
              </w:rPr>
              <w:t>7,039</w:t>
            </w:r>
          </w:p>
        </w:tc>
      </w:tr>
      <w:tr w:rsidR="00C30067" w:rsidRPr="00C30067" w:rsidTr="00C30067">
        <w:trPr>
          <w:trHeight w:val="255"/>
        </w:trPr>
        <w:tc>
          <w:tcPr>
            <w:tcW w:w="3300" w:type="dxa"/>
            <w:tcBorders>
              <w:top w:val="nil"/>
              <w:left w:val="single" w:sz="8" w:space="0" w:color="auto"/>
              <w:bottom w:val="nil"/>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C30067">
              <w:rPr>
                <w:rFonts w:cs="Arial"/>
                <w:color w:val="000000"/>
                <w:sz w:val="18"/>
                <w:szCs w:val="18"/>
                <w:lang w:val="en-US" w:eastAsia="zh-CN"/>
              </w:rPr>
              <w:t>Currency exchange translation</w:t>
            </w:r>
          </w:p>
        </w:tc>
        <w:tc>
          <w:tcPr>
            <w:tcW w:w="1520" w:type="dxa"/>
            <w:tcBorders>
              <w:top w:val="nil"/>
              <w:left w:val="nil"/>
              <w:bottom w:val="nil"/>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C30067">
              <w:rPr>
                <w:rFonts w:cs="Arial"/>
                <w:sz w:val="18"/>
                <w:szCs w:val="18"/>
                <w:lang w:val="en-US" w:eastAsia="zh-CN"/>
              </w:rPr>
              <w:t>849</w:t>
            </w:r>
          </w:p>
        </w:tc>
        <w:tc>
          <w:tcPr>
            <w:tcW w:w="1620" w:type="dxa"/>
            <w:tcBorders>
              <w:top w:val="nil"/>
              <w:left w:val="nil"/>
              <w:bottom w:val="nil"/>
              <w:right w:val="single" w:sz="8" w:space="0" w:color="auto"/>
            </w:tcBorders>
            <w:shd w:val="clear" w:color="auto" w:fill="auto"/>
            <w:noWrap/>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C30067">
              <w:rPr>
                <w:rFonts w:cs="Arial"/>
                <w:color w:val="000000"/>
                <w:sz w:val="18"/>
                <w:szCs w:val="18"/>
                <w:lang w:val="en-US" w:eastAsia="zh-CN"/>
              </w:rPr>
              <w:t> </w:t>
            </w:r>
          </w:p>
        </w:tc>
        <w:tc>
          <w:tcPr>
            <w:tcW w:w="1560" w:type="dxa"/>
            <w:tcBorders>
              <w:top w:val="nil"/>
              <w:left w:val="nil"/>
              <w:bottom w:val="nil"/>
              <w:right w:val="single" w:sz="8" w:space="0" w:color="auto"/>
            </w:tcBorders>
            <w:shd w:val="clear" w:color="auto" w:fill="auto"/>
            <w:noWrap/>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C30067">
              <w:rPr>
                <w:rFonts w:cs="Arial"/>
                <w:color w:val="000000"/>
                <w:sz w:val="18"/>
                <w:szCs w:val="18"/>
                <w:lang w:val="en-US" w:eastAsia="zh-CN"/>
              </w:rPr>
              <w:t>35</w:t>
            </w:r>
          </w:p>
        </w:tc>
        <w:tc>
          <w:tcPr>
            <w:tcW w:w="1500" w:type="dxa"/>
            <w:tcBorders>
              <w:top w:val="nil"/>
              <w:left w:val="nil"/>
              <w:bottom w:val="nil"/>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C30067">
              <w:rPr>
                <w:rFonts w:cs="Arial"/>
                <w:color w:val="000000"/>
                <w:sz w:val="18"/>
                <w:szCs w:val="18"/>
                <w:lang w:val="en-US" w:eastAsia="zh-CN"/>
              </w:rPr>
              <w:t>884</w:t>
            </w:r>
          </w:p>
        </w:tc>
      </w:tr>
      <w:tr w:rsidR="00C30067" w:rsidRPr="00C30067" w:rsidTr="00C30067">
        <w:trPr>
          <w:trHeight w:val="255"/>
        </w:trPr>
        <w:tc>
          <w:tcPr>
            <w:tcW w:w="3300" w:type="dxa"/>
            <w:tcBorders>
              <w:top w:val="nil"/>
              <w:left w:val="single" w:sz="8" w:space="0" w:color="auto"/>
              <w:bottom w:val="nil"/>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8"/>
                <w:szCs w:val="18"/>
                <w:lang w:val="en-US" w:eastAsia="zh-CN"/>
              </w:rPr>
            </w:pPr>
            <w:r w:rsidRPr="00C30067">
              <w:rPr>
                <w:rFonts w:cs="Arial"/>
                <w:b/>
                <w:bCs/>
                <w:color w:val="000000"/>
                <w:sz w:val="18"/>
                <w:szCs w:val="18"/>
                <w:lang w:val="en-US" w:eastAsia="zh-CN"/>
              </w:rPr>
              <w:t>Extra-budgetary activities related funds</w:t>
            </w:r>
          </w:p>
        </w:tc>
        <w:tc>
          <w:tcPr>
            <w:tcW w:w="1520" w:type="dxa"/>
            <w:tcBorders>
              <w:top w:val="nil"/>
              <w:left w:val="nil"/>
              <w:bottom w:val="nil"/>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18"/>
                <w:szCs w:val="18"/>
                <w:lang w:val="en-US" w:eastAsia="zh-CN"/>
              </w:rPr>
            </w:pPr>
            <w:r w:rsidRPr="00C30067">
              <w:rPr>
                <w:rFonts w:cs="Arial"/>
                <w:b/>
                <w:bCs/>
                <w:sz w:val="18"/>
                <w:szCs w:val="18"/>
                <w:lang w:val="en-US" w:eastAsia="zh-CN"/>
              </w:rPr>
              <w:t>12,835</w:t>
            </w:r>
          </w:p>
        </w:tc>
        <w:tc>
          <w:tcPr>
            <w:tcW w:w="1620" w:type="dxa"/>
            <w:tcBorders>
              <w:top w:val="nil"/>
              <w:left w:val="nil"/>
              <w:bottom w:val="nil"/>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C30067">
              <w:rPr>
                <w:rFonts w:cs="Arial"/>
                <w:b/>
                <w:bCs/>
                <w:color w:val="000000"/>
                <w:sz w:val="18"/>
                <w:szCs w:val="18"/>
                <w:lang w:val="en-US" w:eastAsia="zh-CN"/>
              </w:rPr>
              <w:t>-40</w:t>
            </w:r>
          </w:p>
        </w:tc>
        <w:tc>
          <w:tcPr>
            <w:tcW w:w="1560" w:type="dxa"/>
            <w:tcBorders>
              <w:top w:val="nil"/>
              <w:left w:val="nil"/>
              <w:bottom w:val="nil"/>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C30067">
              <w:rPr>
                <w:rFonts w:cs="Arial"/>
                <w:b/>
                <w:bCs/>
                <w:color w:val="000000"/>
                <w:sz w:val="18"/>
                <w:szCs w:val="18"/>
                <w:lang w:val="en-US" w:eastAsia="zh-CN"/>
              </w:rPr>
              <w:t>353</w:t>
            </w:r>
          </w:p>
        </w:tc>
        <w:tc>
          <w:tcPr>
            <w:tcW w:w="1500" w:type="dxa"/>
            <w:tcBorders>
              <w:top w:val="nil"/>
              <w:left w:val="nil"/>
              <w:bottom w:val="nil"/>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C30067">
              <w:rPr>
                <w:rFonts w:cs="Arial"/>
                <w:b/>
                <w:bCs/>
                <w:color w:val="000000"/>
                <w:sz w:val="18"/>
                <w:szCs w:val="18"/>
                <w:lang w:val="en-US" w:eastAsia="zh-CN"/>
              </w:rPr>
              <w:t>13,149</w:t>
            </w:r>
          </w:p>
        </w:tc>
      </w:tr>
      <w:tr w:rsidR="00C30067" w:rsidRPr="00C30067" w:rsidTr="00C30067">
        <w:trPr>
          <w:trHeight w:val="255"/>
        </w:trPr>
        <w:tc>
          <w:tcPr>
            <w:tcW w:w="3300" w:type="dxa"/>
            <w:tcBorders>
              <w:top w:val="nil"/>
              <w:left w:val="single" w:sz="8" w:space="0" w:color="auto"/>
              <w:bottom w:val="nil"/>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C30067">
              <w:rPr>
                <w:rFonts w:cs="Arial"/>
                <w:color w:val="000000"/>
                <w:sz w:val="18"/>
                <w:szCs w:val="18"/>
                <w:lang w:val="en-US" w:eastAsia="zh-CN"/>
              </w:rPr>
              <w:t>TLC</w:t>
            </w:r>
          </w:p>
        </w:tc>
        <w:tc>
          <w:tcPr>
            <w:tcW w:w="1520" w:type="dxa"/>
            <w:tcBorders>
              <w:top w:val="nil"/>
              <w:left w:val="nil"/>
              <w:bottom w:val="nil"/>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C30067">
              <w:rPr>
                <w:rFonts w:cs="Arial"/>
                <w:sz w:val="18"/>
                <w:szCs w:val="18"/>
                <w:lang w:val="en-US" w:eastAsia="zh-CN"/>
              </w:rPr>
              <w:t>10,076</w:t>
            </w:r>
          </w:p>
        </w:tc>
        <w:tc>
          <w:tcPr>
            <w:tcW w:w="1620" w:type="dxa"/>
            <w:tcBorders>
              <w:top w:val="nil"/>
              <w:left w:val="nil"/>
              <w:bottom w:val="nil"/>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C30067">
              <w:rPr>
                <w:rFonts w:cs="Arial"/>
                <w:color w:val="000000"/>
                <w:sz w:val="18"/>
                <w:szCs w:val="18"/>
                <w:lang w:val="en-US" w:eastAsia="zh-CN"/>
              </w:rPr>
              <w:t>23</w:t>
            </w:r>
          </w:p>
        </w:tc>
        <w:tc>
          <w:tcPr>
            <w:tcW w:w="1560" w:type="dxa"/>
            <w:tcBorders>
              <w:top w:val="nil"/>
              <w:left w:val="nil"/>
              <w:bottom w:val="nil"/>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C30067">
              <w:rPr>
                <w:rFonts w:cs="Arial"/>
                <w:color w:val="000000"/>
                <w:sz w:val="18"/>
                <w:szCs w:val="18"/>
                <w:lang w:val="en-US" w:eastAsia="zh-CN"/>
              </w:rPr>
              <w:t>-1,966</w:t>
            </w:r>
          </w:p>
        </w:tc>
        <w:tc>
          <w:tcPr>
            <w:tcW w:w="1500" w:type="dxa"/>
            <w:tcBorders>
              <w:top w:val="nil"/>
              <w:left w:val="nil"/>
              <w:bottom w:val="nil"/>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C30067">
              <w:rPr>
                <w:rFonts w:cs="Arial"/>
                <w:color w:val="000000"/>
                <w:sz w:val="18"/>
                <w:szCs w:val="18"/>
                <w:lang w:val="en-US" w:eastAsia="zh-CN"/>
              </w:rPr>
              <w:t>8,132</w:t>
            </w:r>
          </w:p>
        </w:tc>
      </w:tr>
      <w:tr w:rsidR="00C30067" w:rsidRPr="00C30067" w:rsidTr="00C30067">
        <w:trPr>
          <w:trHeight w:val="255"/>
        </w:trPr>
        <w:tc>
          <w:tcPr>
            <w:tcW w:w="3300" w:type="dxa"/>
            <w:tcBorders>
              <w:top w:val="nil"/>
              <w:left w:val="single" w:sz="8" w:space="0" w:color="auto"/>
              <w:bottom w:val="nil"/>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C30067">
              <w:rPr>
                <w:rFonts w:cs="Arial"/>
                <w:color w:val="000000"/>
                <w:sz w:val="18"/>
                <w:szCs w:val="18"/>
                <w:lang w:val="en-US" w:eastAsia="zh-CN"/>
              </w:rPr>
              <w:t>Others</w:t>
            </w:r>
          </w:p>
        </w:tc>
        <w:tc>
          <w:tcPr>
            <w:tcW w:w="1520" w:type="dxa"/>
            <w:tcBorders>
              <w:top w:val="nil"/>
              <w:left w:val="nil"/>
              <w:bottom w:val="nil"/>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C30067">
              <w:rPr>
                <w:rFonts w:cs="Arial"/>
                <w:sz w:val="18"/>
                <w:szCs w:val="18"/>
                <w:lang w:val="en-US" w:eastAsia="zh-CN"/>
              </w:rPr>
              <w:t>2,761</w:t>
            </w:r>
          </w:p>
        </w:tc>
        <w:tc>
          <w:tcPr>
            <w:tcW w:w="1620" w:type="dxa"/>
            <w:tcBorders>
              <w:top w:val="nil"/>
              <w:left w:val="nil"/>
              <w:bottom w:val="nil"/>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C30067">
              <w:rPr>
                <w:rFonts w:cs="Arial"/>
                <w:color w:val="000000"/>
                <w:sz w:val="18"/>
                <w:szCs w:val="18"/>
                <w:lang w:val="en-US" w:eastAsia="zh-CN"/>
              </w:rPr>
              <w:t>-63</w:t>
            </w:r>
          </w:p>
        </w:tc>
        <w:tc>
          <w:tcPr>
            <w:tcW w:w="1560" w:type="dxa"/>
            <w:tcBorders>
              <w:top w:val="nil"/>
              <w:left w:val="nil"/>
              <w:bottom w:val="nil"/>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C30067">
              <w:rPr>
                <w:rFonts w:cs="Arial"/>
                <w:color w:val="000000"/>
                <w:sz w:val="18"/>
                <w:szCs w:val="18"/>
                <w:lang w:val="en-US" w:eastAsia="zh-CN"/>
              </w:rPr>
              <w:t>2,320</w:t>
            </w:r>
          </w:p>
        </w:tc>
        <w:tc>
          <w:tcPr>
            <w:tcW w:w="1500" w:type="dxa"/>
            <w:tcBorders>
              <w:top w:val="nil"/>
              <w:left w:val="nil"/>
              <w:bottom w:val="nil"/>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C30067">
              <w:rPr>
                <w:rFonts w:cs="Arial"/>
                <w:color w:val="000000"/>
                <w:sz w:val="18"/>
                <w:szCs w:val="18"/>
                <w:lang w:val="en-US" w:eastAsia="zh-CN"/>
              </w:rPr>
              <w:t>5,017</w:t>
            </w:r>
          </w:p>
        </w:tc>
      </w:tr>
      <w:tr w:rsidR="00C30067" w:rsidRPr="00C30067" w:rsidTr="00C30067">
        <w:trPr>
          <w:trHeight w:val="255"/>
        </w:trPr>
        <w:tc>
          <w:tcPr>
            <w:tcW w:w="3300" w:type="dxa"/>
            <w:tcBorders>
              <w:top w:val="nil"/>
              <w:left w:val="single" w:sz="8" w:space="0" w:color="auto"/>
              <w:bottom w:val="nil"/>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8"/>
                <w:szCs w:val="18"/>
                <w:lang w:val="en-US" w:eastAsia="zh-CN"/>
              </w:rPr>
            </w:pPr>
            <w:r w:rsidRPr="00C30067">
              <w:rPr>
                <w:rFonts w:cs="Arial"/>
                <w:b/>
                <w:bCs/>
                <w:color w:val="000000"/>
                <w:sz w:val="18"/>
                <w:szCs w:val="18"/>
                <w:lang w:val="en-US" w:eastAsia="zh-CN"/>
              </w:rPr>
              <w:t>ASHI actuarial losses</w:t>
            </w:r>
          </w:p>
        </w:tc>
        <w:tc>
          <w:tcPr>
            <w:tcW w:w="1520" w:type="dxa"/>
            <w:tcBorders>
              <w:top w:val="nil"/>
              <w:left w:val="nil"/>
              <w:bottom w:val="nil"/>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18"/>
                <w:szCs w:val="18"/>
                <w:lang w:val="en-US" w:eastAsia="zh-CN"/>
              </w:rPr>
            </w:pPr>
            <w:r w:rsidRPr="00C30067">
              <w:rPr>
                <w:rFonts w:cs="Arial"/>
                <w:b/>
                <w:bCs/>
                <w:sz w:val="18"/>
                <w:szCs w:val="18"/>
                <w:lang w:val="en-US" w:eastAsia="zh-CN"/>
              </w:rPr>
              <w:t>-322,579</w:t>
            </w:r>
          </w:p>
        </w:tc>
        <w:tc>
          <w:tcPr>
            <w:tcW w:w="1620" w:type="dxa"/>
            <w:tcBorders>
              <w:top w:val="nil"/>
              <w:left w:val="nil"/>
              <w:bottom w:val="nil"/>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C30067">
              <w:rPr>
                <w:rFonts w:cs="Arial"/>
                <w:b/>
                <w:bCs/>
                <w:color w:val="000000"/>
                <w:sz w:val="18"/>
                <w:szCs w:val="18"/>
                <w:lang w:val="en-US" w:eastAsia="zh-CN"/>
              </w:rPr>
              <w:t>0</w:t>
            </w:r>
          </w:p>
        </w:tc>
        <w:tc>
          <w:tcPr>
            <w:tcW w:w="1560" w:type="dxa"/>
            <w:tcBorders>
              <w:top w:val="nil"/>
              <w:left w:val="nil"/>
              <w:bottom w:val="nil"/>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C30067">
              <w:rPr>
                <w:rFonts w:cs="Arial"/>
                <w:b/>
                <w:bCs/>
                <w:color w:val="000000"/>
                <w:sz w:val="18"/>
                <w:szCs w:val="18"/>
                <w:lang w:val="en-US" w:eastAsia="zh-CN"/>
              </w:rPr>
              <w:t>-47,125</w:t>
            </w:r>
          </w:p>
        </w:tc>
        <w:tc>
          <w:tcPr>
            <w:tcW w:w="1500" w:type="dxa"/>
            <w:tcBorders>
              <w:top w:val="nil"/>
              <w:left w:val="nil"/>
              <w:bottom w:val="nil"/>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C30067">
              <w:rPr>
                <w:rFonts w:cs="Arial"/>
                <w:b/>
                <w:bCs/>
                <w:color w:val="000000"/>
                <w:sz w:val="18"/>
                <w:szCs w:val="18"/>
                <w:lang w:val="en-US" w:eastAsia="zh-CN"/>
              </w:rPr>
              <w:t>-369,704</w:t>
            </w:r>
          </w:p>
        </w:tc>
      </w:tr>
      <w:tr w:rsidR="00C30067" w:rsidRPr="00C30067" w:rsidTr="00C30067">
        <w:trPr>
          <w:trHeight w:val="270"/>
        </w:trPr>
        <w:tc>
          <w:tcPr>
            <w:tcW w:w="3300" w:type="dxa"/>
            <w:tcBorders>
              <w:top w:val="nil"/>
              <w:left w:val="single" w:sz="8" w:space="0" w:color="auto"/>
              <w:bottom w:val="nil"/>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C30067">
              <w:rPr>
                <w:rFonts w:cs="Arial"/>
                <w:b/>
                <w:bCs/>
                <w:color w:val="000000"/>
                <w:sz w:val="20"/>
                <w:lang w:val="en-US" w:eastAsia="zh-CN"/>
              </w:rPr>
              <w:t>IPSAS cumulated deficit (statistical)</w:t>
            </w:r>
          </w:p>
        </w:tc>
        <w:tc>
          <w:tcPr>
            <w:tcW w:w="1520" w:type="dxa"/>
            <w:tcBorders>
              <w:top w:val="nil"/>
              <w:left w:val="nil"/>
              <w:bottom w:val="nil"/>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C30067">
              <w:rPr>
                <w:rFonts w:cs="Arial"/>
                <w:b/>
                <w:bCs/>
                <w:color w:val="000000"/>
                <w:sz w:val="18"/>
                <w:szCs w:val="18"/>
                <w:lang w:val="en-US" w:eastAsia="zh-CN"/>
              </w:rPr>
              <w:t>-56,457</w:t>
            </w:r>
          </w:p>
        </w:tc>
        <w:tc>
          <w:tcPr>
            <w:tcW w:w="1620" w:type="dxa"/>
            <w:tcBorders>
              <w:top w:val="nil"/>
              <w:left w:val="nil"/>
              <w:bottom w:val="nil"/>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C30067">
              <w:rPr>
                <w:rFonts w:cs="Arial"/>
                <w:color w:val="000000"/>
                <w:sz w:val="18"/>
                <w:szCs w:val="18"/>
                <w:lang w:val="en-US" w:eastAsia="zh-CN"/>
              </w:rPr>
              <w:t>-25,821</w:t>
            </w:r>
          </w:p>
        </w:tc>
        <w:tc>
          <w:tcPr>
            <w:tcW w:w="1560" w:type="dxa"/>
            <w:tcBorders>
              <w:top w:val="nil"/>
              <w:left w:val="nil"/>
              <w:bottom w:val="nil"/>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C30067">
              <w:rPr>
                <w:rFonts w:cs="Arial"/>
                <w:b/>
                <w:bCs/>
                <w:color w:val="000000"/>
                <w:sz w:val="18"/>
                <w:szCs w:val="18"/>
                <w:lang w:val="en-US" w:eastAsia="zh-CN"/>
              </w:rPr>
              <w:t>0</w:t>
            </w:r>
          </w:p>
        </w:tc>
        <w:tc>
          <w:tcPr>
            <w:tcW w:w="1500" w:type="dxa"/>
            <w:tcBorders>
              <w:top w:val="nil"/>
              <w:left w:val="nil"/>
              <w:bottom w:val="nil"/>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C30067">
              <w:rPr>
                <w:rFonts w:cs="Arial"/>
                <w:b/>
                <w:bCs/>
                <w:color w:val="000000"/>
                <w:sz w:val="18"/>
                <w:szCs w:val="18"/>
                <w:lang w:val="en-US" w:eastAsia="zh-CN"/>
              </w:rPr>
              <w:t>-82,278</w:t>
            </w:r>
          </w:p>
        </w:tc>
      </w:tr>
      <w:tr w:rsidR="00C30067" w:rsidRPr="00C30067" w:rsidTr="00C30067">
        <w:trPr>
          <w:trHeight w:val="270"/>
        </w:trPr>
        <w:tc>
          <w:tcPr>
            <w:tcW w:w="33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C30067">
              <w:rPr>
                <w:rFonts w:cs="Arial"/>
                <w:b/>
                <w:bCs/>
                <w:color w:val="000000"/>
                <w:sz w:val="18"/>
                <w:szCs w:val="18"/>
                <w:lang w:val="en-US" w:eastAsia="zh-CN"/>
              </w:rPr>
              <w:t xml:space="preserve">Total net assets </w:t>
            </w:r>
          </w:p>
        </w:tc>
        <w:tc>
          <w:tcPr>
            <w:tcW w:w="1520" w:type="dxa"/>
            <w:tcBorders>
              <w:top w:val="single" w:sz="8" w:space="0" w:color="auto"/>
              <w:left w:val="nil"/>
              <w:bottom w:val="single" w:sz="8" w:space="0" w:color="auto"/>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C30067">
              <w:rPr>
                <w:rFonts w:cs="Arial"/>
                <w:b/>
                <w:bCs/>
                <w:color w:val="000000"/>
                <w:sz w:val="18"/>
                <w:szCs w:val="18"/>
                <w:lang w:val="en-US" w:eastAsia="zh-CN"/>
              </w:rPr>
              <w:t>-419,155</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C30067">
              <w:rPr>
                <w:rFonts w:cs="Arial"/>
                <w:b/>
                <w:bCs/>
                <w:color w:val="000000"/>
                <w:sz w:val="18"/>
                <w:szCs w:val="18"/>
                <w:lang w:val="en-US" w:eastAsia="zh-CN"/>
              </w:rPr>
              <w:t>-17,078</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C30067">
              <w:rPr>
                <w:rFonts w:cs="Arial"/>
                <w:b/>
                <w:bCs/>
                <w:color w:val="000000"/>
                <w:sz w:val="18"/>
                <w:szCs w:val="18"/>
                <w:lang w:val="en-US" w:eastAsia="zh-CN"/>
              </w:rPr>
              <w:t>-46,291</w:t>
            </w:r>
          </w:p>
        </w:tc>
        <w:tc>
          <w:tcPr>
            <w:tcW w:w="1500" w:type="dxa"/>
            <w:tcBorders>
              <w:top w:val="single" w:sz="8" w:space="0" w:color="auto"/>
              <w:left w:val="nil"/>
              <w:bottom w:val="single" w:sz="8" w:space="0" w:color="auto"/>
              <w:right w:val="single" w:sz="8" w:space="0" w:color="auto"/>
            </w:tcBorders>
            <w:shd w:val="clear" w:color="auto" w:fill="auto"/>
            <w:vAlign w:val="center"/>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C30067">
              <w:rPr>
                <w:rFonts w:cs="Arial"/>
                <w:b/>
                <w:bCs/>
                <w:color w:val="000000"/>
                <w:sz w:val="18"/>
                <w:szCs w:val="18"/>
                <w:lang w:val="en-US" w:eastAsia="zh-CN"/>
              </w:rPr>
              <w:t>-482,524</w:t>
            </w:r>
          </w:p>
        </w:tc>
      </w:tr>
    </w:tbl>
    <w:p w:rsidR="00FD2C4D" w:rsidRPr="00FD2C4D" w:rsidRDefault="00FD2C4D" w:rsidP="00FD2C4D">
      <w:pPr>
        <w:pStyle w:val="Tabletext"/>
        <w:rPr>
          <w:lang w:val="en-US"/>
        </w:rPr>
      </w:pPr>
    </w:p>
    <w:p w:rsidR="00250F9D" w:rsidRDefault="00250F9D" w:rsidP="00A372DE">
      <w:pPr>
        <w:pStyle w:val="Tabletitle"/>
        <w:rPr>
          <w:sz w:val="28"/>
          <w:szCs w:val="28"/>
          <w:lang w:val="en-US"/>
        </w:rPr>
      </w:pPr>
      <w:r>
        <w:rPr>
          <w:lang w:val="en-US"/>
        </w:rPr>
        <w:br w:type="page"/>
      </w:r>
      <w:bookmarkStart w:id="27" w:name="_Toc329011607"/>
      <w:bookmarkStart w:id="28" w:name="_Toc305764059"/>
      <w:r>
        <w:rPr>
          <w:sz w:val="28"/>
          <w:szCs w:val="28"/>
          <w:lang w:val="en-US"/>
        </w:rPr>
        <w:t xml:space="preserve">IV – </w:t>
      </w:r>
      <w:r w:rsidR="009900B0">
        <w:rPr>
          <w:sz w:val="28"/>
          <w:szCs w:val="28"/>
          <w:lang w:val="en-US"/>
        </w:rPr>
        <w:t xml:space="preserve">Statement </w:t>
      </w:r>
      <w:r>
        <w:rPr>
          <w:sz w:val="28"/>
          <w:szCs w:val="28"/>
          <w:lang w:val="en-US"/>
        </w:rPr>
        <w:t xml:space="preserve">of cash flows for the period closed on 31 December </w:t>
      </w:r>
      <w:bookmarkEnd w:id="27"/>
      <w:bookmarkEnd w:id="28"/>
      <w:r w:rsidR="00111BDD">
        <w:rPr>
          <w:sz w:val="28"/>
          <w:szCs w:val="28"/>
          <w:lang w:val="en-US"/>
        </w:rPr>
        <w:t>201</w:t>
      </w:r>
      <w:r w:rsidR="00A372DE">
        <w:rPr>
          <w:sz w:val="28"/>
          <w:szCs w:val="28"/>
          <w:lang w:val="en-US"/>
        </w:rPr>
        <w:t>7</w:t>
      </w:r>
    </w:p>
    <w:tbl>
      <w:tblPr>
        <w:tblW w:w="5000" w:type="pct"/>
        <w:tblLook w:val="04A0" w:firstRow="1" w:lastRow="0" w:firstColumn="1" w:lastColumn="0" w:noHBand="0" w:noVBand="1"/>
      </w:tblPr>
      <w:tblGrid>
        <w:gridCol w:w="6867"/>
        <w:gridCol w:w="1452"/>
        <w:gridCol w:w="1452"/>
      </w:tblGrid>
      <w:tr w:rsidR="00C30067" w:rsidRPr="00C30067" w:rsidTr="000D09E0">
        <w:trPr>
          <w:trHeight w:val="510"/>
        </w:trPr>
        <w:tc>
          <w:tcPr>
            <w:tcW w:w="3514" w:type="pct"/>
            <w:tcBorders>
              <w:top w:val="single" w:sz="4" w:space="0" w:color="auto"/>
              <w:left w:val="single" w:sz="4" w:space="0" w:color="auto"/>
              <w:bottom w:val="single" w:sz="4" w:space="0" w:color="auto"/>
              <w:right w:val="nil"/>
            </w:tcBorders>
            <w:shd w:val="clear" w:color="auto" w:fill="auto"/>
            <w:noWrap/>
            <w:vAlign w:val="bottom"/>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C30067">
              <w:rPr>
                <w:rFonts w:ascii="Arial" w:hAnsi="Arial" w:cs="Arial"/>
                <w:color w:val="000000"/>
                <w:sz w:val="20"/>
                <w:lang w:val="en-US" w:eastAsia="zh-CN"/>
              </w:rPr>
              <w:t>(in thousands of CHF)</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C30067">
              <w:rPr>
                <w:rFonts w:ascii="Arial" w:hAnsi="Arial" w:cs="Arial"/>
                <w:b/>
                <w:bCs/>
                <w:color w:val="000000"/>
                <w:sz w:val="20"/>
                <w:lang w:val="en-US" w:eastAsia="zh-CN"/>
              </w:rPr>
              <w:t>31/12/2017</w:t>
            </w:r>
          </w:p>
        </w:tc>
        <w:tc>
          <w:tcPr>
            <w:tcW w:w="743" w:type="pct"/>
            <w:tcBorders>
              <w:top w:val="single" w:sz="4" w:space="0" w:color="auto"/>
              <w:left w:val="nil"/>
              <w:bottom w:val="single" w:sz="4" w:space="0" w:color="auto"/>
              <w:right w:val="single" w:sz="4" w:space="0" w:color="auto"/>
            </w:tcBorders>
            <w:shd w:val="clear" w:color="auto" w:fill="auto"/>
            <w:vAlign w:val="center"/>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C30067">
              <w:rPr>
                <w:rFonts w:ascii="Arial" w:hAnsi="Arial" w:cs="Arial"/>
                <w:b/>
                <w:bCs/>
                <w:color w:val="000000"/>
                <w:sz w:val="20"/>
                <w:lang w:val="en-US" w:eastAsia="zh-CN"/>
              </w:rPr>
              <w:t>31/12/2016</w:t>
            </w:r>
          </w:p>
        </w:tc>
      </w:tr>
      <w:tr w:rsidR="00C30067" w:rsidRPr="00C30067" w:rsidTr="000D09E0">
        <w:trPr>
          <w:trHeight w:val="255"/>
        </w:trPr>
        <w:tc>
          <w:tcPr>
            <w:tcW w:w="3514" w:type="pct"/>
            <w:tcBorders>
              <w:top w:val="nil"/>
              <w:left w:val="single" w:sz="4" w:space="0" w:color="auto"/>
              <w:bottom w:val="nil"/>
              <w:right w:val="nil"/>
            </w:tcBorders>
            <w:shd w:val="clear" w:color="auto" w:fill="auto"/>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b/>
                <w:bCs/>
                <w:color w:val="000000"/>
                <w:sz w:val="20"/>
                <w:lang w:val="en-US" w:eastAsia="zh-CN"/>
              </w:rPr>
            </w:pPr>
            <w:r w:rsidRPr="00C30067">
              <w:rPr>
                <w:rFonts w:ascii="Times New Roman" w:hAnsi="Times New Roman"/>
                <w:b/>
                <w:bCs/>
                <w:color w:val="000000"/>
                <w:sz w:val="20"/>
                <w:lang w:val="en-US" w:eastAsia="zh-CN"/>
              </w:rPr>
              <w:t> </w:t>
            </w:r>
          </w:p>
        </w:tc>
        <w:tc>
          <w:tcPr>
            <w:tcW w:w="743" w:type="pct"/>
            <w:tcBorders>
              <w:top w:val="nil"/>
              <w:left w:val="single" w:sz="4" w:space="0" w:color="auto"/>
              <w:bottom w:val="nil"/>
              <w:right w:val="single" w:sz="4" w:space="0" w:color="auto"/>
            </w:tcBorders>
            <w:shd w:val="clear" w:color="auto" w:fill="auto"/>
            <w:noWrap/>
            <w:vAlign w:val="bottom"/>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C30067">
              <w:rPr>
                <w:rFonts w:ascii="Arial" w:hAnsi="Arial" w:cs="Arial"/>
                <w:color w:val="000000"/>
                <w:sz w:val="20"/>
                <w:lang w:val="en-US" w:eastAsia="zh-CN"/>
              </w:rPr>
              <w:t> </w:t>
            </w:r>
          </w:p>
        </w:tc>
        <w:tc>
          <w:tcPr>
            <w:tcW w:w="743" w:type="pct"/>
            <w:tcBorders>
              <w:top w:val="nil"/>
              <w:left w:val="nil"/>
              <w:bottom w:val="nil"/>
              <w:right w:val="single" w:sz="4" w:space="0" w:color="auto"/>
            </w:tcBorders>
            <w:shd w:val="clear" w:color="auto" w:fill="auto"/>
            <w:noWrap/>
            <w:vAlign w:val="bottom"/>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C30067">
              <w:rPr>
                <w:rFonts w:ascii="Arial" w:hAnsi="Arial" w:cs="Arial"/>
                <w:color w:val="000000"/>
                <w:sz w:val="20"/>
                <w:lang w:val="en-US" w:eastAsia="zh-CN"/>
              </w:rPr>
              <w:t> </w:t>
            </w:r>
          </w:p>
        </w:tc>
      </w:tr>
      <w:tr w:rsidR="00C30067" w:rsidRPr="00C30067" w:rsidTr="000D09E0">
        <w:trPr>
          <w:trHeight w:val="255"/>
        </w:trPr>
        <w:tc>
          <w:tcPr>
            <w:tcW w:w="3514" w:type="pct"/>
            <w:tcBorders>
              <w:top w:val="nil"/>
              <w:left w:val="single" w:sz="4" w:space="0" w:color="auto"/>
              <w:bottom w:val="nil"/>
              <w:right w:val="nil"/>
            </w:tcBorders>
            <w:shd w:val="clear" w:color="auto" w:fill="auto"/>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20"/>
                <w:lang w:val="en-US" w:eastAsia="zh-CN"/>
              </w:rPr>
            </w:pPr>
            <w:r w:rsidRPr="00C30067">
              <w:rPr>
                <w:rFonts w:ascii="Arial" w:hAnsi="Arial" w:cs="Arial"/>
                <w:b/>
                <w:bCs/>
                <w:color w:val="000000"/>
                <w:sz w:val="20"/>
                <w:lang w:val="en-US" w:eastAsia="zh-CN"/>
              </w:rPr>
              <w:t> </w:t>
            </w:r>
          </w:p>
        </w:tc>
        <w:tc>
          <w:tcPr>
            <w:tcW w:w="743" w:type="pct"/>
            <w:tcBorders>
              <w:top w:val="nil"/>
              <w:left w:val="single" w:sz="4" w:space="0" w:color="auto"/>
              <w:bottom w:val="nil"/>
              <w:right w:val="single" w:sz="4" w:space="0" w:color="auto"/>
            </w:tcBorders>
            <w:shd w:val="clear" w:color="auto" w:fill="auto"/>
            <w:noWrap/>
            <w:vAlign w:val="bottom"/>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C30067">
              <w:rPr>
                <w:rFonts w:ascii="Arial" w:hAnsi="Arial" w:cs="Arial"/>
                <w:color w:val="000000"/>
                <w:sz w:val="20"/>
                <w:lang w:val="en-US" w:eastAsia="zh-CN"/>
              </w:rPr>
              <w:t> </w:t>
            </w:r>
          </w:p>
        </w:tc>
        <w:tc>
          <w:tcPr>
            <w:tcW w:w="743" w:type="pct"/>
            <w:tcBorders>
              <w:top w:val="nil"/>
              <w:left w:val="nil"/>
              <w:bottom w:val="nil"/>
              <w:right w:val="single" w:sz="4" w:space="0" w:color="auto"/>
            </w:tcBorders>
            <w:shd w:val="clear" w:color="auto" w:fill="auto"/>
            <w:noWrap/>
            <w:vAlign w:val="bottom"/>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C30067">
              <w:rPr>
                <w:rFonts w:ascii="Arial" w:hAnsi="Arial" w:cs="Arial"/>
                <w:color w:val="000000"/>
                <w:sz w:val="20"/>
                <w:lang w:val="en-US" w:eastAsia="zh-CN"/>
              </w:rPr>
              <w:t> </w:t>
            </w:r>
          </w:p>
        </w:tc>
      </w:tr>
      <w:tr w:rsidR="00C30067" w:rsidRPr="00C30067" w:rsidTr="000D09E0">
        <w:trPr>
          <w:trHeight w:val="255"/>
        </w:trPr>
        <w:tc>
          <w:tcPr>
            <w:tcW w:w="3514" w:type="pct"/>
            <w:tcBorders>
              <w:top w:val="nil"/>
              <w:left w:val="single" w:sz="4" w:space="0" w:color="auto"/>
              <w:bottom w:val="nil"/>
              <w:right w:val="nil"/>
            </w:tcBorders>
            <w:shd w:val="clear" w:color="auto" w:fill="auto"/>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C30067">
              <w:rPr>
                <w:rFonts w:ascii="Arial" w:hAnsi="Arial" w:cs="Arial"/>
                <w:color w:val="000000"/>
                <w:sz w:val="20"/>
                <w:lang w:val="en-US" w:eastAsia="zh-CN"/>
              </w:rPr>
              <w:t>Surplus (deficit) for the period</w:t>
            </w:r>
          </w:p>
        </w:tc>
        <w:tc>
          <w:tcPr>
            <w:tcW w:w="743" w:type="pct"/>
            <w:tcBorders>
              <w:top w:val="nil"/>
              <w:left w:val="single" w:sz="4" w:space="0" w:color="auto"/>
              <w:bottom w:val="nil"/>
              <w:right w:val="single" w:sz="4" w:space="0" w:color="auto"/>
            </w:tcBorders>
            <w:shd w:val="clear" w:color="auto" w:fill="auto"/>
            <w:noWrap/>
            <w:vAlign w:val="bottom"/>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20"/>
                <w:lang w:val="en-US" w:eastAsia="zh-CN"/>
              </w:rPr>
            </w:pPr>
            <w:r w:rsidRPr="00C30067">
              <w:rPr>
                <w:rFonts w:ascii="Arial" w:hAnsi="Arial" w:cs="Arial"/>
                <w:sz w:val="20"/>
                <w:lang w:val="en-US" w:eastAsia="zh-CN"/>
              </w:rPr>
              <w:t xml:space="preserve">       -17,078 </w:t>
            </w:r>
          </w:p>
        </w:tc>
        <w:tc>
          <w:tcPr>
            <w:tcW w:w="743" w:type="pct"/>
            <w:tcBorders>
              <w:top w:val="nil"/>
              <w:left w:val="nil"/>
              <w:bottom w:val="nil"/>
              <w:right w:val="single" w:sz="4" w:space="0" w:color="auto"/>
            </w:tcBorders>
            <w:shd w:val="clear" w:color="auto" w:fill="auto"/>
            <w:noWrap/>
            <w:vAlign w:val="bottom"/>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C30067">
              <w:rPr>
                <w:rFonts w:ascii="Arial" w:hAnsi="Arial" w:cs="Arial"/>
                <w:color w:val="000000"/>
                <w:sz w:val="20"/>
                <w:lang w:val="en-US" w:eastAsia="zh-CN"/>
              </w:rPr>
              <w:t xml:space="preserve">       -11,693 </w:t>
            </w:r>
          </w:p>
        </w:tc>
      </w:tr>
      <w:tr w:rsidR="00C30067" w:rsidRPr="00C30067" w:rsidTr="000D09E0">
        <w:trPr>
          <w:trHeight w:val="255"/>
        </w:trPr>
        <w:tc>
          <w:tcPr>
            <w:tcW w:w="3514" w:type="pct"/>
            <w:tcBorders>
              <w:top w:val="nil"/>
              <w:left w:val="single" w:sz="4" w:space="0" w:color="auto"/>
              <w:bottom w:val="nil"/>
              <w:right w:val="nil"/>
            </w:tcBorders>
            <w:shd w:val="clear" w:color="auto" w:fill="auto"/>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20"/>
                <w:lang w:val="en-US" w:eastAsia="zh-CN"/>
              </w:rPr>
            </w:pPr>
            <w:r w:rsidRPr="00C30067">
              <w:rPr>
                <w:rFonts w:ascii="Arial" w:hAnsi="Arial" w:cs="Arial"/>
                <w:b/>
                <w:bCs/>
                <w:color w:val="000000"/>
                <w:sz w:val="20"/>
                <w:lang w:val="en-US" w:eastAsia="zh-CN"/>
              </w:rPr>
              <w:t>Non-monetary movements</w:t>
            </w:r>
          </w:p>
        </w:tc>
        <w:tc>
          <w:tcPr>
            <w:tcW w:w="743" w:type="pct"/>
            <w:tcBorders>
              <w:top w:val="nil"/>
              <w:left w:val="single" w:sz="4" w:space="0" w:color="auto"/>
              <w:bottom w:val="nil"/>
              <w:right w:val="single" w:sz="4" w:space="0" w:color="auto"/>
            </w:tcBorders>
            <w:shd w:val="clear" w:color="auto" w:fill="auto"/>
            <w:noWrap/>
            <w:vAlign w:val="bottom"/>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20"/>
                <w:lang w:val="en-US" w:eastAsia="zh-CN"/>
              </w:rPr>
            </w:pPr>
            <w:r w:rsidRPr="00C30067">
              <w:rPr>
                <w:rFonts w:ascii="Arial" w:hAnsi="Arial" w:cs="Arial"/>
                <w:sz w:val="20"/>
                <w:lang w:val="en-US" w:eastAsia="zh-CN"/>
              </w:rPr>
              <w:t> </w:t>
            </w:r>
          </w:p>
        </w:tc>
        <w:tc>
          <w:tcPr>
            <w:tcW w:w="743" w:type="pct"/>
            <w:tcBorders>
              <w:top w:val="nil"/>
              <w:left w:val="nil"/>
              <w:bottom w:val="nil"/>
              <w:right w:val="single" w:sz="4" w:space="0" w:color="auto"/>
            </w:tcBorders>
            <w:shd w:val="clear" w:color="auto" w:fill="auto"/>
            <w:noWrap/>
            <w:vAlign w:val="bottom"/>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C30067">
              <w:rPr>
                <w:rFonts w:ascii="Arial" w:hAnsi="Arial" w:cs="Arial"/>
                <w:color w:val="000000"/>
                <w:sz w:val="20"/>
                <w:lang w:val="en-US" w:eastAsia="zh-CN"/>
              </w:rPr>
              <w:t> </w:t>
            </w:r>
          </w:p>
        </w:tc>
      </w:tr>
      <w:tr w:rsidR="00C30067" w:rsidRPr="00C30067" w:rsidTr="000D09E0">
        <w:trPr>
          <w:trHeight w:val="255"/>
        </w:trPr>
        <w:tc>
          <w:tcPr>
            <w:tcW w:w="3514" w:type="pct"/>
            <w:tcBorders>
              <w:top w:val="nil"/>
              <w:left w:val="single" w:sz="4" w:space="0" w:color="auto"/>
              <w:bottom w:val="nil"/>
              <w:right w:val="nil"/>
            </w:tcBorders>
            <w:shd w:val="clear" w:color="auto" w:fill="auto"/>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C30067">
              <w:rPr>
                <w:rFonts w:ascii="Arial" w:hAnsi="Arial" w:cs="Arial"/>
                <w:color w:val="000000"/>
                <w:sz w:val="20"/>
                <w:lang w:val="en-US" w:eastAsia="zh-CN"/>
              </w:rPr>
              <w:t>Depreciation</w:t>
            </w:r>
          </w:p>
        </w:tc>
        <w:tc>
          <w:tcPr>
            <w:tcW w:w="743" w:type="pct"/>
            <w:tcBorders>
              <w:top w:val="nil"/>
              <w:left w:val="single" w:sz="4" w:space="0" w:color="auto"/>
              <w:bottom w:val="nil"/>
              <w:right w:val="single" w:sz="4" w:space="0" w:color="auto"/>
            </w:tcBorders>
            <w:shd w:val="clear" w:color="auto" w:fill="auto"/>
            <w:noWrap/>
            <w:vAlign w:val="bottom"/>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20"/>
                <w:lang w:val="en-US" w:eastAsia="zh-CN"/>
              </w:rPr>
            </w:pPr>
            <w:r w:rsidRPr="00C30067">
              <w:rPr>
                <w:rFonts w:ascii="Arial" w:hAnsi="Arial" w:cs="Arial"/>
                <w:sz w:val="20"/>
                <w:lang w:val="en-US" w:eastAsia="zh-CN"/>
              </w:rPr>
              <w:t xml:space="preserve">          5,212 </w:t>
            </w:r>
          </w:p>
        </w:tc>
        <w:tc>
          <w:tcPr>
            <w:tcW w:w="743" w:type="pct"/>
            <w:tcBorders>
              <w:top w:val="nil"/>
              <w:left w:val="nil"/>
              <w:bottom w:val="nil"/>
              <w:right w:val="single" w:sz="4" w:space="0" w:color="auto"/>
            </w:tcBorders>
            <w:shd w:val="clear" w:color="auto" w:fill="auto"/>
            <w:noWrap/>
            <w:vAlign w:val="bottom"/>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C30067">
              <w:rPr>
                <w:rFonts w:ascii="Arial" w:hAnsi="Arial" w:cs="Arial"/>
                <w:color w:val="000000"/>
                <w:sz w:val="20"/>
                <w:lang w:val="en-US" w:eastAsia="zh-CN"/>
              </w:rPr>
              <w:t xml:space="preserve">          5,610 </w:t>
            </w:r>
          </w:p>
        </w:tc>
      </w:tr>
      <w:tr w:rsidR="00C30067" w:rsidRPr="00C30067" w:rsidTr="000D09E0">
        <w:trPr>
          <w:trHeight w:val="255"/>
        </w:trPr>
        <w:tc>
          <w:tcPr>
            <w:tcW w:w="3514" w:type="pct"/>
            <w:tcBorders>
              <w:top w:val="nil"/>
              <w:left w:val="single" w:sz="4" w:space="0" w:color="auto"/>
              <w:bottom w:val="nil"/>
              <w:right w:val="nil"/>
            </w:tcBorders>
            <w:shd w:val="clear" w:color="auto" w:fill="auto"/>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C30067">
              <w:rPr>
                <w:rFonts w:ascii="Arial" w:hAnsi="Arial" w:cs="Arial"/>
                <w:color w:val="000000"/>
                <w:sz w:val="20"/>
                <w:lang w:val="en-US" w:eastAsia="zh-CN"/>
              </w:rPr>
              <w:t>ASHI provision</w:t>
            </w:r>
          </w:p>
        </w:tc>
        <w:tc>
          <w:tcPr>
            <w:tcW w:w="743" w:type="pct"/>
            <w:tcBorders>
              <w:top w:val="nil"/>
              <w:left w:val="single" w:sz="4" w:space="0" w:color="auto"/>
              <w:bottom w:val="nil"/>
              <w:right w:val="single" w:sz="4" w:space="0" w:color="auto"/>
            </w:tcBorders>
            <w:shd w:val="clear" w:color="auto" w:fill="auto"/>
            <w:noWrap/>
            <w:vAlign w:val="bottom"/>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20"/>
                <w:lang w:val="en-US" w:eastAsia="zh-CN"/>
              </w:rPr>
            </w:pPr>
            <w:r w:rsidRPr="00C30067">
              <w:rPr>
                <w:rFonts w:ascii="Arial" w:hAnsi="Arial" w:cs="Arial"/>
                <w:sz w:val="20"/>
                <w:lang w:val="en-US" w:eastAsia="zh-CN"/>
              </w:rPr>
              <w:t xml:space="preserve">        18,214 </w:t>
            </w:r>
          </w:p>
        </w:tc>
        <w:tc>
          <w:tcPr>
            <w:tcW w:w="743" w:type="pct"/>
            <w:tcBorders>
              <w:top w:val="nil"/>
              <w:left w:val="nil"/>
              <w:bottom w:val="nil"/>
              <w:right w:val="single" w:sz="4" w:space="0" w:color="auto"/>
            </w:tcBorders>
            <w:shd w:val="clear" w:color="auto" w:fill="auto"/>
            <w:noWrap/>
            <w:vAlign w:val="bottom"/>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C30067">
              <w:rPr>
                <w:rFonts w:ascii="Arial" w:hAnsi="Arial" w:cs="Arial"/>
                <w:color w:val="000000"/>
                <w:sz w:val="20"/>
                <w:lang w:val="en-US" w:eastAsia="zh-CN"/>
              </w:rPr>
              <w:t xml:space="preserve">        13,667 </w:t>
            </w:r>
          </w:p>
        </w:tc>
      </w:tr>
      <w:tr w:rsidR="00C30067" w:rsidRPr="00C30067" w:rsidTr="000D09E0">
        <w:trPr>
          <w:trHeight w:val="255"/>
        </w:trPr>
        <w:tc>
          <w:tcPr>
            <w:tcW w:w="3514" w:type="pct"/>
            <w:tcBorders>
              <w:top w:val="nil"/>
              <w:left w:val="single" w:sz="4" w:space="0" w:color="auto"/>
              <w:bottom w:val="nil"/>
              <w:right w:val="nil"/>
            </w:tcBorders>
            <w:shd w:val="clear" w:color="auto" w:fill="auto"/>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C30067">
              <w:rPr>
                <w:rFonts w:ascii="Arial" w:hAnsi="Arial" w:cs="Arial"/>
                <w:color w:val="000000"/>
                <w:sz w:val="20"/>
                <w:lang w:val="en-US" w:eastAsia="zh-CN"/>
              </w:rPr>
              <w:t>Provisions for repatriation (LT)</w:t>
            </w:r>
          </w:p>
        </w:tc>
        <w:tc>
          <w:tcPr>
            <w:tcW w:w="743" w:type="pct"/>
            <w:tcBorders>
              <w:top w:val="nil"/>
              <w:left w:val="single" w:sz="4" w:space="0" w:color="auto"/>
              <w:bottom w:val="nil"/>
              <w:right w:val="single" w:sz="4" w:space="0" w:color="auto"/>
            </w:tcBorders>
            <w:shd w:val="clear" w:color="auto" w:fill="auto"/>
            <w:noWrap/>
            <w:vAlign w:val="bottom"/>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C30067">
              <w:rPr>
                <w:rFonts w:ascii="Arial" w:hAnsi="Arial" w:cs="Arial"/>
                <w:color w:val="000000"/>
                <w:sz w:val="20"/>
                <w:lang w:val="en-US" w:eastAsia="zh-CN"/>
              </w:rPr>
              <w:t xml:space="preserve">         -1,268 </w:t>
            </w:r>
          </w:p>
        </w:tc>
        <w:tc>
          <w:tcPr>
            <w:tcW w:w="743" w:type="pct"/>
            <w:tcBorders>
              <w:top w:val="nil"/>
              <w:left w:val="nil"/>
              <w:bottom w:val="nil"/>
              <w:right w:val="single" w:sz="4" w:space="0" w:color="auto"/>
            </w:tcBorders>
            <w:shd w:val="clear" w:color="auto" w:fill="auto"/>
            <w:noWrap/>
            <w:vAlign w:val="bottom"/>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C30067">
              <w:rPr>
                <w:rFonts w:ascii="Arial" w:hAnsi="Arial" w:cs="Arial"/>
                <w:color w:val="000000"/>
                <w:sz w:val="20"/>
                <w:lang w:val="en-US" w:eastAsia="zh-CN"/>
              </w:rPr>
              <w:t xml:space="preserve">          2,495 </w:t>
            </w:r>
          </w:p>
        </w:tc>
      </w:tr>
      <w:tr w:rsidR="00C30067" w:rsidRPr="00C30067" w:rsidTr="000D09E0">
        <w:trPr>
          <w:trHeight w:val="255"/>
        </w:trPr>
        <w:tc>
          <w:tcPr>
            <w:tcW w:w="3514" w:type="pct"/>
            <w:tcBorders>
              <w:top w:val="nil"/>
              <w:left w:val="single" w:sz="4" w:space="0" w:color="auto"/>
              <w:bottom w:val="nil"/>
              <w:right w:val="nil"/>
            </w:tcBorders>
            <w:shd w:val="clear" w:color="auto" w:fill="auto"/>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C30067">
              <w:rPr>
                <w:rFonts w:ascii="Arial" w:hAnsi="Arial" w:cs="Arial"/>
                <w:color w:val="000000"/>
                <w:sz w:val="20"/>
                <w:lang w:val="en-US" w:eastAsia="zh-CN"/>
              </w:rPr>
              <w:t>Provisions for employee benefits (ST)</w:t>
            </w:r>
          </w:p>
        </w:tc>
        <w:tc>
          <w:tcPr>
            <w:tcW w:w="743" w:type="pct"/>
            <w:tcBorders>
              <w:top w:val="nil"/>
              <w:left w:val="single" w:sz="4" w:space="0" w:color="auto"/>
              <w:bottom w:val="nil"/>
              <w:right w:val="single" w:sz="4" w:space="0" w:color="auto"/>
            </w:tcBorders>
            <w:shd w:val="clear" w:color="auto" w:fill="auto"/>
            <w:noWrap/>
            <w:vAlign w:val="bottom"/>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C30067">
              <w:rPr>
                <w:rFonts w:ascii="Arial" w:hAnsi="Arial" w:cs="Arial"/>
                <w:color w:val="000000"/>
                <w:sz w:val="20"/>
                <w:lang w:val="en-US" w:eastAsia="zh-CN"/>
              </w:rPr>
              <w:t xml:space="preserve">             174 </w:t>
            </w:r>
          </w:p>
        </w:tc>
        <w:tc>
          <w:tcPr>
            <w:tcW w:w="743" w:type="pct"/>
            <w:tcBorders>
              <w:top w:val="nil"/>
              <w:left w:val="nil"/>
              <w:bottom w:val="nil"/>
              <w:right w:val="single" w:sz="4" w:space="0" w:color="auto"/>
            </w:tcBorders>
            <w:shd w:val="clear" w:color="auto" w:fill="auto"/>
            <w:noWrap/>
            <w:vAlign w:val="bottom"/>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C30067">
              <w:rPr>
                <w:rFonts w:ascii="Arial" w:hAnsi="Arial" w:cs="Arial"/>
                <w:color w:val="000000"/>
                <w:sz w:val="20"/>
                <w:lang w:val="en-US" w:eastAsia="zh-CN"/>
              </w:rPr>
              <w:t xml:space="preserve">          1,073 </w:t>
            </w:r>
          </w:p>
        </w:tc>
      </w:tr>
      <w:tr w:rsidR="00C30067" w:rsidRPr="00C30067" w:rsidTr="000D09E0">
        <w:trPr>
          <w:trHeight w:val="255"/>
        </w:trPr>
        <w:tc>
          <w:tcPr>
            <w:tcW w:w="3514" w:type="pct"/>
            <w:tcBorders>
              <w:top w:val="nil"/>
              <w:left w:val="single" w:sz="4" w:space="0" w:color="auto"/>
              <w:bottom w:val="nil"/>
              <w:right w:val="nil"/>
            </w:tcBorders>
            <w:shd w:val="clear" w:color="auto" w:fill="auto"/>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C30067">
              <w:rPr>
                <w:rFonts w:ascii="Arial" w:hAnsi="Arial" w:cs="Arial"/>
                <w:color w:val="000000"/>
                <w:sz w:val="20"/>
                <w:lang w:val="en-US" w:eastAsia="zh-CN"/>
              </w:rPr>
              <w:t>Provisions for accrued leave (LT)</w:t>
            </w:r>
          </w:p>
        </w:tc>
        <w:tc>
          <w:tcPr>
            <w:tcW w:w="743" w:type="pct"/>
            <w:tcBorders>
              <w:top w:val="nil"/>
              <w:left w:val="single" w:sz="4" w:space="0" w:color="auto"/>
              <w:bottom w:val="nil"/>
              <w:right w:val="single" w:sz="4" w:space="0" w:color="auto"/>
            </w:tcBorders>
            <w:shd w:val="clear" w:color="auto" w:fill="auto"/>
            <w:noWrap/>
            <w:vAlign w:val="bottom"/>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C30067">
              <w:rPr>
                <w:rFonts w:ascii="Arial" w:hAnsi="Arial" w:cs="Arial"/>
                <w:color w:val="000000"/>
                <w:sz w:val="20"/>
                <w:lang w:val="en-US" w:eastAsia="zh-CN"/>
              </w:rPr>
              <w:t xml:space="preserve">             180 </w:t>
            </w:r>
          </w:p>
        </w:tc>
        <w:tc>
          <w:tcPr>
            <w:tcW w:w="743" w:type="pct"/>
            <w:tcBorders>
              <w:top w:val="nil"/>
              <w:left w:val="nil"/>
              <w:bottom w:val="nil"/>
              <w:right w:val="single" w:sz="4" w:space="0" w:color="auto"/>
            </w:tcBorders>
            <w:shd w:val="clear" w:color="auto" w:fill="auto"/>
            <w:noWrap/>
            <w:vAlign w:val="bottom"/>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C30067">
              <w:rPr>
                <w:rFonts w:ascii="Arial" w:hAnsi="Arial" w:cs="Arial"/>
                <w:color w:val="000000"/>
                <w:sz w:val="20"/>
                <w:lang w:val="en-US" w:eastAsia="zh-CN"/>
              </w:rPr>
              <w:t xml:space="preserve">            -496 </w:t>
            </w:r>
          </w:p>
        </w:tc>
      </w:tr>
      <w:tr w:rsidR="00C30067" w:rsidRPr="00C30067" w:rsidTr="000D09E0">
        <w:trPr>
          <w:trHeight w:val="255"/>
        </w:trPr>
        <w:tc>
          <w:tcPr>
            <w:tcW w:w="3514" w:type="pct"/>
            <w:tcBorders>
              <w:top w:val="nil"/>
              <w:left w:val="single" w:sz="4" w:space="0" w:color="auto"/>
              <w:bottom w:val="nil"/>
              <w:right w:val="nil"/>
            </w:tcBorders>
            <w:shd w:val="clear" w:color="auto" w:fill="auto"/>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C30067">
              <w:rPr>
                <w:rFonts w:ascii="Arial" w:hAnsi="Arial" w:cs="Arial"/>
                <w:color w:val="000000"/>
                <w:sz w:val="20"/>
                <w:lang w:val="en-US" w:eastAsia="zh-CN"/>
              </w:rPr>
              <w:t>Other provisions</w:t>
            </w:r>
          </w:p>
        </w:tc>
        <w:tc>
          <w:tcPr>
            <w:tcW w:w="743" w:type="pct"/>
            <w:tcBorders>
              <w:top w:val="nil"/>
              <w:left w:val="single" w:sz="4" w:space="0" w:color="auto"/>
              <w:bottom w:val="nil"/>
              <w:right w:val="single" w:sz="4" w:space="0" w:color="auto"/>
            </w:tcBorders>
            <w:shd w:val="clear" w:color="auto" w:fill="auto"/>
            <w:noWrap/>
            <w:vAlign w:val="bottom"/>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C30067">
              <w:rPr>
                <w:rFonts w:ascii="Arial" w:hAnsi="Arial" w:cs="Arial"/>
                <w:color w:val="000000"/>
                <w:sz w:val="20"/>
                <w:lang w:val="en-US" w:eastAsia="zh-CN"/>
              </w:rPr>
              <w:t xml:space="preserve">             526 </w:t>
            </w:r>
          </w:p>
        </w:tc>
        <w:tc>
          <w:tcPr>
            <w:tcW w:w="743" w:type="pct"/>
            <w:tcBorders>
              <w:top w:val="nil"/>
              <w:left w:val="nil"/>
              <w:bottom w:val="nil"/>
              <w:right w:val="single" w:sz="4" w:space="0" w:color="auto"/>
            </w:tcBorders>
            <w:shd w:val="clear" w:color="auto" w:fill="auto"/>
            <w:noWrap/>
            <w:vAlign w:val="bottom"/>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C30067">
              <w:rPr>
                <w:rFonts w:ascii="Arial" w:hAnsi="Arial" w:cs="Arial"/>
                <w:color w:val="000000"/>
                <w:sz w:val="20"/>
                <w:lang w:val="en-US" w:eastAsia="zh-CN"/>
              </w:rPr>
              <w:t xml:space="preserve">             593 </w:t>
            </w:r>
          </w:p>
        </w:tc>
      </w:tr>
      <w:tr w:rsidR="00C30067" w:rsidRPr="00C30067" w:rsidTr="000D09E0">
        <w:trPr>
          <w:trHeight w:val="255"/>
        </w:trPr>
        <w:tc>
          <w:tcPr>
            <w:tcW w:w="3514" w:type="pct"/>
            <w:tcBorders>
              <w:top w:val="nil"/>
              <w:left w:val="single" w:sz="4" w:space="0" w:color="auto"/>
              <w:bottom w:val="nil"/>
              <w:right w:val="nil"/>
            </w:tcBorders>
            <w:shd w:val="clear" w:color="auto" w:fill="auto"/>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C30067">
              <w:rPr>
                <w:rFonts w:ascii="Arial" w:hAnsi="Arial" w:cs="Arial"/>
                <w:color w:val="000000"/>
                <w:sz w:val="20"/>
                <w:lang w:val="en-US" w:eastAsia="zh-CN"/>
              </w:rPr>
              <w:t xml:space="preserve">Provision for </w:t>
            </w:r>
            <w:proofErr w:type="spellStart"/>
            <w:r w:rsidRPr="00C30067">
              <w:rPr>
                <w:rFonts w:ascii="Arial" w:hAnsi="Arial" w:cs="Arial"/>
                <w:color w:val="000000"/>
                <w:sz w:val="20"/>
                <w:lang w:val="en-US" w:eastAsia="zh-CN"/>
              </w:rPr>
              <w:t>doubtfull</w:t>
            </w:r>
            <w:proofErr w:type="spellEnd"/>
            <w:r w:rsidRPr="00C30067">
              <w:rPr>
                <w:rFonts w:ascii="Arial" w:hAnsi="Arial" w:cs="Arial"/>
                <w:color w:val="000000"/>
                <w:sz w:val="20"/>
                <w:lang w:val="en-US" w:eastAsia="zh-CN"/>
              </w:rPr>
              <w:t xml:space="preserve"> receivable</w:t>
            </w:r>
          </w:p>
        </w:tc>
        <w:tc>
          <w:tcPr>
            <w:tcW w:w="743" w:type="pct"/>
            <w:tcBorders>
              <w:top w:val="nil"/>
              <w:left w:val="single" w:sz="4" w:space="0" w:color="auto"/>
              <w:bottom w:val="nil"/>
              <w:right w:val="single" w:sz="4" w:space="0" w:color="auto"/>
            </w:tcBorders>
            <w:shd w:val="clear" w:color="auto" w:fill="auto"/>
            <w:noWrap/>
            <w:vAlign w:val="bottom"/>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C30067">
              <w:rPr>
                <w:rFonts w:ascii="Arial" w:hAnsi="Arial" w:cs="Arial"/>
                <w:color w:val="000000"/>
                <w:sz w:val="20"/>
                <w:lang w:val="en-US" w:eastAsia="zh-CN"/>
              </w:rPr>
              <w:t xml:space="preserve">          5,472 </w:t>
            </w:r>
          </w:p>
        </w:tc>
        <w:tc>
          <w:tcPr>
            <w:tcW w:w="743" w:type="pct"/>
            <w:tcBorders>
              <w:top w:val="nil"/>
              <w:left w:val="nil"/>
              <w:bottom w:val="nil"/>
              <w:right w:val="single" w:sz="4" w:space="0" w:color="auto"/>
            </w:tcBorders>
            <w:shd w:val="clear" w:color="auto" w:fill="auto"/>
            <w:noWrap/>
            <w:vAlign w:val="bottom"/>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C30067">
              <w:rPr>
                <w:rFonts w:ascii="Arial" w:hAnsi="Arial" w:cs="Arial"/>
                <w:color w:val="000000"/>
                <w:sz w:val="20"/>
                <w:lang w:val="en-US" w:eastAsia="zh-CN"/>
              </w:rPr>
              <w:t xml:space="preserve">         -2,846 </w:t>
            </w:r>
          </w:p>
        </w:tc>
      </w:tr>
      <w:tr w:rsidR="00C30067" w:rsidRPr="00C30067" w:rsidTr="000D09E0">
        <w:trPr>
          <w:trHeight w:val="255"/>
        </w:trPr>
        <w:tc>
          <w:tcPr>
            <w:tcW w:w="3514" w:type="pct"/>
            <w:tcBorders>
              <w:top w:val="nil"/>
              <w:left w:val="single" w:sz="4" w:space="0" w:color="auto"/>
              <w:bottom w:val="nil"/>
              <w:right w:val="nil"/>
            </w:tcBorders>
            <w:shd w:val="clear" w:color="auto" w:fill="auto"/>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C30067">
              <w:rPr>
                <w:rFonts w:ascii="Arial" w:hAnsi="Arial" w:cs="Arial"/>
                <w:color w:val="000000"/>
                <w:sz w:val="20"/>
                <w:lang w:val="en-US" w:eastAsia="zh-CN"/>
              </w:rPr>
              <w:t>Inventory depreciation</w:t>
            </w:r>
          </w:p>
        </w:tc>
        <w:tc>
          <w:tcPr>
            <w:tcW w:w="743" w:type="pct"/>
            <w:tcBorders>
              <w:top w:val="nil"/>
              <w:left w:val="single" w:sz="4" w:space="0" w:color="auto"/>
              <w:bottom w:val="nil"/>
              <w:right w:val="single" w:sz="4" w:space="0" w:color="auto"/>
            </w:tcBorders>
            <w:shd w:val="clear" w:color="auto" w:fill="auto"/>
            <w:noWrap/>
            <w:vAlign w:val="bottom"/>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20"/>
                <w:lang w:val="en-US" w:eastAsia="zh-CN"/>
              </w:rPr>
            </w:pPr>
            <w:r w:rsidRPr="00C30067">
              <w:rPr>
                <w:rFonts w:ascii="Arial" w:hAnsi="Arial" w:cs="Arial"/>
                <w:sz w:val="20"/>
                <w:lang w:val="en-US" w:eastAsia="zh-CN"/>
              </w:rPr>
              <w:t xml:space="preserve">               -3 </w:t>
            </w:r>
          </w:p>
        </w:tc>
        <w:tc>
          <w:tcPr>
            <w:tcW w:w="743" w:type="pct"/>
            <w:tcBorders>
              <w:top w:val="nil"/>
              <w:left w:val="nil"/>
              <w:bottom w:val="nil"/>
              <w:right w:val="single" w:sz="4" w:space="0" w:color="auto"/>
            </w:tcBorders>
            <w:shd w:val="clear" w:color="auto" w:fill="auto"/>
            <w:noWrap/>
            <w:vAlign w:val="bottom"/>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C30067">
              <w:rPr>
                <w:rFonts w:ascii="Arial" w:hAnsi="Arial" w:cs="Arial"/>
                <w:color w:val="000000"/>
                <w:sz w:val="20"/>
                <w:lang w:val="en-US" w:eastAsia="zh-CN"/>
              </w:rPr>
              <w:t xml:space="preserve">             -19 </w:t>
            </w:r>
          </w:p>
        </w:tc>
      </w:tr>
      <w:tr w:rsidR="00C30067" w:rsidRPr="00C30067" w:rsidTr="000D09E0">
        <w:trPr>
          <w:trHeight w:val="255"/>
        </w:trPr>
        <w:tc>
          <w:tcPr>
            <w:tcW w:w="3514" w:type="pct"/>
            <w:tcBorders>
              <w:top w:val="nil"/>
              <w:left w:val="single" w:sz="4" w:space="0" w:color="auto"/>
              <w:bottom w:val="nil"/>
              <w:right w:val="nil"/>
            </w:tcBorders>
            <w:shd w:val="clear" w:color="auto" w:fill="auto"/>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C30067">
              <w:rPr>
                <w:rFonts w:ascii="Arial" w:hAnsi="Arial" w:cs="Arial"/>
                <w:color w:val="000000"/>
                <w:sz w:val="20"/>
                <w:lang w:val="en-US" w:eastAsia="zh-CN"/>
              </w:rPr>
              <w:t>Net (gain) or loss on sales of fixed assets</w:t>
            </w:r>
          </w:p>
        </w:tc>
        <w:tc>
          <w:tcPr>
            <w:tcW w:w="743" w:type="pct"/>
            <w:tcBorders>
              <w:top w:val="nil"/>
              <w:left w:val="single" w:sz="4" w:space="0" w:color="auto"/>
              <w:bottom w:val="nil"/>
              <w:right w:val="single" w:sz="4" w:space="0" w:color="auto"/>
            </w:tcBorders>
            <w:shd w:val="clear" w:color="auto" w:fill="auto"/>
            <w:noWrap/>
            <w:vAlign w:val="bottom"/>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20"/>
                <w:lang w:val="en-US" w:eastAsia="zh-CN"/>
              </w:rPr>
            </w:pPr>
            <w:r w:rsidRPr="00C30067">
              <w:rPr>
                <w:rFonts w:ascii="Arial" w:hAnsi="Arial" w:cs="Arial"/>
                <w:sz w:val="20"/>
                <w:lang w:val="en-US" w:eastAsia="zh-CN"/>
              </w:rPr>
              <w:t xml:space="preserve">                5 </w:t>
            </w:r>
          </w:p>
        </w:tc>
        <w:tc>
          <w:tcPr>
            <w:tcW w:w="743" w:type="pct"/>
            <w:tcBorders>
              <w:top w:val="nil"/>
              <w:left w:val="nil"/>
              <w:bottom w:val="nil"/>
              <w:right w:val="single" w:sz="4" w:space="0" w:color="auto"/>
            </w:tcBorders>
            <w:shd w:val="clear" w:color="auto" w:fill="auto"/>
            <w:noWrap/>
            <w:vAlign w:val="bottom"/>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C30067">
              <w:rPr>
                <w:rFonts w:ascii="Arial" w:hAnsi="Arial" w:cs="Arial"/>
                <w:color w:val="000000"/>
                <w:sz w:val="20"/>
                <w:lang w:val="en-US" w:eastAsia="zh-CN"/>
              </w:rPr>
              <w:t xml:space="preserve">                2 </w:t>
            </w:r>
          </w:p>
        </w:tc>
      </w:tr>
      <w:tr w:rsidR="00C30067" w:rsidRPr="00C30067" w:rsidTr="000D09E0">
        <w:trPr>
          <w:trHeight w:val="255"/>
        </w:trPr>
        <w:tc>
          <w:tcPr>
            <w:tcW w:w="3514" w:type="pct"/>
            <w:tcBorders>
              <w:top w:val="nil"/>
              <w:left w:val="single" w:sz="4" w:space="0" w:color="auto"/>
              <w:bottom w:val="nil"/>
              <w:right w:val="nil"/>
            </w:tcBorders>
            <w:shd w:val="clear" w:color="auto" w:fill="auto"/>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C30067">
              <w:rPr>
                <w:rFonts w:ascii="Arial" w:hAnsi="Arial" w:cs="Arial"/>
                <w:color w:val="000000"/>
                <w:sz w:val="20"/>
                <w:lang w:val="en-US" w:eastAsia="zh-CN"/>
              </w:rPr>
              <w:t>Unrealized exchange-rate gains/losses</w:t>
            </w:r>
          </w:p>
        </w:tc>
        <w:tc>
          <w:tcPr>
            <w:tcW w:w="743" w:type="pct"/>
            <w:tcBorders>
              <w:top w:val="nil"/>
              <w:left w:val="single" w:sz="4" w:space="0" w:color="auto"/>
              <w:bottom w:val="nil"/>
              <w:right w:val="single" w:sz="4" w:space="0" w:color="auto"/>
            </w:tcBorders>
            <w:shd w:val="clear" w:color="auto" w:fill="auto"/>
            <w:noWrap/>
            <w:vAlign w:val="bottom"/>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20"/>
                <w:lang w:val="en-US" w:eastAsia="zh-CN"/>
              </w:rPr>
            </w:pPr>
            <w:r w:rsidRPr="00C30067">
              <w:rPr>
                <w:rFonts w:ascii="Arial" w:hAnsi="Arial" w:cs="Arial"/>
                <w:sz w:val="20"/>
                <w:lang w:val="en-US" w:eastAsia="zh-CN"/>
              </w:rPr>
              <w:t xml:space="preserve">               -   </w:t>
            </w:r>
          </w:p>
        </w:tc>
        <w:tc>
          <w:tcPr>
            <w:tcW w:w="743" w:type="pct"/>
            <w:tcBorders>
              <w:top w:val="nil"/>
              <w:left w:val="nil"/>
              <w:bottom w:val="nil"/>
              <w:right w:val="single" w:sz="4" w:space="0" w:color="auto"/>
            </w:tcBorders>
            <w:shd w:val="clear" w:color="auto" w:fill="auto"/>
            <w:noWrap/>
            <w:vAlign w:val="bottom"/>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C30067">
              <w:rPr>
                <w:rFonts w:ascii="Arial" w:hAnsi="Arial" w:cs="Arial"/>
                <w:color w:val="000000"/>
                <w:sz w:val="20"/>
                <w:lang w:val="en-US" w:eastAsia="zh-CN"/>
              </w:rPr>
              <w:t xml:space="preserve">               -   </w:t>
            </w:r>
          </w:p>
        </w:tc>
      </w:tr>
      <w:tr w:rsidR="00C30067" w:rsidRPr="00C30067" w:rsidTr="000D09E0">
        <w:trPr>
          <w:trHeight w:val="330"/>
        </w:trPr>
        <w:tc>
          <w:tcPr>
            <w:tcW w:w="3514" w:type="pct"/>
            <w:tcBorders>
              <w:top w:val="nil"/>
              <w:left w:val="single" w:sz="4" w:space="0" w:color="auto"/>
              <w:bottom w:val="nil"/>
              <w:right w:val="nil"/>
            </w:tcBorders>
            <w:shd w:val="clear" w:color="auto" w:fill="auto"/>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C30067">
              <w:rPr>
                <w:rFonts w:ascii="Arial" w:hAnsi="Arial" w:cs="Arial"/>
                <w:color w:val="000000"/>
                <w:sz w:val="20"/>
                <w:lang w:val="en-US" w:eastAsia="zh-CN"/>
              </w:rPr>
              <w:t>Interest received</w:t>
            </w:r>
          </w:p>
        </w:tc>
        <w:tc>
          <w:tcPr>
            <w:tcW w:w="743" w:type="pct"/>
            <w:tcBorders>
              <w:top w:val="nil"/>
              <w:left w:val="single" w:sz="4" w:space="0" w:color="auto"/>
              <w:bottom w:val="nil"/>
              <w:right w:val="single" w:sz="4" w:space="0" w:color="auto"/>
            </w:tcBorders>
            <w:shd w:val="clear" w:color="auto" w:fill="auto"/>
            <w:noWrap/>
            <w:vAlign w:val="bottom"/>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20"/>
                <w:lang w:val="en-US" w:eastAsia="zh-CN"/>
              </w:rPr>
            </w:pPr>
            <w:r w:rsidRPr="00C30067">
              <w:rPr>
                <w:rFonts w:ascii="Arial" w:hAnsi="Arial" w:cs="Arial"/>
                <w:sz w:val="20"/>
                <w:lang w:val="en-US" w:eastAsia="zh-CN"/>
              </w:rPr>
              <w:t xml:space="preserve">            -220 </w:t>
            </w:r>
          </w:p>
        </w:tc>
        <w:tc>
          <w:tcPr>
            <w:tcW w:w="743" w:type="pct"/>
            <w:tcBorders>
              <w:top w:val="nil"/>
              <w:left w:val="nil"/>
              <w:bottom w:val="nil"/>
              <w:right w:val="single" w:sz="4" w:space="0" w:color="auto"/>
            </w:tcBorders>
            <w:shd w:val="clear" w:color="auto" w:fill="auto"/>
            <w:noWrap/>
            <w:vAlign w:val="bottom"/>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C30067">
              <w:rPr>
                <w:rFonts w:ascii="Arial" w:hAnsi="Arial" w:cs="Arial"/>
                <w:color w:val="000000"/>
                <w:sz w:val="20"/>
                <w:lang w:val="en-US" w:eastAsia="zh-CN"/>
              </w:rPr>
              <w:t xml:space="preserve">            -242 </w:t>
            </w:r>
          </w:p>
        </w:tc>
      </w:tr>
      <w:tr w:rsidR="00C30067" w:rsidRPr="00C30067" w:rsidTr="000D09E0">
        <w:trPr>
          <w:trHeight w:val="255"/>
        </w:trPr>
        <w:tc>
          <w:tcPr>
            <w:tcW w:w="3514" w:type="pct"/>
            <w:tcBorders>
              <w:top w:val="nil"/>
              <w:left w:val="single" w:sz="4" w:space="0" w:color="auto"/>
              <w:bottom w:val="nil"/>
              <w:right w:val="nil"/>
            </w:tcBorders>
            <w:shd w:val="clear" w:color="auto" w:fill="auto"/>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C30067">
              <w:rPr>
                <w:rFonts w:ascii="Arial" w:hAnsi="Arial" w:cs="Arial"/>
                <w:color w:val="000000"/>
                <w:sz w:val="20"/>
                <w:lang w:val="en-US" w:eastAsia="zh-CN"/>
              </w:rPr>
              <w:t> </w:t>
            </w:r>
          </w:p>
        </w:tc>
        <w:tc>
          <w:tcPr>
            <w:tcW w:w="743" w:type="pct"/>
            <w:tcBorders>
              <w:top w:val="nil"/>
              <w:left w:val="single" w:sz="4" w:space="0" w:color="auto"/>
              <w:bottom w:val="nil"/>
              <w:right w:val="single" w:sz="4" w:space="0" w:color="auto"/>
            </w:tcBorders>
            <w:shd w:val="clear" w:color="auto" w:fill="auto"/>
            <w:noWrap/>
            <w:vAlign w:val="bottom"/>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20"/>
                <w:lang w:val="en-US" w:eastAsia="zh-CN"/>
              </w:rPr>
            </w:pPr>
            <w:r w:rsidRPr="00C30067">
              <w:rPr>
                <w:rFonts w:ascii="Arial" w:hAnsi="Arial" w:cs="Arial"/>
                <w:sz w:val="20"/>
                <w:lang w:val="en-US" w:eastAsia="zh-CN"/>
              </w:rPr>
              <w:t> </w:t>
            </w:r>
          </w:p>
        </w:tc>
        <w:tc>
          <w:tcPr>
            <w:tcW w:w="743" w:type="pct"/>
            <w:tcBorders>
              <w:top w:val="nil"/>
              <w:left w:val="nil"/>
              <w:bottom w:val="nil"/>
              <w:right w:val="single" w:sz="4" w:space="0" w:color="auto"/>
            </w:tcBorders>
            <w:shd w:val="clear" w:color="auto" w:fill="auto"/>
            <w:noWrap/>
            <w:vAlign w:val="bottom"/>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C30067">
              <w:rPr>
                <w:rFonts w:ascii="Arial" w:hAnsi="Arial" w:cs="Arial"/>
                <w:color w:val="000000"/>
                <w:sz w:val="20"/>
                <w:lang w:val="en-US" w:eastAsia="zh-CN"/>
              </w:rPr>
              <w:t> </w:t>
            </w:r>
          </w:p>
        </w:tc>
      </w:tr>
      <w:tr w:rsidR="00C30067" w:rsidRPr="00C30067" w:rsidTr="000D09E0">
        <w:trPr>
          <w:trHeight w:val="285"/>
        </w:trPr>
        <w:tc>
          <w:tcPr>
            <w:tcW w:w="3514" w:type="pct"/>
            <w:tcBorders>
              <w:top w:val="single" w:sz="4" w:space="0" w:color="auto"/>
              <w:left w:val="single" w:sz="4" w:space="0" w:color="auto"/>
              <w:bottom w:val="single" w:sz="4" w:space="0" w:color="auto"/>
              <w:right w:val="nil"/>
            </w:tcBorders>
            <w:shd w:val="clear" w:color="auto" w:fill="auto"/>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20"/>
                <w:lang w:val="en-US" w:eastAsia="zh-CN"/>
              </w:rPr>
            </w:pPr>
            <w:r w:rsidRPr="00C30067">
              <w:rPr>
                <w:rFonts w:ascii="Arial" w:hAnsi="Arial" w:cs="Arial"/>
                <w:b/>
                <w:bCs/>
                <w:color w:val="000000"/>
                <w:sz w:val="20"/>
                <w:lang w:val="en-US" w:eastAsia="zh-CN"/>
              </w:rPr>
              <w:t>Restated surplus (deficit) from non-monetary movements</w:t>
            </w:r>
          </w:p>
        </w:tc>
        <w:tc>
          <w:tcPr>
            <w:tcW w:w="743" w:type="pct"/>
            <w:tcBorders>
              <w:top w:val="single" w:sz="4" w:space="0" w:color="auto"/>
              <w:left w:val="single" w:sz="4" w:space="0" w:color="auto"/>
              <w:bottom w:val="single" w:sz="4" w:space="0" w:color="auto"/>
              <w:right w:val="single" w:sz="4" w:space="0" w:color="auto"/>
            </w:tcBorders>
            <w:shd w:val="clear" w:color="auto" w:fill="auto"/>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sz w:val="20"/>
                <w:lang w:val="en-US" w:eastAsia="zh-CN"/>
              </w:rPr>
            </w:pPr>
            <w:r w:rsidRPr="00C30067">
              <w:rPr>
                <w:rFonts w:ascii="Arial" w:hAnsi="Arial" w:cs="Arial"/>
                <w:b/>
                <w:bCs/>
                <w:sz w:val="20"/>
                <w:lang w:val="en-US" w:eastAsia="zh-CN"/>
              </w:rPr>
              <w:t xml:space="preserve">        11,215 </w:t>
            </w:r>
          </w:p>
        </w:tc>
        <w:tc>
          <w:tcPr>
            <w:tcW w:w="743" w:type="pct"/>
            <w:tcBorders>
              <w:top w:val="single" w:sz="4" w:space="0" w:color="auto"/>
              <w:left w:val="nil"/>
              <w:bottom w:val="single" w:sz="4" w:space="0" w:color="auto"/>
              <w:right w:val="single" w:sz="4" w:space="0" w:color="auto"/>
            </w:tcBorders>
            <w:shd w:val="clear" w:color="auto" w:fill="auto"/>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sz w:val="20"/>
                <w:lang w:val="en-US" w:eastAsia="zh-CN"/>
              </w:rPr>
            </w:pPr>
            <w:r w:rsidRPr="00C30067">
              <w:rPr>
                <w:rFonts w:ascii="Arial" w:hAnsi="Arial" w:cs="Arial"/>
                <w:b/>
                <w:bCs/>
                <w:sz w:val="20"/>
                <w:lang w:val="en-US" w:eastAsia="zh-CN"/>
              </w:rPr>
              <w:t xml:space="preserve">          8,144 </w:t>
            </w:r>
          </w:p>
        </w:tc>
      </w:tr>
      <w:tr w:rsidR="00C30067" w:rsidRPr="00C30067" w:rsidTr="000D09E0">
        <w:trPr>
          <w:trHeight w:val="300"/>
        </w:trPr>
        <w:tc>
          <w:tcPr>
            <w:tcW w:w="3514" w:type="pct"/>
            <w:tcBorders>
              <w:top w:val="nil"/>
              <w:left w:val="single" w:sz="4" w:space="0" w:color="auto"/>
              <w:bottom w:val="nil"/>
              <w:right w:val="nil"/>
            </w:tcBorders>
            <w:shd w:val="clear" w:color="auto" w:fill="auto"/>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C30067">
              <w:rPr>
                <w:rFonts w:ascii="Arial" w:hAnsi="Arial" w:cs="Arial"/>
                <w:color w:val="000000"/>
                <w:sz w:val="20"/>
                <w:lang w:val="en-US" w:eastAsia="zh-CN"/>
              </w:rPr>
              <w:t>(Increase) decrease in inventories</w:t>
            </w:r>
          </w:p>
        </w:tc>
        <w:tc>
          <w:tcPr>
            <w:tcW w:w="743" w:type="pct"/>
            <w:tcBorders>
              <w:top w:val="nil"/>
              <w:left w:val="single" w:sz="4" w:space="0" w:color="auto"/>
              <w:bottom w:val="nil"/>
              <w:right w:val="single" w:sz="4" w:space="0" w:color="auto"/>
            </w:tcBorders>
            <w:shd w:val="clear" w:color="auto" w:fill="auto"/>
            <w:noWrap/>
            <w:vAlign w:val="bottom"/>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20"/>
                <w:lang w:val="en-US" w:eastAsia="zh-CN"/>
              </w:rPr>
            </w:pPr>
            <w:r w:rsidRPr="00C30067">
              <w:rPr>
                <w:rFonts w:ascii="Arial" w:hAnsi="Arial" w:cs="Arial"/>
                <w:sz w:val="20"/>
                <w:lang w:val="en-US" w:eastAsia="zh-CN"/>
              </w:rPr>
              <w:t xml:space="preserve">            -113 </w:t>
            </w:r>
          </w:p>
        </w:tc>
        <w:tc>
          <w:tcPr>
            <w:tcW w:w="743" w:type="pct"/>
            <w:tcBorders>
              <w:top w:val="nil"/>
              <w:left w:val="nil"/>
              <w:bottom w:val="nil"/>
              <w:right w:val="single" w:sz="4" w:space="0" w:color="auto"/>
            </w:tcBorders>
            <w:shd w:val="clear" w:color="auto" w:fill="auto"/>
            <w:noWrap/>
            <w:vAlign w:val="bottom"/>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C30067">
              <w:rPr>
                <w:rFonts w:ascii="Arial" w:hAnsi="Arial" w:cs="Arial"/>
                <w:color w:val="000000"/>
                <w:sz w:val="20"/>
                <w:lang w:val="en-US" w:eastAsia="zh-CN"/>
              </w:rPr>
              <w:t xml:space="preserve">              48 </w:t>
            </w:r>
          </w:p>
        </w:tc>
      </w:tr>
      <w:tr w:rsidR="00C30067" w:rsidRPr="00C30067" w:rsidTr="000D09E0">
        <w:trPr>
          <w:trHeight w:val="255"/>
        </w:trPr>
        <w:tc>
          <w:tcPr>
            <w:tcW w:w="3514" w:type="pct"/>
            <w:tcBorders>
              <w:top w:val="nil"/>
              <w:left w:val="single" w:sz="4" w:space="0" w:color="auto"/>
              <w:bottom w:val="nil"/>
              <w:right w:val="nil"/>
            </w:tcBorders>
            <w:shd w:val="clear" w:color="auto" w:fill="auto"/>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C30067">
              <w:rPr>
                <w:rFonts w:ascii="Arial" w:hAnsi="Arial" w:cs="Arial"/>
                <w:color w:val="000000"/>
                <w:sz w:val="20"/>
                <w:lang w:val="en-US" w:eastAsia="zh-CN"/>
              </w:rPr>
              <w:t>(Increase) decrease in short-term receivables</w:t>
            </w:r>
          </w:p>
        </w:tc>
        <w:tc>
          <w:tcPr>
            <w:tcW w:w="743" w:type="pct"/>
            <w:tcBorders>
              <w:top w:val="nil"/>
              <w:left w:val="single" w:sz="4" w:space="0" w:color="auto"/>
              <w:bottom w:val="nil"/>
              <w:right w:val="single" w:sz="4" w:space="0" w:color="auto"/>
            </w:tcBorders>
            <w:shd w:val="clear" w:color="auto" w:fill="auto"/>
            <w:noWrap/>
            <w:vAlign w:val="bottom"/>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C30067">
              <w:rPr>
                <w:rFonts w:ascii="Arial" w:hAnsi="Arial" w:cs="Arial"/>
                <w:color w:val="000000"/>
                <w:sz w:val="20"/>
                <w:lang w:val="en-US" w:eastAsia="zh-CN"/>
              </w:rPr>
              <w:t xml:space="preserve">       -17,042 </w:t>
            </w:r>
          </w:p>
        </w:tc>
        <w:tc>
          <w:tcPr>
            <w:tcW w:w="743" w:type="pct"/>
            <w:tcBorders>
              <w:top w:val="nil"/>
              <w:left w:val="nil"/>
              <w:bottom w:val="nil"/>
              <w:right w:val="single" w:sz="4" w:space="0" w:color="auto"/>
            </w:tcBorders>
            <w:shd w:val="clear" w:color="auto" w:fill="auto"/>
            <w:noWrap/>
            <w:vAlign w:val="bottom"/>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C30067">
              <w:rPr>
                <w:rFonts w:ascii="Arial" w:hAnsi="Arial" w:cs="Arial"/>
                <w:color w:val="000000"/>
                <w:sz w:val="20"/>
                <w:lang w:val="en-US" w:eastAsia="zh-CN"/>
              </w:rPr>
              <w:t xml:space="preserve">          3,499 </w:t>
            </w:r>
          </w:p>
        </w:tc>
      </w:tr>
      <w:tr w:rsidR="00C30067" w:rsidRPr="00C30067" w:rsidTr="000D09E0">
        <w:trPr>
          <w:trHeight w:val="255"/>
        </w:trPr>
        <w:tc>
          <w:tcPr>
            <w:tcW w:w="3514" w:type="pct"/>
            <w:tcBorders>
              <w:top w:val="nil"/>
              <w:left w:val="single" w:sz="4" w:space="0" w:color="auto"/>
              <w:bottom w:val="nil"/>
              <w:right w:val="nil"/>
            </w:tcBorders>
            <w:shd w:val="clear" w:color="auto" w:fill="auto"/>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C30067">
              <w:rPr>
                <w:rFonts w:ascii="Arial" w:hAnsi="Arial" w:cs="Arial"/>
                <w:color w:val="000000"/>
                <w:sz w:val="20"/>
                <w:lang w:val="en-US" w:eastAsia="zh-CN"/>
              </w:rPr>
              <w:t>(Increase) decrease in other short-term receivables</w:t>
            </w:r>
          </w:p>
        </w:tc>
        <w:tc>
          <w:tcPr>
            <w:tcW w:w="743" w:type="pct"/>
            <w:tcBorders>
              <w:top w:val="nil"/>
              <w:left w:val="single" w:sz="4" w:space="0" w:color="auto"/>
              <w:bottom w:val="nil"/>
              <w:right w:val="single" w:sz="4" w:space="0" w:color="auto"/>
            </w:tcBorders>
            <w:shd w:val="clear" w:color="auto" w:fill="auto"/>
            <w:noWrap/>
            <w:vAlign w:val="bottom"/>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C30067">
              <w:rPr>
                <w:rFonts w:ascii="Arial" w:hAnsi="Arial" w:cs="Arial"/>
                <w:color w:val="000000"/>
                <w:sz w:val="20"/>
                <w:lang w:val="en-US" w:eastAsia="zh-CN"/>
              </w:rPr>
              <w:t xml:space="preserve">          1,944 </w:t>
            </w:r>
          </w:p>
        </w:tc>
        <w:tc>
          <w:tcPr>
            <w:tcW w:w="743" w:type="pct"/>
            <w:tcBorders>
              <w:top w:val="nil"/>
              <w:left w:val="nil"/>
              <w:bottom w:val="nil"/>
              <w:right w:val="single" w:sz="4" w:space="0" w:color="auto"/>
            </w:tcBorders>
            <w:shd w:val="clear" w:color="auto" w:fill="auto"/>
            <w:noWrap/>
            <w:vAlign w:val="bottom"/>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C30067">
              <w:rPr>
                <w:rFonts w:ascii="Arial" w:hAnsi="Arial" w:cs="Arial"/>
                <w:color w:val="000000"/>
                <w:sz w:val="20"/>
                <w:lang w:val="en-US" w:eastAsia="zh-CN"/>
              </w:rPr>
              <w:t xml:space="preserve">         -1,377 </w:t>
            </w:r>
          </w:p>
        </w:tc>
      </w:tr>
      <w:tr w:rsidR="00C30067" w:rsidRPr="00C30067" w:rsidTr="000D09E0">
        <w:trPr>
          <w:trHeight w:val="255"/>
        </w:trPr>
        <w:tc>
          <w:tcPr>
            <w:tcW w:w="3514" w:type="pct"/>
            <w:tcBorders>
              <w:top w:val="nil"/>
              <w:left w:val="single" w:sz="4" w:space="0" w:color="auto"/>
              <w:bottom w:val="nil"/>
              <w:right w:val="nil"/>
            </w:tcBorders>
            <w:shd w:val="clear" w:color="auto" w:fill="auto"/>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C30067">
              <w:rPr>
                <w:rFonts w:ascii="Arial" w:hAnsi="Arial" w:cs="Arial"/>
                <w:color w:val="000000"/>
                <w:sz w:val="20"/>
                <w:lang w:val="en-US" w:eastAsia="zh-CN"/>
              </w:rPr>
              <w:t>Increase (decrease) in suppliers</w:t>
            </w:r>
          </w:p>
        </w:tc>
        <w:tc>
          <w:tcPr>
            <w:tcW w:w="743" w:type="pct"/>
            <w:tcBorders>
              <w:top w:val="nil"/>
              <w:left w:val="single" w:sz="4" w:space="0" w:color="auto"/>
              <w:bottom w:val="nil"/>
              <w:right w:val="single" w:sz="4" w:space="0" w:color="auto"/>
            </w:tcBorders>
            <w:shd w:val="clear" w:color="auto" w:fill="auto"/>
            <w:noWrap/>
            <w:vAlign w:val="bottom"/>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20"/>
                <w:lang w:val="en-US" w:eastAsia="zh-CN"/>
              </w:rPr>
            </w:pPr>
            <w:r w:rsidRPr="00C30067">
              <w:rPr>
                <w:rFonts w:ascii="Arial" w:hAnsi="Arial" w:cs="Arial"/>
                <w:sz w:val="20"/>
                <w:lang w:val="en-US" w:eastAsia="zh-CN"/>
              </w:rPr>
              <w:t xml:space="preserve">             523 </w:t>
            </w:r>
          </w:p>
        </w:tc>
        <w:tc>
          <w:tcPr>
            <w:tcW w:w="743" w:type="pct"/>
            <w:tcBorders>
              <w:top w:val="nil"/>
              <w:left w:val="nil"/>
              <w:bottom w:val="nil"/>
              <w:right w:val="single" w:sz="4" w:space="0" w:color="auto"/>
            </w:tcBorders>
            <w:shd w:val="clear" w:color="auto" w:fill="auto"/>
            <w:noWrap/>
            <w:vAlign w:val="bottom"/>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C30067">
              <w:rPr>
                <w:rFonts w:ascii="Arial" w:hAnsi="Arial" w:cs="Arial"/>
                <w:color w:val="000000"/>
                <w:sz w:val="20"/>
                <w:lang w:val="en-US" w:eastAsia="zh-CN"/>
              </w:rPr>
              <w:t xml:space="preserve">          1,952 </w:t>
            </w:r>
          </w:p>
        </w:tc>
      </w:tr>
      <w:tr w:rsidR="00C30067" w:rsidRPr="00C30067" w:rsidTr="000D09E0">
        <w:trPr>
          <w:trHeight w:val="255"/>
        </w:trPr>
        <w:tc>
          <w:tcPr>
            <w:tcW w:w="3514" w:type="pct"/>
            <w:tcBorders>
              <w:top w:val="nil"/>
              <w:left w:val="single" w:sz="4" w:space="0" w:color="auto"/>
              <w:bottom w:val="nil"/>
              <w:right w:val="nil"/>
            </w:tcBorders>
            <w:shd w:val="clear" w:color="auto" w:fill="auto"/>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C30067">
              <w:rPr>
                <w:rFonts w:ascii="Arial" w:hAnsi="Arial" w:cs="Arial"/>
                <w:color w:val="000000"/>
                <w:sz w:val="20"/>
                <w:lang w:val="en-US" w:eastAsia="zh-CN"/>
              </w:rPr>
              <w:t>Increase (decrease) in deferred revenue</w:t>
            </w:r>
          </w:p>
        </w:tc>
        <w:tc>
          <w:tcPr>
            <w:tcW w:w="743" w:type="pct"/>
            <w:tcBorders>
              <w:top w:val="nil"/>
              <w:left w:val="single" w:sz="4" w:space="0" w:color="auto"/>
              <w:bottom w:val="nil"/>
              <w:right w:val="single" w:sz="4" w:space="0" w:color="auto"/>
            </w:tcBorders>
            <w:shd w:val="clear" w:color="auto" w:fill="auto"/>
            <w:noWrap/>
            <w:vAlign w:val="bottom"/>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20"/>
                <w:lang w:val="en-US" w:eastAsia="zh-CN"/>
              </w:rPr>
            </w:pPr>
            <w:r w:rsidRPr="00C30067">
              <w:rPr>
                <w:rFonts w:ascii="Arial" w:hAnsi="Arial" w:cs="Arial"/>
                <w:sz w:val="20"/>
                <w:lang w:val="en-US" w:eastAsia="zh-CN"/>
              </w:rPr>
              <w:t xml:space="preserve">          5,253 </w:t>
            </w:r>
          </w:p>
        </w:tc>
        <w:tc>
          <w:tcPr>
            <w:tcW w:w="743" w:type="pct"/>
            <w:tcBorders>
              <w:top w:val="nil"/>
              <w:left w:val="nil"/>
              <w:bottom w:val="nil"/>
              <w:right w:val="single" w:sz="4" w:space="0" w:color="auto"/>
            </w:tcBorders>
            <w:shd w:val="clear" w:color="auto" w:fill="auto"/>
            <w:noWrap/>
            <w:vAlign w:val="bottom"/>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C30067">
              <w:rPr>
                <w:rFonts w:ascii="Arial" w:hAnsi="Arial" w:cs="Arial"/>
                <w:color w:val="000000"/>
                <w:sz w:val="20"/>
                <w:lang w:val="en-US" w:eastAsia="zh-CN"/>
              </w:rPr>
              <w:t xml:space="preserve">          1,453 </w:t>
            </w:r>
          </w:p>
        </w:tc>
      </w:tr>
      <w:tr w:rsidR="00C30067" w:rsidRPr="00C30067" w:rsidTr="000D09E0">
        <w:trPr>
          <w:trHeight w:val="255"/>
        </w:trPr>
        <w:tc>
          <w:tcPr>
            <w:tcW w:w="3514" w:type="pct"/>
            <w:tcBorders>
              <w:top w:val="nil"/>
              <w:left w:val="single" w:sz="4" w:space="0" w:color="auto"/>
              <w:bottom w:val="nil"/>
              <w:right w:val="nil"/>
            </w:tcBorders>
            <w:shd w:val="clear" w:color="auto" w:fill="auto"/>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C30067">
              <w:rPr>
                <w:rFonts w:ascii="Arial" w:hAnsi="Arial" w:cs="Arial"/>
                <w:color w:val="000000"/>
                <w:sz w:val="20"/>
                <w:lang w:val="en-US" w:eastAsia="zh-CN"/>
              </w:rPr>
              <w:t>Increase (decrease) in other debts</w:t>
            </w:r>
          </w:p>
        </w:tc>
        <w:tc>
          <w:tcPr>
            <w:tcW w:w="743" w:type="pct"/>
            <w:tcBorders>
              <w:top w:val="nil"/>
              <w:left w:val="single" w:sz="4" w:space="0" w:color="auto"/>
              <w:bottom w:val="nil"/>
              <w:right w:val="single" w:sz="4" w:space="0" w:color="auto"/>
            </w:tcBorders>
            <w:shd w:val="clear" w:color="auto" w:fill="auto"/>
            <w:noWrap/>
            <w:vAlign w:val="bottom"/>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C30067">
              <w:rPr>
                <w:rFonts w:ascii="Arial" w:hAnsi="Arial" w:cs="Arial"/>
                <w:color w:val="000000"/>
                <w:sz w:val="20"/>
                <w:lang w:val="en-US" w:eastAsia="zh-CN"/>
              </w:rPr>
              <w:t xml:space="preserve">         -3,264 </w:t>
            </w:r>
          </w:p>
        </w:tc>
        <w:tc>
          <w:tcPr>
            <w:tcW w:w="743" w:type="pct"/>
            <w:tcBorders>
              <w:top w:val="nil"/>
              <w:left w:val="nil"/>
              <w:bottom w:val="nil"/>
              <w:right w:val="single" w:sz="4" w:space="0" w:color="auto"/>
            </w:tcBorders>
            <w:shd w:val="clear" w:color="auto" w:fill="auto"/>
            <w:noWrap/>
            <w:vAlign w:val="bottom"/>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C30067">
              <w:rPr>
                <w:rFonts w:ascii="Arial" w:hAnsi="Arial" w:cs="Arial"/>
                <w:color w:val="000000"/>
                <w:sz w:val="20"/>
                <w:lang w:val="en-US" w:eastAsia="zh-CN"/>
              </w:rPr>
              <w:t xml:space="preserve">            -206 </w:t>
            </w:r>
          </w:p>
        </w:tc>
      </w:tr>
      <w:tr w:rsidR="00C30067" w:rsidRPr="00C30067" w:rsidTr="000D09E0">
        <w:trPr>
          <w:trHeight w:val="285"/>
        </w:trPr>
        <w:tc>
          <w:tcPr>
            <w:tcW w:w="3514" w:type="pct"/>
            <w:tcBorders>
              <w:top w:val="nil"/>
              <w:left w:val="single" w:sz="4" w:space="0" w:color="auto"/>
              <w:bottom w:val="nil"/>
              <w:right w:val="nil"/>
            </w:tcBorders>
            <w:shd w:val="clear" w:color="auto" w:fill="auto"/>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C30067">
              <w:rPr>
                <w:rFonts w:ascii="Arial" w:hAnsi="Arial" w:cs="Arial"/>
                <w:color w:val="000000"/>
                <w:sz w:val="20"/>
                <w:lang w:val="en-US" w:eastAsia="zh-CN"/>
              </w:rPr>
              <w:t>Use of provisions for employee benefits (ST)</w:t>
            </w:r>
          </w:p>
        </w:tc>
        <w:tc>
          <w:tcPr>
            <w:tcW w:w="743" w:type="pct"/>
            <w:tcBorders>
              <w:top w:val="nil"/>
              <w:left w:val="single" w:sz="4" w:space="0" w:color="auto"/>
              <w:bottom w:val="nil"/>
              <w:right w:val="single" w:sz="4" w:space="0" w:color="auto"/>
            </w:tcBorders>
            <w:shd w:val="clear" w:color="auto" w:fill="auto"/>
            <w:noWrap/>
            <w:vAlign w:val="bottom"/>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C30067">
              <w:rPr>
                <w:rFonts w:ascii="Arial" w:hAnsi="Arial" w:cs="Arial"/>
                <w:color w:val="000000"/>
                <w:sz w:val="20"/>
                <w:lang w:val="en-US" w:eastAsia="zh-CN"/>
              </w:rPr>
              <w:t xml:space="preserve">         -1,042 </w:t>
            </w:r>
          </w:p>
        </w:tc>
        <w:tc>
          <w:tcPr>
            <w:tcW w:w="743" w:type="pct"/>
            <w:tcBorders>
              <w:top w:val="nil"/>
              <w:left w:val="nil"/>
              <w:bottom w:val="nil"/>
              <w:right w:val="single" w:sz="4" w:space="0" w:color="auto"/>
            </w:tcBorders>
            <w:shd w:val="clear" w:color="auto" w:fill="auto"/>
            <w:noWrap/>
            <w:vAlign w:val="bottom"/>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C30067">
              <w:rPr>
                <w:rFonts w:ascii="Arial" w:hAnsi="Arial" w:cs="Arial"/>
                <w:color w:val="000000"/>
                <w:sz w:val="20"/>
                <w:lang w:val="en-US" w:eastAsia="zh-CN"/>
              </w:rPr>
              <w:t xml:space="preserve">            -460 </w:t>
            </w:r>
          </w:p>
        </w:tc>
      </w:tr>
      <w:tr w:rsidR="00C30067" w:rsidRPr="00C30067" w:rsidTr="000D09E0">
        <w:trPr>
          <w:trHeight w:val="285"/>
        </w:trPr>
        <w:tc>
          <w:tcPr>
            <w:tcW w:w="3514" w:type="pct"/>
            <w:tcBorders>
              <w:top w:val="nil"/>
              <w:left w:val="single" w:sz="4" w:space="0" w:color="auto"/>
              <w:bottom w:val="nil"/>
              <w:right w:val="nil"/>
            </w:tcBorders>
            <w:shd w:val="clear" w:color="auto" w:fill="auto"/>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C30067">
              <w:rPr>
                <w:rFonts w:ascii="Arial" w:hAnsi="Arial" w:cs="Arial"/>
                <w:color w:val="000000"/>
                <w:sz w:val="20"/>
                <w:lang w:val="en-US" w:eastAsia="zh-CN"/>
              </w:rPr>
              <w:t>Use of provision for repatriation (LT)</w:t>
            </w:r>
          </w:p>
        </w:tc>
        <w:tc>
          <w:tcPr>
            <w:tcW w:w="743" w:type="pct"/>
            <w:tcBorders>
              <w:top w:val="nil"/>
              <w:left w:val="single" w:sz="4" w:space="0" w:color="auto"/>
              <w:bottom w:val="nil"/>
              <w:right w:val="single" w:sz="4" w:space="0" w:color="auto"/>
            </w:tcBorders>
            <w:shd w:val="clear" w:color="auto" w:fill="auto"/>
            <w:noWrap/>
            <w:vAlign w:val="bottom"/>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C30067">
              <w:rPr>
                <w:rFonts w:ascii="Arial" w:hAnsi="Arial" w:cs="Arial"/>
                <w:color w:val="000000"/>
                <w:sz w:val="20"/>
                <w:lang w:val="en-US" w:eastAsia="zh-CN"/>
              </w:rPr>
              <w:t xml:space="preserve">            -914 </w:t>
            </w:r>
          </w:p>
        </w:tc>
        <w:tc>
          <w:tcPr>
            <w:tcW w:w="743" w:type="pct"/>
            <w:tcBorders>
              <w:top w:val="nil"/>
              <w:left w:val="nil"/>
              <w:bottom w:val="nil"/>
              <w:right w:val="single" w:sz="4" w:space="0" w:color="auto"/>
            </w:tcBorders>
            <w:shd w:val="clear" w:color="auto" w:fill="auto"/>
            <w:noWrap/>
            <w:vAlign w:val="bottom"/>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C30067">
              <w:rPr>
                <w:rFonts w:ascii="Arial" w:hAnsi="Arial" w:cs="Arial"/>
                <w:color w:val="000000"/>
                <w:sz w:val="20"/>
                <w:lang w:val="en-US" w:eastAsia="zh-CN"/>
              </w:rPr>
              <w:t xml:space="preserve">            -753 </w:t>
            </w:r>
          </w:p>
        </w:tc>
      </w:tr>
      <w:tr w:rsidR="00C30067" w:rsidRPr="00C30067" w:rsidTr="000D09E0">
        <w:trPr>
          <w:trHeight w:val="285"/>
        </w:trPr>
        <w:tc>
          <w:tcPr>
            <w:tcW w:w="3514" w:type="pct"/>
            <w:tcBorders>
              <w:top w:val="nil"/>
              <w:left w:val="single" w:sz="4" w:space="0" w:color="auto"/>
              <w:bottom w:val="nil"/>
              <w:right w:val="nil"/>
            </w:tcBorders>
            <w:shd w:val="clear" w:color="auto" w:fill="auto"/>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C30067">
              <w:rPr>
                <w:rFonts w:ascii="Arial" w:hAnsi="Arial" w:cs="Arial"/>
                <w:color w:val="000000"/>
                <w:sz w:val="20"/>
                <w:lang w:val="en-US" w:eastAsia="zh-CN"/>
              </w:rPr>
              <w:t>Use of provision for accrued leave (LT)</w:t>
            </w:r>
          </w:p>
        </w:tc>
        <w:tc>
          <w:tcPr>
            <w:tcW w:w="743" w:type="pct"/>
            <w:tcBorders>
              <w:top w:val="nil"/>
              <w:left w:val="single" w:sz="4" w:space="0" w:color="auto"/>
              <w:bottom w:val="nil"/>
              <w:right w:val="single" w:sz="4" w:space="0" w:color="auto"/>
            </w:tcBorders>
            <w:shd w:val="clear" w:color="auto" w:fill="auto"/>
            <w:noWrap/>
            <w:vAlign w:val="bottom"/>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C30067">
              <w:rPr>
                <w:rFonts w:ascii="Arial" w:hAnsi="Arial" w:cs="Arial"/>
                <w:color w:val="000000"/>
                <w:sz w:val="20"/>
                <w:lang w:val="en-US" w:eastAsia="zh-CN"/>
              </w:rPr>
              <w:t xml:space="preserve">             -95 </w:t>
            </w:r>
          </w:p>
        </w:tc>
        <w:tc>
          <w:tcPr>
            <w:tcW w:w="743" w:type="pct"/>
            <w:tcBorders>
              <w:top w:val="nil"/>
              <w:left w:val="nil"/>
              <w:bottom w:val="nil"/>
              <w:right w:val="single" w:sz="4" w:space="0" w:color="auto"/>
            </w:tcBorders>
            <w:shd w:val="clear" w:color="auto" w:fill="auto"/>
            <w:noWrap/>
            <w:vAlign w:val="bottom"/>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C30067">
              <w:rPr>
                <w:rFonts w:ascii="Arial" w:hAnsi="Arial" w:cs="Arial"/>
                <w:color w:val="000000"/>
                <w:sz w:val="20"/>
                <w:lang w:val="en-US" w:eastAsia="zh-CN"/>
              </w:rPr>
              <w:t xml:space="preserve">            -222 </w:t>
            </w:r>
          </w:p>
        </w:tc>
      </w:tr>
      <w:tr w:rsidR="00C30067" w:rsidRPr="00C30067" w:rsidTr="000D09E0">
        <w:trPr>
          <w:trHeight w:val="285"/>
        </w:trPr>
        <w:tc>
          <w:tcPr>
            <w:tcW w:w="3514" w:type="pct"/>
            <w:tcBorders>
              <w:top w:val="nil"/>
              <w:left w:val="single" w:sz="4" w:space="0" w:color="auto"/>
              <w:bottom w:val="nil"/>
              <w:right w:val="nil"/>
            </w:tcBorders>
            <w:shd w:val="clear" w:color="auto" w:fill="auto"/>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C30067">
              <w:rPr>
                <w:rFonts w:ascii="Arial" w:hAnsi="Arial" w:cs="Arial"/>
                <w:color w:val="000000"/>
                <w:sz w:val="20"/>
                <w:lang w:val="en-US" w:eastAsia="zh-CN"/>
              </w:rPr>
              <w:t>Use of provisions for employee benefits (LT)</w:t>
            </w:r>
          </w:p>
        </w:tc>
        <w:tc>
          <w:tcPr>
            <w:tcW w:w="743" w:type="pct"/>
            <w:tcBorders>
              <w:top w:val="nil"/>
              <w:left w:val="single" w:sz="4" w:space="0" w:color="auto"/>
              <w:bottom w:val="nil"/>
              <w:right w:val="single" w:sz="4" w:space="0" w:color="auto"/>
            </w:tcBorders>
            <w:shd w:val="clear" w:color="auto" w:fill="auto"/>
            <w:noWrap/>
            <w:vAlign w:val="bottom"/>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C30067">
              <w:rPr>
                <w:rFonts w:ascii="Arial" w:hAnsi="Arial" w:cs="Arial"/>
                <w:color w:val="000000"/>
                <w:sz w:val="20"/>
                <w:lang w:val="en-US" w:eastAsia="zh-CN"/>
              </w:rPr>
              <w:t xml:space="preserve">               -   </w:t>
            </w:r>
          </w:p>
        </w:tc>
        <w:tc>
          <w:tcPr>
            <w:tcW w:w="743" w:type="pct"/>
            <w:tcBorders>
              <w:top w:val="nil"/>
              <w:left w:val="nil"/>
              <w:bottom w:val="nil"/>
              <w:right w:val="single" w:sz="4" w:space="0" w:color="auto"/>
            </w:tcBorders>
            <w:shd w:val="clear" w:color="auto" w:fill="auto"/>
            <w:noWrap/>
            <w:vAlign w:val="bottom"/>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C30067">
              <w:rPr>
                <w:rFonts w:ascii="Arial" w:hAnsi="Arial" w:cs="Arial"/>
                <w:color w:val="000000"/>
                <w:sz w:val="20"/>
                <w:lang w:val="en-US" w:eastAsia="zh-CN"/>
              </w:rPr>
              <w:t xml:space="preserve">             -36 </w:t>
            </w:r>
          </w:p>
        </w:tc>
      </w:tr>
      <w:tr w:rsidR="00C30067" w:rsidRPr="00C30067" w:rsidTr="000D09E0">
        <w:trPr>
          <w:trHeight w:val="255"/>
        </w:trPr>
        <w:tc>
          <w:tcPr>
            <w:tcW w:w="3514" w:type="pct"/>
            <w:tcBorders>
              <w:top w:val="nil"/>
              <w:left w:val="single" w:sz="4" w:space="0" w:color="auto"/>
              <w:bottom w:val="nil"/>
              <w:right w:val="nil"/>
            </w:tcBorders>
            <w:shd w:val="clear" w:color="auto" w:fill="auto"/>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C30067">
              <w:rPr>
                <w:rFonts w:ascii="Arial" w:hAnsi="Arial" w:cs="Arial"/>
                <w:color w:val="000000"/>
                <w:sz w:val="20"/>
                <w:lang w:val="en-US" w:eastAsia="zh-CN"/>
              </w:rPr>
              <w:t>Increase (decrease) Other provisions</w:t>
            </w:r>
          </w:p>
        </w:tc>
        <w:tc>
          <w:tcPr>
            <w:tcW w:w="743" w:type="pct"/>
            <w:tcBorders>
              <w:top w:val="nil"/>
              <w:left w:val="single" w:sz="4" w:space="0" w:color="auto"/>
              <w:bottom w:val="nil"/>
              <w:right w:val="single" w:sz="4" w:space="0" w:color="auto"/>
            </w:tcBorders>
            <w:shd w:val="clear" w:color="auto" w:fill="auto"/>
            <w:noWrap/>
            <w:vAlign w:val="bottom"/>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C30067">
              <w:rPr>
                <w:rFonts w:ascii="Arial" w:hAnsi="Arial" w:cs="Arial"/>
                <w:color w:val="000000"/>
                <w:sz w:val="20"/>
                <w:lang w:val="en-US" w:eastAsia="zh-CN"/>
              </w:rPr>
              <w:t xml:space="preserve">            -342 </w:t>
            </w:r>
          </w:p>
        </w:tc>
        <w:tc>
          <w:tcPr>
            <w:tcW w:w="743" w:type="pct"/>
            <w:tcBorders>
              <w:top w:val="nil"/>
              <w:left w:val="nil"/>
              <w:bottom w:val="nil"/>
              <w:right w:val="single" w:sz="4" w:space="0" w:color="auto"/>
            </w:tcBorders>
            <w:shd w:val="clear" w:color="auto" w:fill="auto"/>
            <w:noWrap/>
            <w:vAlign w:val="bottom"/>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C30067">
              <w:rPr>
                <w:rFonts w:ascii="Arial" w:hAnsi="Arial" w:cs="Arial"/>
                <w:color w:val="000000"/>
                <w:sz w:val="20"/>
                <w:lang w:val="en-US" w:eastAsia="zh-CN"/>
              </w:rPr>
              <w:t xml:space="preserve">            -187 </w:t>
            </w:r>
          </w:p>
        </w:tc>
      </w:tr>
      <w:tr w:rsidR="00C30067" w:rsidRPr="00C30067" w:rsidTr="000D09E0">
        <w:trPr>
          <w:trHeight w:val="255"/>
        </w:trPr>
        <w:tc>
          <w:tcPr>
            <w:tcW w:w="3514" w:type="pct"/>
            <w:tcBorders>
              <w:top w:val="nil"/>
              <w:left w:val="single" w:sz="4" w:space="0" w:color="auto"/>
              <w:bottom w:val="nil"/>
              <w:right w:val="nil"/>
            </w:tcBorders>
            <w:shd w:val="clear" w:color="auto" w:fill="auto"/>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C30067">
              <w:rPr>
                <w:rFonts w:ascii="Arial" w:hAnsi="Arial" w:cs="Arial"/>
                <w:color w:val="000000"/>
                <w:sz w:val="20"/>
                <w:lang w:val="en-US" w:eastAsia="zh-CN"/>
              </w:rPr>
              <w:t>Increase (decrease) in third-party funds</w:t>
            </w:r>
          </w:p>
        </w:tc>
        <w:tc>
          <w:tcPr>
            <w:tcW w:w="743" w:type="pct"/>
            <w:tcBorders>
              <w:top w:val="nil"/>
              <w:left w:val="single" w:sz="4" w:space="0" w:color="auto"/>
              <w:bottom w:val="nil"/>
              <w:right w:val="single" w:sz="4" w:space="0" w:color="auto"/>
            </w:tcBorders>
            <w:shd w:val="clear" w:color="auto" w:fill="auto"/>
            <w:noWrap/>
            <w:vAlign w:val="bottom"/>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20"/>
                <w:lang w:val="en-US" w:eastAsia="zh-CN"/>
              </w:rPr>
            </w:pPr>
            <w:r w:rsidRPr="00C30067">
              <w:rPr>
                <w:rFonts w:ascii="Arial" w:hAnsi="Arial" w:cs="Arial"/>
                <w:sz w:val="20"/>
                <w:lang w:val="en-US" w:eastAsia="zh-CN"/>
              </w:rPr>
              <w:t xml:space="preserve">         -1,131 </w:t>
            </w:r>
          </w:p>
        </w:tc>
        <w:tc>
          <w:tcPr>
            <w:tcW w:w="743" w:type="pct"/>
            <w:tcBorders>
              <w:top w:val="nil"/>
              <w:left w:val="nil"/>
              <w:bottom w:val="nil"/>
              <w:right w:val="single" w:sz="4" w:space="0" w:color="auto"/>
            </w:tcBorders>
            <w:shd w:val="clear" w:color="auto" w:fill="auto"/>
            <w:noWrap/>
            <w:vAlign w:val="bottom"/>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C30067">
              <w:rPr>
                <w:rFonts w:ascii="Arial" w:hAnsi="Arial" w:cs="Arial"/>
                <w:color w:val="000000"/>
                <w:sz w:val="20"/>
                <w:lang w:val="en-US" w:eastAsia="zh-CN"/>
              </w:rPr>
              <w:t xml:space="preserve">         -4,200 </w:t>
            </w:r>
          </w:p>
        </w:tc>
      </w:tr>
      <w:tr w:rsidR="00C30067" w:rsidRPr="00C30067" w:rsidTr="000D09E0">
        <w:trPr>
          <w:trHeight w:val="255"/>
        </w:trPr>
        <w:tc>
          <w:tcPr>
            <w:tcW w:w="3514" w:type="pct"/>
            <w:tcBorders>
              <w:top w:val="nil"/>
              <w:left w:val="single" w:sz="4" w:space="0" w:color="auto"/>
              <w:bottom w:val="nil"/>
              <w:right w:val="nil"/>
            </w:tcBorders>
            <w:shd w:val="clear" w:color="auto" w:fill="auto"/>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C30067">
              <w:rPr>
                <w:rFonts w:ascii="Arial" w:hAnsi="Arial" w:cs="Arial"/>
                <w:color w:val="000000"/>
                <w:sz w:val="20"/>
                <w:lang w:val="en-US" w:eastAsia="zh-CN"/>
              </w:rPr>
              <w:t>Changes in own funds</w:t>
            </w:r>
          </w:p>
        </w:tc>
        <w:tc>
          <w:tcPr>
            <w:tcW w:w="743" w:type="pct"/>
            <w:tcBorders>
              <w:top w:val="nil"/>
              <w:left w:val="single" w:sz="4" w:space="0" w:color="auto"/>
              <w:bottom w:val="nil"/>
              <w:right w:val="single" w:sz="4" w:space="0" w:color="auto"/>
            </w:tcBorders>
            <w:shd w:val="clear" w:color="auto" w:fill="auto"/>
            <w:noWrap/>
            <w:vAlign w:val="bottom"/>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20"/>
                <w:lang w:val="en-US" w:eastAsia="zh-CN"/>
              </w:rPr>
            </w:pPr>
            <w:r w:rsidRPr="00C30067">
              <w:rPr>
                <w:rFonts w:ascii="Arial" w:hAnsi="Arial" w:cs="Arial"/>
                <w:sz w:val="20"/>
                <w:lang w:val="en-US" w:eastAsia="zh-CN"/>
              </w:rPr>
              <w:t xml:space="preserve">             834 </w:t>
            </w:r>
          </w:p>
        </w:tc>
        <w:tc>
          <w:tcPr>
            <w:tcW w:w="743" w:type="pct"/>
            <w:tcBorders>
              <w:top w:val="nil"/>
              <w:left w:val="nil"/>
              <w:bottom w:val="nil"/>
              <w:right w:val="single" w:sz="4" w:space="0" w:color="auto"/>
            </w:tcBorders>
            <w:shd w:val="clear" w:color="auto" w:fill="auto"/>
            <w:noWrap/>
            <w:vAlign w:val="bottom"/>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C30067">
              <w:rPr>
                <w:rFonts w:ascii="Arial" w:hAnsi="Arial" w:cs="Arial"/>
                <w:color w:val="000000"/>
                <w:sz w:val="20"/>
                <w:lang w:val="en-US" w:eastAsia="zh-CN"/>
              </w:rPr>
              <w:t xml:space="preserve">          1,213 </w:t>
            </w:r>
          </w:p>
        </w:tc>
      </w:tr>
      <w:tr w:rsidR="00C30067" w:rsidRPr="00C30067" w:rsidTr="000D09E0">
        <w:trPr>
          <w:trHeight w:val="255"/>
        </w:trPr>
        <w:tc>
          <w:tcPr>
            <w:tcW w:w="3514" w:type="pct"/>
            <w:tcBorders>
              <w:top w:val="nil"/>
              <w:left w:val="single" w:sz="4" w:space="0" w:color="auto"/>
              <w:bottom w:val="nil"/>
              <w:right w:val="nil"/>
            </w:tcBorders>
            <w:shd w:val="clear" w:color="auto" w:fill="auto"/>
            <w:noWrap/>
            <w:vAlign w:val="bottom"/>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C30067">
              <w:rPr>
                <w:rFonts w:ascii="Arial" w:hAnsi="Arial" w:cs="Arial"/>
                <w:color w:val="000000"/>
                <w:sz w:val="20"/>
                <w:lang w:val="en-US" w:eastAsia="zh-CN"/>
              </w:rPr>
              <w:t> </w:t>
            </w:r>
          </w:p>
        </w:tc>
        <w:tc>
          <w:tcPr>
            <w:tcW w:w="743" w:type="pct"/>
            <w:tcBorders>
              <w:top w:val="nil"/>
              <w:left w:val="single" w:sz="4" w:space="0" w:color="auto"/>
              <w:bottom w:val="nil"/>
              <w:right w:val="single" w:sz="4" w:space="0" w:color="auto"/>
            </w:tcBorders>
            <w:shd w:val="clear" w:color="auto" w:fill="auto"/>
            <w:noWrap/>
            <w:vAlign w:val="bottom"/>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20"/>
                <w:lang w:val="en-US" w:eastAsia="zh-CN"/>
              </w:rPr>
            </w:pPr>
            <w:r w:rsidRPr="00C30067">
              <w:rPr>
                <w:rFonts w:ascii="Arial" w:hAnsi="Arial" w:cs="Arial"/>
                <w:sz w:val="20"/>
                <w:lang w:val="en-US" w:eastAsia="zh-CN"/>
              </w:rPr>
              <w:t> </w:t>
            </w:r>
          </w:p>
        </w:tc>
        <w:tc>
          <w:tcPr>
            <w:tcW w:w="743" w:type="pct"/>
            <w:tcBorders>
              <w:top w:val="nil"/>
              <w:left w:val="nil"/>
              <w:bottom w:val="nil"/>
              <w:right w:val="single" w:sz="4" w:space="0" w:color="auto"/>
            </w:tcBorders>
            <w:shd w:val="clear" w:color="auto" w:fill="auto"/>
            <w:noWrap/>
            <w:vAlign w:val="bottom"/>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C30067">
              <w:rPr>
                <w:rFonts w:ascii="Arial" w:hAnsi="Arial" w:cs="Arial"/>
                <w:color w:val="000000"/>
                <w:sz w:val="20"/>
                <w:lang w:val="en-US" w:eastAsia="zh-CN"/>
              </w:rPr>
              <w:t> </w:t>
            </w:r>
          </w:p>
        </w:tc>
      </w:tr>
      <w:tr w:rsidR="00C30067" w:rsidRPr="00C30067" w:rsidTr="000D09E0">
        <w:trPr>
          <w:trHeight w:val="255"/>
        </w:trPr>
        <w:tc>
          <w:tcPr>
            <w:tcW w:w="3514" w:type="pct"/>
            <w:tcBorders>
              <w:top w:val="single" w:sz="4" w:space="0" w:color="auto"/>
              <w:left w:val="single" w:sz="4" w:space="0" w:color="auto"/>
              <w:bottom w:val="single" w:sz="4" w:space="0" w:color="auto"/>
              <w:right w:val="nil"/>
            </w:tcBorders>
            <w:shd w:val="clear" w:color="auto" w:fill="auto"/>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20"/>
                <w:lang w:val="en-US" w:eastAsia="zh-CN"/>
              </w:rPr>
            </w:pPr>
            <w:r w:rsidRPr="00C30067">
              <w:rPr>
                <w:rFonts w:ascii="Arial" w:hAnsi="Arial" w:cs="Arial"/>
                <w:b/>
                <w:bCs/>
                <w:color w:val="000000"/>
                <w:sz w:val="20"/>
                <w:lang w:val="en-US" w:eastAsia="zh-CN"/>
              </w:rPr>
              <w:t>Cash flow from operating activities</w:t>
            </w:r>
          </w:p>
        </w:tc>
        <w:tc>
          <w:tcPr>
            <w:tcW w:w="743" w:type="pct"/>
            <w:tcBorders>
              <w:top w:val="single" w:sz="4" w:space="0" w:color="auto"/>
              <w:left w:val="single" w:sz="4" w:space="0" w:color="auto"/>
              <w:bottom w:val="single" w:sz="4" w:space="0" w:color="auto"/>
              <w:right w:val="single" w:sz="4" w:space="0" w:color="auto"/>
            </w:tcBorders>
            <w:shd w:val="clear" w:color="auto" w:fill="auto"/>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sz w:val="20"/>
                <w:lang w:val="en-US" w:eastAsia="zh-CN"/>
              </w:rPr>
            </w:pPr>
            <w:r w:rsidRPr="00C30067">
              <w:rPr>
                <w:rFonts w:ascii="Arial" w:hAnsi="Arial" w:cs="Arial"/>
                <w:b/>
                <w:bCs/>
                <w:sz w:val="20"/>
                <w:lang w:val="en-US" w:eastAsia="zh-CN"/>
              </w:rPr>
              <w:t xml:space="preserve">       -15,391 </w:t>
            </w:r>
          </w:p>
        </w:tc>
        <w:tc>
          <w:tcPr>
            <w:tcW w:w="743" w:type="pct"/>
            <w:tcBorders>
              <w:top w:val="single" w:sz="4" w:space="0" w:color="auto"/>
              <w:left w:val="nil"/>
              <w:bottom w:val="single" w:sz="4" w:space="0" w:color="auto"/>
              <w:right w:val="single" w:sz="4" w:space="0" w:color="auto"/>
            </w:tcBorders>
            <w:shd w:val="clear" w:color="auto" w:fill="auto"/>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C30067">
              <w:rPr>
                <w:rFonts w:ascii="Arial" w:hAnsi="Arial" w:cs="Arial"/>
                <w:b/>
                <w:bCs/>
                <w:color w:val="000000"/>
                <w:sz w:val="20"/>
                <w:lang w:val="en-US" w:eastAsia="zh-CN"/>
              </w:rPr>
              <w:t xml:space="preserve">             723 </w:t>
            </w:r>
          </w:p>
        </w:tc>
      </w:tr>
      <w:tr w:rsidR="00C30067" w:rsidRPr="00C30067" w:rsidTr="000D09E0">
        <w:trPr>
          <w:trHeight w:val="285"/>
        </w:trPr>
        <w:tc>
          <w:tcPr>
            <w:tcW w:w="3514" w:type="pct"/>
            <w:tcBorders>
              <w:top w:val="nil"/>
              <w:left w:val="single" w:sz="4" w:space="0" w:color="auto"/>
              <w:bottom w:val="nil"/>
              <w:right w:val="nil"/>
            </w:tcBorders>
            <w:shd w:val="clear" w:color="auto" w:fill="auto"/>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C30067">
              <w:rPr>
                <w:rFonts w:ascii="Arial" w:hAnsi="Arial" w:cs="Arial"/>
                <w:color w:val="000000"/>
                <w:sz w:val="20"/>
                <w:lang w:val="en-US" w:eastAsia="zh-CN"/>
              </w:rPr>
              <w:t> </w:t>
            </w:r>
          </w:p>
        </w:tc>
        <w:tc>
          <w:tcPr>
            <w:tcW w:w="743" w:type="pct"/>
            <w:tcBorders>
              <w:top w:val="nil"/>
              <w:left w:val="single" w:sz="4" w:space="0" w:color="auto"/>
              <w:bottom w:val="nil"/>
              <w:right w:val="single" w:sz="4" w:space="0" w:color="auto"/>
            </w:tcBorders>
            <w:shd w:val="clear" w:color="auto" w:fill="auto"/>
            <w:noWrap/>
            <w:vAlign w:val="bottom"/>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20"/>
                <w:lang w:val="en-US" w:eastAsia="zh-CN"/>
              </w:rPr>
            </w:pPr>
            <w:r w:rsidRPr="00C30067">
              <w:rPr>
                <w:rFonts w:ascii="Arial" w:hAnsi="Arial" w:cs="Arial"/>
                <w:sz w:val="20"/>
                <w:lang w:val="en-US" w:eastAsia="zh-CN"/>
              </w:rPr>
              <w:t> </w:t>
            </w:r>
          </w:p>
        </w:tc>
        <w:tc>
          <w:tcPr>
            <w:tcW w:w="743" w:type="pct"/>
            <w:tcBorders>
              <w:top w:val="nil"/>
              <w:left w:val="nil"/>
              <w:bottom w:val="nil"/>
              <w:right w:val="single" w:sz="4" w:space="0" w:color="auto"/>
            </w:tcBorders>
            <w:shd w:val="clear" w:color="auto" w:fill="auto"/>
            <w:noWrap/>
            <w:vAlign w:val="bottom"/>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C30067">
              <w:rPr>
                <w:rFonts w:ascii="Arial" w:hAnsi="Arial" w:cs="Arial"/>
                <w:color w:val="000000"/>
                <w:sz w:val="20"/>
                <w:lang w:val="en-US" w:eastAsia="zh-CN"/>
              </w:rPr>
              <w:t> </w:t>
            </w:r>
          </w:p>
        </w:tc>
      </w:tr>
      <w:tr w:rsidR="00C30067" w:rsidRPr="00C30067" w:rsidTr="000D09E0">
        <w:trPr>
          <w:trHeight w:val="285"/>
        </w:trPr>
        <w:tc>
          <w:tcPr>
            <w:tcW w:w="3514" w:type="pct"/>
            <w:tcBorders>
              <w:top w:val="nil"/>
              <w:left w:val="single" w:sz="4" w:space="0" w:color="auto"/>
              <w:bottom w:val="nil"/>
              <w:right w:val="nil"/>
            </w:tcBorders>
            <w:shd w:val="clear" w:color="auto" w:fill="auto"/>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20"/>
                <w:lang w:val="en-US" w:eastAsia="zh-CN"/>
              </w:rPr>
            </w:pPr>
            <w:r w:rsidRPr="00C30067">
              <w:rPr>
                <w:rFonts w:ascii="Arial" w:hAnsi="Arial" w:cs="Arial"/>
                <w:b/>
                <w:bCs/>
                <w:color w:val="000000"/>
                <w:sz w:val="20"/>
                <w:lang w:val="en-US" w:eastAsia="zh-CN"/>
              </w:rPr>
              <w:t>Net cash flows from investment activities</w:t>
            </w:r>
          </w:p>
        </w:tc>
        <w:tc>
          <w:tcPr>
            <w:tcW w:w="743" w:type="pct"/>
            <w:tcBorders>
              <w:top w:val="nil"/>
              <w:left w:val="single" w:sz="4" w:space="0" w:color="auto"/>
              <w:bottom w:val="nil"/>
              <w:right w:val="single" w:sz="4" w:space="0" w:color="auto"/>
            </w:tcBorders>
            <w:shd w:val="clear" w:color="auto" w:fill="auto"/>
            <w:noWrap/>
            <w:vAlign w:val="bottom"/>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20"/>
                <w:lang w:val="en-US" w:eastAsia="zh-CN"/>
              </w:rPr>
            </w:pPr>
            <w:r w:rsidRPr="00C30067">
              <w:rPr>
                <w:rFonts w:ascii="Arial" w:hAnsi="Arial" w:cs="Arial"/>
                <w:sz w:val="20"/>
                <w:lang w:val="en-US" w:eastAsia="zh-CN"/>
              </w:rPr>
              <w:t> </w:t>
            </w:r>
          </w:p>
        </w:tc>
        <w:tc>
          <w:tcPr>
            <w:tcW w:w="743" w:type="pct"/>
            <w:tcBorders>
              <w:top w:val="nil"/>
              <w:left w:val="nil"/>
              <w:bottom w:val="nil"/>
              <w:right w:val="single" w:sz="4" w:space="0" w:color="auto"/>
            </w:tcBorders>
            <w:shd w:val="clear" w:color="auto" w:fill="auto"/>
            <w:noWrap/>
            <w:vAlign w:val="bottom"/>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C30067">
              <w:rPr>
                <w:rFonts w:ascii="Arial" w:hAnsi="Arial" w:cs="Arial"/>
                <w:color w:val="000000"/>
                <w:sz w:val="20"/>
                <w:lang w:val="en-US" w:eastAsia="zh-CN"/>
              </w:rPr>
              <w:t> </w:t>
            </w:r>
          </w:p>
        </w:tc>
      </w:tr>
      <w:tr w:rsidR="00C30067" w:rsidRPr="00C30067" w:rsidTr="000D09E0">
        <w:trPr>
          <w:trHeight w:val="285"/>
        </w:trPr>
        <w:tc>
          <w:tcPr>
            <w:tcW w:w="3514" w:type="pct"/>
            <w:tcBorders>
              <w:top w:val="nil"/>
              <w:left w:val="single" w:sz="4" w:space="0" w:color="auto"/>
              <w:bottom w:val="nil"/>
              <w:right w:val="nil"/>
            </w:tcBorders>
            <w:shd w:val="clear" w:color="auto" w:fill="auto"/>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C30067">
              <w:rPr>
                <w:rFonts w:ascii="Arial" w:hAnsi="Arial" w:cs="Arial"/>
                <w:color w:val="000000"/>
                <w:sz w:val="20"/>
                <w:lang w:val="en-US" w:eastAsia="zh-CN"/>
              </w:rPr>
              <w:t>(Increase) / decrease Investments</w:t>
            </w:r>
          </w:p>
        </w:tc>
        <w:tc>
          <w:tcPr>
            <w:tcW w:w="743" w:type="pct"/>
            <w:tcBorders>
              <w:top w:val="nil"/>
              <w:left w:val="single" w:sz="4" w:space="0" w:color="auto"/>
              <w:bottom w:val="nil"/>
              <w:right w:val="single" w:sz="4" w:space="0" w:color="auto"/>
            </w:tcBorders>
            <w:shd w:val="clear" w:color="auto" w:fill="auto"/>
            <w:noWrap/>
            <w:vAlign w:val="bottom"/>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20"/>
                <w:lang w:val="en-US" w:eastAsia="zh-CN"/>
              </w:rPr>
            </w:pPr>
            <w:r w:rsidRPr="00C30067">
              <w:rPr>
                <w:rFonts w:ascii="Arial" w:hAnsi="Arial" w:cs="Arial"/>
                <w:sz w:val="20"/>
                <w:lang w:val="en-US" w:eastAsia="zh-CN"/>
              </w:rPr>
              <w:t xml:space="preserve">        33,617 </w:t>
            </w:r>
          </w:p>
        </w:tc>
        <w:tc>
          <w:tcPr>
            <w:tcW w:w="743" w:type="pct"/>
            <w:tcBorders>
              <w:top w:val="nil"/>
              <w:left w:val="nil"/>
              <w:bottom w:val="nil"/>
              <w:right w:val="single" w:sz="4" w:space="0" w:color="auto"/>
            </w:tcBorders>
            <w:shd w:val="clear" w:color="auto" w:fill="auto"/>
            <w:noWrap/>
            <w:vAlign w:val="bottom"/>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C30067">
              <w:rPr>
                <w:rFonts w:ascii="Arial" w:hAnsi="Arial" w:cs="Arial"/>
                <w:color w:val="000000"/>
                <w:sz w:val="20"/>
                <w:lang w:val="en-US" w:eastAsia="zh-CN"/>
              </w:rPr>
              <w:t xml:space="preserve">        46,837 </w:t>
            </w:r>
          </w:p>
        </w:tc>
      </w:tr>
      <w:tr w:rsidR="00C30067" w:rsidRPr="00C30067" w:rsidTr="000D09E0">
        <w:trPr>
          <w:trHeight w:val="285"/>
        </w:trPr>
        <w:tc>
          <w:tcPr>
            <w:tcW w:w="3514" w:type="pct"/>
            <w:tcBorders>
              <w:top w:val="nil"/>
              <w:left w:val="single" w:sz="4" w:space="0" w:color="auto"/>
              <w:bottom w:val="nil"/>
              <w:right w:val="nil"/>
            </w:tcBorders>
            <w:shd w:val="clear" w:color="auto" w:fill="auto"/>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C30067">
              <w:rPr>
                <w:rFonts w:ascii="Arial" w:hAnsi="Arial" w:cs="Arial"/>
                <w:color w:val="000000"/>
                <w:sz w:val="20"/>
                <w:lang w:val="en-US" w:eastAsia="zh-CN"/>
              </w:rPr>
              <w:t>Interest from short-term investments</w:t>
            </w:r>
          </w:p>
        </w:tc>
        <w:tc>
          <w:tcPr>
            <w:tcW w:w="743" w:type="pct"/>
            <w:tcBorders>
              <w:top w:val="nil"/>
              <w:left w:val="single" w:sz="4" w:space="0" w:color="auto"/>
              <w:bottom w:val="nil"/>
              <w:right w:val="single" w:sz="4" w:space="0" w:color="auto"/>
            </w:tcBorders>
            <w:shd w:val="clear" w:color="auto" w:fill="auto"/>
            <w:noWrap/>
            <w:vAlign w:val="bottom"/>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20"/>
                <w:lang w:val="en-US" w:eastAsia="zh-CN"/>
              </w:rPr>
            </w:pPr>
            <w:r w:rsidRPr="00C30067">
              <w:rPr>
                <w:rFonts w:ascii="Arial" w:hAnsi="Arial" w:cs="Arial"/>
                <w:sz w:val="20"/>
                <w:lang w:val="en-US" w:eastAsia="zh-CN"/>
              </w:rPr>
              <w:t xml:space="preserve">             220 </w:t>
            </w:r>
          </w:p>
        </w:tc>
        <w:tc>
          <w:tcPr>
            <w:tcW w:w="743" w:type="pct"/>
            <w:tcBorders>
              <w:top w:val="nil"/>
              <w:left w:val="nil"/>
              <w:bottom w:val="nil"/>
              <w:right w:val="single" w:sz="4" w:space="0" w:color="auto"/>
            </w:tcBorders>
            <w:shd w:val="clear" w:color="000000" w:fill="FFFFFF"/>
            <w:noWrap/>
            <w:vAlign w:val="bottom"/>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C30067">
              <w:rPr>
                <w:rFonts w:ascii="Arial" w:hAnsi="Arial" w:cs="Arial"/>
                <w:color w:val="000000"/>
                <w:sz w:val="20"/>
                <w:lang w:val="en-US" w:eastAsia="zh-CN"/>
              </w:rPr>
              <w:t xml:space="preserve">             242 </w:t>
            </w:r>
          </w:p>
        </w:tc>
      </w:tr>
      <w:tr w:rsidR="00C30067" w:rsidRPr="00C30067" w:rsidTr="000D09E0">
        <w:trPr>
          <w:trHeight w:val="285"/>
        </w:trPr>
        <w:tc>
          <w:tcPr>
            <w:tcW w:w="3514" w:type="pct"/>
            <w:tcBorders>
              <w:top w:val="nil"/>
              <w:left w:val="single" w:sz="4" w:space="0" w:color="auto"/>
              <w:bottom w:val="nil"/>
              <w:right w:val="nil"/>
            </w:tcBorders>
            <w:shd w:val="clear" w:color="auto" w:fill="auto"/>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C30067">
              <w:rPr>
                <w:rFonts w:ascii="Arial" w:hAnsi="Arial" w:cs="Arial"/>
                <w:color w:val="000000"/>
                <w:sz w:val="20"/>
                <w:lang w:val="en-US" w:eastAsia="zh-CN"/>
              </w:rPr>
              <w:t>(Acquisition) / sale of property, plant and equipment</w:t>
            </w:r>
          </w:p>
        </w:tc>
        <w:tc>
          <w:tcPr>
            <w:tcW w:w="743" w:type="pct"/>
            <w:tcBorders>
              <w:top w:val="nil"/>
              <w:left w:val="single" w:sz="4" w:space="0" w:color="auto"/>
              <w:bottom w:val="nil"/>
              <w:right w:val="single" w:sz="4" w:space="0" w:color="auto"/>
            </w:tcBorders>
            <w:shd w:val="clear" w:color="auto" w:fill="auto"/>
            <w:noWrap/>
            <w:vAlign w:val="bottom"/>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20"/>
                <w:lang w:val="en-US" w:eastAsia="zh-CN"/>
              </w:rPr>
            </w:pPr>
            <w:r w:rsidRPr="00C30067">
              <w:rPr>
                <w:rFonts w:ascii="Arial" w:hAnsi="Arial" w:cs="Arial"/>
                <w:sz w:val="20"/>
                <w:lang w:val="en-US" w:eastAsia="zh-CN"/>
              </w:rPr>
              <w:t xml:space="preserve">         -1,100 </w:t>
            </w:r>
          </w:p>
        </w:tc>
        <w:tc>
          <w:tcPr>
            <w:tcW w:w="743" w:type="pct"/>
            <w:tcBorders>
              <w:top w:val="nil"/>
              <w:left w:val="nil"/>
              <w:bottom w:val="nil"/>
              <w:right w:val="single" w:sz="4" w:space="0" w:color="auto"/>
            </w:tcBorders>
            <w:shd w:val="clear" w:color="000000" w:fill="FFFFFF"/>
            <w:noWrap/>
            <w:vAlign w:val="bottom"/>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C30067">
              <w:rPr>
                <w:rFonts w:ascii="Arial" w:hAnsi="Arial" w:cs="Arial"/>
                <w:color w:val="000000"/>
                <w:sz w:val="20"/>
                <w:lang w:val="en-US" w:eastAsia="zh-CN"/>
              </w:rPr>
              <w:t xml:space="preserve">            -516 </w:t>
            </w:r>
          </w:p>
        </w:tc>
      </w:tr>
      <w:tr w:rsidR="00C30067" w:rsidRPr="00C30067" w:rsidTr="000D09E0">
        <w:trPr>
          <w:trHeight w:val="285"/>
        </w:trPr>
        <w:tc>
          <w:tcPr>
            <w:tcW w:w="3514" w:type="pct"/>
            <w:tcBorders>
              <w:top w:val="nil"/>
              <w:left w:val="single" w:sz="4" w:space="0" w:color="auto"/>
              <w:bottom w:val="nil"/>
              <w:right w:val="nil"/>
            </w:tcBorders>
            <w:shd w:val="clear" w:color="auto" w:fill="auto"/>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C30067">
              <w:rPr>
                <w:rFonts w:ascii="Arial" w:hAnsi="Arial" w:cs="Arial"/>
                <w:color w:val="000000"/>
                <w:sz w:val="20"/>
                <w:lang w:val="en-US" w:eastAsia="zh-CN"/>
              </w:rPr>
              <w:t>(Acquisition) / sale of intangible assets</w:t>
            </w:r>
          </w:p>
        </w:tc>
        <w:tc>
          <w:tcPr>
            <w:tcW w:w="743" w:type="pct"/>
            <w:tcBorders>
              <w:top w:val="nil"/>
              <w:left w:val="single" w:sz="4" w:space="0" w:color="auto"/>
              <w:bottom w:val="nil"/>
              <w:right w:val="single" w:sz="4" w:space="0" w:color="auto"/>
            </w:tcBorders>
            <w:shd w:val="clear" w:color="auto" w:fill="auto"/>
            <w:noWrap/>
            <w:vAlign w:val="bottom"/>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20"/>
                <w:lang w:val="en-US" w:eastAsia="zh-CN"/>
              </w:rPr>
            </w:pPr>
            <w:r w:rsidRPr="00C30067">
              <w:rPr>
                <w:rFonts w:ascii="Arial" w:hAnsi="Arial" w:cs="Arial"/>
                <w:sz w:val="20"/>
                <w:lang w:val="en-US" w:eastAsia="zh-CN"/>
              </w:rPr>
              <w:t xml:space="preserve">            -353 </w:t>
            </w:r>
          </w:p>
        </w:tc>
        <w:tc>
          <w:tcPr>
            <w:tcW w:w="743" w:type="pct"/>
            <w:tcBorders>
              <w:top w:val="nil"/>
              <w:left w:val="nil"/>
              <w:bottom w:val="nil"/>
              <w:right w:val="single" w:sz="4" w:space="0" w:color="auto"/>
            </w:tcBorders>
            <w:shd w:val="clear" w:color="auto" w:fill="auto"/>
            <w:noWrap/>
            <w:vAlign w:val="bottom"/>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C30067">
              <w:rPr>
                <w:rFonts w:ascii="Arial" w:hAnsi="Arial" w:cs="Arial"/>
                <w:color w:val="000000"/>
                <w:sz w:val="20"/>
                <w:lang w:val="en-US" w:eastAsia="zh-CN"/>
              </w:rPr>
              <w:t xml:space="preserve">         -1,007 </w:t>
            </w:r>
          </w:p>
        </w:tc>
      </w:tr>
      <w:tr w:rsidR="00C30067" w:rsidRPr="00C30067" w:rsidTr="000D09E0">
        <w:trPr>
          <w:trHeight w:val="255"/>
        </w:trPr>
        <w:tc>
          <w:tcPr>
            <w:tcW w:w="3514" w:type="pct"/>
            <w:tcBorders>
              <w:top w:val="nil"/>
              <w:left w:val="single" w:sz="4" w:space="0" w:color="auto"/>
              <w:bottom w:val="nil"/>
              <w:right w:val="nil"/>
            </w:tcBorders>
            <w:shd w:val="clear" w:color="auto" w:fill="auto"/>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C30067">
              <w:rPr>
                <w:rFonts w:ascii="Arial" w:hAnsi="Arial" w:cs="Arial"/>
                <w:color w:val="000000"/>
                <w:sz w:val="20"/>
                <w:lang w:val="en-US" w:eastAsia="zh-CN"/>
              </w:rPr>
              <w:t>(Acquisition) / sale of Under construction assets</w:t>
            </w:r>
          </w:p>
        </w:tc>
        <w:tc>
          <w:tcPr>
            <w:tcW w:w="743" w:type="pct"/>
            <w:tcBorders>
              <w:top w:val="nil"/>
              <w:left w:val="single" w:sz="4" w:space="0" w:color="auto"/>
              <w:bottom w:val="nil"/>
              <w:right w:val="single" w:sz="4" w:space="0" w:color="auto"/>
            </w:tcBorders>
            <w:shd w:val="clear" w:color="auto" w:fill="auto"/>
            <w:noWrap/>
            <w:vAlign w:val="bottom"/>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20"/>
                <w:lang w:val="en-US" w:eastAsia="zh-CN"/>
              </w:rPr>
            </w:pPr>
            <w:r w:rsidRPr="00C30067">
              <w:rPr>
                <w:rFonts w:ascii="Arial" w:hAnsi="Arial" w:cs="Arial"/>
                <w:sz w:val="20"/>
                <w:lang w:val="en-US" w:eastAsia="zh-CN"/>
              </w:rPr>
              <w:t xml:space="preserve">            -571 </w:t>
            </w:r>
          </w:p>
        </w:tc>
        <w:tc>
          <w:tcPr>
            <w:tcW w:w="743" w:type="pct"/>
            <w:tcBorders>
              <w:top w:val="nil"/>
              <w:left w:val="nil"/>
              <w:bottom w:val="nil"/>
              <w:right w:val="single" w:sz="4" w:space="0" w:color="auto"/>
            </w:tcBorders>
            <w:shd w:val="clear" w:color="auto" w:fill="auto"/>
            <w:noWrap/>
            <w:vAlign w:val="bottom"/>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C30067">
              <w:rPr>
                <w:rFonts w:ascii="Arial" w:hAnsi="Arial" w:cs="Arial"/>
                <w:color w:val="000000"/>
                <w:sz w:val="20"/>
                <w:lang w:val="en-US" w:eastAsia="zh-CN"/>
              </w:rPr>
              <w:t> </w:t>
            </w:r>
          </w:p>
        </w:tc>
      </w:tr>
      <w:tr w:rsidR="00C30067" w:rsidRPr="00C30067" w:rsidTr="000D09E0">
        <w:trPr>
          <w:trHeight w:val="285"/>
        </w:trPr>
        <w:tc>
          <w:tcPr>
            <w:tcW w:w="3514" w:type="pct"/>
            <w:tcBorders>
              <w:top w:val="single" w:sz="4" w:space="0" w:color="auto"/>
              <w:left w:val="single" w:sz="4" w:space="0" w:color="auto"/>
              <w:bottom w:val="single" w:sz="4" w:space="0" w:color="auto"/>
              <w:right w:val="nil"/>
            </w:tcBorders>
            <w:shd w:val="clear" w:color="auto" w:fill="auto"/>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20"/>
                <w:lang w:val="en-US" w:eastAsia="zh-CN"/>
              </w:rPr>
            </w:pPr>
            <w:r w:rsidRPr="00C30067">
              <w:rPr>
                <w:rFonts w:ascii="Arial" w:hAnsi="Arial" w:cs="Arial"/>
                <w:b/>
                <w:bCs/>
                <w:color w:val="000000"/>
                <w:sz w:val="20"/>
                <w:lang w:val="en-US" w:eastAsia="zh-CN"/>
              </w:rPr>
              <w:t>Net cash flows from investment activities</w:t>
            </w:r>
          </w:p>
        </w:tc>
        <w:tc>
          <w:tcPr>
            <w:tcW w:w="743" w:type="pct"/>
            <w:tcBorders>
              <w:top w:val="single" w:sz="4" w:space="0" w:color="auto"/>
              <w:left w:val="single" w:sz="4" w:space="0" w:color="auto"/>
              <w:bottom w:val="single" w:sz="4" w:space="0" w:color="auto"/>
              <w:right w:val="single" w:sz="4" w:space="0" w:color="auto"/>
            </w:tcBorders>
            <w:shd w:val="clear" w:color="auto" w:fill="auto"/>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sz w:val="20"/>
                <w:lang w:val="en-US" w:eastAsia="zh-CN"/>
              </w:rPr>
            </w:pPr>
            <w:r w:rsidRPr="00C30067">
              <w:rPr>
                <w:rFonts w:ascii="Arial" w:hAnsi="Arial" w:cs="Arial"/>
                <w:b/>
                <w:bCs/>
                <w:sz w:val="20"/>
                <w:lang w:val="en-US" w:eastAsia="zh-CN"/>
              </w:rPr>
              <w:t xml:space="preserve">        31,813 </w:t>
            </w:r>
          </w:p>
        </w:tc>
        <w:tc>
          <w:tcPr>
            <w:tcW w:w="743" w:type="pct"/>
            <w:tcBorders>
              <w:top w:val="single" w:sz="4" w:space="0" w:color="auto"/>
              <w:left w:val="nil"/>
              <w:bottom w:val="single" w:sz="4" w:space="0" w:color="auto"/>
              <w:right w:val="single" w:sz="4" w:space="0" w:color="auto"/>
            </w:tcBorders>
            <w:shd w:val="clear" w:color="auto" w:fill="auto"/>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C30067">
              <w:rPr>
                <w:rFonts w:ascii="Arial" w:hAnsi="Arial" w:cs="Arial"/>
                <w:b/>
                <w:bCs/>
                <w:color w:val="000000"/>
                <w:sz w:val="20"/>
                <w:lang w:val="en-US" w:eastAsia="zh-CN"/>
              </w:rPr>
              <w:t xml:space="preserve">        45,556 </w:t>
            </w:r>
          </w:p>
        </w:tc>
      </w:tr>
      <w:tr w:rsidR="00C30067" w:rsidRPr="00C30067" w:rsidTr="000D09E0">
        <w:trPr>
          <w:trHeight w:val="285"/>
        </w:trPr>
        <w:tc>
          <w:tcPr>
            <w:tcW w:w="3514" w:type="pct"/>
            <w:tcBorders>
              <w:top w:val="nil"/>
              <w:left w:val="single" w:sz="4" w:space="0" w:color="auto"/>
              <w:bottom w:val="nil"/>
              <w:right w:val="nil"/>
            </w:tcBorders>
            <w:shd w:val="clear" w:color="auto" w:fill="auto"/>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C30067">
              <w:rPr>
                <w:rFonts w:ascii="Arial" w:hAnsi="Arial" w:cs="Arial"/>
                <w:color w:val="000000"/>
                <w:sz w:val="20"/>
                <w:lang w:val="en-US" w:eastAsia="zh-CN"/>
              </w:rPr>
              <w:t> </w:t>
            </w:r>
          </w:p>
        </w:tc>
        <w:tc>
          <w:tcPr>
            <w:tcW w:w="743" w:type="pct"/>
            <w:tcBorders>
              <w:top w:val="nil"/>
              <w:left w:val="single" w:sz="4" w:space="0" w:color="auto"/>
              <w:bottom w:val="nil"/>
              <w:right w:val="single" w:sz="4" w:space="0" w:color="auto"/>
            </w:tcBorders>
            <w:shd w:val="clear" w:color="auto" w:fill="auto"/>
            <w:noWrap/>
            <w:vAlign w:val="bottom"/>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20"/>
                <w:lang w:val="en-US" w:eastAsia="zh-CN"/>
              </w:rPr>
            </w:pPr>
            <w:r w:rsidRPr="00C30067">
              <w:rPr>
                <w:rFonts w:ascii="Arial" w:hAnsi="Arial" w:cs="Arial"/>
                <w:sz w:val="20"/>
                <w:lang w:val="en-US" w:eastAsia="zh-CN"/>
              </w:rPr>
              <w:t> </w:t>
            </w:r>
          </w:p>
        </w:tc>
        <w:tc>
          <w:tcPr>
            <w:tcW w:w="743" w:type="pct"/>
            <w:tcBorders>
              <w:top w:val="nil"/>
              <w:left w:val="nil"/>
              <w:bottom w:val="nil"/>
              <w:right w:val="single" w:sz="4" w:space="0" w:color="auto"/>
            </w:tcBorders>
            <w:shd w:val="clear" w:color="auto" w:fill="auto"/>
            <w:noWrap/>
            <w:vAlign w:val="bottom"/>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C30067">
              <w:rPr>
                <w:rFonts w:ascii="Arial" w:hAnsi="Arial" w:cs="Arial"/>
                <w:color w:val="000000"/>
                <w:sz w:val="20"/>
                <w:lang w:val="en-US" w:eastAsia="zh-CN"/>
              </w:rPr>
              <w:t> </w:t>
            </w:r>
          </w:p>
        </w:tc>
      </w:tr>
      <w:tr w:rsidR="00C30067" w:rsidRPr="00C30067" w:rsidTr="000D09E0">
        <w:trPr>
          <w:trHeight w:val="285"/>
        </w:trPr>
        <w:tc>
          <w:tcPr>
            <w:tcW w:w="3514" w:type="pct"/>
            <w:tcBorders>
              <w:top w:val="nil"/>
              <w:left w:val="single" w:sz="4" w:space="0" w:color="auto"/>
              <w:bottom w:val="nil"/>
              <w:right w:val="nil"/>
            </w:tcBorders>
            <w:shd w:val="clear" w:color="auto" w:fill="auto"/>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20"/>
                <w:lang w:val="en-US" w:eastAsia="zh-CN"/>
              </w:rPr>
            </w:pPr>
            <w:r w:rsidRPr="00C30067">
              <w:rPr>
                <w:rFonts w:ascii="Arial" w:hAnsi="Arial" w:cs="Arial"/>
                <w:b/>
                <w:bCs/>
                <w:color w:val="000000"/>
                <w:sz w:val="20"/>
                <w:lang w:val="en-US" w:eastAsia="zh-CN"/>
              </w:rPr>
              <w:t>Cash flows from finance activities</w:t>
            </w:r>
          </w:p>
        </w:tc>
        <w:tc>
          <w:tcPr>
            <w:tcW w:w="743" w:type="pct"/>
            <w:tcBorders>
              <w:top w:val="nil"/>
              <w:left w:val="single" w:sz="4" w:space="0" w:color="auto"/>
              <w:bottom w:val="nil"/>
              <w:right w:val="single" w:sz="4" w:space="0" w:color="auto"/>
            </w:tcBorders>
            <w:shd w:val="clear" w:color="auto" w:fill="auto"/>
            <w:noWrap/>
            <w:vAlign w:val="bottom"/>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20"/>
                <w:lang w:val="en-US" w:eastAsia="zh-CN"/>
              </w:rPr>
            </w:pPr>
            <w:r w:rsidRPr="00C30067">
              <w:rPr>
                <w:rFonts w:ascii="Arial" w:hAnsi="Arial" w:cs="Arial"/>
                <w:sz w:val="20"/>
                <w:lang w:val="en-US" w:eastAsia="zh-CN"/>
              </w:rPr>
              <w:t> </w:t>
            </w:r>
          </w:p>
        </w:tc>
        <w:tc>
          <w:tcPr>
            <w:tcW w:w="743" w:type="pct"/>
            <w:tcBorders>
              <w:top w:val="nil"/>
              <w:left w:val="nil"/>
              <w:bottom w:val="nil"/>
              <w:right w:val="single" w:sz="4" w:space="0" w:color="auto"/>
            </w:tcBorders>
            <w:shd w:val="clear" w:color="auto" w:fill="auto"/>
            <w:noWrap/>
            <w:vAlign w:val="bottom"/>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C30067">
              <w:rPr>
                <w:rFonts w:ascii="Arial" w:hAnsi="Arial" w:cs="Arial"/>
                <w:color w:val="000000"/>
                <w:sz w:val="20"/>
                <w:lang w:val="en-US" w:eastAsia="zh-CN"/>
              </w:rPr>
              <w:t> </w:t>
            </w:r>
          </w:p>
        </w:tc>
      </w:tr>
      <w:tr w:rsidR="00C30067" w:rsidRPr="00C30067" w:rsidTr="000D09E0">
        <w:trPr>
          <w:trHeight w:val="285"/>
        </w:trPr>
        <w:tc>
          <w:tcPr>
            <w:tcW w:w="3514" w:type="pct"/>
            <w:tcBorders>
              <w:top w:val="nil"/>
              <w:left w:val="single" w:sz="4" w:space="0" w:color="auto"/>
              <w:bottom w:val="nil"/>
              <w:right w:val="nil"/>
            </w:tcBorders>
            <w:shd w:val="clear" w:color="auto" w:fill="auto"/>
            <w:hideMark/>
          </w:tcPr>
          <w:p w:rsidR="00C30067" w:rsidRPr="00C30067" w:rsidRDefault="00C30067" w:rsidP="00190C86">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C30067">
              <w:rPr>
                <w:rFonts w:ascii="Arial" w:hAnsi="Arial" w:cs="Arial"/>
                <w:color w:val="000000"/>
                <w:sz w:val="20"/>
                <w:lang w:val="en-US" w:eastAsia="zh-CN"/>
              </w:rPr>
              <w:t>(Increase) / decrease of FIPOI loan</w:t>
            </w:r>
          </w:p>
        </w:tc>
        <w:tc>
          <w:tcPr>
            <w:tcW w:w="743" w:type="pct"/>
            <w:tcBorders>
              <w:top w:val="nil"/>
              <w:left w:val="single" w:sz="4" w:space="0" w:color="auto"/>
              <w:bottom w:val="nil"/>
              <w:right w:val="single" w:sz="4" w:space="0" w:color="auto"/>
            </w:tcBorders>
            <w:shd w:val="clear" w:color="auto" w:fill="auto"/>
            <w:noWrap/>
            <w:vAlign w:val="bottom"/>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20"/>
                <w:lang w:val="en-US" w:eastAsia="zh-CN"/>
              </w:rPr>
            </w:pPr>
            <w:r w:rsidRPr="00C30067">
              <w:rPr>
                <w:rFonts w:ascii="Arial" w:hAnsi="Arial" w:cs="Arial"/>
                <w:sz w:val="20"/>
                <w:lang w:val="en-US" w:eastAsia="zh-CN"/>
              </w:rPr>
              <w:t xml:space="preserve">            -773 </w:t>
            </w:r>
          </w:p>
        </w:tc>
        <w:tc>
          <w:tcPr>
            <w:tcW w:w="743" w:type="pct"/>
            <w:tcBorders>
              <w:top w:val="nil"/>
              <w:left w:val="nil"/>
              <w:bottom w:val="nil"/>
              <w:right w:val="single" w:sz="4" w:space="0" w:color="auto"/>
            </w:tcBorders>
            <w:shd w:val="clear" w:color="000000" w:fill="FFFFFF"/>
            <w:noWrap/>
            <w:vAlign w:val="bottom"/>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C30067">
              <w:rPr>
                <w:rFonts w:ascii="Arial" w:hAnsi="Arial" w:cs="Arial"/>
                <w:color w:val="000000"/>
                <w:sz w:val="20"/>
                <w:lang w:val="en-US" w:eastAsia="zh-CN"/>
              </w:rPr>
              <w:t xml:space="preserve">         -1,493 </w:t>
            </w:r>
          </w:p>
        </w:tc>
      </w:tr>
      <w:tr w:rsidR="00C30067" w:rsidRPr="00C30067" w:rsidTr="000D09E0">
        <w:trPr>
          <w:trHeight w:val="285"/>
        </w:trPr>
        <w:tc>
          <w:tcPr>
            <w:tcW w:w="3514" w:type="pct"/>
            <w:tcBorders>
              <w:top w:val="single" w:sz="4" w:space="0" w:color="auto"/>
              <w:left w:val="single" w:sz="4" w:space="0" w:color="auto"/>
              <w:bottom w:val="single" w:sz="4" w:space="0" w:color="auto"/>
              <w:right w:val="nil"/>
            </w:tcBorders>
            <w:shd w:val="clear" w:color="auto" w:fill="auto"/>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20"/>
                <w:lang w:val="en-US" w:eastAsia="zh-CN"/>
              </w:rPr>
            </w:pPr>
            <w:r w:rsidRPr="00C30067">
              <w:rPr>
                <w:rFonts w:ascii="Arial" w:hAnsi="Arial" w:cs="Arial"/>
                <w:b/>
                <w:bCs/>
                <w:color w:val="000000"/>
                <w:sz w:val="20"/>
                <w:lang w:val="en-US" w:eastAsia="zh-CN"/>
              </w:rPr>
              <w:t>Cash flows from finance activities</w:t>
            </w:r>
          </w:p>
        </w:tc>
        <w:tc>
          <w:tcPr>
            <w:tcW w:w="743" w:type="pct"/>
            <w:tcBorders>
              <w:top w:val="single" w:sz="4" w:space="0" w:color="auto"/>
              <w:left w:val="single" w:sz="4" w:space="0" w:color="auto"/>
              <w:bottom w:val="single" w:sz="4" w:space="0" w:color="auto"/>
              <w:right w:val="single" w:sz="4" w:space="0" w:color="auto"/>
            </w:tcBorders>
            <w:shd w:val="clear" w:color="auto" w:fill="auto"/>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sz w:val="20"/>
                <w:lang w:val="en-US" w:eastAsia="zh-CN"/>
              </w:rPr>
            </w:pPr>
            <w:r w:rsidRPr="00C30067">
              <w:rPr>
                <w:rFonts w:ascii="Arial" w:hAnsi="Arial" w:cs="Arial"/>
                <w:b/>
                <w:bCs/>
                <w:sz w:val="20"/>
                <w:lang w:val="en-US" w:eastAsia="zh-CN"/>
              </w:rPr>
              <w:t xml:space="preserve">            -773 </w:t>
            </w:r>
          </w:p>
        </w:tc>
        <w:tc>
          <w:tcPr>
            <w:tcW w:w="743" w:type="pct"/>
            <w:tcBorders>
              <w:top w:val="single" w:sz="4" w:space="0" w:color="auto"/>
              <w:left w:val="nil"/>
              <w:bottom w:val="single" w:sz="4" w:space="0" w:color="auto"/>
              <w:right w:val="single" w:sz="4" w:space="0" w:color="auto"/>
            </w:tcBorders>
            <w:shd w:val="clear" w:color="auto" w:fill="auto"/>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C30067">
              <w:rPr>
                <w:rFonts w:ascii="Arial" w:hAnsi="Arial" w:cs="Arial"/>
                <w:b/>
                <w:bCs/>
                <w:color w:val="000000"/>
                <w:sz w:val="20"/>
                <w:lang w:val="en-US" w:eastAsia="zh-CN"/>
              </w:rPr>
              <w:t xml:space="preserve">         -1,493 </w:t>
            </w:r>
          </w:p>
        </w:tc>
      </w:tr>
      <w:tr w:rsidR="00C30067" w:rsidRPr="00C30067" w:rsidTr="000D09E0">
        <w:trPr>
          <w:trHeight w:val="285"/>
        </w:trPr>
        <w:tc>
          <w:tcPr>
            <w:tcW w:w="3514" w:type="pct"/>
            <w:tcBorders>
              <w:top w:val="nil"/>
              <w:left w:val="single" w:sz="4" w:space="0" w:color="auto"/>
              <w:bottom w:val="nil"/>
              <w:right w:val="nil"/>
            </w:tcBorders>
            <w:shd w:val="clear" w:color="auto" w:fill="auto"/>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20"/>
                <w:lang w:val="en-US" w:eastAsia="zh-CN"/>
              </w:rPr>
            </w:pPr>
            <w:r w:rsidRPr="00C30067">
              <w:rPr>
                <w:rFonts w:ascii="Arial" w:hAnsi="Arial" w:cs="Arial"/>
                <w:b/>
                <w:bCs/>
                <w:color w:val="000000"/>
                <w:sz w:val="20"/>
                <w:lang w:val="en-US" w:eastAsia="zh-CN"/>
              </w:rPr>
              <w:t> </w:t>
            </w:r>
          </w:p>
        </w:tc>
        <w:tc>
          <w:tcPr>
            <w:tcW w:w="743" w:type="pct"/>
            <w:tcBorders>
              <w:top w:val="nil"/>
              <w:left w:val="single" w:sz="4" w:space="0" w:color="auto"/>
              <w:bottom w:val="nil"/>
              <w:right w:val="single" w:sz="4" w:space="0" w:color="auto"/>
            </w:tcBorders>
            <w:shd w:val="clear" w:color="auto" w:fill="auto"/>
            <w:noWrap/>
            <w:vAlign w:val="bottom"/>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20"/>
                <w:lang w:val="en-US" w:eastAsia="zh-CN"/>
              </w:rPr>
            </w:pPr>
            <w:r w:rsidRPr="00C30067">
              <w:rPr>
                <w:rFonts w:ascii="Arial" w:hAnsi="Arial" w:cs="Arial"/>
                <w:sz w:val="20"/>
                <w:lang w:val="en-US" w:eastAsia="zh-CN"/>
              </w:rPr>
              <w:t> </w:t>
            </w:r>
          </w:p>
        </w:tc>
        <w:tc>
          <w:tcPr>
            <w:tcW w:w="743" w:type="pct"/>
            <w:tcBorders>
              <w:top w:val="nil"/>
              <w:left w:val="nil"/>
              <w:bottom w:val="nil"/>
              <w:right w:val="single" w:sz="4" w:space="0" w:color="auto"/>
            </w:tcBorders>
            <w:shd w:val="clear" w:color="auto" w:fill="auto"/>
            <w:noWrap/>
            <w:vAlign w:val="bottom"/>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C30067">
              <w:rPr>
                <w:rFonts w:ascii="Arial" w:hAnsi="Arial" w:cs="Arial"/>
                <w:color w:val="000000"/>
                <w:sz w:val="20"/>
                <w:lang w:val="en-US" w:eastAsia="zh-CN"/>
              </w:rPr>
              <w:t> </w:t>
            </w:r>
          </w:p>
        </w:tc>
      </w:tr>
      <w:tr w:rsidR="00C30067" w:rsidRPr="00C30067" w:rsidTr="000D09E0">
        <w:trPr>
          <w:trHeight w:val="285"/>
        </w:trPr>
        <w:tc>
          <w:tcPr>
            <w:tcW w:w="3514" w:type="pct"/>
            <w:tcBorders>
              <w:top w:val="single" w:sz="4" w:space="0" w:color="auto"/>
              <w:left w:val="single" w:sz="4" w:space="0" w:color="auto"/>
              <w:bottom w:val="single" w:sz="4" w:space="0" w:color="auto"/>
              <w:right w:val="nil"/>
            </w:tcBorders>
            <w:shd w:val="clear" w:color="auto" w:fill="auto"/>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20"/>
                <w:lang w:val="en-US" w:eastAsia="zh-CN"/>
              </w:rPr>
            </w:pPr>
            <w:r w:rsidRPr="00C30067">
              <w:rPr>
                <w:rFonts w:ascii="Arial" w:hAnsi="Arial" w:cs="Arial"/>
                <w:b/>
                <w:bCs/>
                <w:color w:val="000000"/>
                <w:sz w:val="20"/>
                <w:lang w:val="en-US" w:eastAsia="zh-CN"/>
              </w:rPr>
              <w:t>Net increase / (decrease) in cash and cash equivalents</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sz w:val="20"/>
                <w:lang w:val="en-US" w:eastAsia="zh-CN"/>
              </w:rPr>
            </w:pPr>
            <w:r w:rsidRPr="00C30067">
              <w:rPr>
                <w:rFonts w:ascii="Arial" w:hAnsi="Arial" w:cs="Arial"/>
                <w:b/>
                <w:bCs/>
                <w:sz w:val="20"/>
                <w:lang w:val="en-US" w:eastAsia="zh-CN"/>
              </w:rPr>
              <w:t xml:space="preserve">        26,863 </w:t>
            </w:r>
          </w:p>
        </w:tc>
        <w:tc>
          <w:tcPr>
            <w:tcW w:w="743" w:type="pct"/>
            <w:tcBorders>
              <w:top w:val="single" w:sz="4" w:space="0" w:color="auto"/>
              <w:left w:val="nil"/>
              <w:bottom w:val="single" w:sz="4" w:space="0" w:color="auto"/>
              <w:right w:val="single" w:sz="4" w:space="0" w:color="auto"/>
            </w:tcBorders>
            <w:shd w:val="clear" w:color="auto" w:fill="auto"/>
            <w:vAlign w:val="bottom"/>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C30067">
              <w:rPr>
                <w:rFonts w:ascii="Arial" w:hAnsi="Arial" w:cs="Arial"/>
                <w:b/>
                <w:bCs/>
                <w:color w:val="000000"/>
                <w:sz w:val="20"/>
                <w:lang w:val="en-US" w:eastAsia="zh-CN"/>
              </w:rPr>
              <w:t xml:space="preserve">        52,930 </w:t>
            </w:r>
          </w:p>
        </w:tc>
      </w:tr>
      <w:tr w:rsidR="00C30067" w:rsidRPr="00C30067" w:rsidTr="000D09E0">
        <w:trPr>
          <w:trHeight w:val="285"/>
        </w:trPr>
        <w:tc>
          <w:tcPr>
            <w:tcW w:w="3514" w:type="pct"/>
            <w:tcBorders>
              <w:top w:val="nil"/>
              <w:left w:val="single" w:sz="4" w:space="0" w:color="auto"/>
              <w:bottom w:val="nil"/>
              <w:right w:val="nil"/>
            </w:tcBorders>
            <w:shd w:val="clear" w:color="auto" w:fill="auto"/>
            <w:noWrap/>
            <w:vAlign w:val="bottom"/>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C30067">
              <w:rPr>
                <w:rFonts w:ascii="Arial" w:hAnsi="Arial" w:cs="Arial"/>
                <w:color w:val="000000"/>
                <w:sz w:val="20"/>
                <w:lang w:val="en-US" w:eastAsia="zh-CN"/>
              </w:rPr>
              <w:t> </w:t>
            </w:r>
          </w:p>
        </w:tc>
        <w:tc>
          <w:tcPr>
            <w:tcW w:w="743" w:type="pct"/>
            <w:tcBorders>
              <w:top w:val="nil"/>
              <w:left w:val="single" w:sz="4" w:space="0" w:color="auto"/>
              <w:bottom w:val="nil"/>
              <w:right w:val="single" w:sz="4" w:space="0" w:color="auto"/>
            </w:tcBorders>
            <w:shd w:val="clear" w:color="auto" w:fill="auto"/>
            <w:noWrap/>
            <w:vAlign w:val="bottom"/>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20"/>
                <w:lang w:val="en-US" w:eastAsia="zh-CN"/>
              </w:rPr>
            </w:pPr>
            <w:r w:rsidRPr="00C30067">
              <w:rPr>
                <w:rFonts w:ascii="Arial" w:hAnsi="Arial" w:cs="Arial"/>
                <w:sz w:val="20"/>
                <w:lang w:val="en-US" w:eastAsia="zh-CN"/>
              </w:rPr>
              <w:t> </w:t>
            </w:r>
          </w:p>
        </w:tc>
        <w:tc>
          <w:tcPr>
            <w:tcW w:w="743" w:type="pct"/>
            <w:tcBorders>
              <w:top w:val="nil"/>
              <w:left w:val="nil"/>
              <w:bottom w:val="nil"/>
              <w:right w:val="single" w:sz="4" w:space="0" w:color="auto"/>
            </w:tcBorders>
            <w:shd w:val="clear" w:color="auto" w:fill="auto"/>
            <w:noWrap/>
            <w:vAlign w:val="bottom"/>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C30067">
              <w:rPr>
                <w:rFonts w:ascii="Arial" w:hAnsi="Arial" w:cs="Arial"/>
                <w:color w:val="000000"/>
                <w:sz w:val="20"/>
                <w:lang w:val="en-US" w:eastAsia="zh-CN"/>
              </w:rPr>
              <w:t> </w:t>
            </w:r>
          </w:p>
        </w:tc>
      </w:tr>
      <w:tr w:rsidR="00C30067" w:rsidRPr="00C30067" w:rsidTr="000D09E0">
        <w:trPr>
          <w:trHeight w:val="285"/>
        </w:trPr>
        <w:tc>
          <w:tcPr>
            <w:tcW w:w="3514" w:type="pct"/>
            <w:tcBorders>
              <w:top w:val="nil"/>
              <w:left w:val="single" w:sz="4" w:space="0" w:color="auto"/>
              <w:bottom w:val="nil"/>
              <w:right w:val="nil"/>
            </w:tcBorders>
            <w:shd w:val="clear" w:color="auto" w:fill="auto"/>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20"/>
                <w:lang w:val="en-US" w:eastAsia="zh-CN"/>
              </w:rPr>
            </w:pPr>
            <w:r w:rsidRPr="00C30067">
              <w:rPr>
                <w:rFonts w:ascii="Arial" w:hAnsi="Arial" w:cs="Arial"/>
                <w:b/>
                <w:bCs/>
                <w:color w:val="000000"/>
                <w:sz w:val="20"/>
                <w:lang w:val="en-US" w:eastAsia="zh-CN"/>
              </w:rPr>
              <w:t>Cash and cash equivalents at opening of period</w:t>
            </w:r>
          </w:p>
        </w:tc>
        <w:tc>
          <w:tcPr>
            <w:tcW w:w="743" w:type="pct"/>
            <w:tcBorders>
              <w:top w:val="nil"/>
              <w:left w:val="single" w:sz="4" w:space="0" w:color="auto"/>
              <w:bottom w:val="nil"/>
              <w:right w:val="single" w:sz="4" w:space="0" w:color="auto"/>
            </w:tcBorders>
            <w:shd w:val="clear" w:color="auto" w:fill="auto"/>
            <w:noWrap/>
            <w:vAlign w:val="bottom"/>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sz w:val="20"/>
                <w:lang w:val="en-US" w:eastAsia="zh-CN"/>
              </w:rPr>
            </w:pPr>
            <w:r w:rsidRPr="00C30067">
              <w:rPr>
                <w:rFonts w:ascii="Arial" w:hAnsi="Arial" w:cs="Arial"/>
                <w:b/>
                <w:bCs/>
                <w:sz w:val="20"/>
                <w:lang w:val="en-US" w:eastAsia="zh-CN"/>
              </w:rPr>
              <w:t xml:space="preserve">      108,435 </w:t>
            </w:r>
          </w:p>
        </w:tc>
        <w:tc>
          <w:tcPr>
            <w:tcW w:w="743" w:type="pct"/>
            <w:tcBorders>
              <w:top w:val="nil"/>
              <w:left w:val="nil"/>
              <w:bottom w:val="nil"/>
              <w:right w:val="single" w:sz="4" w:space="0" w:color="auto"/>
            </w:tcBorders>
            <w:shd w:val="clear" w:color="auto" w:fill="auto"/>
            <w:noWrap/>
            <w:vAlign w:val="bottom"/>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sz w:val="20"/>
                <w:lang w:val="en-US" w:eastAsia="zh-CN"/>
              </w:rPr>
            </w:pPr>
            <w:r w:rsidRPr="00C30067">
              <w:rPr>
                <w:rFonts w:ascii="Arial" w:hAnsi="Arial" w:cs="Arial"/>
                <w:b/>
                <w:bCs/>
                <w:sz w:val="20"/>
                <w:lang w:val="en-US" w:eastAsia="zh-CN"/>
              </w:rPr>
              <w:t xml:space="preserve">        55,505 </w:t>
            </w:r>
          </w:p>
        </w:tc>
      </w:tr>
      <w:tr w:rsidR="00C30067" w:rsidRPr="00C30067" w:rsidTr="000D09E0">
        <w:trPr>
          <w:trHeight w:val="255"/>
        </w:trPr>
        <w:tc>
          <w:tcPr>
            <w:tcW w:w="3514" w:type="pct"/>
            <w:tcBorders>
              <w:top w:val="nil"/>
              <w:left w:val="single" w:sz="4" w:space="0" w:color="auto"/>
              <w:bottom w:val="nil"/>
              <w:right w:val="nil"/>
            </w:tcBorders>
            <w:shd w:val="clear" w:color="auto" w:fill="auto"/>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20"/>
                <w:lang w:val="en-US" w:eastAsia="zh-CN"/>
              </w:rPr>
            </w:pPr>
            <w:r w:rsidRPr="00C30067">
              <w:rPr>
                <w:rFonts w:ascii="Arial" w:hAnsi="Arial" w:cs="Arial"/>
                <w:b/>
                <w:bCs/>
                <w:color w:val="000000"/>
                <w:sz w:val="20"/>
                <w:lang w:val="en-US" w:eastAsia="zh-CN"/>
              </w:rPr>
              <w:t> </w:t>
            </w:r>
          </w:p>
        </w:tc>
        <w:tc>
          <w:tcPr>
            <w:tcW w:w="743" w:type="pct"/>
            <w:tcBorders>
              <w:top w:val="nil"/>
              <w:left w:val="single" w:sz="4" w:space="0" w:color="auto"/>
              <w:bottom w:val="nil"/>
              <w:right w:val="single" w:sz="4" w:space="0" w:color="auto"/>
            </w:tcBorders>
            <w:shd w:val="clear" w:color="auto" w:fill="auto"/>
            <w:noWrap/>
            <w:vAlign w:val="bottom"/>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20"/>
                <w:lang w:val="en-US" w:eastAsia="zh-CN"/>
              </w:rPr>
            </w:pPr>
            <w:r w:rsidRPr="00C30067">
              <w:rPr>
                <w:rFonts w:ascii="Arial" w:hAnsi="Arial" w:cs="Arial"/>
                <w:sz w:val="20"/>
                <w:lang w:val="en-US" w:eastAsia="zh-CN"/>
              </w:rPr>
              <w:t> </w:t>
            </w:r>
          </w:p>
        </w:tc>
        <w:tc>
          <w:tcPr>
            <w:tcW w:w="743" w:type="pct"/>
            <w:tcBorders>
              <w:top w:val="nil"/>
              <w:left w:val="nil"/>
              <w:bottom w:val="nil"/>
              <w:right w:val="single" w:sz="4" w:space="0" w:color="auto"/>
            </w:tcBorders>
            <w:shd w:val="clear" w:color="auto" w:fill="auto"/>
            <w:noWrap/>
            <w:vAlign w:val="bottom"/>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C30067">
              <w:rPr>
                <w:rFonts w:ascii="Arial" w:hAnsi="Arial" w:cs="Arial"/>
                <w:color w:val="000000"/>
                <w:sz w:val="20"/>
                <w:lang w:val="en-US" w:eastAsia="zh-CN"/>
              </w:rPr>
              <w:t> </w:t>
            </w:r>
          </w:p>
        </w:tc>
      </w:tr>
      <w:tr w:rsidR="00C30067" w:rsidRPr="00C30067" w:rsidTr="000D09E0">
        <w:trPr>
          <w:trHeight w:val="255"/>
        </w:trPr>
        <w:tc>
          <w:tcPr>
            <w:tcW w:w="3514" w:type="pct"/>
            <w:tcBorders>
              <w:top w:val="nil"/>
              <w:left w:val="single" w:sz="4" w:space="0" w:color="auto"/>
              <w:bottom w:val="single" w:sz="4" w:space="0" w:color="auto"/>
              <w:right w:val="nil"/>
            </w:tcBorders>
            <w:shd w:val="clear" w:color="auto" w:fill="auto"/>
            <w:hideMark/>
          </w:tcPr>
          <w:p w:rsidR="00C30067" w:rsidRPr="00C30067" w:rsidRDefault="00C30067" w:rsidP="00C3006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20"/>
                <w:lang w:val="en-US" w:eastAsia="zh-CN"/>
              </w:rPr>
            </w:pPr>
            <w:r w:rsidRPr="00C30067">
              <w:rPr>
                <w:rFonts w:ascii="Arial" w:hAnsi="Arial" w:cs="Arial"/>
                <w:b/>
                <w:bCs/>
                <w:color w:val="000000"/>
                <w:sz w:val="20"/>
                <w:lang w:val="en-US" w:eastAsia="zh-CN"/>
              </w:rPr>
              <w:t>Cash and cash equivalents at closure of period</w:t>
            </w:r>
          </w:p>
        </w:tc>
        <w:tc>
          <w:tcPr>
            <w:tcW w:w="743" w:type="pct"/>
            <w:tcBorders>
              <w:top w:val="nil"/>
              <w:left w:val="single" w:sz="4" w:space="0" w:color="auto"/>
              <w:bottom w:val="single" w:sz="4" w:space="0" w:color="auto"/>
              <w:right w:val="single" w:sz="4" w:space="0" w:color="auto"/>
            </w:tcBorders>
            <w:shd w:val="clear" w:color="auto" w:fill="auto"/>
            <w:noWrap/>
            <w:vAlign w:val="bottom"/>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sz w:val="20"/>
                <w:lang w:val="en-US" w:eastAsia="zh-CN"/>
              </w:rPr>
            </w:pPr>
            <w:r w:rsidRPr="00C30067">
              <w:rPr>
                <w:rFonts w:ascii="Arial" w:hAnsi="Arial" w:cs="Arial"/>
                <w:b/>
                <w:bCs/>
                <w:sz w:val="20"/>
                <w:lang w:val="en-US" w:eastAsia="zh-CN"/>
              </w:rPr>
              <w:t xml:space="preserve">      135,297 </w:t>
            </w:r>
          </w:p>
        </w:tc>
        <w:tc>
          <w:tcPr>
            <w:tcW w:w="743" w:type="pct"/>
            <w:tcBorders>
              <w:top w:val="nil"/>
              <w:left w:val="nil"/>
              <w:bottom w:val="single" w:sz="4" w:space="0" w:color="auto"/>
              <w:right w:val="single" w:sz="4" w:space="0" w:color="auto"/>
            </w:tcBorders>
            <w:shd w:val="clear" w:color="auto" w:fill="auto"/>
            <w:noWrap/>
            <w:vAlign w:val="bottom"/>
            <w:hideMark/>
          </w:tcPr>
          <w:p w:rsidR="00C30067" w:rsidRPr="00C30067" w:rsidRDefault="00C30067" w:rsidP="003E71E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sz w:val="20"/>
                <w:lang w:val="en-US" w:eastAsia="zh-CN"/>
              </w:rPr>
            </w:pPr>
            <w:r w:rsidRPr="00C30067">
              <w:rPr>
                <w:rFonts w:ascii="Arial" w:hAnsi="Arial" w:cs="Arial"/>
                <w:b/>
                <w:bCs/>
                <w:sz w:val="20"/>
                <w:lang w:val="en-US" w:eastAsia="zh-CN"/>
              </w:rPr>
              <w:t xml:space="preserve">      108,435 </w:t>
            </w:r>
          </w:p>
        </w:tc>
      </w:tr>
    </w:tbl>
    <w:p w:rsidR="00250F9D" w:rsidRDefault="00250F9D" w:rsidP="00FD2C4D">
      <w:pPr>
        <w:tabs>
          <w:tab w:val="clear" w:pos="567"/>
          <w:tab w:val="clear" w:pos="1134"/>
          <w:tab w:val="clear" w:pos="1701"/>
          <w:tab w:val="clear" w:pos="2268"/>
          <w:tab w:val="clear" w:pos="2835"/>
        </w:tabs>
        <w:overflowPunct/>
        <w:autoSpaceDE/>
        <w:autoSpaceDN/>
        <w:adjustRightInd/>
        <w:spacing w:before="0"/>
        <w:jc w:val="center"/>
        <w:textAlignment w:val="auto"/>
        <w:rPr>
          <w:lang w:val="en-US"/>
        </w:rPr>
      </w:pPr>
    </w:p>
    <w:p w:rsidR="00FD2C4D" w:rsidRDefault="00FD2C4D" w:rsidP="00FD2C4D">
      <w:pPr>
        <w:tabs>
          <w:tab w:val="clear" w:pos="567"/>
          <w:tab w:val="clear" w:pos="1134"/>
          <w:tab w:val="clear" w:pos="1701"/>
          <w:tab w:val="clear" w:pos="2268"/>
          <w:tab w:val="clear" w:pos="2835"/>
        </w:tabs>
        <w:overflowPunct/>
        <w:autoSpaceDE/>
        <w:autoSpaceDN/>
        <w:adjustRightInd/>
        <w:spacing w:before="0"/>
        <w:jc w:val="center"/>
        <w:textAlignment w:val="auto"/>
        <w:rPr>
          <w:lang w:val="en-US"/>
        </w:rPr>
      </w:pPr>
    </w:p>
    <w:p w:rsidR="00EB43C3" w:rsidRDefault="0022373A" w:rsidP="00A372DE">
      <w:pPr>
        <w:pStyle w:val="Tabletitle"/>
        <w:spacing w:after="0"/>
        <w:ind w:left="-567" w:right="-567"/>
        <w:rPr>
          <w:sz w:val="28"/>
          <w:szCs w:val="28"/>
          <w:lang w:val="en-US"/>
        </w:rPr>
      </w:pPr>
      <w:bookmarkStart w:id="29" w:name="_Toc329011606"/>
      <w:r w:rsidRPr="001114BA">
        <w:rPr>
          <w:sz w:val="28"/>
          <w:szCs w:val="28"/>
          <w:lang w:val="en-US"/>
        </w:rPr>
        <w:t xml:space="preserve">V – </w:t>
      </w:r>
      <w:bookmarkEnd w:id="29"/>
      <w:r w:rsidR="00E01F2B" w:rsidRPr="00FF715A">
        <w:rPr>
          <w:sz w:val="28"/>
          <w:szCs w:val="28"/>
          <w:lang w:val="en-US"/>
        </w:rPr>
        <w:t>S</w:t>
      </w:r>
      <w:r w:rsidR="00FF715A">
        <w:rPr>
          <w:sz w:val="28"/>
          <w:szCs w:val="28"/>
          <w:lang w:val="en-US"/>
        </w:rPr>
        <w:t xml:space="preserve">tatement of comparison of </w:t>
      </w:r>
      <w:r w:rsidR="006A24C5">
        <w:rPr>
          <w:sz w:val="28"/>
          <w:szCs w:val="28"/>
          <w:lang w:val="en-US"/>
        </w:rPr>
        <w:t>b</w:t>
      </w:r>
      <w:r w:rsidR="00FF715A">
        <w:rPr>
          <w:sz w:val="28"/>
          <w:szCs w:val="28"/>
          <w:lang w:val="en-US"/>
        </w:rPr>
        <w:t>udget</w:t>
      </w:r>
      <w:r w:rsidR="006A24C5">
        <w:rPr>
          <w:sz w:val="28"/>
          <w:szCs w:val="28"/>
          <w:lang w:val="en-US"/>
        </w:rPr>
        <w:t>ed</w:t>
      </w:r>
      <w:r w:rsidR="00FF715A">
        <w:rPr>
          <w:sz w:val="28"/>
          <w:szCs w:val="28"/>
          <w:lang w:val="en-US"/>
        </w:rPr>
        <w:t xml:space="preserve"> and actual amounts for</w:t>
      </w:r>
      <w:r w:rsidR="00EB43C3">
        <w:rPr>
          <w:sz w:val="28"/>
          <w:szCs w:val="28"/>
          <w:lang w:val="en-US"/>
        </w:rPr>
        <w:t xml:space="preserve"> the </w:t>
      </w:r>
      <w:r w:rsidR="00111BDD">
        <w:rPr>
          <w:sz w:val="28"/>
          <w:szCs w:val="28"/>
          <w:lang w:val="en-US"/>
        </w:rPr>
        <w:t>201</w:t>
      </w:r>
      <w:r w:rsidR="00A372DE">
        <w:rPr>
          <w:sz w:val="28"/>
          <w:szCs w:val="28"/>
          <w:lang w:val="en-US"/>
        </w:rPr>
        <w:t>7</w:t>
      </w:r>
      <w:r w:rsidR="00EB43C3">
        <w:rPr>
          <w:sz w:val="28"/>
          <w:szCs w:val="28"/>
          <w:lang w:val="en-US"/>
        </w:rPr>
        <w:t xml:space="preserve"> </w:t>
      </w:r>
      <w:r w:rsidR="00EB43C3" w:rsidRPr="001114BA">
        <w:rPr>
          <w:sz w:val="28"/>
          <w:szCs w:val="28"/>
          <w:lang w:val="en-US"/>
        </w:rPr>
        <w:t>financial period</w:t>
      </w:r>
    </w:p>
    <w:p w:rsidR="00145D69" w:rsidRDefault="005C7FA5" w:rsidP="00F70676">
      <w:pPr>
        <w:pStyle w:val="Tabletitle"/>
        <w:tabs>
          <w:tab w:val="center" w:pos="4890"/>
          <w:tab w:val="left" w:pos="6750"/>
        </w:tabs>
        <w:spacing w:after="0"/>
        <w:ind w:left="-567" w:right="-567"/>
        <w:jc w:val="left"/>
        <w:rPr>
          <w:bCs/>
          <w:sz w:val="20"/>
          <w:lang w:val="en-US"/>
        </w:rPr>
      </w:pPr>
      <w:r>
        <w:rPr>
          <w:bCs/>
          <w:sz w:val="20"/>
          <w:lang w:val="en-US"/>
        </w:rPr>
        <w:tab/>
      </w:r>
      <w:r>
        <w:rPr>
          <w:bCs/>
          <w:sz w:val="20"/>
          <w:lang w:val="en-US"/>
        </w:rPr>
        <w:tab/>
      </w:r>
      <w:r w:rsidR="00145D69" w:rsidRPr="001577D5">
        <w:rPr>
          <w:bCs/>
          <w:sz w:val="20"/>
          <w:lang w:val="en-US"/>
        </w:rPr>
        <w:t>(</w:t>
      </w:r>
      <w:proofErr w:type="gramStart"/>
      <w:r w:rsidR="00145D69" w:rsidRPr="001577D5">
        <w:rPr>
          <w:bCs/>
          <w:sz w:val="20"/>
          <w:lang w:val="en-US"/>
        </w:rPr>
        <w:t>in</w:t>
      </w:r>
      <w:proofErr w:type="gramEnd"/>
      <w:r w:rsidR="00145D69" w:rsidRPr="001577D5">
        <w:rPr>
          <w:bCs/>
          <w:sz w:val="20"/>
          <w:lang w:val="en-US"/>
        </w:rPr>
        <w:t xml:space="preserve"> thousands of CHF)</w:t>
      </w:r>
    </w:p>
    <w:tbl>
      <w:tblPr>
        <w:tblW w:w="5368" w:type="pct"/>
        <w:tblInd w:w="-431" w:type="dxa"/>
        <w:tblLayout w:type="fixed"/>
        <w:tblLook w:val="04A0" w:firstRow="1" w:lastRow="0" w:firstColumn="1" w:lastColumn="0" w:noHBand="0" w:noVBand="1"/>
      </w:tblPr>
      <w:tblGrid>
        <w:gridCol w:w="2837"/>
        <w:gridCol w:w="1133"/>
        <w:gridCol w:w="1135"/>
        <w:gridCol w:w="1135"/>
        <w:gridCol w:w="1133"/>
        <w:gridCol w:w="1420"/>
        <w:gridCol w:w="1697"/>
      </w:tblGrid>
      <w:tr w:rsidR="00097483" w:rsidRPr="00097483" w:rsidTr="00841ADF">
        <w:trPr>
          <w:trHeight w:val="255"/>
        </w:trPr>
        <w:tc>
          <w:tcPr>
            <w:tcW w:w="135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Revenue</w:t>
            </w:r>
          </w:p>
        </w:tc>
        <w:tc>
          <w:tcPr>
            <w:tcW w:w="2162" w:type="pct"/>
            <w:gridSpan w:val="4"/>
            <w:tcBorders>
              <w:top w:val="single" w:sz="4" w:space="0" w:color="auto"/>
              <w:left w:val="nil"/>
              <w:bottom w:val="single" w:sz="4" w:space="0" w:color="auto"/>
              <w:right w:val="single" w:sz="4" w:space="0" w:color="000000"/>
            </w:tcBorders>
            <w:shd w:val="clear" w:color="auto" w:fill="auto"/>
            <w:noWrap/>
            <w:vAlign w:val="center"/>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Budgeted amounts</w:t>
            </w:r>
          </w:p>
        </w:tc>
        <w:tc>
          <w:tcPr>
            <w:tcW w:w="67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Actual amounts on a comparable basis</w:t>
            </w:r>
          </w:p>
        </w:tc>
        <w:tc>
          <w:tcPr>
            <w:tcW w:w="80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Difference between final budget and actual amounts</w:t>
            </w:r>
          </w:p>
        </w:tc>
      </w:tr>
      <w:tr w:rsidR="00841ADF" w:rsidRPr="00097483" w:rsidTr="00841ADF">
        <w:trPr>
          <w:trHeight w:val="630"/>
        </w:trPr>
        <w:tc>
          <w:tcPr>
            <w:tcW w:w="1352" w:type="pct"/>
            <w:vMerge/>
            <w:tcBorders>
              <w:top w:val="single" w:sz="4" w:space="0" w:color="auto"/>
              <w:left w:val="single" w:sz="4" w:space="0" w:color="auto"/>
              <w:bottom w:val="single" w:sz="4" w:space="0" w:color="000000"/>
              <w:right w:val="single" w:sz="4" w:space="0" w:color="auto"/>
            </w:tcBorders>
            <w:vAlign w:val="center"/>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6"/>
                <w:szCs w:val="16"/>
                <w:lang w:val="en-US" w:eastAsia="zh-CN"/>
              </w:rPr>
            </w:pPr>
          </w:p>
        </w:tc>
        <w:tc>
          <w:tcPr>
            <w:tcW w:w="540" w:type="pct"/>
            <w:tcBorders>
              <w:top w:val="nil"/>
              <w:left w:val="nil"/>
              <w:bottom w:val="single" w:sz="4" w:space="0" w:color="auto"/>
              <w:right w:val="single" w:sz="4" w:space="0" w:color="auto"/>
            </w:tcBorders>
            <w:shd w:val="clear" w:color="auto" w:fill="auto"/>
            <w:vAlign w:val="center"/>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Initial Budget</w:t>
            </w:r>
          </w:p>
        </w:tc>
        <w:tc>
          <w:tcPr>
            <w:tcW w:w="541" w:type="pct"/>
            <w:tcBorders>
              <w:top w:val="nil"/>
              <w:left w:val="nil"/>
              <w:bottom w:val="single" w:sz="4" w:space="0" w:color="auto"/>
              <w:right w:val="nil"/>
            </w:tcBorders>
            <w:shd w:val="clear" w:color="auto" w:fill="auto"/>
            <w:vAlign w:val="center"/>
            <w:hideMark/>
          </w:tcPr>
          <w:p w:rsidR="00097483" w:rsidRPr="00097483" w:rsidRDefault="00946215" w:rsidP="00097483">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Deferred</w:t>
            </w:r>
            <w:r w:rsidR="00097483" w:rsidRPr="00097483">
              <w:rPr>
                <w:rFonts w:ascii="Arial" w:hAnsi="Arial" w:cs="Arial"/>
                <w:b/>
                <w:bCs/>
                <w:color w:val="000000"/>
                <w:sz w:val="16"/>
                <w:szCs w:val="16"/>
                <w:lang w:val="en-US" w:eastAsia="zh-CN"/>
              </w:rPr>
              <w:t xml:space="preserve"> activity</w:t>
            </w:r>
          </w:p>
        </w:tc>
        <w:tc>
          <w:tcPr>
            <w:tcW w:w="541" w:type="pct"/>
            <w:tcBorders>
              <w:top w:val="nil"/>
              <w:left w:val="single" w:sz="4" w:space="0" w:color="auto"/>
              <w:bottom w:val="single" w:sz="4" w:space="0" w:color="auto"/>
              <w:right w:val="single" w:sz="4" w:space="0" w:color="auto"/>
            </w:tcBorders>
            <w:shd w:val="clear" w:color="auto" w:fill="auto"/>
            <w:vAlign w:val="center"/>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Budget transfers</w:t>
            </w:r>
          </w:p>
        </w:tc>
        <w:tc>
          <w:tcPr>
            <w:tcW w:w="540" w:type="pct"/>
            <w:tcBorders>
              <w:top w:val="nil"/>
              <w:left w:val="nil"/>
              <w:bottom w:val="single" w:sz="4" w:space="0" w:color="auto"/>
              <w:right w:val="single" w:sz="4" w:space="0" w:color="auto"/>
            </w:tcBorders>
            <w:shd w:val="clear" w:color="auto" w:fill="auto"/>
            <w:vAlign w:val="center"/>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Final budget</w:t>
            </w:r>
          </w:p>
        </w:tc>
        <w:tc>
          <w:tcPr>
            <w:tcW w:w="677" w:type="pct"/>
            <w:vMerge/>
            <w:tcBorders>
              <w:top w:val="single" w:sz="4" w:space="0" w:color="auto"/>
              <w:left w:val="single" w:sz="4" w:space="0" w:color="auto"/>
              <w:bottom w:val="single" w:sz="4" w:space="0" w:color="000000"/>
              <w:right w:val="single" w:sz="4" w:space="0" w:color="auto"/>
            </w:tcBorders>
            <w:vAlign w:val="center"/>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6"/>
                <w:szCs w:val="16"/>
                <w:lang w:val="en-US" w:eastAsia="zh-CN"/>
              </w:rPr>
            </w:pPr>
          </w:p>
        </w:tc>
        <w:tc>
          <w:tcPr>
            <w:tcW w:w="809" w:type="pct"/>
            <w:vMerge/>
            <w:tcBorders>
              <w:top w:val="single" w:sz="4" w:space="0" w:color="auto"/>
              <w:left w:val="single" w:sz="4" w:space="0" w:color="auto"/>
              <w:bottom w:val="single" w:sz="4" w:space="0" w:color="000000"/>
              <w:right w:val="single" w:sz="4" w:space="0" w:color="auto"/>
            </w:tcBorders>
            <w:vAlign w:val="center"/>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6"/>
                <w:szCs w:val="16"/>
                <w:lang w:val="en-US" w:eastAsia="zh-CN"/>
              </w:rPr>
            </w:pPr>
          </w:p>
        </w:tc>
      </w:tr>
      <w:tr w:rsidR="00841ADF" w:rsidRPr="00097483" w:rsidTr="00841ADF">
        <w:trPr>
          <w:trHeight w:val="435"/>
        </w:trPr>
        <w:tc>
          <w:tcPr>
            <w:tcW w:w="1352" w:type="pct"/>
            <w:vMerge/>
            <w:tcBorders>
              <w:top w:val="single" w:sz="4" w:space="0" w:color="auto"/>
              <w:left w:val="single" w:sz="4" w:space="0" w:color="auto"/>
              <w:bottom w:val="single" w:sz="4" w:space="0" w:color="000000"/>
              <w:right w:val="single" w:sz="4" w:space="0" w:color="auto"/>
            </w:tcBorders>
            <w:vAlign w:val="center"/>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6"/>
                <w:szCs w:val="16"/>
                <w:lang w:val="en-US" w:eastAsia="zh-CN"/>
              </w:rPr>
            </w:pPr>
          </w:p>
        </w:tc>
        <w:tc>
          <w:tcPr>
            <w:tcW w:w="540" w:type="pct"/>
            <w:tcBorders>
              <w:top w:val="nil"/>
              <w:left w:val="nil"/>
              <w:bottom w:val="single" w:sz="4" w:space="0" w:color="auto"/>
              <w:right w:val="single" w:sz="4" w:space="0" w:color="auto"/>
            </w:tcBorders>
            <w:shd w:val="clear" w:color="auto" w:fill="auto"/>
            <w:noWrap/>
            <w:vAlign w:val="center"/>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xml:space="preserve"> 31.12.2017 </w:t>
            </w:r>
          </w:p>
        </w:tc>
        <w:tc>
          <w:tcPr>
            <w:tcW w:w="541" w:type="pct"/>
            <w:tcBorders>
              <w:top w:val="nil"/>
              <w:left w:val="nil"/>
              <w:bottom w:val="single" w:sz="4" w:space="0" w:color="auto"/>
              <w:right w:val="single" w:sz="4" w:space="0" w:color="auto"/>
            </w:tcBorders>
            <w:shd w:val="clear" w:color="auto" w:fill="auto"/>
            <w:noWrap/>
            <w:vAlign w:val="center"/>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xml:space="preserve"> 31.12.2017 </w:t>
            </w:r>
          </w:p>
        </w:tc>
        <w:tc>
          <w:tcPr>
            <w:tcW w:w="541" w:type="pct"/>
            <w:tcBorders>
              <w:top w:val="nil"/>
              <w:left w:val="nil"/>
              <w:bottom w:val="single" w:sz="4" w:space="0" w:color="auto"/>
              <w:right w:val="single" w:sz="4" w:space="0" w:color="auto"/>
            </w:tcBorders>
            <w:shd w:val="clear" w:color="auto" w:fill="auto"/>
            <w:noWrap/>
            <w:vAlign w:val="center"/>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xml:space="preserve"> 31.12.2017 </w:t>
            </w:r>
          </w:p>
        </w:tc>
        <w:tc>
          <w:tcPr>
            <w:tcW w:w="540" w:type="pct"/>
            <w:tcBorders>
              <w:top w:val="nil"/>
              <w:left w:val="nil"/>
              <w:bottom w:val="single" w:sz="4" w:space="0" w:color="auto"/>
              <w:right w:val="single" w:sz="4" w:space="0" w:color="auto"/>
            </w:tcBorders>
            <w:shd w:val="clear" w:color="auto" w:fill="auto"/>
            <w:noWrap/>
            <w:vAlign w:val="center"/>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xml:space="preserve"> 31.12.2017 </w:t>
            </w:r>
          </w:p>
        </w:tc>
        <w:tc>
          <w:tcPr>
            <w:tcW w:w="677" w:type="pct"/>
            <w:tcBorders>
              <w:top w:val="nil"/>
              <w:left w:val="nil"/>
              <w:bottom w:val="single" w:sz="4" w:space="0" w:color="auto"/>
              <w:right w:val="single" w:sz="4" w:space="0" w:color="auto"/>
            </w:tcBorders>
            <w:shd w:val="clear" w:color="auto" w:fill="auto"/>
            <w:noWrap/>
            <w:vAlign w:val="center"/>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xml:space="preserve"> 31.12.2017 </w:t>
            </w:r>
          </w:p>
        </w:tc>
        <w:tc>
          <w:tcPr>
            <w:tcW w:w="809" w:type="pct"/>
            <w:tcBorders>
              <w:top w:val="nil"/>
              <w:left w:val="nil"/>
              <w:bottom w:val="single" w:sz="4" w:space="0" w:color="auto"/>
              <w:right w:val="single" w:sz="4" w:space="0" w:color="auto"/>
            </w:tcBorders>
            <w:shd w:val="clear" w:color="auto" w:fill="auto"/>
            <w:noWrap/>
            <w:vAlign w:val="center"/>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xml:space="preserve"> 31.12.2017 </w:t>
            </w:r>
          </w:p>
        </w:tc>
      </w:tr>
      <w:tr w:rsidR="00841ADF" w:rsidRPr="00097483" w:rsidTr="00841ADF">
        <w:trPr>
          <w:trHeight w:val="255"/>
        </w:trPr>
        <w:tc>
          <w:tcPr>
            <w:tcW w:w="1352" w:type="pct"/>
            <w:tcBorders>
              <w:top w:val="nil"/>
              <w:left w:val="single" w:sz="4" w:space="0" w:color="auto"/>
              <w:bottom w:val="nil"/>
              <w:right w:val="nil"/>
            </w:tcBorders>
            <w:shd w:val="clear" w:color="auto" w:fill="auto"/>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Assessed contributions</w:t>
            </w:r>
          </w:p>
        </w:tc>
        <w:tc>
          <w:tcPr>
            <w:tcW w:w="540" w:type="pct"/>
            <w:tcBorders>
              <w:top w:val="nil"/>
              <w:left w:val="single" w:sz="4" w:space="0" w:color="auto"/>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xml:space="preserve">               124,401 </w:t>
            </w:r>
          </w:p>
        </w:tc>
        <w:tc>
          <w:tcPr>
            <w:tcW w:w="541" w:type="pct"/>
            <w:tcBorders>
              <w:top w:val="nil"/>
              <w:left w:val="nil"/>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w:t>
            </w:r>
          </w:p>
        </w:tc>
        <w:tc>
          <w:tcPr>
            <w:tcW w:w="540" w:type="pct"/>
            <w:tcBorders>
              <w:top w:val="nil"/>
              <w:left w:val="nil"/>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xml:space="preserve">                 124,401 </w:t>
            </w:r>
          </w:p>
        </w:tc>
        <w:tc>
          <w:tcPr>
            <w:tcW w:w="677" w:type="pct"/>
            <w:tcBorders>
              <w:top w:val="nil"/>
              <w:left w:val="nil"/>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xml:space="preserve">                        122,390 </w:t>
            </w:r>
          </w:p>
        </w:tc>
        <w:tc>
          <w:tcPr>
            <w:tcW w:w="809" w:type="pct"/>
            <w:tcBorders>
              <w:top w:val="nil"/>
              <w:left w:val="nil"/>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xml:space="preserve">                       -2,011 </w:t>
            </w:r>
          </w:p>
        </w:tc>
      </w:tr>
      <w:tr w:rsidR="00841ADF" w:rsidRPr="00097483" w:rsidTr="00841ADF">
        <w:trPr>
          <w:trHeight w:val="255"/>
        </w:trPr>
        <w:tc>
          <w:tcPr>
            <w:tcW w:w="1352" w:type="pct"/>
            <w:tcBorders>
              <w:top w:val="nil"/>
              <w:left w:val="single" w:sz="4" w:space="0" w:color="auto"/>
              <w:bottom w:val="nil"/>
              <w:right w:val="nil"/>
            </w:tcBorders>
            <w:shd w:val="clear" w:color="auto" w:fill="auto"/>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Cost recovery</w:t>
            </w:r>
          </w:p>
        </w:tc>
        <w:tc>
          <w:tcPr>
            <w:tcW w:w="540" w:type="pct"/>
            <w:tcBorders>
              <w:top w:val="nil"/>
              <w:left w:val="single" w:sz="4" w:space="0" w:color="auto"/>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xml:space="preserve">        34,625 </w:t>
            </w:r>
          </w:p>
        </w:tc>
        <w:tc>
          <w:tcPr>
            <w:tcW w:w="541" w:type="pct"/>
            <w:tcBorders>
              <w:top w:val="nil"/>
              <w:left w:val="nil"/>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w:t>
            </w:r>
          </w:p>
        </w:tc>
        <w:tc>
          <w:tcPr>
            <w:tcW w:w="540" w:type="pct"/>
            <w:tcBorders>
              <w:top w:val="nil"/>
              <w:left w:val="nil"/>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xml:space="preserve">         34,625 </w:t>
            </w:r>
          </w:p>
        </w:tc>
        <w:tc>
          <w:tcPr>
            <w:tcW w:w="677" w:type="pct"/>
            <w:tcBorders>
              <w:top w:val="nil"/>
              <w:left w:val="nil"/>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xml:space="preserve">                37,174 </w:t>
            </w:r>
          </w:p>
        </w:tc>
        <w:tc>
          <w:tcPr>
            <w:tcW w:w="809" w:type="pct"/>
            <w:tcBorders>
              <w:top w:val="nil"/>
              <w:left w:val="nil"/>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xml:space="preserve">               2,549 </w:t>
            </w:r>
          </w:p>
        </w:tc>
      </w:tr>
      <w:tr w:rsidR="00841ADF" w:rsidRPr="00097483" w:rsidTr="00841ADF">
        <w:trPr>
          <w:trHeight w:val="255"/>
        </w:trPr>
        <w:tc>
          <w:tcPr>
            <w:tcW w:w="1352" w:type="pct"/>
            <w:tcBorders>
              <w:top w:val="nil"/>
              <w:left w:val="single" w:sz="4" w:space="0" w:color="auto"/>
              <w:bottom w:val="nil"/>
              <w:right w:val="nil"/>
            </w:tcBorders>
            <w:shd w:val="clear" w:color="auto" w:fill="auto"/>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Interests</w:t>
            </w:r>
          </w:p>
        </w:tc>
        <w:tc>
          <w:tcPr>
            <w:tcW w:w="540" w:type="pct"/>
            <w:tcBorders>
              <w:top w:val="nil"/>
              <w:left w:val="single" w:sz="4" w:space="0" w:color="auto"/>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xml:space="preserve">             300 </w:t>
            </w:r>
          </w:p>
        </w:tc>
        <w:tc>
          <w:tcPr>
            <w:tcW w:w="541" w:type="pct"/>
            <w:tcBorders>
              <w:top w:val="nil"/>
              <w:left w:val="nil"/>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w:t>
            </w:r>
          </w:p>
        </w:tc>
        <w:tc>
          <w:tcPr>
            <w:tcW w:w="540" w:type="pct"/>
            <w:tcBorders>
              <w:top w:val="nil"/>
              <w:left w:val="nil"/>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xml:space="preserve">             300 </w:t>
            </w:r>
          </w:p>
        </w:tc>
        <w:tc>
          <w:tcPr>
            <w:tcW w:w="677" w:type="pct"/>
            <w:tcBorders>
              <w:top w:val="nil"/>
              <w:left w:val="nil"/>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xml:space="preserve">                       29 </w:t>
            </w:r>
          </w:p>
        </w:tc>
        <w:tc>
          <w:tcPr>
            <w:tcW w:w="809" w:type="pct"/>
            <w:tcBorders>
              <w:top w:val="nil"/>
              <w:left w:val="nil"/>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xml:space="preserve">                 -271 </w:t>
            </w:r>
          </w:p>
        </w:tc>
      </w:tr>
      <w:tr w:rsidR="00841ADF" w:rsidRPr="00097483" w:rsidTr="00841ADF">
        <w:trPr>
          <w:trHeight w:val="255"/>
        </w:trPr>
        <w:tc>
          <w:tcPr>
            <w:tcW w:w="1352" w:type="pct"/>
            <w:tcBorders>
              <w:top w:val="nil"/>
              <w:left w:val="single" w:sz="4" w:space="0" w:color="auto"/>
              <w:bottom w:val="nil"/>
              <w:right w:val="nil"/>
            </w:tcBorders>
            <w:shd w:val="clear" w:color="auto" w:fill="auto"/>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Other revenue</w:t>
            </w:r>
          </w:p>
        </w:tc>
        <w:tc>
          <w:tcPr>
            <w:tcW w:w="540" w:type="pct"/>
            <w:tcBorders>
              <w:top w:val="nil"/>
              <w:left w:val="single" w:sz="4" w:space="0" w:color="auto"/>
              <w:bottom w:val="nil"/>
              <w:right w:val="single" w:sz="4" w:space="0" w:color="auto"/>
            </w:tcBorders>
            <w:shd w:val="clear" w:color="auto" w:fill="auto"/>
            <w:noWrap/>
            <w:vAlign w:val="bottom"/>
            <w:hideMark/>
          </w:tcPr>
          <w:p w:rsidR="00097483" w:rsidRPr="00097483" w:rsidRDefault="00097483" w:rsidP="00841AD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sz w:val="16"/>
                <w:szCs w:val="16"/>
                <w:lang w:val="en-US" w:eastAsia="zh-CN"/>
              </w:rPr>
            </w:pPr>
            <w:r w:rsidRPr="00097483">
              <w:rPr>
                <w:rFonts w:ascii="Arial" w:hAnsi="Arial" w:cs="Arial"/>
                <w:b/>
                <w:bCs/>
                <w:sz w:val="16"/>
                <w:szCs w:val="16"/>
                <w:lang w:val="en-US" w:eastAsia="zh-CN"/>
              </w:rPr>
              <w:t xml:space="preserve">              1</w:t>
            </w:r>
            <w:r w:rsidR="00841ADF">
              <w:rPr>
                <w:rFonts w:ascii="Arial" w:hAnsi="Arial" w:cs="Arial"/>
                <w:b/>
                <w:bCs/>
                <w:sz w:val="16"/>
                <w:szCs w:val="16"/>
                <w:lang w:val="en-US" w:eastAsia="zh-CN"/>
              </w:rPr>
              <w:t>0</w:t>
            </w:r>
            <w:r w:rsidRPr="00097483">
              <w:rPr>
                <w:rFonts w:ascii="Arial" w:hAnsi="Arial" w:cs="Arial"/>
                <w:b/>
                <w:bCs/>
                <w:sz w:val="16"/>
                <w:szCs w:val="16"/>
                <w:lang w:val="en-US" w:eastAsia="zh-CN"/>
              </w:rPr>
              <w:t xml:space="preserve">0 </w:t>
            </w:r>
          </w:p>
        </w:tc>
        <w:tc>
          <w:tcPr>
            <w:tcW w:w="541" w:type="pct"/>
            <w:tcBorders>
              <w:top w:val="nil"/>
              <w:left w:val="nil"/>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w:t>
            </w:r>
          </w:p>
        </w:tc>
        <w:tc>
          <w:tcPr>
            <w:tcW w:w="540" w:type="pct"/>
            <w:tcBorders>
              <w:top w:val="nil"/>
              <w:left w:val="nil"/>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xml:space="preserve">              100 </w:t>
            </w:r>
          </w:p>
        </w:tc>
        <w:tc>
          <w:tcPr>
            <w:tcW w:w="677" w:type="pct"/>
            <w:tcBorders>
              <w:top w:val="nil"/>
              <w:left w:val="nil"/>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sz w:val="16"/>
                <w:szCs w:val="16"/>
                <w:lang w:val="en-US" w:eastAsia="zh-CN"/>
              </w:rPr>
            </w:pPr>
            <w:r w:rsidRPr="00097483">
              <w:rPr>
                <w:rFonts w:ascii="Arial" w:hAnsi="Arial" w:cs="Arial"/>
                <w:b/>
                <w:bCs/>
                <w:sz w:val="16"/>
                <w:szCs w:val="16"/>
                <w:lang w:val="en-US" w:eastAsia="zh-CN"/>
              </w:rPr>
              <w:t xml:space="preserve">                  1,441 </w:t>
            </w:r>
          </w:p>
        </w:tc>
        <w:tc>
          <w:tcPr>
            <w:tcW w:w="809" w:type="pct"/>
            <w:tcBorders>
              <w:top w:val="nil"/>
              <w:left w:val="nil"/>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sz w:val="16"/>
                <w:szCs w:val="16"/>
                <w:lang w:val="en-US" w:eastAsia="zh-CN"/>
              </w:rPr>
            </w:pPr>
            <w:r w:rsidRPr="00097483">
              <w:rPr>
                <w:rFonts w:ascii="Arial" w:hAnsi="Arial" w:cs="Arial"/>
                <w:b/>
                <w:bCs/>
                <w:sz w:val="16"/>
                <w:szCs w:val="16"/>
                <w:lang w:val="en-US" w:eastAsia="zh-CN"/>
              </w:rPr>
              <w:t xml:space="preserve">               1,341 </w:t>
            </w:r>
          </w:p>
        </w:tc>
      </w:tr>
      <w:tr w:rsidR="00841ADF" w:rsidRPr="00097483" w:rsidTr="00841ADF">
        <w:trPr>
          <w:trHeight w:val="255"/>
        </w:trPr>
        <w:tc>
          <w:tcPr>
            <w:tcW w:w="1352" w:type="pct"/>
            <w:tcBorders>
              <w:top w:val="nil"/>
              <w:left w:val="single" w:sz="4" w:space="0" w:color="auto"/>
              <w:bottom w:val="nil"/>
              <w:right w:val="nil"/>
            </w:tcBorders>
            <w:shd w:val="clear" w:color="auto" w:fill="auto"/>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Withdrawal from Reserve Account</w:t>
            </w:r>
          </w:p>
        </w:tc>
        <w:tc>
          <w:tcPr>
            <w:tcW w:w="540" w:type="pct"/>
            <w:tcBorders>
              <w:top w:val="nil"/>
              <w:left w:val="single" w:sz="4" w:space="0" w:color="auto"/>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xml:space="preserve">           1,117 </w:t>
            </w:r>
          </w:p>
        </w:tc>
        <w:tc>
          <w:tcPr>
            <w:tcW w:w="541" w:type="pct"/>
            <w:tcBorders>
              <w:top w:val="nil"/>
              <w:left w:val="nil"/>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xml:space="preserve">              317 </w:t>
            </w:r>
          </w:p>
        </w:tc>
        <w:tc>
          <w:tcPr>
            <w:tcW w:w="541" w:type="pct"/>
            <w:tcBorders>
              <w:top w:val="nil"/>
              <w:left w:val="nil"/>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w:t>
            </w:r>
          </w:p>
        </w:tc>
        <w:tc>
          <w:tcPr>
            <w:tcW w:w="540" w:type="pct"/>
            <w:tcBorders>
              <w:top w:val="nil"/>
              <w:left w:val="nil"/>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xml:space="preserve">           1,434 </w:t>
            </w:r>
          </w:p>
        </w:tc>
        <w:tc>
          <w:tcPr>
            <w:tcW w:w="677" w:type="pct"/>
            <w:tcBorders>
              <w:top w:val="nil"/>
              <w:left w:val="nil"/>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xml:space="preserve">                        -   </w:t>
            </w:r>
          </w:p>
        </w:tc>
        <w:tc>
          <w:tcPr>
            <w:tcW w:w="809" w:type="pct"/>
            <w:tcBorders>
              <w:top w:val="nil"/>
              <w:left w:val="nil"/>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xml:space="preserve">              -1,434 </w:t>
            </w:r>
          </w:p>
        </w:tc>
      </w:tr>
      <w:tr w:rsidR="00841ADF" w:rsidRPr="00097483" w:rsidTr="00841ADF">
        <w:trPr>
          <w:trHeight w:val="255"/>
        </w:trPr>
        <w:tc>
          <w:tcPr>
            <w:tcW w:w="1352" w:type="pct"/>
            <w:tcBorders>
              <w:top w:val="nil"/>
              <w:left w:val="single" w:sz="4" w:space="0" w:color="auto"/>
              <w:bottom w:val="nil"/>
              <w:right w:val="nil"/>
            </w:tcBorders>
            <w:shd w:val="clear" w:color="auto" w:fill="auto"/>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540" w:type="pct"/>
            <w:tcBorders>
              <w:top w:val="nil"/>
              <w:left w:val="single" w:sz="4" w:space="0" w:color="auto"/>
              <w:bottom w:val="single" w:sz="4" w:space="0" w:color="auto"/>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541" w:type="pct"/>
            <w:tcBorders>
              <w:top w:val="nil"/>
              <w:left w:val="nil"/>
              <w:bottom w:val="single" w:sz="4" w:space="0" w:color="auto"/>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541" w:type="pct"/>
            <w:tcBorders>
              <w:top w:val="nil"/>
              <w:left w:val="nil"/>
              <w:bottom w:val="single" w:sz="4" w:space="0" w:color="auto"/>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540" w:type="pct"/>
            <w:tcBorders>
              <w:top w:val="nil"/>
              <w:left w:val="nil"/>
              <w:bottom w:val="single" w:sz="4" w:space="0" w:color="auto"/>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677" w:type="pct"/>
            <w:tcBorders>
              <w:top w:val="nil"/>
              <w:left w:val="nil"/>
              <w:bottom w:val="single" w:sz="4" w:space="0" w:color="auto"/>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809" w:type="pct"/>
            <w:tcBorders>
              <w:top w:val="nil"/>
              <w:left w:val="nil"/>
              <w:bottom w:val="single" w:sz="4" w:space="0" w:color="auto"/>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r>
      <w:tr w:rsidR="00841ADF" w:rsidRPr="00097483" w:rsidTr="00841ADF">
        <w:trPr>
          <w:trHeight w:val="255"/>
        </w:trPr>
        <w:tc>
          <w:tcPr>
            <w:tcW w:w="13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Total revenue</w:t>
            </w:r>
          </w:p>
        </w:tc>
        <w:tc>
          <w:tcPr>
            <w:tcW w:w="540" w:type="pct"/>
            <w:tcBorders>
              <w:top w:val="nil"/>
              <w:left w:val="nil"/>
              <w:bottom w:val="single" w:sz="4" w:space="0" w:color="auto"/>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xml:space="preserve">      160,543 </w:t>
            </w:r>
          </w:p>
        </w:tc>
        <w:tc>
          <w:tcPr>
            <w:tcW w:w="541" w:type="pct"/>
            <w:tcBorders>
              <w:top w:val="nil"/>
              <w:left w:val="nil"/>
              <w:bottom w:val="single" w:sz="4" w:space="0" w:color="auto"/>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xml:space="preserve">             317 </w:t>
            </w:r>
          </w:p>
        </w:tc>
        <w:tc>
          <w:tcPr>
            <w:tcW w:w="541" w:type="pct"/>
            <w:tcBorders>
              <w:top w:val="nil"/>
              <w:left w:val="nil"/>
              <w:bottom w:val="single" w:sz="4" w:space="0" w:color="auto"/>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w:t>
            </w:r>
          </w:p>
        </w:tc>
        <w:tc>
          <w:tcPr>
            <w:tcW w:w="540" w:type="pct"/>
            <w:tcBorders>
              <w:top w:val="nil"/>
              <w:left w:val="nil"/>
              <w:bottom w:val="single" w:sz="4" w:space="0" w:color="auto"/>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xml:space="preserve">      160,860 </w:t>
            </w:r>
          </w:p>
        </w:tc>
        <w:tc>
          <w:tcPr>
            <w:tcW w:w="677" w:type="pct"/>
            <w:tcBorders>
              <w:top w:val="nil"/>
              <w:left w:val="nil"/>
              <w:bottom w:val="single" w:sz="4" w:space="0" w:color="auto"/>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xml:space="preserve">             161,034 </w:t>
            </w:r>
          </w:p>
        </w:tc>
        <w:tc>
          <w:tcPr>
            <w:tcW w:w="809" w:type="pct"/>
            <w:tcBorders>
              <w:top w:val="nil"/>
              <w:left w:val="nil"/>
              <w:bottom w:val="single" w:sz="4" w:space="0" w:color="auto"/>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xml:space="preserve">                   174 </w:t>
            </w:r>
          </w:p>
        </w:tc>
      </w:tr>
      <w:tr w:rsidR="00097483" w:rsidRPr="00097483" w:rsidTr="00841ADF">
        <w:trPr>
          <w:trHeight w:val="255"/>
        </w:trPr>
        <w:tc>
          <w:tcPr>
            <w:tcW w:w="1352" w:type="pct"/>
            <w:vMerge w:val="restart"/>
            <w:tcBorders>
              <w:top w:val="nil"/>
              <w:left w:val="single" w:sz="4" w:space="0" w:color="auto"/>
              <w:bottom w:val="single" w:sz="4" w:space="0" w:color="000000"/>
              <w:right w:val="single" w:sz="4" w:space="0" w:color="auto"/>
            </w:tcBorders>
            <w:shd w:val="clear" w:color="auto" w:fill="auto"/>
            <w:vAlign w:val="center"/>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Expenses</w:t>
            </w:r>
          </w:p>
        </w:tc>
        <w:tc>
          <w:tcPr>
            <w:tcW w:w="2162" w:type="pct"/>
            <w:gridSpan w:val="4"/>
            <w:tcBorders>
              <w:top w:val="single" w:sz="4" w:space="0" w:color="auto"/>
              <w:left w:val="nil"/>
              <w:bottom w:val="single" w:sz="4" w:space="0" w:color="auto"/>
              <w:right w:val="single" w:sz="4" w:space="0" w:color="000000"/>
            </w:tcBorders>
            <w:shd w:val="clear" w:color="auto" w:fill="auto"/>
            <w:noWrap/>
            <w:vAlign w:val="center"/>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Budgeted amounts</w:t>
            </w:r>
          </w:p>
        </w:tc>
        <w:tc>
          <w:tcPr>
            <w:tcW w:w="677" w:type="pct"/>
            <w:vMerge w:val="restart"/>
            <w:tcBorders>
              <w:top w:val="nil"/>
              <w:left w:val="single" w:sz="4" w:space="0" w:color="auto"/>
              <w:bottom w:val="single" w:sz="4" w:space="0" w:color="000000"/>
              <w:right w:val="single" w:sz="4" w:space="0" w:color="auto"/>
            </w:tcBorders>
            <w:shd w:val="clear" w:color="auto" w:fill="auto"/>
            <w:vAlign w:val="center"/>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Actual amounts on a comparable basis</w:t>
            </w:r>
          </w:p>
        </w:tc>
        <w:tc>
          <w:tcPr>
            <w:tcW w:w="809" w:type="pct"/>
            <w:vMerge w:val="restart"/>
            <w:tcBorders>
              <w:top w:val="nil"/>
              <w:left w:val="single" w:sz="4" w:space="0" w:color="auto"/>
              <w:bottom w:val="single" w:sz="4" w:space="0" w:color="000000"/>
              <w:right w:val="single" w:sz="4" w:space="0" w:color="auto"/>
            </w:tcBorders>
            <w:shd w:val="clear" w:color="auto" w:fill="auto"/>
            <w:vAlign w:val="center"/>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Difference between final budget and actual amounts</w:t>
            </w:r>
          </w:p>
        </w:tc>
      </w:tr>
      <w:tr w:rsidR="00841ADF" w:rsidRPr="00097483" w:rsidTr="00841ADF">
        <w:trPr>
          <w:trHeight w:val="630"/>
        </w:trPr>
        <w:tc>
          <w:tcPr>
            <w:tcW w:w="1352" w:type="pct"/>
            <w:vMerge/>
            <w:tcBorders>
              <w:top w:val="nil"/>
              <w:left w:val="single" w:sz="4" w:space="0" w:color="auto"/>
              <w:bottom w:val="single" w:sz="4" w:space="0" w:color="000000"/>
              <w:right w:val="single" w:sz="4" w:space="0" w:color="auto"/>
            </w:tcBorders>
            <w:vAlign w:val="center"/>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6"/>
                <w:szCs w:val="16"/>
                <w:lang w:val="en-US" w:eastAsia="zh-CN"/>
              </w:rPr>
            </w:pPr>
          </w:p>
        </w:tc>
        <w:tc>
          <w:tcPr>
            <w:tcW w:w="540" w:type="pct"/>
            <w:tcBorders>
              <w:top w:val="nil"/>
              <w:left w:val="nil"/>
              <w:bottom w:val="single" w:sz="4" w:space="0" w:color="auto"/>
              <w:right w:val="single" w:sz="4" w:space="0" w:color="auto"/>
            </w:tcBorders>
            <w:shd w:val="clear" w:color="auto" w:fill="auto"/>
            <w:vAlign w:val="center"/>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Initial Budget</w:t>
            </w:r>
          </w:p>
        </w:tc>
        <w:tc>
          <w:tcPr>
            <w:tcW w:w="541" w:type="pct"/>
            <w:tcBorders>
              <w:top w:val="nil"/>
              <w:left w:val="nil"/>
              <w:bottom w:val="single" w:sz="4" w:space="0" w:color="auto"/>
              <w:right w:val="single" w:sz="4" w:space="0" w:color="auto"/>
            </w:tcBorders>
            <w:shd w:val="clear" w:color="auto" w:fill="auto"/>
            <w:vAlign w:val="center"/>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val="en-US" w:eastAsia="zh-CN"/>
              </w:rPr>
            </w:pPr>
            <w:proofErr w:type="spellStart"/>
            <w:r w:rsidRPr="00097483">
              <w:rPr>
                <w:rFonts w:ascii="Arial" w:hAnsi="Arial" w:cs="Arial"/>
                <w:b/>
                <w:bCs/>
                <w:color w:val="000000"/>
                <w:sz w:val="16"/>
                <w:szCs w:val="16"/>
                <w:lang w:val="en-US" w:eastAsia="zh-CN"/>
              </w:rPr>
              <w:t>Deffered</w:t>
            </w:r>
            <w:proofErr w:type="spellEnd"/>
            <w:r w:rsidRPr="00097483">
              <w:rPr>
                <w:rFonts w:ascii="Arial" w:hAnsi="Arial" w:cs="Arial"/>
                <w:b/>
                <w:bCs/>
                <w:color w:val="000000"/>
                <w:sz w:val="16"/>
                <w:szCs w:val="16"/>
                <w:lang w:val="en-US" w:eastAsia="zh-CN"/>
              </w:rPr>
              <w:t xml:space="preserve"> activity</w:t>
            </w:r>
          </w:p>
        </w:tc>
        <w:tc>
          <w:tcPr>
            <w:tcW w:w="541" w:type="pct"/>
            <w:tcBorders>
              <w:top w:val="nil"/>
              <w:left w:val="nil"/>
              <w:bottom w:val="single" w:sz="4" w:space="0" w:color="auto"/>
              <w:right w:val="nil"/>
            </w:tcBorders>
            <w:shd w:val="clear" w:color="auto" w:fill="auto"/>
            <w:vAlign w:val="center"/>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Budget transfers</w:t>
            </w:r>
          </w:p>
        </w:tc>
        <w:tc>
          <w:tcPr>
            <w:tcW w:w="540" w:type="pct"/>
            <w:tcBorders>
              <w:top w:val="nil"/>
              <w:left w:val="single" w:sz="4" w:space="0" w:color="auto"/>
              <w:bottom w:val="single" w:sz="4" w:space="0" w:color="auto"/>
              <w:right w:val="single" w:sz="4" w:space="0" w:color="auto"/>
            </w:tcBorders>
            <w:shd w:val="clear" w:color="auto" w:fill="auto"/>
            <w:vAlign w:val="center"/>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Final budget</w:t>
            </w:r>
          </w:p>
        </w:tc>
        <w:tc>
          <w:tcPr>
            <w:tcW w:w="677" w:type="pct"/>
            <w:vMerge/>
            <w:tcBorders>
              <w:top w:val="nil"/>
              <w:left w:val="single" w:sz="4" w:space="0" w:color="auto"/>
              <w:bottom w:val="single" w:sz="4" w:space="0" w:color="000000"/>
              <w:right w:val="single" w:sz="4" w:space="0" w:color="auto"/>
            </w:tcBorders>
            <w:vAlign w:val="center"/>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6"/>
                <w:szCs w:val="16"/>
                <w:lang w:val="en-US" w:eastAsia="zh-CN"/>
              </w:rPr>
            </w:pPr>
          </w:p>
        </w:tc>
        <w:tc>
          <w:tcPr>
            <w:tcW w:w="809" w:type="pct"/>
            <w:vMerge/>
            <w:tcBorders>
              <w:top w:val="nil"/>
              <w:left w:val="single" w:sz="4" w:space="0" w:color="auto"/>
              <w:bottom w:val="single" w:sz="4" w:space="0" w:color="000000"/>
              <w:right w:val="single" w:sz="4" w:space="0" w:color="auto"/>
            </w:tcBorders>
            <w:vAlign w:val="center"/>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6"/>
                <w:szCs w:val="16"/>
                <w:lang w:val="en-US" w:eastAsia="zh-CN"/>
              </w:rPr>
            </w:pPr>
          </w:p>
        </w:tc>
      </w:tr>
      <w:tr w:rsidR="00841ADF" w:rsidRPr="00097483" w:rsidTr="00841ADF">
        <w:trPr>
          <w:trHeight w:val="255"/>
        </w:trPr>
        <w:tc>
          <w:tcPr>
            <w:tcW w:w="1352" w:type="pct"/>
            <w:vMerge/>
            <w:tcBorders>
              <w:top w:val="nil"/>
              <w:left w:val="single" w:sz="4" w:space="0" w:color="auto"/>
              <w:bottom w:val="single" w:sz="4" w:space="0" w:color="000000"/>
              <w:right w:val="single" w:sz="4" w:space="0" w:color="auto"/>
            </w:tcBorders>
            <w:vAlign w:val="center"/>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6"/>
                <w:szCs w:val="16"/>
                <w:lang w:val="en-US" w:eastAsia="zh-CN"/>
              </w:rPr>
            </w:pPr>
          </w:p>
        </w:tc>
        <w:tc>
          <w:tcPr>
            <w:tcW w:w="540" w:type="pct"/>
            <w:tcBorders>
              <w:top w:val="nil"/>
              <w:left w:val="nil"/>
              <w:bottom w:val="single" w:sz="4" w:space="0" w:color="auto"/>
              <w:right w:val="single" w:sz="4" w:space="0" w:color="auto"/>
            </w:tcBorders>
            <w:shd w:val="clear" w:color="auto" w:fill="auto"/>
            <w:noWrap/>
            <w:vAlign w:val="center"/>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xml:space="preserve"> 31.12.2017 </w:t>
            </w:r>
          </w:p>
        </w:tc>
        <w:tc>
          <w:tcPr>
            <w:tcW w:w="541" w:type="pct"/>
            <w:tcBorders>
              <w:top w:val="nil"/>
              <w:left w:val="nil"/>
              <w:bottom w:val="single" w:sz="4" w:space="0" w:color="auto"/>
              <w:right w:val="single" w:sz="4" w:space="0" w:color="auto"/>
            </w:tcBorders>
            <w:shd w:val="clear" w:color="auto" w:fill="auto"/>
            <w:noWrap/>
            <w:vAlign w:val="center"/>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xml:space="preserve"> 31.12.2017 </w:t>
            </w:r>
          </w:p>
        </w:tc>
        <w:tc>
          <w:tcPr>
            <w:tcW w:w="541" w:type="pct"/>
            <w:tcBorders>
              <w:top w:val="nil"/>
              <w:left w:val="nil"/>
              <w:bottom w:val="single" w:sz="4" w:space="0" w:color="auto"/>
              <w:right w:val="single" w:sz="4" w:space="0" w:color="auto"/>
            </w:tcBorders>
            <w:shd w:val="clear" w:color="auto" w:fill="auto"/>
            <w:noWrap/>
            <w:vAlign w:val="center"/>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xml:space="preserve"> 31.12.2017 </w:t>
            </w:r>
          </w:p>
        </w:tc>
        <w:tc>
          <w:tcPr>
            <w:tcW w:w="540" w:type="pct"/>
            <w:tcBorders>
              <w:top w:val="nil"/>
              <w:left w:val="nil"/>
              <w:bottom w:val="single" w:sz="4" w:space="0" w:color="auto"/>
              <w:right w:val="single" w:sz="4" w:space="0" w:color="auto"/>
            </w:tcBorders>
            <w:shd w:val="clear" w:color="auto" w:fill="auto"/>
            <w:noWrap/>
            <w:vAlign w:val="center"/>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xml:space="preserve"> 31.12.2017 </w:t>
            </w:r>
          </w:p>
        </w:tc>
        <w:tc>
          <w:tcPr>
            <w:tcW w:w="677" w:type="pct"/>
            <w:tcBorders>
              <w:top w:val="nil"/>
              <w:left w:val="nil"/>
              <w:bottom w:val="single" w:sz="4" w:space="0" w:color="auto"/>
              <w:right w:val="single" w:sz="4" w:space="0" w:color="auto"/>
            </w:tcBorders>
            <w:shd w:val="clear" w:color="auto" w:fill="auto"/>
            <w:noWrap/>
            <w:vAlign w:val="center"/>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xml:space="preserve"> 31.12.2017 </w:t>
            </w:r>
          </w:p>
        </w:tc>
        <w:tc>
          <w:tcPr>
            <w:tcW w:w="809" w:type="pct"/>
            <w:tcBorders>
              <w:top w:val="nil"/>
              <w:left w:val="nil"/>
              <w:bottom w:val="single" w:sz="4" w:space="0" w:color="auto"/>
              <w:right w:val="single" w:sz="4" w:space="0" w:color="auto"/>
            </w:tcBorders>
            <w:shd w:val="clear" w:color="auto" w:fill="auto"/>
            <w:noWrap/>
            <w:vAlign w:val="center"/>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xml:space="preserve"> 31.12.2017 </w:t>
            </w:r>
          </w:p>
        </w:tc>
      </w:tr>
      <w:tr w:rsidR="00841ADF" w:rsidRPr="00097483" w:rsidTr="00841ADF">
        <w:trPr>
          <w:trHeight w:val="255"/>
        </w:trPr>
        <w:tc>
          <w:tcPr>
            <w:tcW w:w="1352" w:type="pct"/>
            <w:tcBorders>
              <w:top w:val="nil"/>
              <w:left w:val="single" w:sz="4" w:space="0" w:color="auto"/>
              <w:bottom w:val="nil"/>
              <w:right w:val="nil"/>
            </w:tcBorders>
            <w:shd w:val="clear" w:color="auto" w:fill="auto"/>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i/>
                <w:iCs/>
                <w:color w:val="000000"/>
                <w:sz w:val="16"/>
                <w:szCs w:val="16"/>
                <w:lang w:val="en-US" w:eastAsia="zh-CN"/>
              </w:rPr>
            </w:pPr>
            <w:r w:rsidRPr="00097483">
              <w:rPr>
                <w:rFonts w:ascii="Arial" w:hAnsi="Arial" w:cs="Arial"/>
                <w:i/>
                <w:iCs/>
                <w:color w:val="000000"/>
                <w:sz w:val="16"/>
                <w:szCs w:val="16"/>
                <w:lang w:val="en-US" w:eastAsia="zh-CN"/>
              </w:rPr>
              <w:t>General Secretariat</w:t>
            </w:r>
          </w:p>
        </w:tc>
        <w:tc>
          <w:tcPr>
            <w:tcW w:w="540" w:type="pct"/>
            <w:tcBorders>
              <w:top w:val="nil"/>
              <w:left w:val="single" w:sz="4" w:space="0" w:color="auto"/>
              <w:bottom w:val="nil"/>
              <w:right w:val="single" w:sz="4" w:space="0" w:color="auto"/>
            </w:tcBorders>
            <w:shd w:val="clear" w:color="auto" w:fill="auto"/>
            <w:noWrap/>
            <w:vAlign w:val="bottom"/>
            <w:hideMark/>
          </w:tcPr>
          <w:p w:rsidR="00097483" w:rsidRPr="00097483" w:rsidRDefault="00097483" w:rsidP="00841AD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97483">
              <w:rPr>
                <w:rFonts w:ascii="Arial" w:hAnsi="Arial" w:cs="Arial"/>
                <w:i/>
                <w:iCs/>
                <w:color w:val="000000"/>
                <w:sz w:val="16"/>
                <w:szCs w:val="16"/>
                <w:lang w:val="en-US" w:eastAsia="zh-CN"/>
              </w:rPr>
              <w:t xml:space="preserve">                90,761 </w:t>
            </w:r>
          </w:p>
        </w:tc>
        <w:tc>
          <w:tcPr>
            <w:tcW w:w="541" w:type="pct"/>
            <w:tcBorders>
              <w:top w:val="nil"/>
              <w:left w:val="nil"/>
              <w:bottom w:val="nil"/>
              <w:right w:val="single" w:sz="4" w:space="0" w:color="auto"/>
            </w:tcBorders>
            <w:shd w:val="clear" w:color="auto" w:fill="auto"/>
            <w:noWrap/>
            <w:vAlign w:val="bottom"/>
            <w:hideMark/>
          </w:tcPr>
          <w:p w:rsidR="00097483" w:rsidRPr="00097483" w:rsidRDefault="00097483" w:rsidP="00841AD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97483">
              <w:rPr>
                <w:rFonts w:ascii="Arial" w:hAnsi="Arial" w:cs="Arial"/>
                <w:i/>
                <w:iCs/>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097483" w:rsidRPr="00097483" w:rsidRDefault="00097483" w:rsidP="00841AD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97483">
              <w:rPr>
                <w:rFonts w:ascii="Arial" w:hAnsi="Arial" w:cs="Arial"/>
                <w:i/>
                <w:iCs/>
                <w:color w:val="000000"/>
                <w:sz w:val="16"/>
                <w:szCs w:val="16"/>
                <w:lang w:val="en-US" w:eastAsia="zh-CN"/>
              </w:rPr>
              <w:t xml:space="preserve">                        -116 </w:t>
            </w:r>
          </w:p>
        </w:tc>
        <w:tc>
          <w:tcPr>
            <w:tcW w:w="540" w:type="pct"/>
            <w:tcBorders>
              <w:top w:val="nil"/>
              <w:left w:val="nil"/>
              <w:bottom w:val="nil"/>
              <w:right w:val="single" w:sz="4" w:space="0" w:color="auto"/>
            </w:tcBorders>
            <w:shd w:val="clear" w:color="auto" w:fill="auto"/>
            <w:noWrap/>
            <w:vAlign w:val="bottom"/>
            <w:hideMark/>
          </w:tcPr>
          <w:p w:rsidR="00097483" w:rsidRPr="00097483" w:rsidRDefault="00097483" w:rsidP="00841AD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97483">
              <w:rPr>
                <w:rFonts w:ascii="Arial" w:hAnsi="Arial" w:cs="Arial"/>
                <w:i/>
                <w:iCs/>
                <w:color w:val="000000"/>
                <w:sz w:val="16"/>
                <w:szCs w:val="16"/>
                <w:lang w:val="en-US" w:eastAsia="zh-CN"/>
              </w:rPr>
              <w:t xml:space="preserve">                   90,645 </w:t>
            </w:r>
          </w:p>
        </w:tc>
        <w:tc>
          <w:tcPr>
            <w:tcW w:w="677" w:type="pct"/>
            <w:tcBorders>
              <w:top w:val="nil"/>
              <w:left w:val="nil"/>
              <w:bottom w:val="nil"/>
              <w:right w:val="nil"/>
            </w:tcBorders>
            <w:shd w:val="clear" w:color="auto" w:fill="auto"/>
            <w:noWrap/>
            <w:vAlign w:val="bottom"/>
            <w:hideMark/>
          </w:tcPr>
          <w:p w:rsidR="00097483" w:rsidRPr="00097483" w:rsidRDefault="00097483" w:rsidP="00841AD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97483">
              <w:rPr>
                <w:rFonts w:ascii="Arial" w:hAnsi="Arial" w:cs="Arial"/>
                <w:i/>
                <w:iCs/>
                <w:color w:val="000000"/>
                <w:sz w:val="16"/>
                <w:szCs w:val="16"/>
                <w:lang w:val="en-US" w:eastAsia="zh-CN"/>
              </w:rPr>
              <w:t xml:space="preserve">                          81,762 </w:t>
            </w:r>
          </w:p>
        </w:tc>
        <w:tc>
          <w:tcPr>
            <w:tcW w:w="809" w:type="pct"/>
            <w:tcBorders>
              <w:top w:val="nil"/>
              <w:left w:val="single" w:sz="4" w:space="0" w:color="auto"/>
              <w:bottom w:val="nil"/>
              <w:right w:val="single" w:sz="4" w:space="0" w:color="auto"/>
            </w:tcBorders>
            <w:shd w:val="clear" w:color="auto" w:fill="auto"/>
            <w:noWrap/>
            <w:vAlign w:val="bottom"/>
            <w:hideMark/>
          </w:tcPr>
          <w:p w:rsidR="00097483" w:rsidRPr="00097483" w:rsidRDefault="00097483" w:rsidP="00841AD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97483">
              <w:rPr>
                <w:rFonts w:ascii="Arial" w:hAnsi="Arial" w:cs="Arial"/>
                <w:i/>
                <w:iCs/>
                <w:color w:val="000000"/>
                <w:sz w:val="16"/>
                <w:szCs w:val="16"/>
                <w:lang w:val="en-US" w:eastAsia="zh-CN"/>
              </w:rPr>
              <w:t xml:space="preserve">                        8,883 </w:t>
            </w:r>
          </w:p>
        </w:tc>
      </w:tr>
      <w:tr w:rsidR="00841ADF" w:rsidRPr="00097483" w:rsidTr="00841ADF">
        <w:trPr>
          <w:trHeight w:val="255"/>
        </w:trPr>
        <w:tc>
          <w:tcPr>
            <w:tcW w:w="1352" w:type="pct"/>
            <w:tcBorders>
              <w:top w:val="nil"/>
              <w:left w:val="single" w:sz="4" w:space="0" w:color="auto"/>
              <w:bottom w:val="nil"/>
              <w:right w:val="nil"/>
            </w:tcBorders>
            <w:shd w:val="clear" w:color="auto" w:fill="auto"/>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i/>
                <w:iCs/>
                <w:color w:val="000000"/>
                <w:sz w:val="16"/>
                <w:szCs w:val="16"/>
                <w:lang w:val="en-US" w:eastAsia="zh-CN"/>
              </w:rPr>
            </w:pPr>
            <w:proofErr w:type="spellStart"/>
            <w:r w:rsidRPr="00097483">
              <w:rPr>
                <w:rFonts w:ascii="Arial" w:hAnsi="Arial" w:cs="Arial"/>
                <w:i/>
                <w:iCs/>
                <w:color w:val="000000"/>
                <w:sz w:val="16"/>
                <w:szCs w:val="16"/>
                <w:lang w:val="en-US" w:eastAsia="zh-CN"/>
              </w:rPr>
              <w:t>Radiocommunication</w:t>
            </w:r>
            <w:proofErr w:type="spellEnd"/>
            <w:r w:rsidRPr="00097483">
              <w:rPr>
                <w:rFonts w:ascii="Arial" w:hAnsi="Arial" w:cs="Arial"/>
                <w:i/>
                <w:iCs/>
                <w:color w:val="000000"/>
                <w:sz w:val="16"/>
                <w:szCs w:val="16"/>
                <w:lang w:val="en-US" w:eastAsia="zh-CN"/>
              </w:rPr>
              <w:t xml:space="preserve"> Sector</w:t>
            </w:r>
          </w:p>
        </w:tc>
        <w:tc>
          <w:tcPr>
            <w:tcW w:w="540" w:type="pct"/>
            <w:tcBorders>
              <w:top w:val="nil"/>
              <w:left w:val="single" w:sz="4" w:space="0" w:color="auto"/>
              <w:bottom w:val="nil"/>
              <w:right w:val="single" w:sz="4" w:space="0" w:color="auto"/>
            </w:tcBorders>
            <w:shd w:val="clear" w:color="auto" w:fill="auto"/>
            <w:noWrap/>
            <w:vAlign w:val="bottom"/>
            <w:hideMark/>
          </w:tcPr>
          <w:p w:rsidR="00097483" w:rsidRPr="00097483" w:rsidRDefault="00097483" w:rsidP="00841AD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97483">
              <w:rPr>
                <w:rFonts w:ascii="Arial" w:hAnsi="Arial" w:cs="Arial"/>
                <w:i/>
                <w:iCs/>
                <w:color w:val="000000"/>
                <w:sz w:val="16"/>
                <w:szCs w:val="16"/>
                <w:lang w:val="en-US" w:eastAsia="zh-CN"/>
              </w:rPr>
              <w:t xml:space="preserve">                28,603 </w:t>
            </w:r>
          </w:p>
        </w:tc>
        <w:tc>
          <w:tcPr>
            <w:tcW w:w="541" w:type="pct"/>
            <w:tcBorders>
              <w:top w:val="nil"/>
              <w:left w:val="nil"/>
              <w:bottom w:val="nil"/>
              <w:right w:val="single" w:sz="4" w:space="0" w:color="auto"/>
            </w:tcBorders>
            <w:shd w:val="clear" w:color="auto" w:fill="auto"/>
            <w:noWrap/>
            <w:vAlign w:val="bottom"/>
            <w:hideMark/>
          </w:tcPr>
          <w:p w:rsidR="00097483" w:rsidRPr="00097483" w:rsidRDefault="00097483" w:rsidP="00841AD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97483">
              <w:rPr>
                <w:rFonts w:ascii="Arial" w:hAnsi="Arial" w:cs="Arial"/>
                <w:i/>
                <w:iCs/>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097483" w:rsidRPr="00097483" w:rsidRDefault="00097483" w:rsidP="00841AD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97483">
              <w:rPr>
                <w:rFonts w:ascii="Arial" w:hAnsi="Arial" w:cs="Arial"/>
                <w:i/>
                <w:iCs/>
                <w:color w:val="000000"/>
                <w:sz w:val="16"/>
                <w:szCs w:val="16"/>
                <w:lang w:val="en-US" w:eastAsia="zh-CN"/>
              </w:rPr>
              <w:t> </w:t>
            </w:r>
          </w:p>
        </w:tc>
        <w:tc>
          <w:tcPr>
            <w:tcW w:w="540" w:type="pct"/>
            <w:tcBorders>
              <w:top w:val="nil"/>
              <w:left w:val="nil"/>
              <w:bottom w:val="nil"/>
              <w:right w:val="single" w:sz="4" w:space="0" w:color="auto"/>
            </w:tcBorders>
            <w:shd w:val="clear" w:color="auto" w:fill="auto"/>
            <w:noWrap/>
            <w:vAlign w:val="bottom"/>
            <w:hideMark/>
          </w:tcPr>
          <w:p w:rsidR="00097483" w:rsidRPr="00097483" w:rsidRDefault="00097483" w:rsidP="00841AD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97483">
              <w:rPr>
                <w:rFonts w:ascii="Arial" w:hAnsi="Arial" w:cs="Arial"/>
                <w:i/>
                <w:iCs/>
                <w:color w:val="000000"/>
                <w:sz w:val="16"/>
                <w:szCs w:val="16"/>
                <w:lang w:val="en-US" w:eastAsia="zh-CN"/>
              </w:rPr>
              <w:t xml:space="preserve">                   28,603 </w:t>
            </w:r>
          </w:p>
        </w:tc>
        <w:tc>
          <w:tcPr>
            <w:tcW w:w="677" w:type="pct"/>
            <w:tcBorders>
              <w:top w:val="nil"/>
              <w:left w:val="nil"/>
              <w:bottom w:val="nil"/>
              <w:right w:val="nil"/>
            </w:tcBorders>
            <w:shd w:val="clear" w:color="auto" w:fill="auto"/>
            <w:noWrap/>
            <w:vAlign w:val="bottom"/>
            <w:hideMark/>
          </w:tcPr>
          <w:p w:rsidR="00097483" w:rsidRPr="00097483" w:rsidRDefault="00097483" w:rsidP="00841AD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97483">
              <w:rPr>
                <w:rFonts w:ascii="Arial" w:hAnsi="Arial" w:cs="Arial"/>
                <w:i/>
                <w:iCs/>
                <w:color w:val="000000"/>
                <w:sz w:val="16"/>
                <w:szCs w:val="16"/>
                <w:lang w:val="en-US" w:eastAsia="zh-CN"/>
              </w:rPr>
              <w:t xml:space="preserve">                          27,234 </w:t>
            </w:r>
          </w:p>
        </w:tc>
        <w:tc>
          <w:tcPr>
            <w:tcW w:w="809" w:type="pct"/>
            <w:tcBorders>
              <w:top w:val="nil"/>
              <w:left w:val="single" w:sz="4" w:space="0" w:color="auto"/>
              <w:bottom w:val="nil"/>
              <w:right w:val="single" w:sz="4" w:space="0" w:color="auto"/>
            </w:tcBorders>
            <w:shd w:val="clear" w:color="auto" w:fill="auto"/>
            <w:noWrap/>
            <w:vAlign w:val="bottom"/>
            <w:hideMark/>
          </w:tcPr>
          <w:p w:rsidR="00097483" w:rsidRPr="00097483" w:rsidRDefault="00097483" w:rsidP="00841AD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97483">
              <w:rPr>
                <w:rFonts w:ascii="Arial" w:hAnsi="Arial" w:cs="Arial"/>
                <w:i/>
                <w:iCs/>
                <w:color w:val="000000"/>
                <w:sz w:val="16"/>
                <w:szCs w:val="16"/>
                <w:lang w:val="en-US" w:eastAsia="zh-CN"/>
              </w:rPr>
              <w:t xml:space="preserve">                        1,369 </w:t>
            </w:r>
          </w:p>
        </w:tc>
      </w:tr>
      <w:tr w:rsidR="00841ADF" w:rsidRPr="00097483" w:rsidTr="00841ADF">
        <w:trPr>
          <w:trHeight w:val="255"/>
        </w:trPr>
        <w:tc>
          <w:tcPr>
            <w:tcW w:w="1352" w:type="pct"/>
            <w:tcBorders>
              <w:top w:val="nil"/>
              <w:left w:val="single" w:sz="4" w:space="0" w:color="auto"/>
              <w:bottom w:val="nil"/>
              <w:right w:val="nil"/>
            </w:tcBorders>
            <w:shd w:val="clear" w:color="auto" w:fill="auto"/>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i/>
                <w:iCs/>
                <w:color w:val="000000"/>
                <w:sz w:val="16"/>
                <w:szCs w:val="16"/>
                <w:lang w:val="en-US" w:eastAsia="zh-CN"/>
              </w:rPr>
            </w:pPr>
            <w:r w:rsidRPr="00097483">
              <w:rPr>
                <w:rFonts w:ascii="Arial" w:hAnsi="Arial" w:cs="Arial"/>
                <w:i/>
                <w:iCs/>
                <w:color w:val="000000"/>
                <w:sz w:val="16"/>
                <w:szCs w:val="16"/>
                <w:lang w:val="en-US" w:eastAsia="zh-CN"/>
              </w:rPr>
              <w:t>Telecommunication Standardization Sector</w:t>
            </w:r>
          </w:p>
        </w:tc>
        <w:tc>
          <w:tcPr>
            <w:tcW w:w="540" w:type="pct"/>
            <w:tcBorders>
              <w:top w:val="nil"/>
              <w:left w:val="single" w:sz="4" w:space="0" w:color="auto"/>
              <w:bottom w:val="nil"/>
              <w:right w:val="single" w:sz="4" w:space="0" w:color="auto"/>
            </w:tcBorders>
            <w:shd w:val="clear" w:color="auto" w:fill="auto"/>
            <w:noWrap/>
            <w:vAlign w:val="bottom"/>
            <w:hideMark/>
          </w:tcPr>
          <w:p w:rsidR="00097483" w:rsidRPr="00097483" w:rsidRDefault="00097483" w:rsidP="00841AD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97483">
              <w:rPr>
                <w:rFonts w:ascii="Arial" w:hAnsi="Arial" w:cs="Arial"/>
                <w:i/>
                <w:iCs/>
                <w:color w:val="000000"/>
                <w:sz w:val="16"/>
                <w:szCs w:val="16"/>
                <w:lang w:val="en-US" w:eastAsia="zh-CN"/>
              </w:rPr>
              <w:t xml:space="preserve">                12,438 </w:t>
            </w:r>
          </w:p>
        </w:tc>
        <w:tc>
          <w:tcPr>
            <w:tcW w:w="541" w:type="pct"/>
            <w:tcBorders>
              <w:top w:val="nil"/>
              <w:left w:val="nil"/>
              <w:bottom w:val="nil"/>
              <w:right w:val="single" w:sz="4" w:space="0" w:color="auto"/>
            </w:tcBorders>
            <w:shd w:val="clear" w:color="auto" w:fill="auto"/>
            <w:noWrap/>
            <w:vAlign w:val="bottom"/>
            <w:hideMark/>
          </w:tcPr>
          <w:p w:rsidR="00097483" w:rsidRPr="00097483" w:rsidRDefault="00097483" w:rsidP="00841AD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97483">
              <w:rPr>
                <w:rFonts w:ascii="Arial" w:hAnsi="Arial" w:cs="Arial"/>
                <w:i/>
                <w:iCs/>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097483" w:rsidRPr="00097483" w:rsidRDefault="00097483" w:rsidP="00841AD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97483">
              <w:rPr>
                <w:rFonts w:ascii="Arial" w:hAnsi="Arial" w:cs="Arial"/>
                <w:i/>
                <w:iCs/>
                <w:color w:val="000000"/>
                <w:sz w:val="16"/>
                <w:szCs w:val="16"/>
                <w:lang w:val="en-US" w:eastAsia="zh-CN"/>
              </w:rPr>
              <w:t> </w:t>
            </w:r>
          </w:p>
        </w:tc>
        <w:tc>
          <w:tcPr>
            <w:tcW w:w="540" w:type="pct"/>
            <w:tcBorders>
              <w:top w:val="nil"/>
              <w:left w:val="nil"/>
              <w:bottom w:val="nil"/>
              <w:right w:val="single" w:sz="4" w:space="0" w:color="auto"/>
            </w:tcBorders>
            <w:shd w:val="clear" w:color="auto" w:fill="auto"/>
            <w:noWrap/>
            <w:vAlign w:val="bottom"/>
            <w:hideMark/>
          </w:tcPr>
          <w:p w:rsidR="00097483" w:rsidRPr="00097483" w:rsidRDefault="00097483" w:rsidP="00841AD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97483">
              <w:rPr>
                <w:rFonts w:ascii="Arial" w:hAnsi="Arial" w:cs="Arial"/>
                <w:i/>
                <w:iCs/>
                <w:color w:val="000000"/>
                <w:sz w:val="16"/>
                <w:szCs w:val="16"/>
                <w:lang w:val="en-US" w:eastAsia="zh-CN"/>
              </w:rPr>
              <w:t xml:space="preserve">                   12,438 </w:t>
            </w:r>
          </w:p>
        </w:tc>
        <w:tc>
          <w:tcPr>
            <w:tcW w:w="677" w:type="pct"/>
            <w:tcBorders>
              <w:top w:val="nil"/>
              <w:left w:val="nil"/>
              <w:bottom w:val="nil"/>
              <w:right w:val="nil"/>
            </w:tcBorders>
            <w:shd w:val="clear" w:color="auto" w:fill="auto"/>
            <w:noWrap/>
            <w:vAlign w:val="bottom"/>
            <w:hideMark/>
          </w:tcPr>
          <w:p w:rsidR="00097483" w:rsidRPr="00097483" w:rsidRDefault="00097483" w:rsidP="00841AD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97483">
              <w:rPr>
                <w:rFonts w:ascii="Arial" w:hAnsi="Arial" w:cs="Arial"/>
                <w:i/>
                <w:iCs/>
                <w:color w:val="000000"/>
                <w:sz w:val="16"/>
                <w:szCs w:val="16"/>
                <w:lang w:val="en-US" w:eastAsia="zh-CN"/>
              </w:rPr>
              <w:t xml:space="preserve">               12,296 </w:t>
            </w:r>
          </w:p>
        </w:tc>
        <w:tc>
          <w:tcPr>
            <w:tcW w:w="809" w:type="pct"/>
            <w:tcBorders>
              <w:top w:val="nil"/>
              <w:left w:val="single" w:sz="4" w:space="0" w:color="auto"/>
              <w:bottom w:val="nil"/>
              <w:right w:val="single" w:sz="4" w:space="0" w:color="auto"/>
            </w:tcBorders>
            <w:shd w:val="clear" w:color="auto" w:fill="auto"/>
            <w:noWrap/>
            <w:vAlign w:val="bottom"/>
            <w:hideMark/>
          </w:tcPr>
          <w:p w:rsidR="00097483" w:rsidRPr="00097483" w:rsidRDefault="00097483" w:rsidP="00841AD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97483">
              <w:rPr>
                <w:rFonts w:ascii="Arial" w:hAnsi="Arial" w:cs="Arial"/>
                <w:i/>
                <w:iCs/>
                <w:color w:val="000000"/>
                <w:sz w:val="16"/>
                <w:szCs w:val="16"/>
                <w:lang w:val="en-US" w:eastAsia="zh-CN"/>
              </w:rPr>
              <w:t xml:space="preserve">                          142 </w:t>
            </w:r>
          </w:p>
        </w:tc>
      </w:tr>
      <w:tr w:rsidR="00841ADF" w:rsidRPr="00097483" w:rsidTr="00841ADF">
        <w:trPr>
          <w:trHeight w:val="240"/>
        </w:trPr>
        <w:tc>
          <w:tcPr>
            <w:tcW w:w="1352" w:type="pct"/>
            <w:tcBorders>
              <w:top w:val="nil"/>
              <w:left w:val="single" w:sz="4" w:space="0" w:color="auto"/>
              <w:bottom w:val="nil"/>
              <w:right w:val="nil"/>
            </w:tcBorders>
            <w:shd w:val="clear" w:color="auto" w:fill="auto"/>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i/>
                <w:iCs/>
                <w:color w:val="000000"/>
                <w:sz w:val="16"/>
                <w:szCs w:val="16"/>
                <w:lang w:val="en-US" w:eastAsia="zh-CN"/>
              </w:rPr>
            </w:pPr>
            <w:r w:rsidRPr="00097483">
              <w:rPr>
                <w:rFonts w:ascii="Arial" w:hAnsi="Arial" w:cs="Arial"/>
                <w:i/>
                <w:iCs/>
                <w:color w:val="000000"/>
                <w:sz w:val="16"/>
                <w:szCs w:val="16"/>
                <w:lang w:val="en-US" w:eastAsia="zh-CN"/>
              </w:rPr>
              <w:t>Telecommunication Development Sector</w:t>
            </w:r>
          </w:p>
        </w:tc>
        <w:tc>
          <w:tcPr>
            <w:tcW w:w="540" w:type="pct"/>
            <w:tcBorders>
              <w:top w:val="nil"/>
              <w:left w:val="single" w:sz="4" w:space="0" w:color="auto"/>
              <w:bottom w:val="nil"/>
              <w:right w:val="single" w:sz="4" w:space="0" w:color="auto"/>
            </w:tcBorders>
            <w:shd w:val="clear" w:color="auto" w:fill="auto"/>
            <w:noWrap/>
            <w:vAlign w:val="bottom"/>
            <w:hideMark/>
          </w:tcPr>
          <w:p w:rsidR="00097483" w:rsidRPr="00097483" w:rsidRDefault="00097483" w:rsidP="00841AD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97483">
              <w:rPr>
                <w:rFonts w:ascii="Arial" w:hAnsi="Arial" w:cs="Arial"/>
                <w:i/>
                <w:iCs/>
                <w:color w:val="000000"/>
                <w:sz w:val="16"/>
                <w:szCs w:val="16"/>
                <w:lang w:val="en-US" w:eastAsia="zh-CN"/>
              </w:rPr>
              <w:t xml:space="preserve">        28,741 </w:t>
            </w:r>
          </w:p>
        </w:tc>
        <w:tc>
          <w:tcPr>
            <w:tcW w:w="541" w:type="pct"/>
            <w:tcBorders>
              <w:top w:val="nil"/>
              <w:left w:val="nil"/>
              <w:bottom w:val="nil"/>
              <w:right w:val="single" w:sz="4" w:space="0" w:color="auto"/>
            </w:tcBorders>
            <w:shd w:val="clear" w:color="auto" w:fill="auto"/>
            <w:noWrap/>
            <w:vAlign w:val="bottom"/>
            <w:hideMark/>
          </w:tcPr>
          <w:p w:rsidR="00097483" w:rsidRPr="00097483" w:rsidRDefault="00097483" w:rsidP="00841AD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97483">
              <w:rPr>
                <w:rFonts w:ascii="Arial" w:hAnsi="Arial" w:cs="Arial"/>
                <w:i/>
                <w:iCs/>
                <w:color w:val="000000"/>
                <w:sz w:val="16"/>
                <w:szCs w:val="16"/>
                <w:lang w:val="en-US" w:eastAsia="zh-CN"/>
              </w:rPr>
              <w:t xml:space="preserve">             317 </w:t>
            </w:r>
          </w:p>
        </w:tc>
        <w:tc>
          <w:tcPr>
            <w:tcW w:w="541" w:type="pct"/>
            <w:tcBorders>
              <w:top w:val="nil"/>
              <w:left w:val="nil"/>
              <w:bottom w:val="nil"/>
              <w:right w:val="single" w:sz="4" w:space="0" w:color="auto"/>
            </w:tcBorders>
            <w:shd w:val="clear" w:color="auto" w:fill="auto"/>
            <w:noWrap/>
            <w:vAlign w:val="bottom"/>
            <w:hideMark/>
          </w:tcPr>
          <w:p w:rsidR="00097483" w:rsidRPr="00097483" w:rsidRDefault="00097483" w:rsidP="00841AD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97483">
              <w:rPr>
                <w:rFonts w:ascii="Arial" w:hAnsi="Arial" w:cs="Arial"/>
                <w:i/>
                <w:iCs/>
                <w:color w:val="000000"/>
                <w:sz w:val="16"/>
                <w:szCs w:val="16"/>
                <w:lang w:val="en-US" w:eastAsia="zh-CN"/>
              </w:rPr>
              <w:t xml:space="preserve">             116 </w:t>
            </w:r>
          </w:p>
        </w:tc>
        <w:tc>
          <w:tcPr>
            <w:tcW w:w="540" w:type="pct"/>
            <w:tcBorders>
              <w:top w:val="nil"/>
              <w:left w:val="nil"/>
              <w:bottom w:val="nil"/>
              <w:right w:val="single" w:sz="4" w:space="0" w:color="auto"/>
            </w:tcBorders>
            <w:shd w:val="clear" w:color="auto" w:fill="auto"/>
            <w:noWrap/>
            <w:vAlign w:val="bottom"/>
            <w:hideMark/>
          </w:tcPr>
          <w:p w:rsidR="00097483" w:rsidRPr="00097483" w:rsidRDefault="00097483" w:rsidP="00841AD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97483">
              <w:rPr>
                <w:rFonts w:ascii="Arial" w:hAnsi="Arial" w:cs="Arial"/>
                <w:i/>
                <w:iCs/>
                <w:color w:val="000000"/>
                <w:sz w:val="16"/>
                <w:szCs w:val="16"/>
                <w:lang w:val="en-US" w:eastAsia="zh-CN"/>
              </w:rPr>
              <w:t xml:space="preserve">        29,174 </w:t>
            </w:r>
          </w:p>
        </w:tc>
        <w:tc>
          <w:tcPr>
            <w:tcW w:w="677" w:type="pct"/>
            <w:tcBorders>
              <w:top w:val="nil"/>
              <w:left w:val="nil"/>
              <w:bottom w:val="nil"/>
              <w:right w:val="nil"/>
            </w:tcBorders>
            <w:shd w:val="clear" w:color="auto" w:fill="auto"/>
            <w:noWrap/>
            <w:vAlign w:val="bottom"/>
            <w:hideMark/>
          </w:tcPr>
          <w:p w:rsidR="00097483" w:rsidRPr="00097483" w:rsidRDefault="00097483" w:rsidP="00841AD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97483">
              <w:rPr>
                <w:rFonts w:ascii="Arial" w:hAnsi="Arial" w:cs="Arial"/>
                <w:i/>
                <w:iCs/>
                <w:color w:val="000000"/>
                <w:sz w:val="16"/>
                <w:szCs w:val="16"/>
                <w:lang w:val="en-US" w:eastAsia="zh-CN"/>
              </w:rPr>
              <w:t xml:space="preserve">                27,733 </w:t>
            </w:r>
          </w:p>
        </w:tc>
        <w:tc>
          <w:tcPr>
            <w:tcW w:w="809" w:type="pct"/>
            <w:tcBorders>
              <w:top w:val="nil"/>
              <w:left w:val="single" w:sz="4" w:space="0" w:color="auto"/>
              <w:bottom w:val="nil"/>
              <w:right w:val="single" w:sz="4" w:space="0" w:color="auto"/>
            </w:tcBorders>
            <w:shd w:val="clear" w:color="auto" w:fill="auto"/>
            <w:noWrap/>
            <w:vAlign w:val="bottom"/>
            <w:hideMark/>
          </w:tcPr>
          <w:p w:rsidR="00097483" w:rsidRPr="00097483" w:rsidRDefault="00097483" w:rsidP="00841AD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97483">
              <w:rPr>
                <w:rFonts w:ascii="Arial" w:hAnsi="Arial" w:cs="Arial"/>
                <w:i/>
                <w:iCs/>
                <w:color w:val="000000"/>
                <w:sz w:val="16"/>
                <w:szCs w:val="16"/>
                <w:lang w:val="en-US" w:eastAsia="zh-CN"/>
              </w:rPr>
              <w:t xml:space="preserve">                       1,441 </w:t>
            </w:r>
          </w:p>
        </w:tc>
      </w:tr>
      <w:tr w:rsidR="00841ADF" w:rsidRPr="00097483" w:rsidTr="00841ADF">
        <w:trPr>
          <w:trHeight w:val="240"/>
        </w:trPr>
        <w:tc>
          <w:tcPr>
            <w:tcW w:w="1352" w:type="pct"/>
            <w:tcBorders>
              <w:top w:val="nil"/>
              <w:left w:val="single" w:sz="4" w:space="0" w:color="auto"/>
              <w:bottom w:val="nil"/>
              <w:right w:val="nil"/>
            </w:tcBorders>
            <w:shd w:val="clear" w:color="auto" w:fill="auto"/>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i/>
                <w:iCs/>
                <w:color w:val="000000"/>
                <w:sz w:val="16"/>
                <w:szCs w:val="16"/>
                <w:lang w:val="en-US" w:eastAsia="zh-CN"/>
              </w:rPr>
            </w:pPr>
            <w:r w:rsidRPr="00097483">
              <w:rPr>
                <w:rFonts w:ascii="Arial" w:hAnsi="Arial" w:cs="Arial"/>
                <w:i/>
                <w:iCs/>
                <w:color w:val="000000"/>
                <w:sz w:val="16"/>
                <w:szCs w:val="16"/>
                <w:lang w:val="en-US" w:eastAsia="zh-CN"/>
              </w:rPr>
              <w:t>Expenses not foreseen in approved budget</w:t>
            </w:r>
          </w:p>
        </w:tc>
        <w:tc>
          <w:tcPr>
            <w:tcW w:w="540" w:type="pct"/>
            <w:tcBorders>
              <w:top w:val="nil"/>
              <w:left w:val="single" w:sz="4" w:space="0" w:color="auto"/>
              <w:bottom w:val="nil"/>
              <w:right w:val="single" w:sz="4" w:space="0" w:color="auto"/>
            </w:tcBorders>
            <w:shd w:val="clear" w:color="auto" w:fill="auto"/>
            <w:noWrap/>
            <w:vAlign w:val="bottom"/>
            <w:hideMark/>
          </w:tcPr>
          <w:p w:rsidR="00097483" w:rsidRPr="00097483" w:rsidRDefault="00097483" w:rsidP="00841AD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97483">
              <w:rPr>
                <w:rFonts w:ascii="Arial" w:hAnsi="Arial" w:cs="Arial"/>
                <w:i/>
                <w:iCs/>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097483" w:rsidRPr="00097483" w:rsidRDefault="00097483" w:rsidP="00841AD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97483">
              <w:rPr>
                <w:rFonts w:ascii="Arial" w:hAnsi="Arial" w:cs="Arial"/>
                <w:i/>
                <w:iCs/>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097483" w:rsidRPr="00097483" w:rsidRDefault="00097483" w:rsidP="00841AD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97483">
              <w:rPr>
                <w:rFonts w:ascii="Arial" w:hAnsi="Arial" w:cs="Arial"/>
                <w:i/>
                <w:iCs/>
                <w:color w:val="000000"/>
                <w:sz w:val="16"/>
                <w:szCs w:val="16"/>
                <w:lang w:val="en-US" w:eastAsia="zh-CN"/>
              </w:rPr>
              <w:t> </w:t>
            </w:r>
          </w:p>
        </w:tc>
        <w:tc>
          <w:tcPr>
            <w:tcW w:w="540" w:type="pct"/>
            <w:tcBorders>
              <w:top w:val="nil"/>
              <w:left w:val="nil"/>
              <w:bottom w:val="nil"/>
              <w:right w:val="single" w:sz="4" w:space="0" w:color="auto"/>
            </w:tcBorders>
            <w:shd w:val="clear" w:color="auto" w:fill="auto"/>
            <w:noWrap/>
            <w:vAlign w:val="bottom"/>
            <w:hideMark/>
          </w:tcPr>
          <w:p w:rsidR="00097483" w:rsidRPr="00097483" w:rsidRDefault="00097483" w:rsidP="00841AD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97483">
              <w:rPr>
                <w:rFonts w:ascii="Arial" w:hAnsi="Arial" w:cs="Arial"/>
                <w:i/>
                <w:iCs/>
                <w:color w:val="000000"/>
                <w:sz w:val="16"/>
                <w:szCs w:val="16"/>
                <w:lang w:val="en-US" w:eastAsia="zh-CN"/>
              </w:rPr>
              <w:t xml:space="preserve">                          -   </w:t>
            </w:r>
          </w:p>
        </w:tc>
        <w:tc>
          <w:tcPr>
            <w:tcW w:w="677" w:type="pct"/>
            <w:tcBorders>
              <w:top w:val="nil"/>
              <w:left w:val="nil"/>
              <w:bottom w:val="nil"/>
              <w:right w:val="nil"/>
            </w:tcBorders>
            <w:shd w:val="clear" w:color="auto" w:fill="auto"/>
            <w:noWrap/>
            <w:vAlign w:val="bottom"/>
            <w:hideMark/>
          </w:tcPr>
          <w:p w:rsidR="00097483" w:rsidRPr="00097483" w:rsidRDefault="00097483" w:rsidP="00841AD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97483">
              <w:rPr>
                <w:rFonts w:ascii="Arial" w:hAnsi="Arial" w:cs="Arial"/>
                <w:i/>
                <w:iCs/>
                <w:color w:val="000000"/>
                <w:sz w:val="16"/>
                <w:szCs w:val="16"/>
                <w:lang w:val="en-US" w:eastAsia="zh-CN"/>
              </w:rPr>
              <w:t xml:space="preserve">                               644 </w:t>
            </w:r>
          </w:p>
        </w:tc>
        <w:tc>
          <w:tcPr>
            <w:tcW w:w="809" w:type="pct"/>
            <w:tcBorders>
              <w:top w:val="nil"/>
              <w:left w:val="single" w:sz="4" w:space="0" w:color="auto"/>
              <w:bottom w:val="nil"/>
              <w:right w:val="single" w:sz="4" w:space="0" w:color="auto"/>
            </w:tcBorders>
            <w:shd w:val="clear" w:color="auto" w:fill="auto"/>
            <w:noWrap/>
            <w:vAlign w:val="bottom"/>
            <w:hideMark/>
          </w:tcPr>
          <w:p w:rsidR="00097483" w:rsidRPr="00097483" w:rsidRDefault="00097483" w:rsidP="00841AD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97483">
              <w:rPr>
                <w:rFonts w:ascii="Arial" w:hAnsi="Arial" w:cs="Arial"/>
                <w:i/>
                <w:iCs/>
                <w:color w:val="000000"/>
                <w:sz w:val="16"/>
                <w:szCs w:val="16"/>
                <w:lang w:val="en-US" w:eastAsia="zh-CN"/>
              </w:rPr>
              <w:t> </w:t>
            </w:r>
          </w:p>
        </w:tc>
      </w:tr>
      <w:tr w:rsidR="00841ADF" w:rsidRPr="00097483" w:rsidTr="00841ADF">
        <w:trPr>
          <w:trHeight w:val="255"/>
        </w:trPr>
        <w:tc>
          <w:tcPr>
            <w:tcW w:w="1352" w:type="pct"/>
            <w:tcBorders>
              <w:top w:val="single" w:sz="4" w:space="0" w:color="auto"/>
              <w:left w:val="single" w:sz="4" w:space="0" w:color="auto"/>
              <w:bottom w:val="single" w:sz="4" w:space="0" w:color="auto"/>
              <w:right w:val="nil"/>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xml:space="preserve"> Total expenses  </w:t>
            </w:r>
          </w:p>
        </w:tc>
        <w:tc>
          <w:tcPr>
            <w:tcW w:w="5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7483" w:rsidRPr="00097483" w:rsidRDefault="00097483" w:rsidP="00841AD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xml:space="preserve">       160,543 </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097483" w:rsidRPr="00097483" w:rsidRDefault="00097483" w:rsidP="00841AD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xml:space="preserve">                  -   </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097483" w:rsidRPr="00097483" w:rsidRDefault="00097483" w:rsidP="00841AD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xml:space="preserve">                  -   </w:t>
            </w:r>
          </w:p>
        </w:tc>
        <w:tc>
          <w:tcPr>
            <w:tcW w:w="540" w:type="pct"/>
            <w:tcBorders>
              <w:top w:val="single" w:sz="4" w:space="0" w:color="auto"/>
              <w:left w:val="nil"/>
              <w:bottom w:val="single" w:sz="4" w:space="0" w:color="auto"/>
              <w:right w:val="single" w:sz="4" w:space="0" w:color="auto"/>
            </w:tcBorders>
            <w:shd w:val="clear" w:color="auto" w:fill="auto"/>
            <w:noWrap/>
            <w:vAlign w:val="bottom"/>
            <w:hideMark/>
          </w:tcPr>
          <w:p w:rsidR="00097483" w:rsidRPr="00097483" w:rsidRDefault="00097483" w:rsidP="00841AD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xml:space="preserve">      160,860 </w:t>
            </w:r>
          </w:p>
        </w:tc>
        <w:tc>
          <w:tcPr>
            <w:tcW w:w="677" w:type="pct"/>
            <w:tcBorders>
              <w:top w:val="single" w:sz="4" w:space="0" w:color="auto"/>
              <w:left w:val="nil"/>
              <w:bottom w:val="single" w:sz="4" w:space="0" w:color="auto"/>
              <w:right w:val="single" w:sz="4" w:space="0" w:color="auto"/>
            </w:tcBorders>
            <w:shd w:val="clear" w:color="auto" w:fill="auto"/>
            <w:noWrap/>
            <w:vAlign w:val="bottom"/>
            <w:hideMark/>
          </w:tcPr>
          <w:p w:rsidR="00097483" w:rsidRPr="00097483" w:rsidRDefault="00097483" w:rsidP="00841AD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xml:space="preserve">            149,669 </w:t>
            </w:r>
          </w:p>
        </w:tc>
        <w:tc>
          <w:tcPr>
            <w:tcW w:w="809" w:type="pct"/>
            <w:tcBorders>
              <w:top w:val="single" w:sz="4" w:space="0" w:color="auto"/>
              <w:left w:val="nil"/>
              <w:bottom w:val="single" w:sz="4" w:space="0" w:color="auto"/>
              <w:right w:val="single" w:sz="4" w:space="0" w:color="auto"/>
            </w:tcBorders>
            <w:shd w:val="clear" w:color="auto" w:fill="auto"/>
            <w:noWrap/>
            <w:vAlign w:val="bottom"/>
            <w:hideMark/>
          </w:tcPr>
          <w:p w:rsidR="00097483" w:rsidRPr="00097483" w:rsidRDefault="00097483" w:rsidP="00841AD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xml:space="preserve">              11,191 </w:t>
            </w:r>
          </w:p>
        </w:tc>
      </w:tr>
      <w:tr w:rsidR="00841ADF" w:rsidRPr="00097483" w:rsidTr="00841ADF">
        <w:trPr>
          <w:trHeight w:val="255"/>
        </w:trPr>
        <w:tc>
          <w:tcPr>
            <w:tcW w:w="1352" w:type="pct"/>
            <w:tcBorders>
              <w:top w:val="nil"/>
              <w:left w:val="single" w:sz="4" w:space="0" w:color="auto"/>
              <w:bottom w:val="single" w:sz="4" w:space="0" w:color="auto"/>
              <w:right w:val="nil"/>
            </w:tcBorders>
            <w:shd w:val="clear" w:color="auto" w:fill="auto"/>
            <w:vAlign w:val="center"/>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Result</w:t>
            </w:r>
          </w:p>
        </w:tc>
        <w:tc>
          <w:tcPr>
            <w:tcW w:w="540" w:type="pct"/>
            <w:tcBorders>
              <w:top w:val="nil"/>
              <w:left w:val="single" w:sz="4" w:space="0" w:color="auto"/>
              <w:bottom w:val="single" w:sz="4" w:space="0" w:color="auto"/>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w:t>
            </w:r>
          </w:p>
        </w:tc>
        <w:tc>
          <w:tcPr>
            <w:tcW w:w="541" w:type="pct"/>
            <w:tcBorders>
              <w:top w:val="nil"/>
              <w:left w:val="nil"/>
              <w:bottom w:val="single" w:sz="4" w:space="0" w:color="auto"/>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w:t>
            </w:r>
          </w:p>
        </w:tc>
        <w:tc>
          <w:tcPr>
            <w:tcW w:w="541" w:type="pct"/>
            <w:tcBorders>
              <w:top w:val="nil"/>
              <w:left w:val="nil"/>
              <w:bottom w:val="single" w:sz="4" w:space="0" w:color="auto"/>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w:t>
            </w:r>
          </w:p>
        </w:tc>
        <w:tc>
          <w:tcPr>
            <w:tcW w:w="540" w:type="pct"/>
            <w:tcBorders>
              <w:top w:val="nil"/>
              <w:left w:val="nil"/>
              <w:bottom w:val="single" w:sz="4" w:space="0" w:color="auto"/>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w:t>
            </w:r>
          </w:p>
        </w:tc>
        <w:tc>
          <w:tcPr>
            <w:tcW w:w="677" w:type="pct"/>
            <w:tcBorders>
              <w:top w:val="nil"/>
              <w:left w:val="nil"/>
              <w:bottom w:val="single" w:sz="4" w:space="0" w:color="auto"/>
              <w:right w:val="single" w:sz="4" w:space="0" w:color="auto"/>
            </w:tcBorders>
            <w:shd w:val="clear" w:color="auto" w:fill="auto"/>
            <w:noWrap/>
            <w:vAlign w:val="bottom"/>
            <w:hideMark/>
          </w:tcPr>
          <w:p w:rsidR="00097483" w:rsidRPr="00097483" w:rsidRDefault="00097483" w:rsidP="00841ADF">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xml:space="preserve">               11,365 </w:t>
            </w:r>
          </w:p>
        </w:tc>
        <w:tc>
          <w:tcPr>
            <w:tcW w:w="809" w:type="pct"/>
            <w:tcBorders>
              <w:top w:val="nil"/>
              <w:left w:val="nil"/>
              <w:bottom w:val="single" w:sz="4" w:space="0" w:color="auto"/>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w:t>
            </w:r>
          </w:p>
        </w:tc>
      </w:tr>
      <w:tr w:rsidR="00841ADF" w:rsidRPr="00097483" w:rsidTr="00841ADF">
        <w:trPr>
          <w:trHeight w:val="255"/>
        </w:trPr>
        <w:tc>
          <w:tcPr>
            <w:tcW w:w="1352" w:type="pct"/>
            <w:tcBorders>
              <w:top w:val="nil"/>
              <w:left w:val="single" w:sz="4" w:space="0" w:color="auto"/>
              <w:bottom w:val="nil"/>
              <w:right w:val="nil"/>
            </w:tcBorders>
            <w:shd w:val="clear" w:color="auto" w:fill="auto"/>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i/>
                <w:iCs/>
                <w:color w:val="000000"/>
                <w:sz w:val="16"/>
                <w:szCs w:val="16"/>
                <w:lang w:val="en-US" w:eastAsia="zh-CN"/>
              </w:rPr>
            </w:pPr>
            <w:proofErr w:type="spellStart"/>
            <w:r w:rsidRPr="00097483">
              <w:rPr>
                <w:rFonts w:ascii="Arial" w:hAnsi="Arial" w:cs="Arial"/>
                <w:i/>
                <w:iCs/>
                <w:color w:val="000000"/>
                <w:sz w:val="16"/>
                <w:szCs w:val="16"/>
                <w:lang w:val="en-US" w:eastAsia="zh-CN"/>
              </w:rPr>
              <w:t>Ashi</w:t>
            </w:r>
            <w:proofErr w:type="spellEnd"/>
          </w:p>
        </w:tc>
        <w:tc>
          <w:tcPr>
            <w:tcW w:w="540" w:type="pct"/>
            <w:tcBorders>
              <w:top w:val="nil"/>
              <w:left w:val="single" w:sz="4" w:space="0" w:color="auto"/>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540" w:type="pct"/>
            <w:tcBorders>
              <w:top w:val="nil"/>
              <w:left w:val="nil"/>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677" w:type="pct"/>
            <w:tcBorders>
              <w:top w:val="nil"/>
              <w:left w:val="nil"/>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97483">
              <w:rPr>
                <w:rFonts w:ascii="Arial" w:hAnsi="Arial" w:cs="Arial"/>
                <w:i/>
                <w:iCs/>
                <w:color w:val="000000"/>
                <w:sz w:val="16"/>
                <w:szCs w:val="16"/>
                <w:lang w:val="en-US" w:eastAsia="zh-CN"/>
              </w:rPr>
              <w:t>-18,214</w:t>
            </w:r>
          </w:p>
        </w:tc>
        <w:tc>
          <w:tcPr>
            <w:tcW w:w="809" w:type="pct"/>
            <w:tcBorders>
              <w:top w:val="nil"/>
              <w:left w:val="nil"/>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r>
      <w:tr w:rsidR="00841ADF" w:rsidRPr="00097483" w:rsidTr="00841ADF">
        <w:trPr>
          <w:trHeight w:val="255"/>
        </w:trPr>
        <w:tc>
          <w:tcPr>
            <w:tcW w:w="1352" w:type="pct"/>
            <w:tcBorders>
              <w:top w:val="nil"/>
              <w:left w:val="single" w:sz="4" w:space="0" w:color="auto"/>
              <w:bottom w:val="nil"/>
              <w:right w:val="nil"/>
            </w:tcBorders>
            <w:shd w:val="clear" w:color="auto" w:fill="auto"/>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i/>
                <w:iCs/>
                <w:color w:val="000000"/>
                <w:sz w:val="16"/>
                <w:szCs w:val="16"/>
                <w:lang w:val="en-US" w:eastAsia="zh-CN"/>
              </w:rPr>
            </w:pPr>
            <w:r w:rsidRPr="00097483">
              <w:rPr>
                <w:rFonts w:ascii="Arial" w:hAnsi="Arial" w:cs="Arial"/>
                <w:i/>
                <w:iCs/>
                <w:color w:val="000000"/>
                <w:sz w:val="16"/>
                <w:szCs w:val="16"/>
                <w:lang w:val="en-US" w:eastAsia="zh-CN"/>
              </w:rPr>
              <w:t>Capitalization of fixed assets</w:t>
            </w:r>
          </w:p>
        </w:tc>
        <w:tc>
          <w:tcPr>
            <w:tcW w:w="540" w:type="pct"/>
            <w:tcBorders>
              <w:top w:val="nil"/>
              <w:left w:val="single" w:sz="4" w:space="0" w:color="auto"/>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540" w:type="pct"/>
            <w:tcBorders>
              <w:top w:val="nil"/>
              <w:left w:val="nil"/>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677" w:type="pct"/>
            <w:tcBorders>
              <w:top w:val="nil"/>
              <w:left w:val="nil"/>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97483">
              <w:rPr>
                <w:rFonts w:ascii="Arial" w:hAnsi="Arial" w:cs="Arial"/>
                <w:i/>
                <w:iCs/>
                <w:color w:val="000000"/>
                <w:sz w:val="16"/>
                <w:szCs w:val="16"/>
                <w:lang w:val="en-US" w:eastAsia="zh-CN"/>
              </w:rPr>
              <w:t>2,021</w:t>
            </w:r>
          </w:p>
        </w:tc>
        <w:tc>
          <w:tcPr>
            <w:tcW w:w="809" w:type="pct"/>
            <w:tcBorders>
              <w:top w:val="nil"/>
              <w:left w:val="nil"/>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r>
      <w:tr w:rsidR="00841ADF" w:rsidRPr="00097483" w:rsidTr="00841ADF">
        <w:trPr>
          <w:trHeight w:val="255"/>
        </w:trPr>
        <w:tc>
          <w:tcPr>
            <w:tcW w:w="1352" w:type="pct"/>
            <w:tcBorders>
              <w:top w:val="nil"/>
              <w:left w:val="single" w:sz="4" w:space="0" w:color="auto"/>
              <w:bottom w:val="nil"/>
              <w:right w:val="nil"/>
            </w:tcBorders>
            <w:shd w:val="clear" w:color="auto" w:fill="auto"/>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i/>
                <w:iCs/>
                <w:color w:val="000000"/>
                <w:sz w:val="16"/>
                <w:szCs w:val="16"/>
                <w:lang w:val="en-US" w:eastAsia="zh-CN"/>
              </w:rPr>
            </w:pPr>
            <w:r w:rsidRPr="00097483">
              <w:rPr>
                <w:rFonts w:ascii="Arial" w:hAnsi="Arial" w:cs="Arial"/>
                <w:i/>
                <w:iCs/>
                <w:color w:val="000000"/>
                <w:sz w:val="16"/>
                <w:szCs w:val="16"/>
                <w:lang w:val="en-US" w:eastAsia="zh-CN"/>
              </w:rPr>
              <w:t>Recognition of inventories</w:t>
            </w:r>
          </w:p>
        </w:tc>
        <w:tc>
          <w:tcPr>
            <w:tcW w:w="540" w:type="pct"/>
            <w:tcBorders>
              <w:top w:val="nil"/>
              <w:left w:val="single" w:sz="4" w:space="0" w:color="auto"/>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540" w:type="pct"/>
            <w:tcBorders>
              <w:top w:val="nil"/>
              <w:left w:val="nil"/>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677" w:type="pct"/>
            <w:tcBorders>
              <w:top w:val="nil"/>
              <w:left w:val="nil"/>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97483">
              <w:rPr>
                <w:rFonts w:ascii="Arial" w:hAnsi="Arial" w:cs="Arial"/>
                <w:i/>
                <w:iCs/>
                <w:color w:val="000000"/>
                <w:sz w:val="16"/>
                <w:szCs w:val="16"/>
                <w:lang w:val="en-US" w:eastAsia="zh-CN"/>
              </w:rPr>
              <w:t>128</w:t>
            </w:r>
          </w:p>
        </w:tc>
        <w:tc>
          <w:tcPr>
            <w:tcW w:w="809" w:type="pct"/>
            <w:tcBorders>
              <w:top w:val="nil"/>
              <w:left w:val="nil"/>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r>
      <w:tr w:rsidR="00841ADF" w:rsidRPr="00097483" w:rsidTr="00841ADF">
        <w:trPr>
          <w:trHeight w:val="255"/>
        </w:trPr>
        <w:tc>
          <w:tcPr>
            <w:tcW w:w="1352" w:type="pct"/>
            <w:tcBorders>
              <w:top w:val="nil"/>
              <w:left w:val="single" w:sz="4" w:space="0" w:color="auto"/>
              <w:bottom w:val="nil"/>
              <w:right w:val="nil"/>
            </w:tcBorders>
            <w:shd w:val="clear" w:color="auto" w:fill="auto"/>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i/>
                <w:iCs/>
                <w:color w:val="000000"/>
                <w:sz w:val="16"/>
                <w:szCs w:val="16"/>
                <w:lang w:val="en-US" w:eastAsia="zh-CN"/>
              </w:rPr>
            </w:pPr>
            <w:r w:rsidRPr="00097483">
              <w:rPr>
                <w:rFonts w:ascii="Arial" w:hAnsi="Arial" w:cs="Arial"/>
                <w:i/>
                <w:iCs/>
                <w:color w:val="000000"/>
                <w:sz w:val="16"/>
                <w:szCs w:val="16"/>
                <w:lang w:val="en-US" w:eastAsia="zh-CN"/>
              </w:rPr>
              <w:t>Depreciation</w:t>
            </w:r>
          </w:p>
        </w:tc>
        <w:tc>
          <w:tcPr>
            <w:tcW w:w="540" w:type="pct"/>
            <w:tcBorders>
              <w:top w:val="nil"/>
              <w:left w:val="single" w:sz="4" w:space="0" w:color="auto"/>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540" w:type="pct"/>
            <w:tcBorders>
              <w:top w:val="nil"/>
              <w:left w:val="nil"/>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677" w:type="pct"/>
            <w:tcBorders>
              <w:top w:val="nil"/>
              <w:left w:val="nil"/>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97483">
              <w:rPr>
                <w:rFonts w:ascii="Arial" w:hAnsi="Arial" w:cs="Arial"/>
                <w:i/>
                <w:iCs/>
                <w:color w:val="000000"/>
                <w:sz w:val="16"/>
                <w:szCs w:val="16"/>
                <w:lang w:val="en-US" w:eastAsia="zh-CN"/>
              </w:rPr>
              <w:t>-4,656</w:t>
            </w:r>
          </w:p>
        </w:tc>
        <w:tc>
          <w:tcPr>
            <w:tcW w:w="809" w:type="pct"/>
            <w:tcBorders>
              <w:top w:val="nil"/>
              <w:left w:val="nil"/>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r>
      <w:tr w:rsidR="00841ADF" w:rsidRPr="00097483" w:rsidTr="00841ADF">
        <w:trPr>
          <w:trHeight w:val="255"/>
        </w:trPr>
        <w:tc>
          <w:tcPr>
            <w:tcW w:w="1352" w:type="pct"/>
            <w:tcBorders>
              <w:top w:val="nil"/>
              <w:left w:val="single" w:sz="4" w:space="0" w:color="auto"/>
              <w:bottom w:val="nil"/>
              <w:right w:val="nil"/>
            </w:tcBorders>
            <w:shd w:val="clear" w:color="auto" w:fill="auto"/>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i/>
                <w:iCs/>
                <w:color w:val="000000"/>
                <w:sz w:val="16"/>
                <w:szCs w:val="16"/>
                <w:lang w:val="en-US" w:eastAsia="zh-CN"/>
              </w:rPr>
            </w:pPr>
            <w:r w:rsidRPr="00097483">
              <w:rPr>
                <w:rFonts w:ascii="Arial" w:hAnsi="Arial" w:cs="Arial"/>
                <w:i/>
                <w:iCs/>
                <w:color w:val="000000"/>
                <w:sz w:val="16"/>
                <w:szCs w:val="16"/>
                <w:lang w:val="en-US" w:eastAsia="zh-CN"/>
              </w:rPr>
              <w:t>Exchange rate gains/losses</w:t>
            </w:r>
          </w:p>
        </w:tc>
        <w:tc>
          <w:tcPr>
            <w:tcW w:w="540" w:type="pct"/>
            <w:tcBorders>
              <w:top w:val="nil"/>
              <w:left w:val="single" w:sz="4" w:space="0" w:color="auto"/>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540" w:type="pct"/>
            <w:tcBorders>
              <w:top w:val="nil"/>
              <w:left w:val="nil"/>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677" w:type="pct"/>
            <w:tcBorders>
              <w:top w:val="nil"/>
              <w:left w:val="nil"/>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97483">
              <w:rPr>
                <w:rFonts w:ascii="Arial" w:hAnsi="Arial" w:cs="Arial"/>
                <w:i/>
                <w:iCs/>
                <w:color w:val="000000"/>
                <w:sz w:val="16"/>
                <w:szCs w:val="16"/>
                <w:lang w:val="en-US" w:eastAsia="zh-CN"/>
              </w:rPr>
              <w:t>-604</w:t>
            </w:r>
          </w:p>
        </w:tc>
        <w:tc>
          <w:tcPr>
            <w:tcW w:w="809" w:type="pct"/>
            <w:tcBorders>
              <w:top w:val="nil"/>
              <w:left w:val="nil"/>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r>
      <w:tr w:rsidR="00841ADF" w:rsidRPr="00097483" w:rsidTr="00841ADF">
        <w:trPr>
          <w:trHeight w:val="255"/>
        </w:trPr>
        <w:tc>
          <w:tcPr>
            <w:tcW w:w="1352" w:type="pct"/>
            <w:tcBorders>
              <w:top w:val="nil"/>
              <w:left w:val="single" w:sz="4" w:space="0" w:color="auto"/>
              <w:bottom w:val="nil"/>
              <w:right w:val="nil"/>
            </w:tcBorders>
            <w:shd w:val="clear" w:color="auto" w:fill="auto"/>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i/>
                <w:iCs/>
                <w:color w:val="000000"/>
                <w:sz w:val="16"/>
                <w:szCs w:val="16"/>
                <w:lang w:val="en-US" w:eastAsia="zh-CN"/>
              </w:rPr>
            </w:pPr>
            <w:r w:rsidRPr="00097483">
              <w:rPr>
                <w:rFonts w:ascii="Arial" w:hAnsi="Arial" w:cs="Arial"/>
                <w:i/>
                <w:iCs/>
                <w:color w:val="000000"/>
                <w:sz w:val="16"/>
                <w:szCs w:val="16"/>
                <w:lang w:val="en-US" w:eastAsia="zh-CN"/>
              </w:rPr>
              <w:t>Repayment of FIPOI loan not considered as expense</w:t>
            </w:r>
          </w:p>
        </w:tc>
        <w:tc>
          <w:tcPr>
            <w:tcW w:w="540" w:type="pct"/>
            <w:tcBorders>
              <w:top w:val="nil"/>
              <w:left w:val="single" w:sz="4" w:space="0" w:color="auto"/>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540" w:type="pct"/>
            <w:tcBorders>
              <w:top w:val="nil"/>
              <w:left w:val="nil"/>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677" w:type="pct"/>
            <w:tcBorders>
              <w:top w:val="nil"/>
              <w:left w:val="nil"/>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97483">
              <w:rPr>
                <w:rFonts w:ascii="Arial" w:hAnsi="Arial" w:cs="Arial"/>
                <w:i/>
                <w:iCs/>
                <w:color w:val="000000"/>
                <w:sz w:val="16"/>
                <w:szCs w:val="16"/>
                <w:lang w:val="en-US" w:eastAsia="zh-CN"/>
              </w:rPr>
              <w:t>1,493</w:t>
            </w:r>
          </w:p>
        </w:tc>
        <w:tc>
          <w:tcPr>
            <w:tcW w:w="809" w:type="pct"/>
            <w:tcBorders>
              <w:top w:val="nil"/>
              <w:left w:val="nil"/>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r>
      <w:tr w:rsidR="00841ADF" w:rsidRPr="00097483" w:rsidTr="00841ADF">
        <w:trPr>
          <w:trHeight w:val="255"/>
        </w:trPr>
        <w:tc>
          <w:tcPr>
            <w:tcW w:w="1352" w:type="pct"/>
            <w:tcBorders>
              <w:top w:val="nil"/>
              <w:left w:val="single" w:sz="4" w:space="0" w:color="auto"/>
              <w:bottom w:val="nil"/>
              <w:right w:val="nil"/>
            </w:tcBorders>
            <w:shd w:val="clear" w:color="auto" w:fill="auto"/>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i/>
                <w:iCs/>
                <w:color w:val="000000"/>
                <w:sz w:val="16"/>
                <w:szCs w:val="16"/>
                <w:lang w:val="en-US" w:eastAsia="zh-CN"/>
              </w:rPr>
            </w:pPr>
            <w:r w:rsidRPr="00097483">
              <w:rPr>
                <w:rFonts w:ascii="Arial" w:hAnsi="Arial" w:cs="Arial"/>
                <w:i/>
                <w:iCs/>
                <w:color w:val="000000"/>
                <w:sz w:val="16"/>
                <w:szCs w:val="16"/>
                <w:lang w:val="en-US" w:eastAsia="zh-CN"/>
              </w:rPr>
              <w:t>Changes in and use of provision for doubtful debts</w:t>
            </w:r>
          </w:p>
        </w:tc>
        <w:tc>
          <w:tcPr>
            <w:tcW w:w="540" w:type="pct"/>
            <w:tcBorders>
              <w:top w:val="nil"/>
              <w:left w:val="single" w:sz="4" w:space="0" w:color="auto"/>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540" w:type="pct"/>
            <w:tcBorders>
              <w:top w:val="nil"/>
              <w:left w:val="nil"/>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677" w:type="pct"/>
            <w:tcBorders>
              <w:top w:val="nil"/>
              <w:left w:val="nil"/>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97483">
              <w:rPr>
                <w:rFonts w:ascii="Arial" w:hAnsi="Arial" w:cs="Arial"/>
                <w:i/>
                <w:iCs/>
                <w:color w:val="000000"/>
                <w:sz w:val="16"/>
                <w:szCs w:val="16"/>
                <w:lang w:val="en-US" w:eastAsia="zh-CN"/>
              </w:rPr>
              <w:t>-5,939</w:t>
            </w:r>
          </w:p>
        </w:tc>
        <w:tc>
          <w:tcPr>
            <w:tcW w:w="809" w:type="pct"/>
            <w:tcBorders>
              <w:top w:val="nil"/>
              <w:left w:val="nil"/>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r>
      <w:tr w:rsidR="00841ADF" w:rsidRPr="00097483" w:rsidTr="00841ADF">
        <w:trPr>
          <w:trHeight w:val="255"/>
        </w:trPr>
        <w:tc>
          <w:tcPr>
            <w:tcW w:w="1352" w:type="pct"/>
            <w:tcBorders>
              <w:top w:val="nil"/>
              <w:left w:val="single" w:sz="4" w:space="0" w:color="auto"/>
              <w:bottom w:val="nil"/>
              <w:right w:val="nil"/>
            </w:tcBorders>
            <w:shd w:val="clear" w:color="auto" w:fill="auto"/>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i/>
                <w:iCs/>
                <w:color w:val="000000"/>
                <w:sz w:val="16"/>
                <w:szCs w:val="16"/>
                <w:lang w:val="en-US" w:eastAsia="zh-CN"/>
              </w:rPr>
            </w:pPr>
            <w:r w:rsidRPr="00097483">
              <w:rPr>
                <w:rFonts w:ascii="Arial" w:hAnsi="Arial" w:cs="Arial"/>
                <w:i/>
                <w:iCs/>
                <w:color w:val="000000"/>
                <w:sz w:val="16"/>
                <w:szCs w:val="16"/>
                <w:lang w:val="en-US" w:eastAsia="zh-CN"/>
              </w:rPr>
              <w:t>Sales of assets</w:t>
            </w:r>
          </w:p>
        </w:tc>
        <w:tc>
          <w:tcPr>
            <w:tcW w:w="540" w:type="pct"/>
            <w:tcBorders>
              <w:top w:val="nil"/>
              <w:left w:val="single" w:sz="4" w:space="0" w:color="auto"/>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540" w:type="pct"/>
            <w:tcBorders>
              <w:top w:val="nil"/>
              <w:left w:val="nil"/>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677" w:type="pct"/>
            <w:tcBorders>
              <w:top w:val="nil"/>
              <w:left w:val="nil"/>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97483">
              <w:rPr>
                <w:rFonts w:ascii="Arial" w:hAnsi="Arial" w:cs="Arial"/>
                <w:i/>
                <w:iCs/>
                <w:color w:val="000000"/>
                <w:sz w:val="16"/>
                <w:szCs w:val="16"/>
                <w:lang w:val="en-US" w:eastAsia="zh-CN"/>
              </w:rPr>
              <w:t>5</w:t>
            </w:r>
          </w:p>
        </w:tc>
        <w:tc>
          <w:tcPr>
            <w:tcW w:w="809" w:type="pct"/>
            <w:tcBorders>
              <w:top w:val="nil"/>
              <w:left w:val="nil"/>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r>
      <w:tr w:rsidR="00841ADF" w:rsidRPr="00097483" w:rsidTr="00841ADF">
        <w:trPr>
          <w:trHeight w:val="255"/>
        </w:trPr>
        <w:tc>
          <w:tcPr>
            <w:tcW w:w="1352" w:type="pct"/>
            <w:tcBorders>
              <w:top w:val="nil"/>
              <w:left w:val="single" w:sz="4" w:space="0" w:color="auto"/>
              <w:bottom w:val="nil"/>
              <w:right w:val="nil"/>
            </w:tcBorders>
            <w:shd w:val="clear" w:color="auto" w:fill="auto"/>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i/>
                <w:iCs/>
                <w:color w:val="000000"/>
                <w:sz w:val="16"/>
                <w:szCs w:val="16"/>
                <w:lang w:val="en-US" w:eastAsia="zh-CN"/>
              </w:rPr>
            </w:pPr>
            <w:r w:rsidRPr="00097483">
              <w:rPr>
                <w:rFonts w:ascii="Arial" w:hAnsi="Arial" w:cs="Arial"/>
                <w:i/>
                <w:iCs/>
                <w:color w:val="000000"/>
                <w:sz w:val="16"/>
                <w:szCs w:val="16"/>
                <w:lang w:val="en-US" w:eastAsia="zh-CN"/>
              </w:rPr>
              <w:t>Other expenses</w:t>
            </w:r>
          </w:p>
        </w:tc>
        <w:tc>
          <w:tcPr>
            <w:tcW w:w="540" w:type="pct"/>
            <w:tcBorders>
              <w:top w:val="nil"/>
              <w:left w:val="single" w:sz="4" w:space="0" w:color="auto"/>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540" w:type="pct"/>
            <w:tcBorders>
              <w:top w:val="nil"/>
              <w:left w:val="nil"/>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677" w:type="pct"/>
            <w:tcBorders>
              <w:top w:val="nil"/>
              <w:left w:val="nil"/>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97483">
              <w:rPr>
                <w:rFonts w:ascii="Arial" w:hAnsi="Arial" w:cs="Arial"/>
                <w:i/>
                <w:iCs/>
                <w:color w:val="000000"/>
                <w:sz w:val="16"/>
                <w:szCs w:val="16"/>
                <w:lang w:val="en-US" w:eastAsia="zh-CN"/>
              </w:rPr>
              <w:t>-29</w:t>
            </w:r>
          </w:p>
        </w:tc>
        <w:tc>
          <w:tcPr>
            <w:tcW w:w="809" w:type="pct"/>
            <w:tcBorders>
              <w:top w:val="nil"/>
              <w:left w:val="nil"/>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r>
      <w:tr w:rsidR="00841ADF" w:rsidRPr="00097483" w:rsidTr="00841ADF">
        <w:trPr>
          <w:trHeight w:val="252"/>
        </w:trPr>
        <w:tc>
          <w:tcPr>
            <w:tcW w:w="1352" w:type="pct"/>
            <w:tcBorders>
              <w:top w:val="nil"/>
              <w:left w:val="single" w:sz="4" w:space="0" w:color="auto"/>
              <w:bottom w:val="nil"/>
              <w:right w:val="nil"/>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540" w:type="pct"/>
            <w:tcBorders>
              <w:top w:val="nil"/>
              <w:left w:val="single" w:sz="4" w:space="0" w:color="auto"/>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540" w:type="pct"/>
            <w:tcBorders>
              <w:top w:val="nil"/>
              <w:left w:val="nil"/>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677" w:type="pct"/>
            <w:tcBorders>
              <w:top w:val="nil"/>
              <w:left w:val="nil"/>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i/>
                <w:iCs/>
                <w:color w:val="000000"/>
                <w:sz w:val="16"/>
                <w:szCs w:val="16"/>
                <w:lang w:val="en-US" w:eastAsia="zh-CN"/>
              </w:rPr>
            </w:pPr>
            <w:r w:rsidRPr="00097483">
              <w:rPr>
                <w:rFonts w:ascii="Arial" w:hAnsi="Arial" w:cs="Arial"/>
                <w:i/>
                <w:iCs/>
                <w:color w:val="000000"/>
                <w:sz w:val="16"/>
                <w:szCs w:val="16"/>
                <w:lang w:val="en-US" w:eastAsia="zh-CN"/>
              </w:rPr>
              <w:t> </w:t>
            </w:r>
          </w:p>
        </w:tc>
        <w:tc>
          <w:tcPr>
            <w:tcW w:w="809" w:type="pct"/>
            <w:tcBorders>
              <w:top w:val="nil"/>
              <w:left w:val="nil"/>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r>
      <w:tr w:rsidR="00841ADF" w:rsidRPr="00097483" w:rsidTr="00841ADF">
        <w:trPr>
          <w:trHeight w:val="270"/>
        </w:trPr>
        <w:tc>
          <w:tcPr>
            <w:tcW w:w="1352" w:type="pct"/>
            <w:tcBorders>
              <w:top w:val="single" w:sz="4" w:space="0" w:color="auto"/>
              <w:left w:val="single" w:sz="4" w:space="0" w:color="auto"/>
              <w:bottom w:val="single" w:sz="4" w:space="0" w:color="auto"/>
              <w:right w:val="nil"/>
            </w:tcBorders>
            <w:shd w:val="clear" w:color="auto" w:fill="auto"/>
            <w:vAlign w:val="center"/>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Total IPSAS difference</w:t>
            </w:r>
          </w:p>
        </w:tc>
        <w:tc>
          <w:tcPr>
            <w:tcW w:w="5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w:t>
            </w:r>
          </w:p>
        </w:tc>
        <w:tc>
          <w:tcPr>
            <w:tcW w:w="540" w:type="pct"/>
            <w:tcBorders>
              <w:top w:val="single" w:sz="4" w:space="0" w:color="auto"/>
              <w:left w:val="nil"/>
              <w:bottom w:val="single" w:sz="4" w:space="0" w:color="auto"/>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w:t>
            </w:r>
          </w:p>
        </w:tc>
        <w:tc>
          <w:tcPr>
            <w:tcW w:w="677" w:type="pct"/>
            <w:tcBorders>
              <w:top w:val="single" w:sz="4" w:space="0" w:color="auto"/>
              <w:left w:val="nil"/>
              <w:bottom w:val="single" w:sz="4" w:space="0" w:color="auto"/>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-25,794</w:t>
            </w:r>
          </w:p>
        </w:tc>
        <w:tc>
          <w:tcPr>
            <w:tcW w:w="809" w:type="pct"/>
            <w:tcBorders>
              <w:top w:val="single" w:sz="4" w:space="0" w:color="auto"/>
              <w:left w:val="nil"/>
              <w:bottom w:val="single" w:sz="4" w:space="0" w:color="auto"/>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w:t>
            </w:r>
          </w:p>
        </w:tc>
      </w:tr>
      <w:tr w:rsidR="00841ADF" w:rsidRPr="00097483" w:rsidTr="00841ADF">
        <w:trPr>
          <w:trHeight w:val="255"/>
        </w:trPr>
        <w:tc>
          <w:tcPr>
            <w:tcW w:w="1352" w:type="pct"/>
            <w:tcBorders>
              <w:top w:val="nil"/>
              <w:left w:val="single" w:sz="4" w:space="0" w:color="auto"/>
              <w:bottom w:val="nil"/>
              <w:right w:val="nil"/>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Surplus/ Deficit on Fund 1000</w:t>
            </w:r>
          </w:p>
        </w:tc>
        <w:tc>
          <w:tcPr>
            <w:tcW w:w="540" w:type="pct"/>
            <w:tcBorders>
              <w:top w:val="nil"/>
              <w:left w:val="single" w:sz="4" w:space="0" w:color="auto"/>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540" w:type="pct"/>
            <w:tcBorders>
              <w:top w:val="nil"/>
              <w:left w:val="nil"/>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677" w:type="pct"/>
            <w:tcBorders>
              <w:top w:val="nil"/>
              <w:left w:val="nil"/>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97483">
              <w:rPr>
                <w:rFonts w:ascii="Arial" w:hAnsi="Arial" w:cs="Arial"/>
                <w:i/>
                <w:iCs/>
                <w:color w:val="000000"/>
                <w:sz w:val="16"/>
                <w:szCs w:val="16"/>
                <w:lang w:val="en-US" w:eastAsia="zh-CN"/>
              </w:rPr>
              <w:t>11,365</w:t>
            </w:r>
          </w:p>
        </w:tc>
        <w:tc>
          <w:tcPr>
            <w:tcW w:w="809" w:type="pct"/>
            <w:tcBorders>
              <w:top w:val="nil"/>
              <w:left w:val="nil"/>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r>
      <w:tr w:rsidR="00841ADF" w:rsidRPr="00097483" w:rsidTr="00841ADF">
        <w:trPr>
          <w:trHeight w:val="255"/>
        </w:trPr>
        <w:tc>
          <w:tcPr>
            <w:tcW w:w="1352" w:type="pct"/>
            <w:tcBorders>
              <w:top w:val="nil"/>
              <w:left w:val="single" w:sz="4" w:space="0" w:color="auto"/>
              <w:bottom w:val="nil"/>
              <w:right w:val="nil"/>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sz w:val="16"/>
                <w:szCs w:val="16"/>
                <w:lang w:val="en-US" w:eastAsia="zh-CN"/>
              </w:rPr>
            </w:pPr>
            <w:r w:rsidRPr="00097483">
              <w:rPr>
                <w:rFonts w:ascii="Arial" w:hAnsi="Arial" w:cs="Arial"/>
                <w:sz w:val="16"/>
                <w:szCs w:val="16"/>
                <w:lang w:val="en-US" w:eastAsia="zh-CN"/>
              </w:rPr>
              <w:t>Increase of the investment fund</w:t>
            </w:r>
          </w:p>
        </w:tc>
        <w:tc>
          <w:tcPr>
            <w:tcW w:w="540" w:type="pct"/>
            <w:tcBorders>
              <w:top w:val="nil"/>
              <w:left w:val="single" w:sz="4" w:space="0" w:color="auto"/>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540" w:type="pct"/>
            <w:tcBorders>
              <w:top w:val="nil"/>
              <w:left w:val="nil"/>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677" w:type="pct"/>
            <w:tcBorders>
              <w:top w:val="nil"/>
              <w:left w:val="nil"/>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97483">
              <w:rPr>
                <w:rFonts w:ascii="Arial" w:hAnsi="Arial" w:cs="Arial"/>
                <w:i/>
                <w:iCs/>
                <w:color w:val="000000"/>
                <w:sz w:val="16"/>
                <w:szCs w:val="16"/>
                <w:lang w:val="en-US" w:eastAsia="zh-CN"/>
              </w:rPr>
              <w:t>-869</w:t>
            </w:r>
          </w:p>
        </w:tc>
        <w:tc>
          <w:tcPr>
            <w:tcW w:w="809" w:type="pct"/>
            <w:tcBorders>
              <w:top w:val="nil"/>
              <w:left w:val="nil"/>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r>
      <w:tr w:rsidR="00841ADF" w:rsidRPr="00097483" w:rsidTr="00841ADF">
        <w:trPr>
          <w:trHeight w:val="255"/>
        </w:trPr>
        <w:tc>
          <w:tcPr>
            <w:tcW w:w="1352" w:type="pct"/>
            <w:tcBorders>
              <w:top w:val="nil"/>
              <w:left w:val="single" w:sz="4" w:space="0" w:color="auto"/>
              <w:bottom w:val="nil"/>
              <w:right w:val="nil"/>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sz w:val="16"/>
                <w:szCs w:val="16"/>
                <w:lang w:val="en-US" w:eastAsia="zh-CN"/>
              </w:rPr>
            </w:pPr>
            <w:r w:rsidRPr="00097483">
              <w:rPr>
                <w:rFonts w:ascii="Arial" w:hAnsi="Arial" w:cs="Arial"/>
                <w:sz w:val="16"/>
                <w:szCs w:val="16"/>
                <w:lang w:val="en-US" w:eastAsia="zh-CN"/>
              </w:rPr>
              <w:t>Perimeter differences</w:t>
            </w:r>
          </w:p>
        </w:tc>
        <w:tc>
          <w:tcPr>
            <w:tcW w:w="540" w:type="pct"/>
            <w:tcBorders>
              <w:top w:val="nil"/>
              <w:left w:val="single" w:sz="4" w:space="0" w:color="auto"/>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540" w:type="pct"/>
            <w:tcBorders>
              <w:top w:val="nil"/>
              <w:left w:val="nil"/>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677" w:type="pct"/>
            <w:tcBorders>
              <w:top w:val="nil"/>
              <w:left w:val="nil"/>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97483">
              <w:rPr>
                <w:rFonts w:ascii="Arial" w:hAnsi="Arial" w:cs="Arial"/>
                <w:i/>
                <w:iCs/>
                <w:color w:val="000000"/>
                <w:sz w:val="16"/>
                <w:szCs w:val="16"/>
                <w:lang w:val="en-US" w:eastAsia="zh-CN"/>
              </w:rPr>
              <w:t>-1,780</w:t>
            </w:r>
          </w:p>
        </w:tc>
        <w:tc>
          <w:tcPr>
            <w:tcW w:w="809" w:type="pct"/>
            <w:tcBorders>
              <w:top w:val="nil"/>
              <w:left w:val="nil"/>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r>
      <w:tr w:rsidR="00841ADF" w:rsidRPr="00097483" w:rsidTr="00841ADF">
        <w:trPr>
          <w:trHeight w:val="255"/>
        </w:trPr>
        <w:tc>
          <w:tcPr>
            <w:tcW w:w="1352" w:type="pct"/>
            <w:tcBorders>
              <w:top w:val="nil"/>
              <w:left w:val="single" w:sz="4" w:space="0" w:color="auto"/>
              <w:bottom w:val="nil"/>
              <w:right w:val="nil"/>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sz w:val="16"/>
                <w:szCs w:val="16"/>
                <w:lang w:val="en-US" w:eastAsia="zh-CN"/>
              </w:rPr>
            </w:pPr>
            <w:r w:rsidRPr="00097483">
              <w:rPr>
                <w:rFonts w:ascii="Arial" w:hAnsi="Arial" w:cs="Arial"/>
                <w:sz w:val="16"/>
                <w:szCs w:val="16"/>
                <w:lang w:val="en-US" w:eastAsia="zh-CN"/>
              </w:rPr>
              <w:t> </w:t>
            </w:r>
          </w:p>
        </w:tc>
        <w:tc>
          <w:tcPr>
            <w:tcW w:w="540" w:type="pct"/>
            <w:tcBorders>
              <w:top w:val="nil"/>
              <w:left w:val="single" w:sz="4" w:space="0" w:color="auto"/>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540" w:type="pct"/>
            <w:tcBorders>
              <w:top w:val="nil"/>
              <w:left w:val="nil"/>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677" w:type="pct"/>
            <w:tcBorders>
              <w:top w:val="nil"/>
              <w:left w:val="nil"/>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i/>
                <w:iCs/>
                <w:color w:val="000000"/>
                <w:sz w:val="16"/>
                <w:szCs w:val="16"/>
                <w:lang w:val="en-US" w:eastAsia="zh-CN"/>
              </w:rPr>
            </w:pPr>
            <w:r w:rsidRPr="00097483">
              <w:rPr>
                <w:rFonts w:ascii="Arial" w:hAnsi="Arial" w:cs="Arial"/>
                <w:i/>
                <w:iCs/>
                <w:color w:val="000000"/>
                <w:sz w:val="16"/>
                <w:szCs w:val="16"/>
                <w:lang w:val="en-US" w:eastAsia="zh-CN"/>
              </w:rPr>
              <w:t> </w:t>
            </w:r>
          </w:p>
        </w:tc>
        <w:tc>
          <w:tcPr>
            <w:tcW w:w="809" w:type="pct"/>
            <w:tcBorders>
              <w:top w:val="nil"/>
              <w:left w:val="nil"/>
              <w:bottom w:val="nil"/>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r>
      <w:tr w:rsidR="00841ADF" w:rsidRPr="00097483" w:rsidTr="00841ADF">
        <w:trPr>
          <w:trHeight w:val="510"/>
        </w:trPr>
        <w:tc>
          <w:tcPr>
            <w:tcW w:w="1352" w:type="pct"/>
            <w:tcBorders>
              <w:top w:val="single" w:sz="4" w:space="0" w:color="auto"/>
              <w:left w:val="single" w:sz="4" w:space="0" w:color="auto"/>
              <w:bottom w:val="single" w:sz="4" w:space="0" w:color="auto"/>
              <w:right w:val="nil"/>
            </w:tcBorders>
            <w:shd w:val="clear" w:color="auto" w:fill="auto"/>
            <w:vAlign w:val="center"/>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Surplus/Deficit as shown in the statement of financial performance</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w:t>
            </w:r>
          </w:p>
        </w:tc>
        <w:tc>
          <w:tcPr>
            <w:tcW w:w="540" w:type="pct"/>
            <w:tcBorders>
              <w:top w:val="single" w:sz="4" w:space="0" w:color="auto"/>
              <w:left w:val="nil"/>
              <w:bottom w:val="single" w:sz="4" w:space="0" w:color="auto"/>
              <w:right w:val="single" w:sz="4" w:space="0" w:color="auto"/>
            </w:tcBorders>
            <w:shd w:val="clear" w:color="auto" w:fill="auto"/>
            <w:vAlign w:val="center"/>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w:t>
            </w:r>
          </w:p>
        </w:tc>
        <w:tc>
          <w:tcPr>
            <w:tcW w:w="677" w:type="pct"/>
            <w:tcBorders>
              <w:top w:val="single" w:sz="4" w:space="0" w:color="auto"/>
              <w:left w:val="nil"/>
              <w:bottom w:val="single" w:sz="4" w:space="0" w:color="auto"/>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-17,078</w:t>
            </w:r>
          </w:p>
        </w:tc>
        <w:tc>
          <w:tcPr>
            <w:tcW w:w="809" w:type="pct"/>
            <w:tcBorders>
              <w:top w:val="single" w:sz="4" w:space="0" w:color="auto"/>
              <w:left w:val="nil"/>
              <w:bottom w:val="single" w:sz="4" w:space="0" w:color="auto"/>
              <w:right w:val="single" w:sz="4" w:space="0" w:color="auto"/>
            </w:tcBorders>
            <w:shd w:val="clear" w:color="auto" w:fill="auto"/>
            <w:noWrap/>
            <w:vAlign w:val="bottom"/>
            <w:hideMark/>
          </w:tcPr>
          <w:p w:rsidR="00097483" w:rsidRPr="00097483" w:rsidRDefault="00097483" w:rsidP="0009748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6"/>
                <w:szCs w:val="16"/>
                <w:lang w:val="en-US" w:eastAsia="zh-CN"/>
              </w:rPr>
            </w:pPr>
            <w:r w:rsidRPr="00097483">
              <w:rPr>
                <w:rFonts w:ascii="Arial" w:hAnsi="Arial" w:cs="Arial"/>
                <w:b/>
                <w:bCs/>
                <w:color w:val="000000"/>
                <w:sz w:val="16"/>
                <w:szCs w:val="16"/>
                <w:lang w:val="en-US" w:eastAsia="zh-CN"/>
              </w:rPr>
              <w:t> </w:t>
            </w:r>
          </w:p>
        </w:tc>
      </w:tr>
    </w:tbl>
    <w:p w:rsidR="005C7FA5" w:rsidRPr="00382D49" w:rsidRDefault="005C7FA5" w:rsidP="005C7FA5">
      <w:pPr>
        <w:pStyle w:val="Tabletext"/>
        <w:rPr>
          <w:lang w:val="en-US"/>
        </w:rPr>
      </w:pPr>
    </w:p>
    <w:p w:rsidR="005C7FA5" w:rsidRDefault="005C7FA5" w:rsidP="005C7FA5">
      <w:pPr>
        <w:pStyle w:val="Tabletext"/>
        <w:rPr>
          <w:lang w:val="en-US"/>
        </w:rPr>
      </w:pPr>
    </w:p>
    <w:p w:rsidR="0022373A" w:rsidRDefault="0022373A" w:rsidP="008D6FDF">
      <w:pPr>
        <w:spacing w:before="0"/>
        <w:rPr>
          <w:sz w:val="22"/>
          <w:szCs w:val="22"/>
          <w:lang w:val="en-US"/>
        </w:rPr>
      </w:pPr>
      <w:r w:rsidRPr="00C972B1">
        <w:rPr>
          <w:sz w:val="22"/>
          <w:szCs w:val="22"/>
          <w:lang w:val="en-US"/>
        </w:rPr>
        <w:t xml:space="preserve">For </w:t>
      </w:r>
      <w:r w:rsidR="00C972B1" w:rsidRPr="00C972B1">
        <w:rPr>
          <w:sz w:val="22"/>
          <w:szCs w:val="22"/>
          <w:lang w:val="en-US"/>
        </w:rPr>
        <w:t>further information, see Note 2</w:t>
      </w:r>
      <w:r w:rsidR="008D6FDF">
        <w:rPr>
          <w:sz w:val="22"/>
          <w:szCs w:val="22"/>
          <w:lang w:val="en-US"/>
        </w:rPr>
        <w:t>5</w:t>
      </w:r>
      <w:r w:rsidR="00122B8A" w:rsidRPr="00C972B1">
        <w:rPr>
          <w:sz w:val="22"/>
          <w:szCs w:val="22"/>
          <w:lang w:val="en-US"/>
        </w:rPr>
        <w:t>.</w:t>
      </w:r>
    </w:p>
    <w:p w:rsidR="00A13182" w:rsidRDefault="00A13182" w:rsidP="00EE6FE9">
      <w:pPr>
        <w:spacing w:before="0"/>
        <w:rPr>
          <w:sz w:val="22"/>
          <w:szCs w:val="22"/>
          <w:lang w:val="en-US"/>
        </w:rPr>
      </w:pPr>
    </w:p>
    <w:p w:rsidR="00A13182" w:rsidRDefault="00A13182" w:rsidP="00EE6FE9">
      <w:pPr>
        <w:spacing w:before="0"/>
        <w:rPr>
          <w:sz w:val="22"/>
          <w:szCs w:val="22"/>
          <w:lang w:val="en-US"/>
        </w:rPr>
      </w:pPr>
    </w:p>
    <w:p w:rsidR="00A13182" w:rsidRDefault="00A13182" w:rsidP="00EE6FE9">
      <w:pPr>
        <w:spacing w:before="0"/>
        <w:rPr>
          <w:sz w:val="22"/>
          <w:szCs w:val="22"/>
          <w:lang w:val="en-US"/>
        </w:rPr>
      </w:pPr>
    </w:p>
    <w:p w:rsidR="00127756" w:rsidRDefault="00127756">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rPr>
      </w:pPr>
      <w:r>
        <w:rPr>
          <w:sz w:val="22"/>
          <w:szCs w:val="22"/>
          <w:lang w:val="en-US"/>
        </w:rPr>
        <w:br w:type="page"/>
      </w:r>
    </w:p>
    <w:p w:rsidR="00A13182" w:rsidRDefault="00A13182" w:rsidP="00EE6FE9">
      <w:pPr>
        <w:spacing w:before="0"/>
        <w:rPr>
          <w:sz w:val="22"/>
          <w:szCs w:val="22"/>
          <w:lang w:val="en-US"/>
        </w:rPr>
      </w:pPr>
    </w:p>
    <w:p w:rsidR="0022373A" w:rsidRPr="00CB7301" w:rsidRDefault="0022373A" w:rsidP="00383DBC">
      <w:pPr>
        <w:jc w:val="center"/>
        <w:rPr>
          <w:b/>
          <w:bCs/>
          <w:sz w:val="28"/>
          <w:szCs w:val="22"/>
          <w:lang w:val="en-US"/>
        </w:rPr>
      </w:pPr>
      <w:bookmarkStart w:id="30" w:name="_Toc305764060"/>
      <w:bookmarkStart w:id="31" w:name="_Toc329011608"/>
      <w:r w:rsidRPr="00CB7301">
        <w:rPr>
          <w:b/>
          <w:bCs/>
          <w:sz w:val="28"/>
          <w:szCs w:val="22"/>
          <w:lang w:val="en-US"/>
        </w:rPr>
        <w:t>Notes to the financial statements</w:t>
      </w:r>
      <w:bookmarkEnd w:id="30"/>
      <w:bookmarkEnd w:id="31"/>
      <w:r w:rsidR="009558B3" w:rsidRPr="00CB7301">
        <w:rPr>
          <w:b/>
          <w:bCs/>
          <w:sz w:val="28"/>
          <w:szCs w:val="22"/>
          <w:lang w:val="en-US"/>
        </w:rPr>
        <w:br/>
      </w:r>
    </w:p>
    <w:p w:rsidR="0022373A" w:rsidRPr="001C2A98" w:rsidRDefault="0022373A" w:rsidP="00EE10BB">
      <w:pPr>
        <w:pStyle w:val="Heading5"/>
        <w:rPr>
          <w:lang w:val="en-US"/>
        </w:rPr>
      </w:pPr>
      <w:bookmarkStart w:id="32" w:name="_Toc305764061"/>
      <w:bookmarkStart w:id="33" w:name="_Toc329011609"/>
      <w:r w:rsidRPr="001C2A98">
        <w:rPr>
          <w:lang w:val="en-US"/>
        </w:rPr>
        <w:t xml:space="preserve">Note </w:t>
      </w:r>
      <w:r w:rsidR="00F34118">
        <w:rPr>
          <w:lang w:val="en-US"/>
        </w:rPr>
        <w:t>1</w:t>
      </w:r>
      <w:r w:rsidRPr="001C2A98">
        <w:rPr>
          <w:lang w:val="en-US"/>
        </w:rPr>
        <w:tab/>
      </w:r>
      <w:bookmarkEnd w:id="32"/>
      <w:bookmarkEnd w:id="33"/>
      <w:r w:rsidR="004C424A" w:rsidRPr="00EE10BB">
        <w:rPr>
          <w:lang w:val="en-US"/>
        </w:rPr>
        <w:t>Objectives of the Union</w:t>
      </w:r>
    </w:p>
    <w:p w:rsidR="0022373A" w:rsidRPr="001C2A98" w:rsidRDefault="0022373A" w:rsidP="00035CC0">
      <w:pPr>
        <w:jc w:val="both"/>
        <w:rPr>
          <w:lang w:val="en-US"/>
        </w:rPr>
      </w:pPr>
      <w:r w:rsidRPr="001C2A98">
        <w:rPr>
          <w:lang w:val="en-US"/>
        </w:rPr>
        <w:t xml:space="preserve">The International Telecommunication Union (ITU) is the </w:t>
      </w:r>
      <w:hyperlink r:id="rId28" w:tgtFrame="_blank" w:history="1">
        <w:r w:rsidR="000D0F63">
          <w:rPr>
            <w:rStyle w:val="Hyperlink"/>
            <w:rFonts w:cs="Calibri"/>
            <w:lang w:val="en-US"/>
          </w:rPr>
          <w:t>United Nations</w:t>
        </w:r>
      </w:hyperlink>
      <w:r w:rsidRPr="001C2A98">
        <w:rPr>
          <w:lang w:val="en-US"/>
        </w:rPr>
        <w:t xml:space="preserve"> specialized agency for information and communication technologies (ICTs). As a global focal point bringing together governments and private sector, ITU </w:t>
      </w:r>
      <w:r w:rsidR="004372CE">
        <w:rPr>
          <w:lang w:val="en-US"/>
        </w:rPr>
        <w:t xml:space="preserve">assists </w:t>
      </w:r>
      <w:r w:rsidRPr="001C2A98">
        <w:rPr>
          <w:lang w:val="en-US"/>
        </w:rPr>
        <w:t xml:space="preserve">the world </w:t>
      </w:r>
      <w:r w:rsidR="00035CC0">
        <w:rPr>
          <w:lang w:val="en-US"/>
        </w:rPr>
        <w:t xml:space="preserve">in communicating </w:t>
      </w:r>
      <w:r w:rsidRPr="001C2A98">
        <w:rPr>
          <w:lang w:val="en-US"/>
        </w:rPr>
        <w:t xml:space="preserve">through its three key Sectors: </w:t>
      </w:r>
      <w:hyperlink r:id="rId29" w:history="1">
        <w:proofErr w:type="spellStart"/>
        <w:r w:rsidR="00353642">
          <w:rPr>
            <w:rStyle w:val="Hyperlink"/>
            <w:rFonts w:cs="Calibri"/>
            <w:lang w:val="en-US"/>
          </w:rPr>
          <w:t>Radiocommunication</w:t>
        </w:r>
        <w:proofErr w:type="spellEnd"/>
      </w:hyperlink>
      <w:r w:rsidRPr="001C2A98">
        <w:rPr>
          <w:lang w:val="en-US"/>
        </w:rPr>
        <w:t xml:space="preserve">, </w:t>
      </w:r>
      <w:hyperlink r:id="rId30" w:history="1">
        <w:r w:rsidR="00353642">
          <w:rPr>
            <w:rStyle w:val="Hyperlink"/>
            <w:rFonts w:cs="Calibri"/>
            <w:lang w:val="en-US"/>
          </w:rPr>
          <w:t>Telecommunication Standardization</w:t>
        </w:r>
      </w:hyperlink>
      <w:r w:rsidR="00353642" w:rsidRPr="00353642">
        <w:rPr>
          <w:lang w:val="en-US"/>
        </w:rPr>
        <w:t xml:space="preserve"> </w:t>
      </w:r>
      <w:r w:rsidRPr="001C2A98">
        <w:rPr>
          <w:lang w:val="en-US"/>
        </w:rPr>
        <w:t xml:space="preserve">and </w:t>
      </w:r>
      <w:hyperlink r:id="rId31" w:history="1">
        <w:r w:rsidR="00353642">
          <w:rPr>
            <w:rStyle w:val="Hyperlink"/>
            <w:rFonts w:cs="Calibri"/>
            <w:lang w:val="en-US"/>
          </w:rPr>
          <w:t>Telecommunication Development</w:t>
        </w:r>
      </w:hyperlink>
      <w:r w:rsidRPr="001C2A98">
        <w:rPr>
          <w:lang w:val="en-US"/>
        </w:rPr>
        <w:t>. ITU fully recognizes each State</w:t>
      </w:r>
      <w:r w:rsidR="007A552E">
        <w:rPr>
          <w:lang w:val="en-US"/>
        </w:rPr>
        <w:t>’</w:t>
      </w:r>
      <w:r w:rsidRPr="001C2A98">
        <w:rPr>
          <w:lang w:val="en-US"/>
        </w:rPr>
        <w:t>s sovereign right to regulate its telecommunications.</w:t>
      </w:r>
    </w:p>
    <w:p w:rsidR="0022373A" w:rsidRPr="001C2A98" w:rsidRDefault="0022373A" w:rsidP="005C41A5">
      <w:pPr>
        <w:jc w:val="both"/>
        <w:rPr>
          <w:rFonts w:cs="Calibri"/>
          <w:bCs/>
          <w:lang w:val="en-US"/>
        </w:rPr>
      </w:pPr>
      <w:r w:rsidRPr="001C2A98">
        <w:rPr>
          <w:rFonts w:cs="Calibri"/>
          <w:bCs/>
          <w:lang w:val="en-US"/>
        </w:rPr>
        <w:t xml:space="preserve">ITU, which also organizes the </w:t>
      </w:r>
      <w:r w:rsidR="00103D66">
        <w:rPr>
          <w:rFonts w:cs="Calibri"/>
          <w:bCs/>
          <w:lang w:val="en-US"/>
        </w:rPr>
        <w:t xml:space="preserve">ITU </w:t>
      </w:r>
      <w:hyperlink r:id="rId32" w:history="1">
        <w:r w:rsidR="00F013B6" w:rsidRPr="00D128FC">
          <w:rPr>
            <w:rStyle w:val="Hyperlink"/>
            <w:rFonts w:cs="Arial"/>
            <w:szCs w:val="24"/>
            <w:lang w:val="en-US" w:eastAsia="fr-FR"/>
          </w:rPr>
          <w:t>TELECOM</w:t>
        </w:r>
      </w:hyperlink>
      <w:r w:rsidR="00F013B6">
        <w:rPr>
          <w:lang w:val="en-US"/>
        </w:rPr>
        <w:t xml:space="preserve"> </w:t>
      </w:r>
      <w:r w:rsidRPr="001C2A98">
        <w:rPr>
          <w:rFonts w:cs="Calibri"/>
          <w:bCs/>
          <w:lang w:val="en-US"/>
        </w:rPr>
        <w:t xml:space="preserve">events, was the entity with prime responsibility for organizing the </w:t>
      </w:r>
      <w:hyperlink r:id="rId33" w:history="1">
        <w:r w:rsidR="00914A81" w:rsidRPr="00D128FC">
          <w:rPr>
            <w:rStyle w:val="Hyperlink"/>
            <w:rFonts w:cs="Arial"/>
            <w:szCs w:val="24"/>
            <w:lang w:val="en-US" w:eastAsia="fr-FR"/>
          </w:rPr>
          <w:t>World Summit on the Information Society</w:t>
        </w:r>
      </w:hyperlink>
      <w:r w:rsidR="003111C9">
        <w:rPr>
          <w:rStyle w:val="Hyperlink"/>
          <w:rFonts w:cs="Arial"/>
          <w:szCs w:val="24"/>
          <w:lang w:val="en-US" w:eastAsia="fr-FR"/>
        </w:rPr>
        <w:t>.</w:t>
      </w:r>
    </w:p>
    <w:p w:rsidR="0022373A" w:rsidRPr="001C2A98" w:rsidRDefault="0022373A" w:rsidP="00DC72A3">
      <w:pPr>
        <w:jc w:val="both"/>
        <w:rPr>
          <w:rFonts w:cs="Calibri"/>
          <w:bCs/>
          <w:lang w:val="en-US"/>
        </w:rPr>
      </w:pPr>
      <w:r w:rsidRPr="001C2A98">
        <w:rPr>
          <w:rFonts w:cs="Calibri"/>
          <w:bCs/>
          <w:lang w:val="en-US"/>
        </w:rPr>
        <w:t xml:space="preserve">With its headquarters at Place des Nations, 1211 Geneva 20, </w:t>
      </w:r>
      <w:r w:rsidRPr="0076607B">
        <w:rPr>
          <w:rFonts w:cs="Calibri"/>
          <w:bCs/>
          <w:lang w:val="en-US"/>
        </w:rPr>
        <w:t>Switzerland, ITU has 19</w:t>
      </w:r>
      <w:r w:rsidR="001D5EBC" w:rsidRPr="0076607B">
        <w:rPr>
          <w:rFonts w:cs="Calibri"/>
          <w:bCs/>
          <w:lang w:val="en-US"/>
        </w:rPr>
        <w:t>3</w:t>
      </w:r>
      <w:r w:rsidRPr="0076607B">
        <w:rPr>
          <w:rFonts w:cs="Calibri"/>
          <w:bCs/>
          <w:lang w:val="en-US"/>
        </w:rPr>
        <w:t xml:space="preserve"> </w:t>
      </w:r>
      <w:hyperlink r:id="rId34" w:history="1">
        <w:r w:rsidR="00B6153B" w:rsidRPr="0076607B">
          <w:rPr>
            <w:rStyle w:val="Hyperlink"/>
            <w:rFonts w:cs="Arial"/>
            <w:szCs w:val="24"/>
            <w:lang w:val="en-US" w:eastAsia="fr-FR"/>
          </w:rPr>
          <w:t>Member States</w:t>
        </w:r>
      </w:hyperlink>
      <w:r w:rsidRPr="0076607B">
        <w:rPr>
          <w:rFonts w:cs="Calibri"/>
          <w:bCs/>
          <w:lang w:val="en-US"/>
        </w:rPr>
        <w:t xml:space="preserve"> and over </w:t>
      </w:r>
      <w:r w:rsidR="00DC72A3">
        <w:rPr>
          <w:rFonts w:cs="Calibri"/>
          <w:bCs/>
          <w:lang w:val="en-US"/>
        </w:rPr>
        <w:t>8</w:t>
      </w:r>
      <w:r w:rsidRPr="0076607B">
        <w:rPr>
          <w:rFonts w:cs="Calibri"/>
          <w:bCs/>
          <w:lang w:val="en-US"/>
        </w:rPr>
        <w:t xml:space="preserve">00 </w:t>
      </w:r>
      <w:hyperlink r:id="rId35" w:history="1">
        <w:r w:rsidR="00B6153B" w:rsidRPr="0076607B">
          <w:rPr>
            <w:rStyle w:val="Hyperlink"/>
            <w:rFonts w:cs="Arial"/>
            <w:szCs w:val="24"/>
            <w:lang w:val="en-US" w:eastAsia="fr-FR"/>
          </w:rPr>
          <w:t>Sector Members</w:t>
        </w:r>
      </w:hyperlink>
      <w:r w:rsidRPr="0076607B">
        <w:rPr>
          <w:rFonts w:cs="Calibri"/>
          <w:bCs/>
          <w:lang w:val="en-US"/>
        </w:rPr>
        <w:t xml:space="preserve"> </w:t>
      </w:r>
      <w:r w:rsidR="00DC72A3">
        <w:rPr>
          <w:rFonts w:cs="Calibri"/>
          <w:bCs/>
          <w:lang w:val="en-US"/>
        </w:rPr>
        <w:t xml:space="preserve">, </w:t>
      </w:r>
      <w:hyperlink r:id="rId36" w:history="1">
        <w:r w:rsidR="00667DC9" w:rsidRPr="0076607B">
          <w:rPr>
            <w:rStyle w:val="Hyperlink"/>
            <w:rFonts w:cs="Arial"/>
            <w:szCs w:val="24"/>
            <w:lang w:val="en-US" w:eastAsia="fr-FR"/>
          </w:rPr>
          <w:t>Associates</w:t>
        </w:r>
      </w:hyperlink>
      <w:r w:rsidR="00DC72A3">
        <w:rPr>
          <w:rStyle w:val="Hyperlink"/>
          <w:rFonts w:cs="Arial"/>
          <w:szCs w:val="24"/>
          <w:lang w:val="en-US" w:eastAsia="fr-FR"/>
        </w:rPr>
        <w:t xml:space="preserve"> and Academia</w:t>
      </w:r>
      <w:r w:rsidRPr="0076607B">
        <w:rPr>
          <w:rFonts w:cs="Calibri"/>
          <w:bCs/>
          <w:lang w:val="en-US"/>
        </w:rPr>
        <w:t>. It has four regional offices, eight</w:t>
      </w:r>
      <w:r w:rsidRPr="001C2A98">
        <w:rPr>
          <w:rFonts w:cs="Calibri"/>
          <w:bCs/>
          <w:lang w:val="en-US"/>
        </w:rPr>
        <w:t xml:space="preserve"> area offices</w:t>
      </w:r>
      <w:r w:rsidR="00395210">
        <w:rPr>
          <w:rFonts w:cs="Calibri"/>
          <w:bCs/>
          <w:lang w:val="en-US"/>
        </w:rPr>
        <w:t>, a United Nations liaison office in New York</w:t>
      </w:r>
      <w:r w:rsidRPr="001C2A98">
        <w:rPr>
          <w:rFonts w:cs="Calibri"/>
          <w:bCs/>
          <w:lang w:val="en-US"/>
        </w:rPr>
        <w:t xml:space="preserve"> and a coordination unit at headquarters for Europe.</w:t>
      </w:r>
    </w:p>
    <w:p w:rsidR="0022373A" w:rsidRPr="001C2A98" w:rsidRDefault="0022373A" w:rsidP="005C41A5">
      <w:pPr>
        <w:jc w:val="both"/>
        <w:rPr>
          <w:lang w:val="en-US"/>
        </w:rPr>
      </w:pPr>
      <w:r w:rsidRPr="001C2A98">
        <w:rPr>
          <w:lang w:val="en-US"/>
        </w:rPr>
        <w:t xml:space="preserve">The purposes of the Union are: </w:t>
      </w:r>
    </w:p>
    <w:p w:rsidR="0022373A" w:rsidRPr="001C2A98" w:rsidRDefault="0022373A" w:rsidP="00035CC0">
      <w:pPr>
        <w:pStyle w:val="enumlev1"/>
        <w:jc w:val="both"/>
        <w:rPr>
          <w:b/>
          <w:lang w:val="en-US"/>
        </w:rPr>
      </w:pPr>
      <w:r w:rsidRPr="001C2A98">
        <w:rPr>
          <w:lang w:val="en-US"/>
        </w:rPr>
        <w:t>–</w:t>
      </w:r>
      <w:r w:rsidRPr="001C2A98">
        <w:rPr>
          <w:lang w:val="en-US"/>
        </w:rPr>
        <w:tab/>
      </w:r>
      <w:proofErr w:type="gramStart"/>
      <w:r w:rsidRPr="001C2A98">
        <w:rPr>
          <w:lang w:val="en-US"/>
        </w:rPr>
        <w:t>to</w:t>
      </w:r>
      <w:proofErr w:type="gramEnd"/>
      <w:r w:rsidRPr="001C2A98">
        <w:rPr>
          <w:lang w:val="en-US"/>
        </w:rPr>
        <w:t xml:space="preserve"> maintain and extend international cooperation among all its Member States for the improvement and rational use of telecom</w:t>
      </w:r>
      <w:r w:rsidRPr="001C2A98">
        <w:rPr>
          <w:lang w:val="en-US"/>
        </w:rPr>
        <w:softHyphen/>
        <w:t>munications of all kinds;</w:t>
      </w:r>
    </w:p>
    <w:p w:rsidR="0022373A" w:rsidRPr="001C2A98" w:rsidRDefault="0022373A" w:rsidP="00035CC0">
      <w:pPr>
        <w:pStyle w:val="enumlev1"/>
        <w:jc w:val="both"/>
        <w:rPr>
          <w:b/>
          <w:lang w:val="en-US"/>
        </w:rPr>
      </w:pPr>
      <w:r w:rsidRPr="001C2A98">
        <w:rPr>
          <w:lang w:val="en-US"/>
        </w:rPr>
        <w:t>–</w:t>
      </w:r>
      <w:r w:rsidRPr="001C2A98">
        <w:rPr>
          <w:lang w:val="en-US"/>
        </w:rPr>
        <w:tab/>
        <w:t>to promote the development of technical facilities and their most efficient operation with a view to improving the efficiency of telecommunication services, increasing their usefulness and making them, so far as possible, generally available to the public;</w:t>
      </w:r>
    </w:p>
    <w:p w:rsidR="0022373A" w:rsidRPr="001C2A98" w:rsidRDefault="0022373A" w:rsidP="00035CC0">
      <w:pPr>
        <w:pStyle w:val="enumlev1"/>
        <w:jc w:val="both"/>
        <w:rPr>
          <w:b/>
          <w:lang w:val="en-US"/>
        </w:rPr>
      </w:pPr>
      <w:r w:rsidRPr="001C2A98">
        <w:rPr>
          <w:lang w:val="en-US"/>
        </w:rPr>
        <w:t>–</w:t>
      </w:r>
      <w:r w:rsidRPr="001C2A98">
        <w:rPr>
          <w:lang w:val="en-US"/>
        </w:rPr>
        <w:tab/>
      </w:r>
      <w:proofErr w:type="gramStart"/>
      <w:r w:rsidRPr="001C2A98">
        <w:rPr>
          <w:lang w:val="en-US"/>
        </w:rPr>
        <w:t>to</w:t>
      </w:r>
      <w:proofErr w:type="gramEnd"/>
      <w:r w:rsidRPr="001C2A98">
        <w:rPr>
          <w:lang w:val="en-US"/>
        </w:rPr>
        <w:t xml:space="preserve"> promote the extension of the benefits of the new telecommunication technologies to all the world</w:t>
      </w:r>
      <w:r w:rsidR="007A552E">
        <w:rPr>
          <w:lang w:val="en-US"/>
        </w:rPr>
        <w:t>’</w:t>
      </w:r>
      <w:r w:rsidRPr="001C2A98">
        <w:rPr>
          <w:lang w:val="en-US"/>
        </w:rPr>
        <w:t>s inhabitants;</w:t>
      </w:r>
    </w:p>
    <w:p w:rsidR="0022373A" w:rsidRPr="001C2A98" w:rsidRDefault="0022373A" w:rsidP="005C41A5">
      <w:pPr>
        <w:pStyle w:val="enumlev1"/>
        <w:jc w:val="both"/>
        <w:rPr>
          <w:b/>
          <w:lang w:val="en-US"/>
        </w:rPr>
      </w:pPr>
      <w:r w:rsidRPr="001C2A98">
        <w:rPr>
          <w:lang w:val="en-US"/>
        </w:rPr>
        <w:t>–</w:t>
      </w:r>
      <w:r w:rsidRPr="001C2A98">
        <w:rPr>
          <w:lang w:val="en-US"/>
        </w:rPr>
        <w:tab/>
      </w:r>
      <w:proofErr w:type="gramStart"/>
      <w:r w:rsidRPr="001C2A98">
        <w:rPr>
          <w:lang w:val="en-US"/>
        </w:rPr>
        <w:t>to</w:t>
      </w:r>
      <w:proofErr w:type="gramEnd"/>
      <w:r w:rsidRPr="001C2A98">
        <w:rPr>
          <w:lang w:val="en-US"/>
        </w:rPr>
        <w:t xml:space="preserve"> promote the use of telecommunication services with the objective of facilitating peaceful relations;</w:t>
      </w:r>
    </w:p>
    <w:p w:rsidR="0022373A" w:rsidRPr="001C2A98" w:rsidRDefault="0022373A" w:rsidP="001F0C93">
      <w:pPr>
        <w:pStyle w:val="enumlev1"/>
        <w:jc w:val="both"/>
        <w:rPr>
          <w:b/>
          <w:lang w:val="en-US"/>
        </w:rPr>
      </w:pPr>
      <w:r w:rsidRPr="001C2A98">
        <w:rPr>
          <w:lang w:val="en-US"/>
        </w:rPr>
        <w:t>–</w:t>
      </w:r>
      <w:r w:rsidRPr="001C2A98">
        <w:rPr>
          <w:lang w:val="en-US"/>
        </w:rPr>
        <w:tab/>
      </w:r>
      <w:proofErr w:type="gramStart"/>
      <w:r w:rsidRPr="001C2A98">
        <w:rPr>
          <w:lang w:val="en-US"/>
        </w:rPr>
        <w:t>to</w:t>
      </w:r>
      <w:proofErr w:type="gramEnd"/>
      <w:r w:rsidRPr="001C2A98">
        <w:rPr>
          <w:lang w:val="en-US"/>
        </w:rPr>
        <w:t xml:space="preserve"> harmonize the actions of Member States and promote fruitful and constructive cooperation and partnership between Member States and Sector Members in the attainment of those ends;</w:t>
      </w:r>
    </w:p>
    <w:p w:rsidR="0022373A" w:rsidRPr="001C2A98" w:rsidRDefault="0022373A" w:rsidP="005C41A5">
      <w:pPr>
        <w:pStyle w:val="enumlev1"/>
        <w:jc w:val="both"/>
        <w:rPr>
          <w:b/>
          <w:lang w:val="en-US"/>
        </w:rPr>
      </w:pPr>
      <w:r w:rsidRPr="001C2A98">
        <w:rPr>
          <w:lang w:val="en-US"/>
        </w:rPr>
        <w:t>–</w:t>
      </w:r>
      <w:r w:rsidRPr="001C2A98">
        <w:rPr>
          <w:lang w:val="en-US"/>
        </w:rPr>
        <w:tab/>
        <w:t>to promote, at the international level, the adoption of a broader approach to the issues of telecommunications in the global information economy and society, by cooperating with other world and regional intergovernmental organizations and those non</w:t>
      </w:r>
      <w:r w:rsidRPr="001C2A98">
        <w:rPr>
          <w:lang w:val="en-US"/>
        </w:rPr>
        <w:noBreakHyphen/>
        <w:t>governmental organizations concerned with telecommunications.</w:t>
      </w:r>
    </w:p>
    <w:p w:rsidR="0022373A" w:rsidRPr="001C2A98" w:rsidRDefault="0022373A">
      <w:pPr>
        <w:spacing w:after="120"/>
        <w:jc w:val="both"/>
        <w:rPr>
          <w:lang w:val="en-US"/>
        </w:rPr>
      </w:pPr>
      <w:r w:rsidRPr="001C2A98">
        <w:rPr>
          <w:lang w:val="en-US"/>
        </w:rPr>
        <w:t xml:space="preserve">To this end, the Union shall in particular: </w:t>
      </w:r>
    </w:p>
    <w:p w:rsidR="0022373A" w:rsidRPr="001C2A98" w:rsidRDefault="0022373A" w:rsidP="005C41A5">
      <w:pPr>
        <w:pStyle w:val="enumlev1"/>
        <w:jc w:val="both"/>
        <w:rPr>
          <w:b/>
          <w:lang w:val="en-US"/>
        </w:rPr>
      </w:pPr>
      <w:r w:rsidRPr="001C2A98">
        <w:rPr>
          <w:lang w:val="en-US"/>
        </w:rPr>
        <w:t>–</w:t>
      </w:r>
      <w:r w:rsidRPr="001C2A98">
        <w:rPr>
          <w:lang w:val="en-US"/>
        </w:rPr>
        <w:tab/>
        <w:t>effect allocation of bands of the radio-frequency spectrum, the allotment of radio frequencies and the registration of radio-frequency assignments and, for space services, of any associated orbital position in the geostationary-satellite orbit or of any associated characteristics of satellites in other orbits, in order to avoid harmful interference between radio stations of different countries</w:t>
      </w:r>
      <w:r w:rsidRPr="001C2A98">
        <w:rPr>
          <w:spacing w:val="-2"/>
          <w:lang w:val="en-US"/>
        </w:rPr>
        <w:t>;</w:t>
      </w:r>
    </w:p>
    <w:p w:rsidR="009618C6" w:rsidRDefault="0022373A" w:rsidP="005C41A5">
      <w:pPr>
        <w:pStyle w:val="enumlev1"/>
        <w:jc w:val="both"/>
        <w:rPr>
          <w:lang w:val="en-US"/>
        </w:rPr>
      </w:pPr>
      <w:r w:rsidRPr="001C2A98">
        <w:rPr>
          <w:lang w:val="en-US"/>
        </w:rPr>
        <w:t>–</w:t>
      </w:r>
      <w:r w:rsidRPr="001C2A98">
        <w:rPr>
          <w:lang w:val="en-US"/>
        </w:rPr>
        <w:tab/>
        <w:t xml:space="preserve">coordinate efforts to eliminate harmful interference between radio stations of different countries and to improve the use made of the radio-frequency spectrum for </w:t>
      </w:r>
      <w:proofErr w:type="spellStart"/>
      <w:r w:rsidRPr="001C2A98">
        <w:rPr>
          <w:lang w:val="en-US"/>
        </w:rPr>
        <w:t>radiocommunication</w:t>
      </w:r>
      <w:proofErr w:type="spellEnd"/>
      <w:r w:rsidRPr="001C2A98">
        <w:rPr>
          <w:lang w:val="en-US"/>
        </w:rPr>
        <w:t xml:space="preserve"> services and of the geostationary-satellite and other satellite orbits;</w:t>
      </w:r>
    </w:p>
    <w:p w:rsidR="0022373A" w:rsidRPr="001C2A98" w:rsidRDefault="0022373A" w:rsidP="005C41A5">
      <w:pPr>
        <w:pStyle w:val="enumlev1"/>
        <w:jc w:val="both"/>
        <w:rPr>
          <w:b/>
          <w:lang w:val="en-US"/>
        </w:rPr>
      </w:pPr>
      <w:r w:rsidRPr="001C2A98">
        <w:rPr>
          <w:lang w:val="en-US"/>
        </w:rPr>
        <w:t>–</w:t>
      </w:r>
      <w:r w:rsidRPr="001C2A98">
        <w:rPr>
          <w:lang w:val="en-US"/>
        </w:rPr>
        <w:tab/>
        <w:t>facilitate the worldwide standardization of telecommunications, with a satisfactory quality of service;</w:t>
      </w:r>
    </w:p>
    <w:p w:rsidR="0022373A" w:rsidRPr="001C2A98" w:rsidRDefault="0022373A" w:rsidP="00C401DA">
      <w:pPr>
        <w:pStyle w:val="enumlev1"/>
        <w:jc w:val="both"/>
        <w:rPr>
          <w:b/>
          <w:lang w:val="en-US"/>
        </w:rPr>
      </w:pPr>
      <w:r w:rsidRPr="001C2A98">
        <w:rPr>
          <w:lang w:val="en-US"/>
        </w:rPr>
        <w:t>–</w:t>
      </w:r>
      <w:r w:rsidRPr="001C2A98">
        <w:rPr>
          <w:lang w:val="en-US"/>
        </w:rPr>
        <w:tab/>
        <w:t>foster international cooperation and solidarity in the delivery of technical assistance to the developing countries and the creation, development and improvement of telecommunication equipment and networks in developing countries by every means at its dis</w:t>
      </w:r>
      <w:r w:rsidRPr="001C2A98">
        <w:rPr>
          <w:lang w:val="en-US"/>
        </w:rPr>
        <w:softHyphen/>
        <w:t>posal, including</w:t>
      </w:r>
      <w:r w:rsidR="00C401DA">
        <w:rPr>
          <w:lang w:val="en-US"/>
        </w:rPr>
        <w:t xml:space="preserve"> </w:t>
      </w:r>
      <w:r w:rsidRPr="001C2A98">
        <w:rPr>
          <w:lang w:val="en-US"/>
        </w:rPr>
        <w:t xml:space="preserve">through its participation in the relevant </w:t>
      </w:r>
      <w:proofErr w:type="spellStart"/>
      <w:r w:rsidRPr="001C2A98">
        <w:rPr>
          <w:lang w:val="en-US"/>
        </w:rPr>
        <w:t>programmes</w:t>
      </w:r>
      <w:proofErr w:type="spellEnd"/>
      <w:r w:rsidRPr="001C2A98">
        <w:rPr>
          <w:lang w:val="en-US"/>
        </w:rPr>
        <w:t xml:space="preserve"> of the United Nations and the use of its own resources, as appropriate;</w:t>
      </w:r>
    </w:p>
    <w:p w:rsidR="0022373A" w:rsidRPr="001C2A98" w:rsidRDefault="0022373A" w:rsidP="005C41A5">
      <w:pPr>
        <w:pStyle w:val="enumlev1"/>
        <w:jc w:val="both"/>
        <w:rPr>
          <w:b/>
          <w:lang w:val="en-US"/>
        </w:rPr>
      </w:pPr>
      <w:r w:rsidRPr="001C2A98">
        <w:rPr>
          <w:lang w:val="en-US"/>
        </w:rPr>
        <w:t>–</w:t>
      </w:r>
      <w:r w:rsidRPr="001C2A98">
        <w:rPr>
          <w:lang w:val="en-US"/>
        </w:rPr>
        <w:tab/>
        <w:t>coordinate efforts to harmonize the development of telecom</w:t>
      </w:r>
      <w:r w:rsidRPr="001C2A98">
        <w:rPr>
          <w:lang w:val="en-US"/>
        </w:rPr>
        <w:softHyphen/>
        <w:t xml:space="preserve">munication facilities, notably those using space techniques, with a view to full advantage being taken of their possibilities; </w:t>
      </w:r>
    </w:p>
    <w:p w:rsidR="0022373A" w:rsidRPr="001C2A98" w:rsidRDefault="0022373A" w:rsidP="005C41A5">
      <w:pPr>
        <w:pStyle w:val="enumlev1"/>
        <w:jc w:val="both"/>
        <w:rPr>
          <w:b/>
          <w:lang w:val="en-US"/>
        </w:rPr>
      </w:pPr>
      <w:r w:rsidRPr="001C2A98">
        <w:rPr>
          <w:lang w:val="en-US"/>
        </w:rPr>
        <w:t>–</w:t>
      </w:r>
      <w:r w:rsidRPr="001C2A98">
        <w:rPr>
          <w:lang w:val="en-US"/>
        </w:rPr>
        <w:tab/>
        <w:t xml:space="preserve">foster collaboration among Member States and Sector Members with a view to the establishment of rates at levels as low as possible consistent with an efficient service and taking into account the necessity for maintaining independent financial administration of telecommunications on a sound basis; </w:t>
      </w:r>
    </w:p>
    <w:p w:rsidR="0022373A" w:rsidRPr="001C2A98" w:rsidRDefault="0022373A" w:rsidP="005C41A5">
      <w:pPr>
        <w:pStyle w:val="enumlev1"/>
        <w:jc w:val="both"/>
        <w:rPr>
          <w:b/>
          <w:lang w:val="en-US"/>
        </w:rPr>
      </w:pPr>
      <w:r w:rsidRPr="001C2A98">
        <w:rPr>
          <w:lang w:val="en-US"/>
        </w:rPr>
        <w:t>–</w:t>
      </w:r>
      <w:r w:rsidRPr="001C2A98">
        <w:rPr>
          <w:lang w:val="en-US"/>
        </w:rPr>
        <w:tab/>
        <w:t>promote the adoption of measures for ensuring the safety of life through the cooperation of telecommunication services;</w:t>
      </w:r>
    </w:p>
    <w:p w:rsidR="0022373A" w:rsidRPr="001C2A98" w:rsidRDefault="0022373A" w:rsidP="005C41A5">
      <w:pPr>
        <w:pStyle w:val="enumlev1"/>
        <w:jc w:val="both"/>
        <w:rPr>
          <w:b/>
          <w:lang w:val="en-US"/>
        </w:rPr>
      </w:pPr>
      <w:r w:rsidRPr="001C2A98">
        <w:rPr>
          <w:lang w:val="en-US"/>
        </w:rPr>
        <w:t>–</w:t>
      </w:r>
      <w:r w:rsidRPr="001C2A98">
        <w:rPr>
          <w:lang w:val="en-US"/>
        </w:rPr>
        <w:tab/>
        <w:t>undertake studies, make regulations, adopt resolutions, formulate recommendations and opinions, and collect and publish informa</w:t>
      </w:r>
      <w:r w:rsidRPr="001C2A98">
        <w:rPr>
          <w:lang w:val="en-US"/>
        </w:rPr>
        <w:softHyphen/>
        <w:t>tion concerning telecommunication matters;</w:t>
      </w:r>
    </w:p>
    <w:p w:rsidR="0022373A" w:rsidRPr="001C2A98" w:rsidRDefault="0022373A" w:rsidP="005C41A5">
      <w:pPr>
        <w:pStyle w:val="enumlev1"/>
        <w:jc w:val="both"/>
        <w:rPr>
          <w:b/>
          <w:lang w:val="en-US"/>
        </w:rPr>
      </w:pPr>
      <w:r w:rsidRPr="001C2A98">
        <w:rPr>
          <w:lang w:val="en-US"/>
        </w:rPr>
        <w:t>–</w:t>
      </w:r>
      <w:r w:rsidRPr="001C2A98">
        <w:rPr>
          <w:lang w:val="en-US"/>
        </w:rPr>
        <w:tab/>
        <w:t xml:space="preserve">promote, with international financial and development organizations, the establishment of preferential and </w:t>
      </w:r>
      <w:r w:rsidR="003D3F53" w:rsidRPr="001C2A98">
        <w:rPr>
          <w:lang w:val="en-US"/>
        </w:rPr>
        <w:t>favorable</w:t>
      </w:r>
      <w:r w:rsidRPr="001C2A98">
        <w:rPr>
          <w:lang w:val="en-US"/>
        </w:rPr>
        <w:t xml:space="preserve"> lines of credit to be used for the development of social projects aimed, </w:t>
      </w:r>
      <w:r w:rsidRPr="001C2A98">
        <w:rPr>
          <w:i/>
          <w:iCs/>
          <w:lang w:val="en-US"/>
        </w:rPr>
        <w:t>inter alia</w:t>
      </w:r>
      <w:r w:rsidRPr="001C2A98">
        <w:rPr>
          <w:lang w:val="en-US"/>
        </w:rPr>
        <w:t>, at extending telecommunication services to the most isolated areas in countries;</w:t>
      </w:r>
    </w:p>
    <w:p w:rsidR="0022373A" w:rsidRPr="001C2A98" w:rsidRDefault="0022373A" w:rsidP="005C41A5">
      <w:pPr>
        <w:pStyle w:val="enumlev1"/>
        <w:jc w:val="both"/>
        <w:rPr>
          <w:b/>
          <w:lang w:val="en-US"/>
        </w:rPr>
      </w:pPr>
      <w:r w:rsidRPr="001C2A98">
        <w:rPr>
          <w:lang w:val="en-US"/>
        </w:rPr>
        <w:t>–</w:t>
      </w:r>
      <w:r w:rsidRPr="001C2A98">
        <w:rPr>
          <w:lang w:val="en-US"/>
        </w:rPr>
        <w:tab/>
        <w:t xml:space="preserve">promote participation of concerned entities in the activities of the Union and cooperation with regional and other organizations for the </w:t>
      </w:r>
      <w:r w:rsidR="003D3F53" w:rsidRPr="001C2A98">
        <w:rPr>
          <w:lang w:val="en-US"/>
        </w:rPr>
        <w:t>fulfillment</w:t>
      </w:r>
      <w:r w:rsidRPr="001C2A98">
        <w:rPr>
          <w:lang w:val="en-US"/>
        </w:rPr>
        <w:t xml:space="preserve"> of the purposes of the Union.</w:t>
      </w:r>
    </w:p>
    <w:p w:rsidR="0022373A" w:rsidRPr="001C2A98" w:rsidRDefault="0022373A" w:rsidP="005C41A5">
      <w:pPr>
        <w:jc w:val="both"/>
        <w:rPr>
          <w:lang w:val="en-US"/>
        </w:rPr>
      </w:pPr>
      <w:r w:rsidRPr="001C2A98">
        <w:rPr>
          <w:lang w:val="en-US"/>
        </w:rPr>
        <w:t>The Plenipotentiary Conference is ITU</w:t>
      </w:r>
      <w:r w:rsidR="007A552E">
        <w:rPr>
          <w:lang w:val="en-US"/>
        </w:rPr>
        <w:t>’</w:t>
      </w:r>
      <w:r w:rsidRPr="001C2A98">
        <w:rPr>
          <w:lang w:val="en-US"/>
        </w:rPr>
        <w:t xml:space="preserve">s supreme organ. </w:t>
      </w:r>
      <w:r w:rsidRPr="001C2A98">
        <w:rPr>
          <w:bCs/>
          <w:lang w:val="en-US"/>
        </w:rPr>
        <w:t>Convened every four years, the conference</w:t>
      </w:r>
      <w:r w:rsidRPr="001C2A98">
        <w:rPr>
          <w:lang w:val="en-US"/>
        </w:rPr>
        <w:t>:</w:t>
      </w:r>
    </w:p>
    <w:p w:rsidR="0022373A" w:rsidRPr="001C2A98" w:rsidRDefault="0022373A" w:rsidP="005C41A5">
      <w:pPr>
        <w:pStyle w:val="enumlev1"/>
        <w:jc w:val="both"/>
        <w:rPr>
          <w:b/>
          <w:lang w:val="en-US"/>
        </w:rPr>
      </w:pPr>
      <w:r w:rsidRPr="001C2A98">
        <w:rPr>
          <w:lang w:val="en-US"/>
        </w:rPr>
        <w:t>•</w:t>
      </w:r>
      <w:r w:rsidRPr="001C2A98">
        <w:rPr>
          <w:lang w:val="en-US"/>
        </w:rPr>
        <w:tab/>
        <w:t>determines the Union</w:t>
      </w:r>
      <w:r w:rsidR="007A552E">
        <w:rPr>
          <w:lang w:val="en-US"/>
        </w:rPr>
        <w:t>’</w:t>
      </w:r>
      <w:r w:rsidRPr="001C2A98">
        <w:rPr>
          <w:lang w:val="en-US"/>
        </w:rPr>
        <w:t>s general policies;</w:t>
      </w:r>
    </w:p>
    <w:p w:rsidR="0022373A" w:rsidRPr="001C2A98" w:rsidRDefault="0022373A" w:rsidP="005C41A5">
      <w:pPr>
        <w:pStyle w:val="enumlev1"/>
        <w:jc w:val="both"/>
        <w:rPr>
          <w:b/>
          <w:lang w:val="en-US"/>
        </w:rPr>
      </w:pPr>
      <w:r w:rsidRPr="001C2A98">
        <w:rPr>
          <w:lang w:val="en-US"/>
        </w:rPr>
        <w:t>•</w:t>
      </w:r>
      <w:r w:rsidRPr="001C2A98">
        <w:rPr>
          <w:lang w:val="en-US"/>
        </w:rPr>
        <w:tab/>
        <w:t>adopts four-year strategic and financial plans;</w:t>
      </w:r>
    </w:p>
    <w:p w:rsidR="0022373A" w:rsidRPr="001C2A98" w:rsidRDefault="0022373A" w:rsidP="005C41A5">
      <w:pPr>
        <w:pStyle w:val="enumlev1"/>
        <w:jc w:val="both"/>
        <w:rPr>
          <w:b/>
          <w:lang w:val="en-US"/>
        </w:rPr>
      </w:pPr>
      <w:r w:rsidRPr="001C2A98">
        <w:rPr>
          <w:lang w:val="en-US"/>
        </w:rPr>
        <w:t>•</w:t>
      </w:r>
      <w:r w:rsidRPr="001C2A98">
        <w:rPr>
          <w:lang w:val="en-US"/>
        </w:rPr>
        <w:tab/>
        <w:t xml:space="preserve">elects the senior management team of the organization, Member States of the </w:t>
      </w:r>
      <w:hyperlink r:id="rId37" w:history="1">
        <w:r w:rsidR="00667DC9">
          <w:rPr>
            <w:rStyle w:val="Hyperlink"/>
            <w:lang w:val="en-US"/>
          </w:rPr>
          <w:t>Council</w:t>
        </w:r>
      </w:hyperlink>
      <w:r w:rsidR="00667DC9" w:rsidRPr="00667DC9">
        <w:rPr>
          <w:lang w:val="en-US"/>
        </w:rPr>
        <w:t xml:space="preserve"> </w:t>
      </w:r>
      <w:r w:rsidRPr="001C2A98">
        <w:rPr>
          <w:lang w:val="en-US"/>
        </w:rPr>
        <w:t xml:space="preserve">and members of the </w:t>
      </w:r>
      <w:hyperlink r:id="rId38" w:history="1">
        <w:r w:rsidR="00667DC9">
          <w:rPr>
            <w:rStyle w:val="Hyperlink"/>
            <w:lang w:val="en-US"/>
          </w:rPr>
          <w:t>Radio Regulations Board</w:t>
        </w:r>
      </w:hyperlink>
      <w:r w:rsidRPr="001C2A98">
        <w:rPr>
          <w:lang w:val="en-US"/>
        </w:rPr>
        <w:t>.</w:t>
      </w:r>
    </w:p>
    <w:p w:rsidR="0022373A" w:rsidRPr="001C2A98" w:rsidRDefault="0022373A" w:rsidP="005C41A5">
      <w:pPr>
        <w:jc w:val="both"/>
        <w:rPr>
          <w:b/>
          <w:lang w:val="en-US"/>
        </w:rPr>
      </w:pPr>
      <w:r w:rsidRPr="001C2A98">
        <w:rPr>
          <w:lang w:val="en-US"/>
        </w:rPr>
        <w:t>The Plenipotentiary Conference is the key event at which ITU Member States decide on the future role of the organization, thereby determining the organization</w:t>
      </w:r>
      <w:r w:rsidR="007A552E">
        <w:rPr>
          <w:lang w:val="en-US"/>
        </w:rPr>
        <w:t>’</w:t>
      </w:r>
      <w:r w:rsidRPr="001C2A98">
        <w:rPr>
          <w:lang w:val="en-US"/>
        </w:rPr>
        <w:t>s ability to influence and affect the development of ICTs worldwide.</w:t>
      </w:r>
    </w:p>
    <w:p w:rsidR="009618C6" w:rsidRDefault="0022373A" w:rsidP="005C41A5">
      <w:pPr>
        <w:jc w:val="both"/>
        <w:rPr>
          <w:lang w:val="en-US"/>
        </w:rPr>
      </w:pPr>
      <w:r w:rsidRPr="001C2A98">
        <w:rPr>
          <w:lang w:val="en-US"/>
        </w:rPr>
        <w:t>Sector Members, regional telecommunication organizations and intergovernmental organizations, as well as the United Nations and its specialized agencies, likewise participate in the conference as observers.</w:t>
      </w:r>
    </w:p>
    <w:p w:rsidR="0022373A" w:rsidRPr="001C2A98" w:rsidRDefault="00F34118" w:rsidP="00451977">
      <w:pPr>
        <w:pStyle w:val="Heading5"/>
        <w:jc w:val="both"/>
        <w:rPr>
          <w:lang w:val="en-US"/>
        </w:rPr>
      </w:pPr>
      <w:bookmarkStart w:id="34" w:name="_Toc305764063"/>
      <w:bookmarkStart w:id="35" w:name="_Toc329011611"/>
      <w:r>
        <w:rPr>
          <w:lang w:val="en-US"/>
        </w:rPr>
        <w:t xml:space="preserve">Note </w:t>
      </w:r>
      <w:r w:rsidR="00451977">
        <w:rPr>
          <w:lang w:val="en-US"/>
        </w:rPr>
        <w:t>2</w:t>
      </w:r>
      <w:r w:rsidR="0022373A" w:rsidRPr="001C2A98">
        <w:rPr>
          <w:lang w:val="en-US"/>
        </w:rPr>
        <w:tab/>
        <w:t>Main accounting principles</w:t>
      </w:r>
      <w:bookmarkEnd w:id="34"/>
      <w:bookmarkEnd w:id="35"/>
    </w:p>
    <w:p w:rsidR="0022373A" w:rsidRPr="00F46632" w:rsidRDefault="0022373A" w:rsidP="005C41A5">
      <w:pPr>
        <w:pStyle w:val="Heading5"/>
        <w:jc w:val="both"/>
        <w:rPr>
          <w:u w:val="single"/>
          <w:lang w:val="en-US"/>
        </w:rPr>
      </w:pPr>
      <w:bookmarkStart w:id="36" w:name="_Toc305764064"/>
      <w:bookmarkStart w:id="37" w:name="_Toc329011612"/>
      <w:r w:rsidRPr="00F46632">
        <w:rPr>
          <w:u w:val="single"/>
          <w:lang w:val="en-US"/>
        </w:rPr>
        <w:t>Foreign currencies</w:t>
      </w:r>
      <w:bookmarkEnd w:id="36"/>
      <w:bookmarkEnd w:id="37"/>
    </w:p>
    <w:p w:rsidR="0022373A" w:rsidRPr="001C2A98" w:rsidRDefault="0022373A" w:rsidP="005C41A5">
      <w:pPr>
        <w:jc w:val="both"/>
        <w:rPr>
          <w:lang w:val="en-US"/>
        </w:rPr>
      </w:pPr>
      <w:r w:rsidRPr="001C2A98">
        <w:rPr>
          <w:lang w:val="en-US"/>
        </w:rPr>
        <w:t>The Swiss franc (CHF) is ITU</w:t>
      </w:r>
      <w:r w:rsidR="007A552E">
        <w:rPr>
          <w:lang w:val="en-US"/>
        </w:rPr>
        <w:t>’</w:t>
      </w:r>
      <w:r w:rsidRPr="001C2A98">
        <w:rPr>
          <w:lang w:val="en-US"/>
        </w:rPr>
        <w:t>s functional currency and the one used in the presentation of the financial statements.</w:t>
      </w:r>
    </w:p>
    <w:p w:rsidR="00AF3040" w:rsidRDefault="0022373A" w:rsidP="005C41A5">
      <w:pPr>
        <w:jc w:val="both"/>
        <w:rPr>
          <w:lang w:val="en-US"/>
        </w:rPr>
      </w:pPr>
      <w:r w:rsidRPr="001C2A98">
        <w:rPr>
          <w:lang w:val="en-US"/>
        </w:rPr>
        <w:t>Transactions in currencies other than the Swiss franc are converted into Swiss francs at the United Nations operational rate of exchange (UNORE) at the date of the transaction. Monetary assets and</w:t>
      </w:r>
      <w:r w:rsidR="00AF3040">
        <w:rPr>
          <w:lang w:val="en-US"/>
        </w:rPr>
        <w:t xml:space="preserve"> </w:t>
      </w:r>
      <w:r w:rsidRPr="001C2A98">
        <w:rPr>
          <w:lang w:val="en-US"/>
        </w:rPr>
        <w:t>commitments denominated in foreign currencies are converted into Swiss francs at the UNORE rate of exchange in force at the date of closure of the financial period. Exchange-rate losses and gains, realized or unrealized, resulting from the settlement of such transactions and from conversion of the assets and commitments denominated in foreign currencies at the date of closure are recorded in the statement of financial performance. ITU applies the UNORE communicated by the United Nations, as follows:</w:t>
      </w:r>
    </w:p>
    <w:p w:rsidR="0022373A" w:rsidRPr="001C2A98" w:rsidRDefault="0022373A" w:rsidP="00234E5C">
      <w:pPr>
        <w:tabs>
          <w:tab w:val="clear" w:pos="567"/>
          <w:tab w:val="clear" w:pos="1134"/>
          <w:tab w:val="clear" w:pos="1701"/>
          <w:tab w:val="clear" w:pos="2268"/>
          <w:tab w:val="clear" w:pos="2835"/>
        </w:tabs>
        <w:overflowPunct/>
        <w:autoSpaceDE/>
        <w:autoSpaceDN/>
        <w:adjustRightInd/>
        <w:spacing w:before="0"/>
        <w:textAlignment w:val="auto"/>
        <w:rPr>
          <w:lang w:val="en-US"/>
        </w:rPr>
      </w:pPr>
    </w:p>
    <w:p w:rsidR="005A7EFF" w:rsidRPr="005A7EFF" w:rsidRDefault="00B742B2" w:rsidP="0039523B">
      <w:pPr>
        <w:tabs>
          <w:tab w:val="clear" w:pos="567"/>
          <w:tab w:val="clear" w:pos="1134"/>
          <w:tab w:val="clear" w:pos="1701"/>
          <w:tab w:val="clear" w:pos="2268"/>
          <w:tab w:val="clear" w:pos="2835"/>
        </w:tabs>
        <w:overflowPunct/>
        <w:autoSpaceDE/>
        <w:autoSpaceDN/>
        <w:adjustRightInd/>
        <w:spacing w:before="0"/>
        <w:jc w:val="center"/>
        <w:textAlignment w:val="auto"/>
        <w:rPr>
          <w:lang w:val="en-US"/>
        </w:rPr>
      </w:pPr>
      <w:bookmarkStart w:id="38" w:name="_Toc305764065"/>
      <w:bookmarkStart w:id="39" w:name="_Toc329011613"/>
      <w:r w:rsidRPr="00B742B2">
        <w:rPr>
          <w:noProof/>
          <w:lang w:val="en-US" w:eastAsia="zh-CN"/>
        </w:rPr>
        <w:drawing>
          <wp:inline distT="0" distB="0" distL="0" distR="0" wp14:anchorId="1F5DB85D" wp14:editId="697683E0">
            <wp:extent cx="3364230" cy="3027680"/>
            <wp:effectExtent l="0" t="0" r="7620" b="127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364230" cy="3027680"/>
                    </a:xfrm>
                    <a:prstGeom prst="rect">
                      <a:avLst/>
                    </a:prstGeom>
                    <a:noFill/>
                    <a:ln>
                      <a:noFill/>
                    </a:ln>
                  </pic:spPr>
                </pic:pic>
              </a:graphicData>
            </a:graphic>
          </wp:inline>
        </w:drawing>
      </w:r>
    </w:p>
    <w:p w:rsidR="0039523B" w:rsidRDefault="0039523B" w:rsidP="00E914D7">
      <w:pPr>
        <w:tabs>
          <w:tab w:val="clear" w:pos="567"/>
          <w:tab w:val="clear" w:pos="1134"/>
          <w:tab w:val="clear" w:pos="1701"/>
          <w:tab w:val="clear" w:pos="2268"/>
          <w:tab w:val="clear" w:pos="2835"/>
        </w:tabs>
        <w:overflowPunct/>
        <w:autoSpaceDE/>
        <w:autoSpaceDN/>
        <w:adjustRightInd/>
        <w:spacing w:before="0"/>
        <w:textAlignment w:val="auto"/>
        <w:rPr>
          <w:b/>
          <w:bCs/>
          <w:u w:val="single"/>
          <w:lang w:val="en-US"/>
        </w:rPr>
      </w:pPr>
    </w:p>
    <w:p w:rsidR="00883297" w:rsidRDefault="00883297" w:rsidP="00E914D7">
      <w:pPr>
        <w:tabs>
          <w:tab w:val="clear" w:pos="567"/>
          <w:tab w:val="clear" w:pos="1134"/>
          <w:tab w:val="clear" w:pos="1701"/>
          <w:tab w:val="clear" w:pos="2268"/>
          <w:tab w:val="clear" w:pos="2835"/>
        </w:tabs>
        <w:overflowPunct/>
        <w:autoSpaceDE/>
        <w:autoSpaceDN/>
        <w:adjustRightInd/>
        <w:spacing w:before="0"/>
        <w:textAlignment w:val="auto"/>
        <w:rPr>
          <w:b/>
          <w:bCs/>
          <w:u w:val="single"/>
          <w:lang w:val="en-US"/>
        </w:rPr>
      </w:pPr>
      <w:r>
        <w:rPr>
          <w:b/>
          <w:bCs/>
          <w:u w:val="single"/>
          <w:lang w:val="en-US"/>
        </w:rPr>
        <w:t>Financial instruments</w:t>
      </w:r>
    </w:p>
    <w:p w:rsidR="0039523B" w:rsidRDefault="0039523B" w:rsidP="00E914D7">
      <w:pPr>
        <w:tabs>
          <w:tab w:val="clear" w:pos="567"/>
          <w:tab w:val="clear" w:pos="1134"/>
          <w:tab w:val="clear" w:pos="1701"/>
          <w:tab w:val="clear" w:pos="2268"/>
          <w:tab w:val="clear" w:pos="2835"/>
        </w:tabs>
        <w:overflowPunct/>
        <w:autoSpaceDE/>
        <w:autoSpaceDN/>
        <w:adjustRightInd/>
        <w:spacing w:before="0"/>
        <w:textAlignment w:val="auto"/>
        <w:rPr>
          <w:b/>
          <w:bCs/>
          <w:u w:val="single"/>
          <w:lang w:val="en-US"/>
        </w:rPr>
      </w:pPr>
    </w:p>
    <w:p w:rsidR="00883297" w:rsidRPr="00883297" w:rsidRDefault="00883297" w:rsidP="00E914D7">
      <w:pPr>
        <w:spacing w:before="0"/>
        <w:jc w:val="both"/>
        <w:rPr>
          <w:lang w:val="en-US"/>
        </w:rPr>
      </w:pPr>
      <w:r w:rsidRPr="00883297">
        <w:rPr>
          <w:lang w:val="en-US"/>
        </w:rPr>
        <w:t>ITU</w:t>
      </w:r>
      <w:r w:rsidR="007A552E">
        <w:rPr>
          <w:lang w:val="en-US"/>
        </w:rPr>
        <w:t>’</w:t>
      </w:r>
      <w:r w:rsidRPr="00883297">
        <w:rPr>
          <w:lang w:val="en-US"/>
        </w:rPr>
        <w:t>s financial instrument</w:t>
      </w:r>
      <w:r w:rsidR="003E3A58">
        <w:rPr>
          <w:lang w:val="en-US"/>
        </w:rPr>
        <w:t>s</w:t>
      </w:r>
      <w:r w:rsidRPr="00883297">
        <w:rPr>
          <w:lang w:val="en-US"/>
        </w:rPr>
        <w:t xml:space="preserve"> includ</w:t>
      </w:r>
      <w:r>
        <w:rPr>
          <w:lang w:val="en-US"/>
        </w:rPr>
        <w:t>e: cash and short term deposits,</w:t>
      </w:r>
      <w:r w:rsidRPr="00883297">
        <w:rPr>
          <w:lang w:val="en-US"/>
        </w:rPr>
        <w:t xml:space="preserve"> investments</w:t>
      </w:r>
      <w:r>
        <w:rPr>
          <w:lang w:val="en-US"/>
        </w:rPr>
        <w:t>, receivable from exchange and from non-exchange transactions, trade payable, bank overdrafts, loans and borrowings.</w:t>
      </w:r>
    </w:p>
    <w:p w:rsidR="00AE0548" w:rsidRPr="00883297" w:rsidRDefault="00AE0548" w:rsidP="00231C39">
      <w:pPr>
        <w:jc w:val="both"/>
        <w:rPr>
          <w:u w:val="single"/>
          <w:lang w:val="en-US"/>
        </w:rPr>
      </w:pPr>
      <w:r w:rsidRPr="00883297">
        <w:rPr>
          <w:u w:val="single"/>
          <w:lang w:val="en-US"/>
        </w:rPr>
        <w:t>Cash and cash equivalents</w:t>
      </w:r>
    </w:p>
    <w:p w:rsidR="00AE0548" w:rsidRDefault="00AE0548" w:rsidP="00231C39">
      <w:pPr>
        <w:jc w:val="both"/>
        <w:rPr>
          <w:lang w:val="en-US"/>
        </w:rPr>
      </w:pPr>
      <w:r w:rsidRPr="001C2A98">
        <w:rPr>
          <w:lang w:val="en-US"/>
        </w:rPr>
        <w:t xml:space="preserve">Cash and cash equivalents </w:t>
      </w:r>
      <w:r>
        <w:rPr>
          <w:lang w:val="en-US"/>
        </w:rPr>
        <w:t xml:space="preserve">are held at nominal value and </w:t>
      </w:r>
      <w:r w:rsidRPr="001C2A98">
        <w:rPr>
          <w:lang w:val="en-US"/>
        </w:rPr>
        <w:t>comprise cash on hand, postal accounts, bank accounts and deposit accounts with the Swiss Confederation</w:t>
      </w:r>
      <w:r w:rsidR="007A552E">
        <w:rPr>
          <w:lang w:val="en-US"/>
        </w:rPr>
        <w:t>’</w:t>
      </w:r>
      <w:r w:rsidRPr="001C2A98">
        <w:rPr>
          <w:lang w:val="en-US"/>
        </w:rPr>
        <w:t>s Federal Department of Finance.</w:t>
      </w:r>
    </w:p>
    <w:bookmarkEnd w:id="38"/>
    <w:bookmarkEnd w:id="39"/>
    <w:p w:rsidR="0022373A" w:rsidRPr="00883297" w:rsidRDefault="006B4A57" w:rsidP="005C41A5">
      <w:pPr>
        <w:pStyle w:val="Heading5"/>
        <w:jc w:val="both"/>
        <w:rPr>
          <w:b w:val="0"/>
          <w:bCs/>
          <w:u w:val="single"/>
          <w:lang w:val="en-US"/>
        </w:rPr>
      </w:pPr>
      <w:r w:rsidRPr="00883297">
        <w:rPr>
          <w:b w:val="0"/>
          <w:bCs/>
          <w:u w:val="single"/>
          <w:lang w:val="en-US"/>
        </w:rPr>
        <w:t>Investments</w:t>
      </w:r>
    </w:p>
    <w:p w:rsidR="00883297" w:rsidRPr="00AE0548" w:rsidRDefault="00883297" w:rsidP="005C41A5">
      <w:pPr>
        <w:jc w:val="both"/>
        <w:rPr>
          <w:lang w:val="en-US"/>
        </w:rPr>
      </w:pPr>
      <w:r w:rsidRPr="00883297">
        <w:rPr>
          <w:lang w:val="en-US"/>
        </w:rPr>
        <w:t>Fixed-term deposits with a term of three to nine months that are highly liquid, convertible into a known cash amount and subject to a negligible risk of change in value are designated as financial assets at fair value through surplus or deficit</w:t>
      </w:r>
      <w:r>
        <w:rPr>
          <w:lang w:val="en-US"/>
        </w:rPr>
        <w:t xml:space="preserve"> at initial recognition</w:t>
      </w:r>
      <w:r w:rsidRPr="00883297">
        <w:rPr>
          <w:lang w:val="en-US"/>
        </w:rPr>
        <w:t>. Investment revenue is recognized on a quarterly basis on the basis of actual return.</w:t>
      </w:r>
    </w:p>
    <w:p w:rsidR="002D54C6" w:rsidRPr="0065310A" w:rsidRDefault="006B4A57" w:rsidP="005C41A5">
      <w:pPr>
        <w:jc w:val="both"/>
        <w:rPr>
          <w:highlight w:val="yellow"/>
          <w:lang w:val="en-US"/>
        </w:rPr>
      </w:pPr>
      <w:r>
        <w:rPr>
          <w:lang w:val="en-US"/>
        </w:rPr>
        <w:t>Investments</w:t>
      </w:r>
      <w:r w:rsidR="0022373A" w:rsidRPr="00AE0548">
        <w:rPr>
          <w:lang w:val="en-US"/>
        </w:rPr>
        <w:t xml:space="preserve"> are </w:t>
      </w:r>
      <w:r w:rsidR="00AE0548" w:rsidRPr="00AE0548">
        <w:rPr>
          <w:lang w:val="en-US"/>
        </w:rPr>
        <w:t xml:space="preserve">initially recognized when ITU becomes a party to the contractual provisions of the instrument. </w:t>
      </w:r>
      <w:r>
        <w:rPr>
          <w:lang w:val="en-US"/>
        </w:rPr>
        <w:t>All purchase and sales of investments are recognized on the basis of their trade date. Investments</w:t>
      </w:r>
      <w:r w:rsidR="00AE0548" w:rsidRPr="00AE0548">
        <w:rPr>
          <w:lang w:val="en-US"/>
        </w:rPr>
        <w:t xml:space="preserve"> are </w:t>
      </w:r>
      <w:r w:rsidR="0022373A" w:rsidRPr="00AE0548">
        <w:rPr>
          <w:lang w:val="en-US"/>
        </w:rPr>
        <w:t>initially recognized at their fair value, taking into account any directly attributable tran</w:t>
      </w:r>
      <w:r>
        <w:rPr>
          <w:lang w:val="en-US"/>
        </w:rPr>
        <w:t>saction costs.</w:t>
      </w:r>
    </w:p>
    <w:p w:rsidR="0022373A" w:rsidRPr="00A91B6A" w:rsidRDefault="0022373A" w:rsidP="005C41A5">
      <w:pPr>
        <w:jc w:val="both"/>
      </w:pPr>
      <w:r w:rsidRPr="006B4A57">
        <w:t xml:space="preserve">Financial assets are </w:t>
      </w:r>
      <w:r w:rsidR="00A5229F" w:rsidRPr="006B4A57">
        <w:t>de</w:t>
      </w:r>
      <w:r w:rsidRPr="006B4A57">
        <w:t>recognized</w:t>
      </w:r>
      <w:r w:rsidR="00AE0548" w:rsidRPr="006B4A57">
        <w:t xml:space="preserve"> </w:t>
      </w:r>
      <w:r w:rsidRPr="006B4A57">
        <w:t xml:space="preserve">once ITU has transferred its rights to receive the cash flows from </w:t>
      </w:r>
      <w:r w:rsidRPr="00A91B6A">
        <w:t>the financial assets and the associated risks.</w:t>
      </w:r>
    </w:p>
    <w:p w:rsidR="00AE0548" w:rsidRPr="006B4A57" w:rsidRDefault="006B4A57" w:rsidP="003C0740">
      <w:pPr>
        <w:jc w:val="both"/>
        <w:rPr>
          <w:lang w:val="en-US"/>
        </w:rPr>
      </w:pPr>
      <w:r w:rsidRPr="00A91B6A">
        <w:rPr>
          <w:lang w:val="en-US"/>
        </w:rPr>
        <w:t>Investments</w:t>
      </w:r>
      <w:r w:rsidR="00AE0548" w:rsidRPr="00A91B6A">
        <w:rPr>
          <w:lang w:val="en-US"/>
        </w:rPr>
        <w:t xml:space="preserve"> are presented in the balance sheet as current or non-current assets and liabilities according to whether their due date is less than or more than one year away.</w:t>
      </w:r>
    </w:p>
    <w:p w:rsidR="006B4A57" w:rsidRDefault="006B4A57" w:rsidP="005C41A5">
      <w:pPr>
        <w:jc w:val="both"/>
        <w:rPr>
          <w:lang w:val="en-US"/>
        </w:rPr>
      </w:pPr>
      <w:proofErr w:type="gramStart"/>
      <w:r w:rsidRPr="00AE0548">
        <w:rPr>
          <w:lang w:val="en-US"/>
        </w:rPr>
        <w:t xml:space="preserve">The </w:t>
      </w:r>
      <w:proofErr w:type="spellStart"/>
      <w:r w:rsidRPr="00AE0548">
        <w:rPr>
          <w:lang w:val="en-US"/>
        </w:rPr>
        <w:t>derecognition</w:t>
      </w:r>
      <w:proofErr w:type="spellEnd"/>
      <w:proofErr w:type="gramEnd"/>
      <w:r w:rsidRPr="00AE0548">
        <w:rPr>
          <w:lang w:val="en-US"/>
        </w:rPr>
        <w:t xml:space="preserve"> of financial instruments occurs when ITU</w:t>
      </w:r>
      <w:r w:rsidR="007A552E">
        <w:rPr>
          <w:lang w:val="en-US"/>
        </w:rPr>
        <w:t>’</w:t>
      </w:r>
      <w:r w:rsidRPr="00AE0548">
        <w:rPr>
          <w:lang w:val="en-US"/>
        </w:rPr>
        <w:t>s contractual rights to the cash flows from the financial asset expire or have been transferred and all risks and rewards of ownerships have been substantially transferred.</w:t>
      </w:r>
    </w:p>
    <w:p w:rsidR="00803257" w:rsidRDefault="00740787" w:rsidP="00EC715E">
      <w:pPr>
        <w:rPr>
          <w:u w:val="single"/>
          <w:lang w:val="en-US"/>
        </w:rPr>
      </w:pPr>
      <w:r>
        <w:rPr>
          <w:u w:val="single"/>
          <w:lang w:val="en-US"/>
        </w:rPr>
        <w:t>Other f</w:t>
      </w:r>
      <w:r w:rsidRPr="00740787">
        <w:rPr>
          <w:u w:val="single"/>
          <w:lang w:val="en-US"/>
        </w:rPr>
        <w:t>inancial liabilities</w:t>
      </w:r>
      <w:r w:rsidR="002D54C6">
        <w:rPr>
          <w:u w:val="single"/>
          <w:lang w:val="en-US"/>
        </w:rPr>
        <w:t xml:space="preserve"> and FIPOI loan</w:t>
      </w:r>
    </w:p>
    <w:p w:rsidR="00740787" w:rsidRPr="000D68BA" w:rsidRDefault="00740787" w:rsidP="00A027BD">
      <w:pPr>
        <w:jc w:val="both"/>
        <w:rPr>
          <w:lang w:val="en-US"/>
        </w:rPr>
      </w:pPr>
      <w:r w:rsidRPr="000D68BA">
        <w:rPr>
          <w:lang w:val="en-US"/>
        </w:rPr>
        <w:t xml:space="preserve">Other financial liabilities comprise borrowings, other financing, bank overdrafts, suppliers and trade </w:t>
      </w:r>
      <w:r w:rsidR="00883297" w:rsidRPr="000D68BA">
        <w:rPr>
          <w:lang w:val="en-US"/>
        </w:rPr>
        <w:t>payable</w:t>
      </w:r>
      <w:r w:rsidRPr="000D68BA">
        <w:rPr>
          <w:lang w:val="en-US"/>
        </w:rPr>
        <w:t>s. They are shown on the balance sheet as current or non-current liabilities according to whether they fall due in less than or more than one year.</w:t>
      </w:r>
    </w:p>
    <w:p w:rsidR="00740787" w:rsidRPr="005B53AF" w:rsidRDefault="00883297" w:rsidP="00A027BD">
      <w:pPr>
        <w:jc w:val="both"/>
        <w:rPr>
          <w:lang w:val="en-US"/>
        </w:rPr>
      </w:pPr>
      <w:r w:rsidRPr="005B53AF">
        <w:rPr>
          <w:lang w:val="en-US"/>
        </w:rPr>
        <w:t>Interest-bearing financial liabilities are subsequently valued at amortized cost using the effectiv</w:t>
      </w:r>
      <w:r w:rsidR="005B53AF" w:rsidRPr="005B53AF">
        <w:rPr>
          <w:lang w:val="en-US"/>
        </w:rPr>
        <w:t>e interest rate method</w:t>
      </w:r>
      <w:r w:rsidR="005B53AF">
        <w:rPr>
          <w:lang w:val="en-US"/>
        </w:rPr>
        <w:t xml:space="preserve"> </w:t>
      </w:r>
      <w:r w:rsidR="00740787" w:rsidRPr="005B53AF">
        <w:rPr>
          <w:lang w:val="en-US"/>
        </w:rPr>
        <w:t xml:space="preserve">with </w:t>
      </w:r>
      <w:r w:rsidR="0065310A" w:rsidRPr="005B53AF">
        <w:rPr>
          <w:lang w:val="en-US"/>
        </w:rPr>
        <w:t>t</w:t>
      </w:r>
      <w:r w:rsidR="00740787" w:rsidRPr="005B53AF">
        <w:rPr>
          <w:lang w:val="en-US"/>
        </w:rPr>
        <w:t xml:space="preserve">he exception of liabilities for which </w:t>
      </w:r>
      <w:r w:rsidR="003E3A58">
        <w:rPr>
          <w:lang w:val="en-US"/>
        </w:rPr>
        <w:t>t</w:t>
      </w:r>
      <w:r w:rsidR="00740787" w:rsidRPr="005B53AF">
        <w:rPr>
          <w:lang w:val="en-US"/>
        </w:rPr>
        <w:t>he recognition of interest would be immaterial.</w:t>
      </w:r>
    </w:p>
    <w:p w:rsidR="0065310A" w:rsidRPr="005B53AF" w:rsidRDefault="00740787" w:rsidP="00A027BD">
      <w:pPr>
        <w:jc w:val="both"/>
        <w:rPr>
          <w:lang w:val="en-US"/>
        </w:rPr>
      </w:pPr>
      <w:r w:rsidRPr="005B53AF">
        <w:rPr>
          <w:lang w:val="en-US"/>
        </w:rPr>
        <w:t>ITU borrowed capital from the Building Foundation for International Organizations (FIPOI) for the construction and renovation of its premises in Geneva. Those borrowings were originally subject to interest. However, the Federal Department of Foreign Affairs (DFAE) ceased charging interest as from 1996. ITU therefore has to reimburse only the principal.</w:t>
      </w:r>
    </w:p>
    <w:p w:rsidR="00740787" w:rsidRDefault="0065310A" w:rsidP="008B6EC8">
      <w:pPr>
        <w:jc w:val="both"/>
        <w:rPr>
          <w:lang w:val="en-US"/>
        </w:rPr>
      </w:pPr>
      <w:r w:rsidRPr="005B53AF">
        <w:rPr>
          <w:lang w:val="en-US"/>
        </w:rPr>
        <w:t xml:space="preserve">The loan is measured at its amortized cost using </w:t>
      </w:r>
      <w:r w:rsidR="00740787" w:rsidRPr="005B53AF">
        <w:rPr>
          <w:lang w:val="en-US"/>
        </w:rPr>
        <w:t xml:space="preserve">a long-term interest rate of 3.25 per cent, which corresponds to the </w:t>
      </w:r>
      <w:r w:rsidR="00740787" w:rsidRPr="0076607B">
        <w:rPr>
          <w:lang w:val="en-US"/>
        </w:rPr>
        <w:t xml:space="preserve">interest rate associated with the loans granted by FIPOI but not charged. The difference between the nominal value and </w:t>
      </w:r>
      <w:r w:rsidRPr="0076607B">
        <w:rPr>
          <w:lang w:val="en-US"/>
        </w:rPr>
        <w:t>amortized cost</w:t>
      </w:r>
      <w:r w:rsidR="00740787" w:rsidRPr="0076607B">
        <w:rPr>
          <w:lang w:val="en-US"/>
        </w:rPr>
        <w:t xml:space="preserve"> represents an in-kind contrib</w:t>
      </w:r>
      <w:r w:rsidR="005B53AF" w:rsidRPr="0076607B">
        <w:rPr>
          <w:lang w:val="en-US"/>
        </w:rPr>
        <w:t xml:space="preserve">ution which, </w:t>
      </w:r>
      <w:r w:rsidR="0076607B" w:rsidRPr="0076607B">
        <w:rPr>
          <w:lang w:val="en-US"/>
        </w:rPr>
        <w:t xml:space="preserve">at 31 December </w:t>
      </w:r>
      <w:r w:rsidR="00111BDD">
        <w:rPr>
          <w:lang w:val="en-US"/>
        </w:rPr>
        <w:t>201</w:t>
      </w:r>
      <w:r w:rsidR="008B6EC8">
        <w:rPr>
          <w:lang w:val="en-US"/>
        </w:rPr>
        <w:t>7</w:t>
      </w:r>
      <w:r w:rsidR="00740787" w:rsidRPr="0076607B">
        <w:rPr>
          <w:lang w:val="en-US"/>
        </w:rPr>
        <w:t>, amou</w:t>
      </w:r>
      <w:r w:rsidR="0076607B" w:rsidRPr="0076607B">
        <w:rPr>
          <w:lang w:val="en-US"/>
        </w:rPr>
        <w:t>nted to an overall sum of CHF 1</w:t>
      </w:r>
      <w:r w:rsidR="008B6EC8">
        <w:rPr>
          <w:lang w:val="en-US"/>
        </w:rPr>
        <w:t>5.7</w:t>
      </w:r>
      <w:r w:rsidR="00740787" w:rsidRPr="0076607B">
        <w:rPr>
          <w:lang w:val="en-US"/>
        </w:rPr>
        <w:t xml:space="preserve"> million. ITU has opted not to present this amount under </w:t>
      </w:r>
      <w:r w:rsidR="007A552E" w:rsidRPr="0076607B">
        <w:rPr>
          <w:lang w:val="en-US"/>
        </w:rPr>
        <w:t>“</w:t>
      </w:r>
      <w:r w:rsidR="00740787" w:rsidRPr="0076607B">
        <w:rPr>
          <w:lang w:val="en-US"/>
        </w:rPr>
        <w:t>Borrowings and financial debts</w:t>
      </w:r>
      <w:r w:rsidR="007A552E" w:rsidRPr="0076607B">
        <w:rPr>
          <w:lang w:val="en-US"/>
        </w:rPr>
        <w:t>”</w:t>
      </w:r>
      <w:r w:rsidR="00740787" w:rsidRPr="0076607B">
        <w:rPr>
          <w:lang w:val="en-US"/>
        </w:rPr>
        <w:t xml:space="preserve"> in the statement of financial position. ITU is, however, showing in the statement of financial position expenses and revenue by way of an in-kind contribution corresponding to the reduction in the discount from 1 January to 31 December of the past year.</w:t>
      </w:r>
    </w:p>
    <w:p w:rsidR="0022373A" w:rsidRPr="001C2A98" w:rsidRDefault="0022373A" w:rsidP="00EC715E">
      <w:pPr>
        <w:tabs>
          <w:tab w:val="clear" w:pos="567"/>
          <w:tab w:val="clear" w:pos="1134"/>
          <w:tab w:val="clear" w:pos="1701"/>
          <w:tab w:val="clear" w:pos="2268"/>
          <w:tab w:val="clear" w:pos="2835"/>
        </w:tabs>
        <w:overflowPunct/>
        <w:autoSpaceDE/>
        <w:autoSpaceDN/>
        <w:adjustRightInd/>
        <w:textAlignment w:val="auto"/>
        <w:rPr>
          <w:u w:val="single"/>
          <w:lang w:val="en-US"/>
        </w:rPr>
      </w:pPr>
      <w:r w:rsidRPr="001C2A98">
        <w:rPr>
          <w:u w:val="single"/>
          <w:lang w:val="en-US"/>
        </w:rPr>
        <w:t>Receivables and loans</w:t>
      </w:r>
    </w:p>
    <w:p w:rsidR="0022373A" w:rsidRPr="001C2A98" w:rsidRDefault="0022373A" w:rsidP="00A027BD">
      <w:pPr>
        <w:jc w:val="both"/>
        <w:rPr>
          <w:lang w:val="en-US"/>
        </w:rPr>
      </w:pPr>
      <w:r w:rsidRPr="001C2A98">
        <w:rPr>
          <w:lang w:val="en-US"/>
        </w:rPr>
        <w:t>ITU</w:t>
      </w:r>
      <w:r w:rsidR="007A552E">
        <w:rPr>
          <w:lang w:val="en-US"/>
        </w:rPr>
        <w:t>’</w:t>
      </w:r>
      <w:r w:rsidRPr="001C2A98">
        <w:rPr>
          <w:lang w:val="en-US"/>
        </w:rPr>
        <w:t xml:space="preserve">s receivables and loans are </w:t>
      </w:r>
      <w:r w:rsidR="00C24096">
        <w:rPr>
          <w:lang w:val="en-US"/>
        </w:rPr>
        <w:t xml:space="preserve">non-derivative </w:t>
      </w:r>
      <w:r w:rsidRPr="001C2A98">
        <w:rPr>
          <w:lang w:val="en-US"/>
        </w:rPr>
        <w:t xml:space="preserve">financial assets with fixed or determinable </w:t>
      </w:r>
      <w:r w:rsidR="006B4A57">
        <w:rPr>
          <w:lang w:val="en-US"/>
        </w:rPr>
        <w:t>maturity dates that are not trad</w:t>
      </w:r>
      <w:r w:rsidRPr="001C2A98">
        <w:rPr>
          <w:lang w:val="en-US"/>
        </w:rPr>
        <w:t xml:space="preserve">ed on an active market. They </w:t>
      </w:r>
      <w:r w:rsidR="006B4A57">
        <w:rPr>
          <w:lang w:val="en-US"/>
        </w:rPr>
        <w:t xml:space="preserve">originate </w:t>
      </w:r>
      <w:r w:rsidRPr="001C2A98">
        <w:rPr>
          <w:lang w:val="en-US"/>
        </w:rPr>
        <w:t>when ITU enters into a contractual arrangement with a third party and remain so until the cash transfers associated with those financial assets have been executed and the associated risks and benefits have likewise been transferred to ITU. Such assets come under current assets, except those having maturity dates beyond 12 months after the date of closure, which are categorized as non-current assets.</w:t>
      </w:r>
    </w:p>
    <w:p w:rsidR="0022373A" w:rsidRPr="001C2A98" w:rsidRDefault="0022373A" w:rsidP="00A027BD">
      <w:pPr>
        <w:jc w:val="both"/>
        <w:rPr>
          <w:lang w:val="en-US"/>
        </w:rPr>
      </w:pPr>
      <w:r w:rsidRPr="001C2A98">
        <w:rPr>
          <w:lang w:val="en-US"/>
        </w:rPr>
        <w:t>Receivables are divided into</w:t>
      </w:r>
      <w:r w:rsidR="00B11AA3">
        <w:rPr>
          <w:lang w:val="en-US"/>
        </w:rPr>
        <w:t xml:space="preserve"> two distinct categories</w:t>
      </w:r>
      <w:r w:rsidRPr="001C2A98">
        <w:rPr>
          <w:lang w:val="en-US"/>
        </w:rPr>
        <w:t>: receivabl</w:t>
      </w:r>
      <w:r w:rsidR="00991717">
        <w:rPr>
          <w:lang w:val="en-US"/>
        </w:rPr>
        <w:t xml:space="preserve">es </w:t>
      </w:r>
      <w:r w:rsidRPr="001C2A98">
        <w:rPr>
          <w:lang w:val="en-US"/>
        </w:rPr>
        <w:t xml:space="preserve">from exchange transactions, such as those resulting from the sale of publications; and non-exchange receivables, notably those relating to contributions made to ITU. Assessed contributions are incorporated in the financial plan once the level of Member State contributions has been set by the Plenipotentiary Conference for a four-year period. These contributions are recognized </w:t>
      </w:r>
      <w:r w:rsidR="00B73E47">
        <w:rPr>
          <w:lang w:val="en-US"/>
        </w:rPr>
        <w:t>on an annual basis</w:t>
      </w:r>
      <w:r w:rsidRPr="001C2A98">
        <w:rPr>
          <w:lang w:val="en-US"/>
        </w:rPr>
        <w:t xml:space="preserve">. </w:t>
      </w:r>
    </w:p>
    <w:p w:rsidR="0022373A" w:rsidRPr="001C2A98" w:rsidRDefault="0022373A" w:rsidP="00A027BD">
      <w:pPr>
        <w:jc w:val="both"/>
        <w:rPr>
          <w:color w:val="000000"/>
          <w:lang w:val="en-US"/>
        </w:rPr>
      </w:pPr>
      <w:r w:rsidRPr="001C2A98">
        <w:rPr>
          <w:color w:val="000000"/>
          <w:lang w:val="en-US"/>
        </w:rPr>
        <w:t xml:space="preserve">Voluntary contributions are initially recognized when there is a </w:t>
      </w:r>
      <w:r w:rsidR="002D54C6">
        <w:rPr>
          <w:color w:val="000000"/>
          <w:lang w:val="en-US"/>
        </w:rPr>
        <w:t>signed</w:t>
      </w:r>
      <w:r w:rsidRPr="001C2A98">
        <w:rPr>
          <w:color w:val="000000"/>
          <w:lang w:val="en-US"/>
        </w:rPr>
        <w:t xml:space="preserve"> agreement </w:t>
      </w:r>
      <w:r w:rsidR="002D54C6">
        <w:rPr>
          <w:color w:val="000000"/>
          <w:lang w:val="en-US"/>
        </w:rPr>
        <w:t xml:space="preserve">between ITU and the </w:t>
      </w:r>
      <w:r w:rsidRPr="001C2A98">
        <w:rPr>
          <w:color w:val="000000"/>
          <w:lang w:val="en-US"/>
        </w:rPr>
        <w:t>donor.</w:t>
      </w:r>
    </w:p>
    <w:p w:rsidR="0022373A" w:rsidRPr="001C2A98" w:rsidRDefault="006B4A57" w:rsidP="00A027BD">
      <w:pPr>
        <w:jc w:val="both"/>
        <w:rPr>
          <w:color w:val="000000"/>
          <w:lang w:val="en-US"/>
        </w:rPr>
      </w:pPr>
      <w:r>
        <w:rPr>
          <w:color w:val="000000"/>
          <w:lang w:val="en-US"/>
        </w:rPr>
        <w:t>Receivables and loans</w:t>
      </w:r>
      <w:r w:rsidR="0022373A" w:rsidRPr="001C2A98">
        <w:rPr>
          <w:color w:val="000000"/>
          <w:lang w:val="en-US"/>
        </w:rPr>
        <w:t xml:space="preserve"> are recognized at fair value at the time of their initial recognition. The fair value is adjusted when reviewing doubtful debts at the time of the annual closure of the accounts.</w:t>
      </w:r>
    </w:p>
    <w:p w:rsidR="0022373A" w:rsidRPr="001C2A98" w:rsidRDefault="0022373A" w:rsidP="00A027BD">
      <w:pPr>
        <w:pStyle w:val="Heading5"/>
        <w:jc w:val="both"/>
        <w:rPr>
          <w:u w:val="single"/>
          <w:lang w:val="en-US"/>
        </w:rPr>
      </w:pPr>
      <w:bookmarkStart w:id="40" w:name="_Toc305764066"/>
      <w:bookmarkStart w:id="41" w:name="_Toc329011614"/>
      <w:r w:rsidRPr="001C2A98">
        <w:rPr>
          <w:u w:val="single"/>
          <w:lang w:val="en-US"/>
        </w:rPr>
        <w:t>Determin</w:t>
      </w:r>
      <w:r w:rsidR="002D54C6">
        <w:rPr>
          <w:u w:val="single"/>
          <w:lang w:val="en-US"/>
        </w:rPr>
        <w:t>ation of the provision for</w:t>
      </w:r>
      <w:r w:rsidRPr="001C2A98">
        <w:rPr>
          <w:u w:val="single"/>
          <w:lang w:val="en-US"/>
        </w:rPr>
        <w:t xml:space="preserve"> impairment</w:t>
      </w:r>
      <w:bookmarkEnd w:id="40"/>
      <w:bookmarkEnd w:id="41"/>
      <w:r w:rsidR="002D54C6">
        <w:rPr>
          <w:u w:val="single"/>
          <w:lang w:val="en-US"/>
        </w:rPr>
        <w:t xml:space="preserve"> of receivables</w:t>
      </w:r>
    </w:p>
    <w:p w:rsidR="0022373A" w:rsidRPr="001C2A98" w:rsidRDefault="0022373A" w:rsidP="00A027BD">
      <w:pPr>
        <w:jc w:val="both"/>
        <w:rPr>
          <w:lang w:val="en-US"/>
        </w:rPr>
      </w:pPr>
      <w:r w:rsidRPr="001C2A98">
        <w:rPr>
          <w:lang w:val="en-US"/>
        </w:rPr>
        <w:t>An assessment of the need to establish or adjust a provision for asset impairment is carried out according to the nature of the receivable, on the basis of the following categories of receivable:</w:t>
      </w:r>
    </w:p>
    <w:p w:rsidR="0022373A" w:rsidRPr="00A5229F" w:rsidRDefault="0022373A" w:rsidP="00A027BD">
      <w:pPr>
        <w:jc w:val="both"/>
        <w:rPr>
          <w:lang w:val="en-US"/>
        </w:rPr>
      </w:pPr>
      <w:r w:rsidRPr="001C2A98">
        <w:rPr>
          <w:lang w:val="en-US"/>
        </w:rPr>
        <w:t xml:space="preserve">1 – </w:t>
      </w:r>
      <w:r w:rsidRPr="00A5229F">
        <w:rPr>
          <w:lang w:val="en-US"/>
        </w:rPr>
        <w:t>Member States</w:t>
      </w:r>
    </w:p>
    <w:p w:rsidR="0022373A" w:rsidRPr="001C2A98" w:rsidRDefault="0022373A" w:rsidP="00A027BD">
      <w:pPr>
        <w:jc w:val="both"/>
        <w:rPr>
          <w:lang w:val="en-US"/>
        </w:rPr>
      </w:pPr>
      <w:r w:rsidRPr="00A5229F">
        <w:rPr>
          <w:lang w:val="en-US"/>
        </w:rPr>
        <w:t>In accordance with Article 28, No. 169, of the ITU Constitution, a Member State which is in arrears in its payments to the Union shall lose its right to vote as defined in Nos 27 and 28 of the Constitution for so long as the amount of its arrears equals or exceeds the amount of the contribution due for the two preceding years.</w:t>
      </w:r>
    </w:p>
    <w:p w:rsidR="0022373A" w:rsidRPr="001C2A98" w:rsidRDefault="0022373A" w:rsidP="00A027BD">
      <w:pPr>
        <w:jc w:val="both"/>
        <w:rPr>
          <w:lang w:val="en-US"/>
        </w:rPr>
      </w:pPr>
      <w:r w:rsidRPr="001C2A98">
        <w:rPr>
          <w:lang w:val="en-US"/>
        </w:rPr>
        <w:t>On the basis of this rule, a provision is established for Member States having arrears of over two years. Assessment and follow-up are carried out on the basis of the financial notification, which is produced quarterly. The provision is calculated on the basis of the notification for the final quarter of the year, which is produced at the beginning of the following year.</w:t>
      </w:r>
    </w:p>
    <w:p w:rsidR="0022373A" w:rsidRPr="001C2A98" w:rsidRDefault="0022373A" w:rsidP="00A027BD">
      <w:pPr>
        <w:jc w:val="both"/>
        <w:rPr>
          <w:lang w:val="en-US"/>
        </w:rPr>
      </w:pPr>
      <w:r w:rsidRPr="001C2A98">
        <w:rPr>
          <w:lang w:val="en-US"/>
        </w:rPr>
        <w:t>The amount of the provision is equal to 100 per cent of the debt that has remained unpaid for over two years, plus the interest on arrears charged since payment first became overdue.</w:t>
      </w:r>
    </w:p>
    <w:p w:rsidR="0022373A" w:rsidRPr="001C2A98" w:rsidRDefault="0022373A" w:rsidP="00A027BD">
      <w:pPr>
        <w:jc w:val="both"/>
        <w:rPr>
          <w:lang w:val="en-US"/>
        </w:rPr>
      </w:pPr>
      <w:r w:rsidRPr="001C2A98">
        <w:rPr>
          <w:lang w:val="en-US"/>
        </w:rPr>
        <w:t xml:space="preserve">2 – Sector Members, Associates and </w:t>
      </w:r>
      <w:r w:rsidR="000A5F7A">
        <w:rPr>
          <w:lang w:val="en-US"/>
        </w:rPr>
        <w:t>A</w:t>
      </w:r>
      <w:r w:rsidRPr="001C2A98">
        <w:rPr>
          <w:lang w:val="en-US"/>
        </w:rPr>
        <w:t>cademia</w:t>
      </w:r>
    </w:p>
    <w:p w:rsidR="007B296E" w:rsidRDefault="0022373A" w:rsidP="00F81E28">
      <w:pPr>
        <w:jc w:val="both"/>
        <w:rPr>
          <w:iCs/>
          <w:lang w:val="en-US"/>
        </w:rPr>
      </w:pPr>
      <w:r w:rsidRPr="001C2A98">
        <w:rPr>
          <w:lang w:val="en-US"/>
        </w:rPr>
        <w:t xml:space="preserve">Where Sector Members and Associates are concerned, Resolution 152 (Rev. </w:t>
      </w:r>
      <w:r w:rsidR="00781AA3">
        <w:rPr>
          <w:lang w:val="en-US"/>
        </w:rPr>
        <w:t>Busan</w:t>
      </w:r>
      <w:r w:rsidRPr="001C2A98">
        <w:rPr>
          <w:lang w:val="en-US"/>
        </w:rPr>
        <w:t xml:space="preserve">, </w:t>
      </w:r>
      <w:r w:rsidR="00111BDD">
        <w:rPr>
          <w:lang w:val="en-US"/>
        </w:rPr>
        <w:t>201</w:t>
      </w:r>
      <w:r w:rsidR="00F81E28">
        <w:rPr>
          <w:lang w:val="en-US"/>
        </w:rPr>
        <w:t>4</w:t>
      </w:r>
      <w:r w:rsidRPr="001C2A98">
        <w:rPr>
          <w:lang w:val="en-US"/>
        </w:rPr>
        <w:t>) of the Plenipotentiary Conference provides, in</w:t>
      </w:r>
      <w:r w:rsidRPr="001C2A98">
        <w:rPr>
          <w:i/>
          <w:lang w:val="en-US"/>
        </w:rPr>
        <w:t xml:space="preserve"> resolves</w:t>
      </w:r>
      <w:r w:rsidRPr="001C2A98">
        <w:rPr>
          <w:iCs/>
          <w:lang w:val="en-US"/>
        </w:rPr>
        <w:t xml:space="preserve"> 6, that in the event of late payment, suspension of participation in ITU shall occur six months (180 days) after the date on which payment of the annual contribution was due, and in the absence of a negotiated and agreed</w:t>
      </w:r>
      <w:r w:rsidR="00EC4859">
        <w:rPr>
          <w:iCs/>
          <w:lang w:val="en-US"/>
        </w:rPr>
        <w:t xml:space="preserve"> </w:t>
      </w:r>
      <w:r w:rsidRPr="001C2A98">
        <w:rPr>
          <w:iCs/>
          <w:lang w:val="en-US"/>
        </w:rPr>
        <w:t>repayment schedule, exclusion of a Sector Member or an Associate on grounds of non-payment shall occur three months (90 days) after the date of receipt of the notification of suspension.</w:t>
      </w:r>
    </w:p>
    <w:p w:rsidR="0022373A" w:rsidRPr="001C2A98" w:rsidRDefault="0022373A" w:rsidP="00A027BD">
      <w:pPr>
        <w:jc w:val="both"/>
        <w:rPr>
          <w:highlight w:val="yellow"/>
          <w:lang w:val="en-US"/>
        </w:rPr>
      </w:pPr>
      <w:r w:rsidRPr="001C2A98">
        <w:rPr>
          <w:lang w:val="en-US"/>
        </w:rPr>
        <w:t>All unpaid debts, including interest on arrears, dating back beyond two years are 100 per cent provisioned.</w:t>
      </w:r>
    </w:p>
    <w:p w:rsidR="0022373A" w:rsidRPr="001C2A98" w:rsidRDefault="0022373A" w:rsidP="00A027BD">
      <w:pPr>
        <w:jc w:val="both"/>
        <w:rPr>
          <w:lang w:val="en-US"/>
        </w:rPr>
      </w:pPr>
      <w:r w:rsidRPr="001C2A98">
        <w:rPr>
          <w:lang w:val="en-US"/>
        </w:rPr>
        <w:t>3 – S</w:t>
      </w:r>
      <w:r w:rsidR="000567C2">
        <w:rPr>
          <w:lang w:val="en-US"/>
        </w:rPr>
        <w:t xml:space="preserve">atellite </w:t>
      </w:r>
      <w:r w:rsidRPr="001C2A98">
        <w:rPr>
          <w:lang w:val="en-US"/>
        </w:rPr>
        <w:t>N</w:t>
      </w:r>
      <w:r w:rsidR="000567C2">
        <w:rPr>
          <w:lang w:val="en-US"/>
        </w:rPr>
        <w:t xml:space="preserve">etwork </w:t>
      </w:r>
      <w:r w:rsidRPr="001C2A98">
        <w:rPr>
          <w:lang w:val="en-US"/>
        </w:rPr>
        <w:t>F</w:t>
      </w:r>
      <w:r w:rsidR="000567C2">
        <w:rPr>
          <w:lang w:val="en-US"/>
        </w:rPr>
        <w:t>ilings</w:t>
      </w:r>
      <w:r w:rsidRPr="001C2A98">
        <w:rPr>
          <w:lang w:val="en-US"/>
        </w:rPr>
        <w:t xml:space="preserve"> </w:t>
      </w:r>
      <w:r w:rsidR="000567C2">
        <w:rPr>
          <w:lang w:val="en-US"/>
        </w:rPr>
        <w:t xml:space="preserve">(SNF) </w:t>
      </w:r>
      <w:r w:rsidRPr="001C2A98">
        <w:rPr>
          <w:lang w:val="en-US"/>
        </w:rPr>
        <w:t>revenue</w:t>
      </w:r>
    </w:p>
    <w:p w:rsidR="001631AD" w:rsidRDefault="0022373A" w:rsidP="00752F2D">
      <w:pPr>
        <w:jc w:val="both"/>
        <w:rPr>
          <w:lang w:val="en-US"/>
        </w:rPr>
      </w:pPr>
      <w:r w:rsidRPr="001C2A98">
        <w:rPr>
          <w:lang w:val="en-US"/>
        </w:rPr>
        <w:t>The Union establishes a provision for SNF invoices, arrears being subject to interest at 6 per cent as from the due date in the case of late payment. Since such invoices are payable within six months, a 100 per cent provision will be established at 31 December of the year following their presentation.</w:t>
      </w:r>
    </w:p>
    <w:p w:rsidR="0022373A" w:rsidRPr="001C2A98" w:rsidRDefault="0022373A" w:rsidP="00A027BD">
      <w:pPr>
        <w:jc w:val="both"/>
        <w:rPr>
          <w:lang w:val="en-US"/>
        </w:rPr>
      </w:pPr>
      <w:r w:rsidRPr="001C2A98">
        <w:rPr>
          <w:lang w:val="en-US"/>
        </w:rPr>
        <w:t>4 – Publications</w:t>
      </w:r>
    </w:p>
    <w:p w:rsidR="00100E44" w:rsidRDefault="0022373A" w:rsidP="0070318B">
      <w:pPr>
        <w:jc w:val="both"/>
        <w:rPr>
          <w:lang w:val="en-US"/>
        </w:rPr>
      </w:pPr>
      <w:r w:rsidRPr="001C2A98">
        <w:rPr>
          <w:lang w:val="en-US"/>
        </w:rPr>
        <w:t xml:space="preserve">Publications are for the most part paid for in advance, </w:t>
      </w:r>
      <w:r w:rsidR="000567C2">
        <w:rPr>
          <w:lang w:val="en-US"/>
        </w:rPr>
        <w:t xml:space="preserve">except when the client is a </w:t>
      </w:r>
      <w:r w:rsidRPr="001C2A98">
        <w:rPr>
          <w:lang w:val="en-US"/>
        </w:rPr>
        <w:t>Member State administration. This provision is established following exactly the same principle as for Member State and Sector Member contributions.</w:t>
      </w:r>
    </w:p>
    <w:p w:rsidR="0022373A" w:rsidRPr="001C2A98" w:rsidRDefault="0022373A" w:rsidP="00A027BD">
      <w:pPr>
        <w:jc w:val="both"/>
        <w:rPr>
          <w:lang w:val="en-US"/>
        </w:rPr>
      </w:pPr>
      <w:r w:rsidRPr="001C2A98">
        <w:rPr>
          <w:lang w:val="en-US"/>
        </w:rPr>
        <w:t>5 – Other debtors (e.g. voluntary contributions)</w:t>
      </w:r>
    </w:p>
    <w:p w:rsidR="0022373A" w:rsidRPr="001C2A98" w:rsidRDefault="0022373A" w:rsidP="00A027BD">
      <w:pPr>
        <w:jc w:val="both"/>
        <w:rPr>
          <w:highlight w:val="yellow"/>
          <w:lang w:val="en-US"/>
        </w:rPr>
      </w:pPr>
      <w:r w:rsidRPr="001C2A98">
        <w:rPr>
          <w:lang w:val="en-US"/>
        </w:rPr>
        <w:t>The amount of the provision is equal to 100 per cent of the debts remaining unpaid at 31 December of the year following presentation of the invoices.</w:t>
      </w:r>
    </w:p>
    <w:p w:rsidR="0022373A" w:rsidRPr="001C2A98" w:rsidRDefault="0022373A" w:rsidP="00A027BD">
      <w:pPr>
        <w:jc w:val="both"/>
        <w:rPr>
          <w:lang w:val="en-US"/>
        </w:rPr>
      </w:pPr>
      <w:r w:rsidRPr="001C2A98">
        <w:rPr>
          <w:lang w:val="en-US"/>
        </w:rPr>
        <w:t xml:space="preserve">6 – </w:t>
      </w:r>
      <w:r w:rsidR="000567C2">
        <w:rPr>
          <w:lang w:val="en-US"/>
        </w:rPr>
        <w:t xml:space="preserve">ITU </w:t>
      </w:r>
      <w:r w:rsidRPr="001C2A98">
        <w:rPr>
          <w:lang w:val="en-US"/>
        </w:rPr>
        <w:t>TELECOM</w:t>
      </w:r>
    </w:p>
    <w:p w:rsidR="0022373A" w:rsidRPr="001C2A98" w:rsidRDefault="0022373A" w:rsidP="00A027BD">
      <w:pPr>
        <w:jc w:val="both"/>
        <w:rPr>
          <w:lang w:val="en-US"/>
        </w:rPr>
      </w:pPr>
      <w:r w:rsidRPr="001C2A98">
        <w:rPr>
          <w:lang w:val="en-US"/>
        </w:rPr>
        <w:t xml:space="preserve">Receivables for </w:t>
      </w:r>
      <w:r w:rsidR="000567C2">
        <w:rPr>
          <w:lang w:val="en-US"/>
        </w:rPr>
        <w:t xml:space="preserve">ITU </w:t>
      </w:r>
      <w:r w:rsidRPr="001C2A98">
        <w:rPr>
          <w:lang w:val="en-US"/>
        </w:rPr>
        <w:t>TELECOM events are 100 per cent provisioned at the time of clo</w:t>
      </w:r>
      <w:r w:rsidR="00B73E47">
        <w:rPr>
          <w:lang w:val="en-US"/>
        </w:rPr>
        <w:t>sing of the exhibition accounts, when there is an uncertainty about the payment.</w:t>
      </w:r>
    </w:p>
    <w:p w:rsidR="0022373A" w:rsidRPr="001C2A98" w:rsidRDefault="0022373A" w:rsidP="00A027BD">
      <w:pPr>
        <w:pStyle w:val="Heading5"/>
        <w:jc w:val="both"/>
        <w:rPr>
          <w:u w:val="single"/>
          <w:lang w:val="en-US"/>
        </w:rPr>
      </w:pPr>
      <w:bookmarkStart w:id="42" w:name="_Toc305764067"/>
      <w:bookmarkStart w:id="43" w:name="_Toc329011615"/>
      <w:r w:rsidRPr="001C2A98">
        <w:rPr>
          <w:u w:val="single"/>
          <w:lang w:val="en-US"/>
        </w:rPr>
        <w:t>Use and release of a provision for asset impairment</w:t>
      </w:r>
      <w:bookmarkEnd w:id="42"/>
      <w:bookmarkEnd w:id="43"/>
    </w:p>
    <w:p w:rsidR="0022373A" w:rsidRPr="001C2A98" w:rsidRDefault="0022373A" w:rsidP="00A027BD">
      <w:pPr>
        <w:jc w:val="both"/>
        <w:rPr>
          <w:lang w:val="en-US"/>
        </w:rPr>
      </w:pPr>
      <w:r w:rsidRPr="001C2A98">
        <w:rPr>
          <w:szCs w:val="24"/>
          <w:lang w:val="en-US"/>
        </w:rPr>
        <w:t>Where a debt is deemed to be uncollectable (for example, certificate of lack of assets or debt write-off</w:t>
      </w:r>
      <w:r w:rsidR="00FF142A">
        <w:rPr>
          <w:szCs w:val="24"/>
          <w:lang w:val="en-US"/>
        </w:rPr>
        <w:t xml:space="preserve"> approved</w:t>
      </w:r>
      <w:r w:rsidR="00E22DA0">
        <w:rPr>
          <w:szCs w:val="24"/>
          <w:lang w:val="en-US"/>
        </w:rPr>
        <w:t xml:space="preserve"> by Council</w:t>
      </w:r>
      <w:r w:rsidRPr="001C2A98">
        <w:rPr>
          <w:szCs w:val="24"/>
          <w:lang w:val="en-US"/>
        </w:rPr>
        <w:t xml:space="preserve">), </w:t>
      </w:r>
      <w:r w:rsidR="00B73E47">
        <w:rPr>
          <w:szCs w:val="24"/>
          <w:lang w:val="en-US"/>
        </w:rPr>
        <w:t>the debt is written off. T</w:t>
      </w:r>
      <w:r w:rsidR="00991717">
        <w:rPr>
          <w:szCs w:val="24"/>
          <w:lang w:val="en-US"/>
        </w:rPr>
        <w:t>he related</w:t>
      </w:r>
      <w:r w:rsidR="00B73E47">
        <w:rPr>
          <w:szCs w:val="24"/>
          <w:lang w:val="en-US"/>
        </w:rPr>
        <w:t xml:space="preserve"> provision is then used</w:t>
      </w:r>
      <w:r w:rsidR="00E22DA0">
        <w:rPr>
          <w:szCs w:val="24"/>
          <w:lang w:val="en-US"/>
        </w:rPr>
        <w:t xml:space="preserve"> to offset the balance in the accounts</w:t>
      </w:r>
      <w:r w:rsidRPr="001C2A98">
        <w:rPr>
          <w:szCs w:val="24"/>
          <w:lang w:val="en-US"/>
        </w:rPr>
        <w:t>.</w:t>
      </w:r>
      <w:r w:rsidR="00A85953">
        <w:rPr>
          <w:szCs w:val="24"/>
          <w:lang w:val="en-US"/>
        </w:rPr>
        <w:t xml:space="preserve"> </w:t>
      </w:r>
      <w:r w:rsidRPr="001C2A98">
        <w:rPr>
          <w:lang w:val="en-US"/>
        </w:rPr>
        <w:t>If, in a subsequent period, t</w:t>
      </w:r>
      <w:r w:rsidR="00B73E47">
        <w:rPr>
          <w:lang w:val="en-US"/>
        </w:rPr>
        <w:t>he amount of the impairment</w:t>
      </w:r>
      <w:r w:rsidRPr="001C2A98">
        <w:rPr>
          <w:lang w:val="en-US"/>
        </w:rPr>
        <w:t xml:space="preserve"> decreases and the decrease can be related objectively to an event occurring after the impairment was recognized (for example, signature of a debt repayment schedule), the previously recognized impairment loss </w:t>
      </w:r>
      <w:r w:rsidR="00B73E47">
        <w:rPr>
          <w:lang w:val="en-US"/>
        </w:rPr>
        <w:t>is</w:t>
      </w:r>
      <w:r w:rsidRPr="001C2A98">
        <w:rPr>
          <w:lang w:val="en-US"/>
        </w:rPr>
        <w:t xml:space="preserve"> reversed, wholly or in part, by a release of provision.</w:t>
      </w:r>
    </w:p>
    <w:p w:rsidR="0022373A" w:rsidRPr="001C2A98" w:rsidRDefault="0022373A" w:rsidP="00A027BD">
      <w:pPr>
        <w:jc w:val="both"/>
        <w:rPr>
          <w:lang w:val="en-US"/>
        </w:rPr>
      </w:pPr>
      <w:r w:rsidRPr="001C2A98">
        <w:rPr>
          <w:lang w:val="en-US"/>
        </w:rPr>
        <w:t xml:space="preserve">In the case of </w:t>
      </w:r>
      <w:r w:rsidR="00E22DA0">
        <w:rPr>
          <w:lang w:val="en-US"/>
        </w:rPr>
        <w:t>M</w:t>
      </w:r>
      <w:r w:rsidRPr="001C2A98">
        <w:rPr>
          <w:lang w:val="en-US"/>
        </w:rPr>
        <w:t>ember</w:t>
      </w:r>
      <w:r w:rsidR="00E22DA0">
        <w:rPr>
          <w:lang w:val="en-US"/>
        </w:rPr>
        <w:t xml:space="preserve"> State</w:t>
      </w:r>
      <w:r w:rsidRPr="001C2A98">
        <w:rPr>
          <w:lang w:val="en-US"/>
        </w:rPr>
        <w:t>s</w:t>
      </w:r>
      <w:r w:rsidR="00E22DA0">
        <w:rPr>
          <w:lang w:val="en-US"/>
        </w:rPr>
        <w:t xml:space="preserve"> or Sector Members</w:t>
      </w:r>
      <w:r w:rsidRPr="001C2A98">
        <w:rPr>
          <w:lang w:val="en-US"/>
        </w:rPr>
        <w:t xml:space="preserve">, the provision is reduced by the annual </w:t>
      </w:r>
      <w:r w:rsidR="009A4679" w:rsidRPr="001C2A98">
        <w:rPr>
          <w:lang w:val="en-US"/>
        </w:rPr>
        <w:t>installments</w:t>
      </w:r>
      <w:r w:rsidRPr="001C2A98">
        <w:rPr>
          <w:lang w:val="en-US"/>
        </w:rPr>
        <w:t xml:space="preserve"> settled under a debt repayment schedule, following the payment of each </w:t>
      </w:r>
      <w:r w:rsidR="009A4679" w:rsidRPr="001C2A98">
        <w:rPr>
          <w:lang w:val="en-US"/>
        </w:rPr>
        <w:t>installment</w:t>
      </w:r>
      <w:r w:rsidRPr="001C2A98">
        <w:rPr>
          <w:lang w:val="en-US"/>
        </w:rPr>
        <w:t>. The interest on arrears is written off once the capital of the debt has been repaid, subject to approval by the Council. This amount includes receivables relating to publications.</w:t>
      </w:r>
    </w:p>
    <w:p w:rsidR="0022373A" w:rsidRPr="001C2A98" w:rsidRDefault="0022373A" w:rsidP="00A027BD">
      <w:pPr>
        <w:jc w:val="both"/>
        <w:rPr>
          <w:lang w:val="en-US"/>
        </w:rPr>
      </w:pPr>
      <w:r w:rsidRPr="001C2A98">
        <w:rPr>
          <w:lang w:val="en-US"/>
        </w:rPr>
        <w:t>If, in a subsequent period, new receivables meet the impairment criteria set out in the above paragraph, the establishment of a provision must be recognized at 31 December of that year.</w:t>
      </w:r>
    </w:p>
    <w:p w:rsidR="0022373A" w:rsidRPr="001C2A98" w:rsidRDefault="0022373A" w:rsidP="00A027BD">
      <w:pPr>
        <w:pStyle w:val="Heading5"/>
        <w:jc w:val="both"/>
        <w:rPr>
          <w:u w:val="single"/>
          <w:lang w:val="en-US"/>
        </w:rPr>
      </w:pPr>
      <w:bookmarkStart w:id="44" w:name="_Toc305764069"/>
      <w:bookmarkStart w:id="45" w:name="_Toc329011617"/>
      <w:r w:rsidRPr="001C2A98">
        <w:rPr>
          <w:u w:val="single"/>
          <w:lang w:val="en-US"/>
        </w:rPr>
        <w:t>Inventories</w:t>
      </w:r>
      <w:bookmarkEnd w:id="44"/>
      <w:bookmarkEnd w:id="45"/>
    </w:p>
    <w:p w:rsidR="0022373A" w:rsidRPr="001C2A98" w:rsidRDefault="0022373A" w:rsidP="00A027BD">
      <w:pPr>
        <w:jc w:val="both"/>
        <w:rPr>
          <w:lang w:val="en-US"/>
        </w:rPr>
      </w:pPr>
      <w:r w:rsidRPr="001C2A98">
        <w:rPr>
          <w:lang w:val="en-US"/>
        </w:rPr>
        <w:t>Inventories comprise publications and souvenirs bearing the ITU logo, consumable stores, maintenance materials and stocks of spare parts not allocated to the maintenance of specific assets.</w:t>
      </w:r>
    </w:p>
    <w:p w:rsidR="0022373A" w:rsidRPr="00C44781" w:rsidRDefault="0022373A" w:rsidP="00A027BD">
      <w:pPr>
        <w:jc w:val="both"/>
        <w:rPr>
          <w:lang w:val="en-US"/>
        </w:rPr>
      </w:pPr>
      <w:r w:rsidRPr="001C2A98">
        <w:rPr>
          <w:lang w:val="en-US"/>
        </w:rPr>
        <w:t xml:space="preserve">For consumables, inventories </w:t>
      </w:r>
      <w:r w:rsidR="000129E1">
        <w:rPr>
          <w:lang w:val="en-US"/>
        </w:rPr>
        <w:t xml:space="preserve">values </w:t>
      </w:r>
      <w:r w:rsidRPr="001C2A98">
        <w:rPr>
          <w:lang w:val="en-US"/>
        </w:rPr>
        <w:t xml:space="preserve">are </w:t>
      </w:r>
      <w:r w:rsidR="000129E1">
        <w:rPr>
          <w:lang w:val="en-US"/>
        </w:rPr>
        <w:t>calculated</w:t>
      </w:r>
      <w:r w:rsidRPr="001C2A98">
        <w:rPr>
          <w:lang w:val="en-US"/>
        </w:rPr>
        <w:t xml:space="preserve"> using the weighted average cost method. The </w:t>
      </w:r>
      <w:r w:rsidRPr="00C44781">
        <w:rPr>
          <w:lang w:val="en-US"/>
        </w:rPr>
        <w:t>same method is used for all inventories whose nature and usage are similar within the organization.</w:t>
      </w:r>
    </w:p>
    <w:p w:rsidR="0022373A" w:rsidRPr="001C2A98" w:rsidRDefault="0022373A" w:rsidP="00A027BD">
      <w:pPr>
        <w:jc w:val="both"/>
        <w:rPr>
          <w:lang w:val="en-US"/>
        </w:rPr>
      </w:pPr>
      <w:r w:rsidRPr="000C191B">
        <w:rPr>
          <w:lang w:val="en-US"/>
        </w:rPr>
        <w:t>Publications are valued according to a standard cost based on a scale that is updated annually. The standard cost does not include direct staff costs; however, the cost of paper is increased by 253</w:t>
      </w:r>
      <w:r w:rsidR="00EE08C2" w:rsidRPr="000C191B">
        <w:rPr>
          <w:lang w:val="en-US"/>
        </w:rPr>
        <w:t> </w:t>
      </w:r>
      <w:r w:rsidRPr="000C191B">
        <w:rPr>
          <w:lang w:val="en-US"/>
        </w:rPr>
        <w:t>per cent, representing the direct costs associated with reprography. The net realizable value represents the estimated sale price less the estimated costs of producing, marketing, selling and distributing the publications</w:t>
      </w:r>
      <w:r w:rsidRPr="00C44781">
        <w:rPr>
          <w:lang w:val="en-US"/>
        </w:rPr>
        <w:t>.</w:t>
      </w:r>
    </w:p>
    <w:p w:rsidR="0022373A" w:rsidRPr="00755453" w:rsidRDefault="0022373A" w:rsidP="00A027BD">
      <w:pPr>
        <w:jc w:val="both"/>
        <w:rPr>
          <w:lang w:val="en-US"/>
        </w:rPr>
      </w:pPr>
      <w:r w:rsidRPr="00755453">
        <w:rPr>
          <w:lang w:val="en-US"/>
        </w:rPr>
        <w:t>Where stocks of publications are distributed at zero or a symbolic cost, they are assigned the value that the organization would have to pay to obtain the economic benefits or service potential to achieve the organization</w:t>
      </w:r>
      <w:r w:rsidR="007A552E">
        <w:rPr>
          <w:lang w:val="en-US"/>
        </w:rPr>
        <w:t>’</w:t>
      </w:r>
      <w:r w:rsidRPr="00755453">
        <w:rPr>
          <w:lang w:val="en-US"/>
        </w:rPr>
        <w:t>s objectives. If the economic benefits or service potential cannot be acquired on the market, the stocks are valued at their replacement value.</w:t>
      </w:r>
    </w:p>
    <w:p w:rsidR="002560A2" w:rsidRDefault="0022373A" w:rsidP="00752F2D">
      <w:pPr>
        <w:jc w:val="both"/>
        <w:rPr>
          <w:lang w:val="en-US"/>
        </w:rPr>
      </w:pPr>
      <w:r w:rsidRPr="00755453">
        <w:rPr>
          <w:lang w:val="en-US"/>
        </w:rPr>
        <w:t xml:space="preserve">An annual physical stocktaking is made of all inventories. At each closure date, if there is any indication that inventories may have fallen in value, they are depreciated. Publications are valued in two stages: first, on the basis of any damage identified during the annual physical stocktaking, then with regard to the obsolescence of publications. The organization also determines whether an impairment loss previously recognized has diminished or is extinguished. </w:t>
      </w:r>
      <w:r w:rsidRPr="007B296E">
        <w:rPr>
          <w:lang w:val="en-US"/>
        </w:rPr>
        <w:t>If so</w:t>
      </w:r>
      <w:r w:rsidRPr="00755453">
        <w:rPr>
          <w:lang w:val="en-US"/>
        </w:rPr>
        <w:t>, the net realizable value or replacement cost of the inventories is estimated and updated.</w:t>
      </w:r>
    </w:p>
    <w:p w:rsidR="0022373A" w:rsidRPr="001C2A98" w:rsidRDefault="0022373A" w:rsidP="00A027BD">
      <w:pPr>
        <w:jc w:val="both"/>
        <w:rPr>
          <w:lang w:val="en-US"/>
        </w:rPr>
      </w:pPr>
      <w:r w:rsidRPr="00755453">
        <w:rPr>
          <w:lang w:val="en-US"/>
        </w:rPr>
        <w:t xml:space="preserve">Publications and articles no longer to be offered for sale or </w:t>
      </w:r>
      <w:r w:rsidR="00FF142A">
        <w:rPr>
          <w:lang w:val="en-US"/>
        </w:rPr>
        <w:t xml:space="preserve">intended for </w:t>
      </w:r>
      <w:r w:rsidRPr="00755453">
        <w:rPr>
          <w:lang w:val="en-US"/>
        </w:rPr>
        <w:t>free-of-charge distribution will have their net carrying amount reduced to zero.</w:t>
      </w:r>
    </w:p>
    <w:p w:rsidR="0022373A" w:rsidRPr="001C2A98" w:rsidRDefault="0022373A" w:rsidP="005A0F7C">
      <w:pPr>
        <w:pStyle w:val="Heading5"/>
        <w:jc w:val="both"/>
        <w:rPr>
          <w:u w:val="single"/>
          <w:lang w:val="en-US"/>
        </w:rPr>
      </w:pPr>
      <w:bookmarkStart w:id="46" w:name="_Toc305764070"/>
      <w:bookmarkStart w:id="47" w:name="_Toc329011618"/>
      <w:r w:rsidRPr="001C2A98">
        <w:rPr>
          <w:u w:val="single"/>
          <w:lang w:val="en-US"/>
        </w:rPr>
        <w:t>Property</w:t>
      </w:r>
      <w:r w:rsidR="005A0F7C">
        <w:rPr>
          <w:u w:val="single"/>
          <w:lang w:val="en-US"/>
        </w:rPr>
        <w:t xml:space="preserve"> and</w:t>
      </w:r>
      <w:r w:rsidRPr="001C2A98">
        <w:rPr>
          <w:u w:val="single"/>
          <w:lang w:val="en-US"/>
        </w:rPr>
        <w:t xml:space="preserve"> equipment</w:t>
      </w:r>
      <w:bookmarkEnd w:id="46"/>
      <w:bookmarkEnd w:id="47"/>
    </w:p>
    <w:p w:rsidR="0022373A" w:rsidRPr="001C2A98" w:rsidRDefault="0022373A" w:rsidP="005A0F7C">
      <w:pPr>
        <w:jc w:val="both"/>
        <w:rPr>
          <w:lang w:val="en-US"/>
        </w:rPr>
      </w:pPr>
      <w:r w:rsidRPr="001C2A98">
        <w:rPr>
          <w:lang w:val="en-US"/>
        </w:rPr>
        <w:t>Property</w:t>
      </w:r>
      <w:r w:rsidR="005A0F7C">
        <w:rPr>
          <w:lang w:val="en-US"/>
        </w:rPr>
        <w:t xml:space="preserve"> and </w:t>
      </w:r>
      <w:r w:rsidRPr="001C2A98">
        <w:rPr>
          <w:lang w:val="en-US"/>
        </w:rPr>
        <w:t>equipment held by ITU are valued at historical cost less accumulated depreciation and accumulated impairment losses. Buildings were recognized in the opening statement of financial position under IPSAS on 1 January 2010 at their intrinsic value, on the basis</w:t>
      </w:r>
      <w:r w:rsidR="00EE08C2">
        <w:rPr>
          <w:lang w:val="en-US"/>
        </w:rPr>
        <w:t xml:space="preserve"> </w:t>
      </w:r>
      <w:r w:rsidRPr="001C2A98">
        <w:rPr>
          <w:lang w:val="en-US"/>
        </w:rPr>
        <w:t xml:space="preserve">of the study conducted by an external consultancy. Recognition of </w:t>
      </w:r>
      <w:r w:rsidR="00990DB2">
        <w:rPr>
          <w:lang w:val="en-US"/>
        </w:rPr>
        <w:t xml:space="preserve">the </w:t>
      </w:r>
      <w:r w:rsidRPr="001C2A98">
        <w:rPr>
          <w:lang w:val="en-US"/>
        </w:rPr>
        <w:t xml:space="preserve">buildings </w:t>
      </w:r>
      <w:r w:rsidR="00990DB2">
        <w:rPr>
          <w:lang w:val="en-US"/>
        </w:rPr>
        <w:t xml:space="preserve">value </w:t>
      </w:r>
      <w:r w:rsidRPr="001C2A98">
        <w:rPr>
          <w:lang w:val="en-US"/>
        </w:rPr>
        <w:t xml:space="preserve">was </w:t>
      </w:r>
      <w:r w:rsidR="000064A3">
        <w:rPr>
          <w:lang w:val="en-US"/>
        </w:rPr>
        <w:t>carried out</w:t>
      </w:r>
      <w:r w:rsidRPr="001C2A98">
        <w:rPr>
          <w:lang w:val="en-US"/>
        </w:rPr>
        <w:t xml:space="preserve"> using the component-based approach. Land is not taken into account when calculating the</w:t>
      </w:r>
      <w:r w:rsidR="00EE08C2">
        <w:rPr>
          <w:lang w:val="en-US"/>
        </w:rPr>
        <w:t xml:space="preserve"> </w:t>
      </w:r>
      <w:r w:rsidRPr="001C2A98">
        <w:rPr>
          <w:lang w:val="en-US"/>
        </w:rPr>
        <w:t>intrinsic value of</w:t>
      </w:r>
      <w:r w:rsidR="00193AEF">
        <w:rPr>
          <w:lang w:val="en-US"/>
        </w:rPr>
        <w:t xml:space="preserve"> </w:t>
      </w:r>
      <w:r w:rsidRPr="001C2A98">
        <w:rPr>
          <w:lang w:val="en-US"/>
        </w:rPr>
        <w:t>the buildings. The land rights (right of superficies) concerning the land areas made available by the State of Geneva is without cost to the Union.</w:t>
      </w:r>
    </w:p>
    <w:p w:rsidR="0022373A" w:rsidRPr="001C2A98" w:rsidRDefault="0022373A" w:rsidP="00A027BD">
      <w:pPr>
        <w:jc w:val="both"/>
        <w:rPr>
          <w:lang w:val="en-US"/>
        </w:rPr>
      </w:pPr>
      <w:r w:rsidRPr="001C2A98">
        <w:rPr>
          <w:lang w:val="en-US"/>
        </w:rPr>
        <w:t xml:space="preserve">In-kind gifts are measured at fair value estimated at the date of receipt of the movable assets. </w:t>
      </w:r>
      <w:r w:rsidRPr="00E353F8">
        <w:rPr>
          <w:lang w:val="en-US"/>
        </w:rPr>
        <w:t xml:space="preserve">Recognition of revenue associated with in-kind gifts intended for the creation or purchase of a specific asset is spread over a period equal to the depreciation </w:t>
      </w:r>
      <w:r w:rsidRPr="00EE08C2">
        <w:rPr>
          <w:lang w:val="en-US"/>
        </w:rPr>
        <w:t>time</w:t>
      </w:r>
      <w:r w:rsidRPr="00E353F8">
        <w:rPr>
          <w:lang w:val="en-US"/>
        </w:rPr>
        <w:t xml:space="preserve"> of the </w:t>
      </w:r>
      <w:r w:rsidR="00990DB2">
        <w:rPr>
          <w:lang w:val="en-US"/>
        </w:rPr>
        <w:t xml:space="preserve">concerned </w:t>
      </w:r>
      <w:r w:rsidRPr="00E353F8">
        <w:rPr>
          <w:lang w:val="en-US"/>
        </w:rPr>
        <w:t>asset as from the date of its bringing into use.</w:t>
      </w:r>
    </w:p>
    <w:p w:rsidR="0022373A" w:rsidRPr="001C2A98" w:rsidRDefault="0022373A" w:rsidP="00A027BD">
      <w:pPr>
        <w:jc w:val="both"/>
        <w:rPr>
          <w:lang w:val="en-US"/>
        </w:rPr>
      </w:pPr>
      <w:r w:rsidRPr="001C2A98">
        <w:rPr>
          <w:lang w:val="en-US"/>
        </w:rPr>
        <w:t>Goods with a value equal to or higher than CHF 5</w:t>
      </w:r>
      <w:r w:rsidR="007A552E">
        <w:rPr>
          <w:lang w:val="en-US"/>
        </w:rPr>
        <w:t>’</w:t>
      </w:r>
      <w:r>
        <w:rPr>
          <w:lang w:val="en-US"/>
        </w:rPr>
        <w:t>000</w:t>
      </w:r>
      <w:r w:rsidRPr="001C2A98">
        <w:rPr>
          <w:lang w:val="en-US"/>
        </w:rPr>
        <w:t xml:space="preserve"> are capitalized at the time of receipt and subsequently depreciated on a straight-line basis.</w:t>
      </w:r>
    </w:p>
    <w:p w:rsidR="0022373A" w:rsidRPr="001C2A98" w:rsidRDefault="0022373A" w:rsidP="00A027BD">
      <w:pPr>
        <w:jc w:val="both"/>
        <w:rPr>
          <w:b/>
          <w:bCs/>
          <w:lang w:val="en-US"/>
        </w:rPr>
      </w:pPr>
      <w:r w:rsidRPr="001C2A98">
        <w:rPr>
          <w:bCs/>
          <w:lang w:val="en-US"/>
        </w:rPr>
        <w:t>Goods with a cost lower than CHF 5</w:t>
      </w:r>
      <w:r w:rsidR="007A552E">
        <w:rPr>
          <w:bCs/>
          <w:lang w:val="en-US"/>
        </w:rPr>
        <w:t>’</w:t>
      </w:r>
      <w:r>
        <w:rPr>
          <w:bCs/>
          <w:lang w:val="en-US"/>
        </w:rPr>
        <w:t>000</w:t>
      </w:r>
      <w:r w:rsidRPr="001C2A98">
        <w:rPr>
          <w:bCs/>
          <w:lang w:val="en-US"/>
        </w:rPr>
        <w:t xml:space="preserve"> (low-value goods) are capitalized during the month of acquisition and fully recognized as expenses in the statement of financial performance at the monthly closure following acquisition.</w:t>
      </w:r>
    </w:p>
    <w:p w:rsidR="0022373A" w:rsidRPr="001C2A98" w:rsidRDefault="0022373A" w:rsidP="005A0F7C">
      <w:pPr>
        <w:jc w:val="both"/>
        <w:rPr>
          <w:lang w:val="en-US"/>
        </w:rPr>
      </w:pPr>
      <w:r w:rsidRPr="001C2A98">
        <w:rPr>
          <w:lang w:val="en-US"/>
        </w:rPr>
        <w:t>Property</w:t>
      </w:r>
      <w:r w:rsidR="005A0F7C">
        <w:rPr>
          <w:lang w:val="en-US"/>
        </w:rPr>
        <w:t xml:space="preserve"> and</w:t>
      </w:r>
      <w:r w:rsidRPr="001C2A98">
        <w:rPr>
          <w:lang w:val="en-US"/>
        </w:rPr>
        <w:t xml:space="preserve"> equipment acquired in connectio</w:t>
      </w:r>
      <w:r w:rsidR="00EC4859">
        <w:rPr>
          <w:lang w:val="en-US"/>
        </w:rPr>
        <w:t xml:space="preserve">n with projects conducted under </w:t>
      </w:r>
      <w:r w:rsidR="00C81B79">
        <w:rPr>
          <w:lang w:val="en-US"/>
        </w:rPr>
        <w:t>Extra-budgetary</w:t>
      </w:r>
      <w:r w:rsidRPr="001C2A98">
        <w:rPr>
          <w:lang w:val="en-US"/>
        </w:rPr>
        <w:t xml:space="preserve"> activities (in particular projects of the United Nations Development </w:t>
      </w:r>
      <w:proofErr w:type="spellStart"/>
      <w:r w:rsidRPr="001C2A98">
        <w:rPr>
          <w:lang w:val="en-US"/>
        </w:rPr>
        <w:t>Programme</w:t>
      </w:r>
      <w:proofErr w:type="spellEnd"/>
      <w:r w:rsidRPr="001C2A98">
        <w:rPr>
          <w:lang w:val="en-US"/>
        </w:rPr>
        <w:t>, nationally-executed projects and voluntary contributions) are fully recognized as expenses in the statement of financial performance at the monthly closure following acquisition.</w:t>
      </w:r>
    </w:p>
    <w:p w:rsidR="0022373A" w:rsidRPr="001C2A98" w:rsidRDefault="0022373A" w:rsidP="00A027BD">
      <w:pPr>
        <w:jc w:val="both"/>
        <w:rPr>
          <w:lang w:val="en-US"/>
        </w:rPr>
      </w:pPr>
      <w:r w:rsidRPr="001C2A98">
        <w:rPr>
          <w:lang w:val="en-US"/>
        </w:rPr>
        <w:t xml:space="preserve">Subsequent costs related to fixed assets are capitalized and depreciated when they bring about an increase in service potential associated with use of the fixed asset and do not concern maintenance or repair costs for the </w:t>
      </w:r>
      <w:r w:rsidR="00480A04">
        <w:rPr>
          <w:lang w:val="en-US"/>
        </w:rPr>
        <w:t xml:space="preserve">concerned </w:t>
      </w:r>
      <w:r w:rsidRPr="001C2A98">
        <w:rPr>
          <w:lang w:val="en-US"/>
        </w:rPr>
        <w:t>fixed asset, these being recognized in the statement of financial performance.</w:t>
      </w:r>
    </w:p>
    <w:p w:rsidR="00DC13E1" w:rsidRDefault="0022373A" w:rsidP="00B04210">
      <w:pPr>
        <w:jc w:val="both"/>
        <w:rPr>
          <w:lang w:val="en-US"/>
        </w:rPr>
      </w:pPr>
      <w:r w:rsidRPr="001C2A98">
        <w:rPr>
          <w:lang w:val="en-US"/>
        </w:rPr>
        <w:t>Where a fixed asset comprises several significant components having different useful lives, each component is recognized separately. Depreciation is calculated on a straight-line basis according to the estimated useful life of each item, with a final residual period, if applicable. The residual values and useful lives of assets, as well as the depreciation methods, are reviewed, and adjusted if necessary, at each annual closure.</w:t>
      </w:r>
    </w:p>
    <w:p w:rsidR="000D09E0" w:rsidRDefault="000D09E0">
      <w:pPr>
        <w:tabs>
          <w:tab w:val="clear" w:pos="567"/>
          <w:tab w:val="clear" w:pos="1134"/>
          <w:tab w:val="clear" w:pos="1701"/>
          <w:tab w:val="clear" w:pos="2268"/>
          <w:tab w:val="clear" w:pos="2835"/>
        </w:tabs>
        <w:overflowPunct/>
        <w:autoSpaceDE/>
        <w:autoSpaceDN/>
        <w:adjustRightInd/>
        <w:spacing w:before="0"/>
        <w:textAlignment w:val="auto"/>
        <w:rPr>
          <w:lang w:val="en-US"/>
        </w:rPr>
      </w:pPr>
      <w:r>
        <w:rPr>
          <w:lang w:val="en-US"/>
        </w:rPr>
        <w:br w:type="page"/>
      </w:r>
    </w:p>
    <w:p w:rsidR="0022373A" w:rsidRDefault="0022373A" w:rsidP="000D09E0">
      <w:pPr>
        <w:snapToGrid w:val="0"/>
        <w:spacing w:after="120"/>
        <w:jc w:val="both"/>
        <w:rPr>
          <w:lang w:val="en-US"/>
        </w:rPr>
      </w:pPr>
      <w:r w:rsidRPr="001C2A98">
        <w:rPr>
          <w:lang w:val="en-US"/>
        </w:rPr>
        <w:t>Average useful lives are taken to be as follows: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2"/>
        <w:gridCol w:w="3481"/>
      </w:tblGrid>
      <w:tr w:rsidR="0022373A" w:rsidRPr="00EE08C2" w:rsidTr="00224A06">
        <w:trPr>
          <w:trHeight w:val="397"/>
        </w:trPr>
        <w:tc>
          <w:tcPr>
            <w:tcW w:w="6182" w:type="dxa"/>
            <w:tcBorders>
              <w:bottom w:val="single" w:sz="4" w:space="0" w:color="auto"/>
            </w:tcBorders>
            <w:vAlign w:val="center"/>
          </w:tcPr>
          <w:p w:rsidR="0022373A" w:rsidRPr="00EE08C2" w:rsidRDefault="0022373A" w:rsidP="00EE08C2">
            <w:pPr>
              <w:pStyle w:val="Tablehead"/>
              <w:spacing w:before="0" w:after="0"/>
              <w:rPr>
                <w:szCs w:val="18"/>
                <w:lang w:val="en-US" w:eastAsia="fr-FR"/>
              </w:rPr>
            </w:pPr>
            <w:r w:rsidRPr="00EE08C2">
              <w:rPr>
                <w:bCs/>
                <w:color w:val="000000"/>
                <w:szCs w:val="18"/>
                <w:lang w:val="en-US"/>
              </w:rPr>
              <w:t>Categories and subcategories of assets</w:t>
            </w:r>
          </w:p>
        </w:tc>
        <w:tc>
          <w:tcPr>
            <w:tcW w:w="3481" w:type="dxa"/>
            <w:tcBorders>
              <w:bottom w:val="single" w:sz="4" w:space="0" w:color="auto"/>
            </w:tcBorders>
            <w:vAlign w:val="center"/>
          </w:tcPr>
          <w:p w:rsidR="0022373A" w:rsidRPr="00EE08C2" w:rsidRDefault="0022373A" w:rsidP="00EE08C2">
            <w:pPr>
              <w:pStyle w:val="Tablehead"/>
              <w:spacing w:before="0" w:after="0"/>
              <w:rPr>
                <w:szCs w:val="18"/>
                <w:lang w:val="en-US" w:eastAsia="fr-FR"/>
              </w:rPr>
            </w:pPr>
            <w:r w:rsidRPr="00EE08C2">
              <w:rPr>
                <w:bCs/>
                <w:color w:val="000000"/>
                <w:szCs w:val="18"/>
                <w:lang w:val="en-US"/>
              </w:rPr>
              <w:t>Estimated useful life (in years)</w:t>
            </w:r>
          </w:p>
        </w:tc>
      </w:tr>
      <w:tr w:rsidR="0022373A" w:rsidRPr="00EE08C2" w:rsidTr="00224A06">
        <w:tc>
          <w:tcPr>
            <w:tcW w:w="6182" w:type="dxa"/>
            <w:tcBorders>
              <w:bottom w:val="nil"/>
              <w:right w:val="single" w:sz="4" w:space="0" w:color="auto"/>
            </w:tcBorders>
          </w:tcPr>
          <w:p w:rsidR="0022373A" w:rsidRPr="00EE08C2" w:rsidRDefault="0022373A" w:rsidP="00C60CF6">
            <w:pPr>
              <w:pStyle w:val="Tabletext"/>
              <w:spacing w:before="20" w:after="20"/>
              <w:rPr>
                <w:szCs w:val="18"/>
                <w:lang w:val="en-US" w:eastAsia="fr-FR"/>
              </w:rPr>
            </w:pPr>
            <w:r w:rsidRPr="00EE08C2">
              <w:rPr>
                <w:color w:val="000000"/>
                <w:szCs w:val="18"/>
                <w:lang w:val="en-US"/>
              </w:rPr>
              <w:t>Buildings</w:t>
            </w:r>
          </w:p>
        </w:tc>
        <w:tc>
          <w:tcPr>
            <w:tcW w:w="3481" w:type="dxa"/>
            <w:tcBorders>
              <w:left w:val="single" w:sz="4" w:space="0" w:color="auto"/>
              <w:bottom w:val="nil"/>
            </w:tcBorders>
          </w:tcPr>
          <w:p w:rsidR="0022373A" w:rsidRPr="00EE08C2" w:rsidRDefault="0022373A" w:rsidP="00C60CF6">
            <w:pPr>
              <w:pStyle w:val="Tabletext"/>
              <w:spacing w:before="20" w:after="20"/>
              <w:ind w:right="424"/>
              <w:jc w:val="right"/>
              <w:rPr>
                <w:szCs w:val="18"/>
                <w:lang w:val="en-US" w:eastAsia="fr-FR"/>
              </w:rPr>
            </w:pPr>
          </w:p>
        </w:tc>
      </w:tr>
      <w:tr w:rsidR="0022373A" w:rsidRPr="00EE08C2" w:rsidTr="00224A06">
        <w:tc>
          <w:tcPr>
            <w:tcW w:w="6182" w:type="dxa"/>
            <w:tcBorders>
              <w:top w:val="nil"/>
              <w:bottom w:val="nil"/>
              <w:right w:val="single" w:sz="4" w:space="0" w:color="auto"/>
            </w:tcBorders>
          </w:tcPr>
          <w:p w:rsidR="0022373A" w:rsidRPr="00EE08C2" w:rsidRDefault="0022373A" w:rsidP="00C60CF6">
            <w:pPr>
              <w:spacing w:before="20"/>
              <w:rPr>
                <w:color w:val="000000"/>
                <w:sz w:val="22"/>
                <w:szCs w:val="18"/>
                <w:lang w:val="en-US"/>
              </w:rPr>
            </w:pPr>
            <w:r w:rsidRPr="00EE08C2">
              <w:rPr>
                <w:color w:val="000000"/>
                <w:sz w:val="22"/>
                <w:szCs w:val="18"/>
                <w:lang w:val="en-US"/>
              </w:rPr>
              <w:tab/>
              <w:t>Structure</w:t>
            </w:r>
          </w:p>
        </w:tc>
        <w:tc>
          <w:tcPr>
            <w:tcW w:w="3481" w:type="dxa"/>
            <w:tcBorders>
              <w:top w:val="nil"/>
              <w:left w:val="single" w:sz="4" w:space="0" w:color="auto"/>
              <w:bottom w:val="nil"/>
            </w:tcBorders>
          </w:tcPr>
          <w:p w:rsidR="0022373A" w:rsidRPr="00EE08C2" w:rsidRDefault="0022373A" w:rsidP="00C60CF6">
            <w:pPr>
              <w:pStyle w:val="Tabletext"/>
              <w:spacing w:before="20" w:after="0"/>
              <w:ind w:right="424"/>
              <w:jc w:val="right"/>
              <w:rPr>
                <w:szCs w:val="18"/>
                <w:lang w:val="en-US" w:eastAsia="fr-FR"/>
              </w:rPr>
            </w:pPr>
            <w:r w:rsidRPr="00EE08C2">
              <w:rPr>
                <w:szCs w:val="18"/>
                <w:lang w:val="en-US" w:eastAsia="fr-FR"/>
              </w:rPr>
              <w:t>100</w:t>
            </w:r>
          </w:p>
        </w:tc>
      </w:tr>
      <w:tr w:rsidR="0022373A" w:rsidRPr="00EE08C2" w:rsidTr="00224A06">
        <w:tc>
          <w:tcPr>
            <w:tcW w:w="6182" w:type="dxa"/>
            <w:tcBorders>
              <w:top w:val="nil"/>
              <w:bottom w:val="nil"/>
              <w:right w:val="single" w:sz="4" w:space="0" w:color="auto"/>
            </w:tcBorders>
          </w:tcPr>
          <w:p w:rsidR="0022373A" w:rsidRPr="00EE08C2" w:rsidRDefault="0022373A" w:rsidP="00C60CF6">
            <w:pPr>
              <w:spacing w:before="20"/>
              <w:rPr>
                <w:color w:val="000000"/>
                <w:sz w:val="22"/>
                <w:szCs w:val="18"/>
                <w:lang w:val="en-US"/>
              </w:rPr>
            </w:pPr>
            <w:r w:rsidRPr="00EE08C2">
              <w:rPr>
                <w:color w:val="000000"/>
                <w:sz w:val="22"/>
                <w:szCs w:val="18"/>
                <w:lang w:val="en-US"/>
              </w:rPr>
              <w:tab/>
              <w:t>Envelope (flat roof, insulation, sealing…)</w:t>
            </w:r>
          </w:p>
        </w:tc>
        <w:tc>
          <w:tcPr>
            <w:tcW w:w="3481" w:type="dxa"/>
            <w:tcBorders>
              <w:top w:val="nil"/>
              <w:left w:val="single" w:sz="4" w:space="0" w:color="auto"/>
              <w:bottom w:val="nil"/>
            </w:tcBorders>
          </w:tcPr>
          <w:p w:rsidR="0022373A" w:rsidRPr="00EE08C2" w:rsidRDefault="0022373A" w:rsidP="00C60CF6">
            <w:pPr>
              <w:pStyle w:val="Tabletext"/>
              <w:spacing w:before="20" w:after="0"/>
              <w:ind w:right="424"/>
              <w:jc w:val="right"/>
              <w:rPr>
                <w:szCs w:val="18"/>
                <w:lang w:val="en-US" w:eastAsia="fr-FR"/>
              </w:rPr>
            </w:pPr>
            <w:r w:rsidRPr="00EE08C2">
              <w:rPr>
                <w:szCs w:val="18"/>
                <w:lang w:val="en-US" w:eastAsia="fr-FR"/>
              </w:rPr>
              <w:t>60</w:t>
            </w:r>
          </w:p>
        </w:tc>
      </w:tr>
      <w:tr w:rsidR="0022373A" w:rsidRPr="00EE08C2" w:rsidTr="00224A06">
        <w:tc>
          <w:tcPr>
            <w:tcW w:w="6182" w:type="dxa"/>
            <w:tcBorders>
              <w:top w:val="nil"/>
              <w:bottom w:val="nil"/>
              <w:right w:val="single" w:sz="4" w:space="0" w:color="auto"/>
            </w:tcBorders>
          </w:tcPr>
          <w:p w:rsidR="0022373A" w:rsidRPr="00EE08C2" w:rsidRDefault="0022373A" w:rsidP="00C60CF6">
            <w:pPr>
              <w:spacing w:before="20"/>
              <w:rPr>
                <w:color w:val="000000"/>
                <w:sz w:val="22"/>
                <w:szCs w:val="18"/>
                <w:lang w:val="en-US"/>
              </w:rPr>
            </w:pPr>
            <w:r w:rsidRPr="00EE08C2">
              <w:rPr>
                <w:color w:val="000000"/>
                <w:sz w:val="22"/>
                <w:szCs w:val="18"/>
                <w:lang w:val="en-US"/>
              </w:rPr>
              <w:tab/>
              <w:t xml:space="preserve">Envelope (metal façades, </w:t>
            </w:r>
            <w:r w:rsidR="005D13F6" w:rsidRPr="00EE08C2">
              <w:rPr>
                <w:color w:val="000000"/>
                <w:sz w:val="22"/>
                <w:szCs w:val="18"/>
                <w:lang w:val="en-US"/>
              </w:rPr>
              <w:t>aluminum</w:t>
            </w:r>
            <w:r w:rsidRPr="00EE08C2">
              <w:rPr>
                <w:color w:val="000000"/>
                <w:sz w:val="22"/>
                <w:szCs w:val="18"/>
                <w:lang w:val="en-US"/>
              </w:rPr>
              <w:t xml:space="preserve"> window-frames…)</w:t>
            </w:r>
          </w:p>
        </w:tc>
        <w:tc>
          <w:tcPr>
            <w:tcW w:w="3481" w:type="dxa"/>
            <w:tcBorders>
              <w:top w:val="nil"/>
              <w:left w:val="single" w:sz="4" w:space="0" w:color="auto"/>
              <w:bottom w:val="nil"/>
            </w:tcBorders>
          </w:tcPr>
          <w:p w:rsidR="0022373A" w:rsidRPr="00EE08C2" w:rsidRDefault="0022373A" w:rsidP="00C60CF6">
            <w:pPr>
              <w:pStyle w:val="Tabletext"/>
              <w:spacing w:before="20" w:after="0"/>
              <w:ind w:right="424"/>
              <w:jc w:val="right"/>
              <w:rPr>
                <w:szCs w:val="18"/>
                <w:lang w:val="en-US" w:eastAsia="fr-FR"/>
              </w:rPr>
            </w:pPr>
            <w:r w:rsidRPr="00EE08C2">
              <w:rPr>
                <w:szCs w:val="18"/>
                <w:lang w:val="en-US" w:eastAsia="fr-FR"/>
              </w:rPr>
              <w:t>50</w:t>
            </w:r>
          </w:p>
        </w:tc>
      </w:tr>
      <w:tr w:rsidR="0022373A" w:rsidRPr="00EE08C2" w:rsidTr="00224A06">
        <w:tc>
          <w:tcPr>
            <w:tcW w:w="6182" w:type="dxa"/>
            <w:tcBorders>
              <w:top w:val="nil"/>
              <w:bottom w:val="nil"/>
              <w:right w:val="single" w:sz="4" w:space="0" w:color="auto"/>
            </w:tcBorders>
          </w:tcPr>
          <w:p w:rsidR="0022373A" w:rsidRPr="00EE08C2" w:rsidRDefault="0022373A" w:rsidP="00C60CF6">
            <w:pPr>
              <w:spacing w:before="20"/>
              <w:rPr>
                <w:color w:val="000000"/>
                <w:sz w:val="22"/>
                <w:szCs w:val="18"/>
                <w:lang w:val="en-US"/>
              </w:rPr>
            </w:pPr>
            <w:r w:rsidRPr="00EE08C2">
              <w:rPr>
                <w:color w:val="000000"/>
                <w:sz w:val="22"/>
                <w:szCs w:val="18"/>
                <w:lang w:val="en-US"/>
              </w:rPr>
              <w:tab/>
              <w:t>Interior finishing (raised flooring, partitions…)</w:t>
            </w:r>
          </w:p>
        </w:tc>
        <w:tc>
          <w:tcPr>
            <w:tcW w:w="3481" w:type="dxa"/>
            <w:tcBorders>
              <w:top w:val="nil"/>
              <w:left w:val="single" w:sz="4" w:space="0" w:color="auto"/>
              <w:bottom w:val="nil"/>
            </w:tcBorders>
          </w:tcPr>
          <w:p w:rsidR="0022373A" w:rsidRPr="00EE08C2" w:rsidRDefault="0022373A" w:rsidP="00C60CF6">
            <w:pPr>
              <w:pStyle w:val="Tabletext"/>
              <w:spacing w:before="20" w:after="0"/>
              <w:ind w:right="424"/>
              <w:jc w:val="right"/>
              <w:rPr>
                <w:szCs w:val="18"/>
                <w:lang w:val="en-US" w:eastAsia="fr-FR"/>
              </w:rPr>
            </w:pPr>
            <w:r w:rsidRPr="00EE08C2">
              <w:rPr>
                <w:szCs w:val="18"/>
                <w:lang w:val="en-US" w:eastAsia="fr-FR"/>
              </w:rPr>
              <w:t>50</w:t>
            </w:r>
          </w:p>
        </w:tc>
      </w:tr>
      <w:tr w:rsidR="0022373A" w:rsidRPr="00EE08C2" w:rsidTr="00224A06">
        <w:tc>
          <w:tcPr>
            <w:tcW w:w="6182" w:type="dxa"/>
            <w:tcBorders>
              <w:top w:val="nil"/>
              <w:bottom w:val="nil"/>
              <w:right w:val="single" w:sz="4" w:space="0" w:color="auto"/>
            </w:tcBorders>
          </w:tcPr>
          <w:p w:rsidR="0022373A" w:rsidRPr="00EE08C2" w:rsidRDefault="0022373A" w:rsidP="00C60CF6">
            <w:pPr>
              <w:spacing w:before="20"/>
              <w:rPr>
                <w:color w:val="000000"/>
                <w:sz w:val="22"/>
                <w:szCs w:val="18"/>
                <w:lang w:val="en-US"/>
              </w:rPr>
            </w:pPr>
            <w:r w:rsidRPr="00EE08C2">
              <w:rPr>
                <w:color w:val="000000"/>
                <w:sz w:val="22"/>
                <w:szCs w:val="18"/>
                <w:lang w:val="en-US"/>
              </w:rPr>
              <w:tab/>
              <w:t>Interior finishing (floor, wall and ceiling coverings…)</w:t>
            </w:r>
          </w:p>
        </w:tc>
        <w:tc>
          <w:tcPr>
            <w:tcW w:w="3481" w:type="dxa"/>
            <w:tcBorders>
              <w:top w:val="nil"/>
              <w:left w:val="single" w:sz="4" w:space="0" w:color="auto"/>
              <w:bottom w:val="nil"/>
            </w:tcBorders>
          </w:tcPr>
          <w:p w:rsidR="0022373A" w:rsidRPr="00EE08C2" w:rsidRDefault="0022373A" w:rsidP="00C60CF6">
            <w:pPr>
              <w:pStyle w:val="Tabletext"/>
              <w:spacing w:before="20" w:after="0"/>
              <w:ind w:right="424"/>
              <w:jc w:val="right"/>
              <w:rPr>
                <w:szCs w:val="18"/>
                <w:lang w:val="en-US" w:eastAsia="fr-FR"/>
              </w:rPr>
            </w:pPr>
            <w:r w:rsidRPr="00EE08C2">
              <w:rPr>
                <w:szCs w:val="18"/>
                <w:lang w:val="en-US" w:eastAsia="fr-FR"/>
              </w:rPr>
              <w:t>40</w:t>
            </w:r>
          </w:p>
        </w:tc>
      </w:tr>
      <w:tr w:rsidR="0022373A" w:rsidRPr="00EE08C2" w:rsidTr="00224A06">
        <w:tc>
          <w:tcPr>
            <w:tcW w:w="6182" w:type="dxa"/>
            <w:tcBorders>
              <w:top w:val="nil"/>
              <w:bottom w:val="nil"/>
              <w:right w:val="single" w:sz="4" w:space="0" w:color="auto"/>
            </w:tcBorders>
          </w:tcPr>
          <w:p w:rsidR="0022373A" w:rsidRPr="00EE08C2" w:rsidRDefault="0022373A" w:rsidP="00C60CF6">
            <w:pPr>
              <w:spacing w:before="20"/>
              <w:rPr>
                <w:color w:val="000000"/>
                <w:sz w:val="22"/>
                <w:szCs w:val="18"/>
                <w:lang w:val="en-US"/>
              </w:rPr>
            </w:pPr>
            <w:r w:rsidRPr="00EE08C2">
              <w:rPr>
                <w:color w:val="000000"/>
                <w:sz w:val="22"/>
                <w:szCs w:val="18"/>
                <w:lang w:val="en-US"/>
              </w:rPr>
              <w:tab/>
              <w:t>Special equipment</w:t>
            </w:r>
          </w:p>
        </w:tc>
        <w:tc>
          <w:tcPr>
            <w:tcW w:w="3481" w:type="dxa"/>
            <w:tcBorders>
              <w:top w:val="nil"/>
              <w:left w:val="single" w:sz="4" w:space="0" w:color="auto"/>
              <w:bottom w:val="nil"/>
            </w:tcBorders>
          </w:tcPr>
          <w:p w:rsidR="0022373A" w:rsidRPr="00EE08C2" w:rsidRDefault="0022373A" w:rsidP="00C60CF6">
            <w:pPr>
              <w:pStyle w:val="Tabletext"/>
              <w:spacing w:before="20" w:after="0"/>
              <w:ind w:right="424"/>
              <w:jc w:val="right"/>
              <w:rPr>
                <w:szCs w:val="18"/>
                <w:lang w:val="en-US" w:eastAsia="fr-FR"/>
              </w:rPr>
            </w:pPr>
            <w:r w:rsidRPr="00EE08C2">
              <w:rPr>
                <w:szCs w:val="18"/>
                <w:lang w:val="en-US" w:eastAsia="fr-FR"/>
              </w:rPr>
              <w:t>40</w:t>
            </w:r>
          </w:p>
        </w:tc>
      </w:tr>
      <w:tr w:rsidR="0022373A" w:rsidRPr="00EE08C2" w:rsidTr="00224A06">
        <w:tc>
          <w:tcPr>
            <w:tcW w:w="6182" w:type="dxa"/>
            <w:tcBorders>
              <w:top w:val="nil"/>
              <w:bottom w:val="nil"/>
              <w:right w:val="single" w:sz="4" w:space="0" w:color="auto"/>
            </w:tcBorders>
          </w:tcPr>
          <w:p w:rsidR="0022373A" w:rsidRPr="00EE08C2" w:rsidRDefault="0022373A" w:rsidP="00C60CF6">
            <w:pPr>
              <w:spacing w:before="20"/>
              <w:rPr>
                <w:color w:val="000000"/>
                <w:sz w:val="22"/>
                <w:szCs w:val="18"/>
                <w:lang w:val="en-US"/>
              </w:rPr>
            </w:pPr>
            <w:r w:rsidRPr="00EE08C2">
              <w:rPr>
                <w:color w:val="000000"/>
                <w:sz w:val="22"/>
                <w:szCs w:val="18"/>
                <w:lang w:val="en-US"/>
              </w:rPr>
              <w:tab/>
              <w:t>Technical installations (electricity)</w:t>
            </w:r>
          </w:p>
        </w:tc>
        <w:tc>
          <w:tcPr>
            <w:tcW w:w="3481" w:type="dxa"/>
            <w:tcBorders>
              <w:top w:val="nil"/>
              <w:left w:val="single" w:sz="4" w:space="0" w:color="auto"/>
              <w:bottom w:val="nil"/>
            </w:tcBorders>
          </w:tcPr>
          <w:p w:rsidR="0022373A" w:rsidRPr="00EE08C2" w:rsidRDefault="0022373A" w:rsidP="00C60CF6">
            <w:pPr>
              <w:pStyle w:val="Tabletext"/>
              <w:spacing w:before="20" w:after="0"/>
              <w:ind w:right="424"/>
              <w:jc w:val="right"/>
              <w:rPr>
                <w:szCs w:val="18"/>
                <w:lang w:val="en-US" w:eastAsia="fr-FR"/>
              </w:rPr>
            </w:pPr>
            <w:r w:rsidRPr="00EE08C2">
              <w:rPr>
                <w:szCs w:val="18"/>
                <w:lang w:val="en-US" w:eastAsia="fr-FR"/>
              </w:rPr>
              <w:t>50</w:t>
            </w:r>
          </w:p>
        </w:tc>
      </w:tr>
      <w:tr w:rsidR="0022373A" w:rsidRPr="00EE08C2" w:rsidTr="00224A06">
        <w:tc>
          <w:tcPr>
            <w:tcW w:w="6182" w:type="dxa"/>
            <w:tcBorders>
              <w:top w:val="nil"/>
              <w:bottom w:val="nil"/>
              <w:right w:val="single" w:sz="4" w:space="0" w:color="auto"/>
            </w:tcBorders>
          </w:tcPr>
          <w:p w:rsidR="0022373A" w:rsidRPr="00EE08C2" w:rsidRDefault="0022373A" w:rsidP="00C60CF6">
            <w:pPr>
              <w:spacing w:before="20"/>
              <w:rPr>
                <w:color w:val="000000"/>
                <w:sz w:val="22"/>
                <w:szCs w:val="18"/>
                <w:lang w:val="en-US"/>
              </w:rPr>
            </w:pPr>
            <w:r w:rsidRPr="00EE08C2">
              <w:rPr>
                <w:color w:val="000000"/>
                <w:sz w:val="22"/>
                <w:szCs w:val="18"/>
                <w:lang w:val="en-US"/>
              </w:rPr>
              <w:tab/>
              <w:t>Technical installations (plumbing)</w:t>
            </w:r>
          </w:p>
        </w:tc>
        <w:tc>
          <w:tcPr>
            <w:tcW w:w="3481" w:type="dxa"/>
            <w:tcBorders>
              <w:top w:val="nil"/>
              <w:left w:val="single" w:sz="4" w:space="0" w:color="auto"/>
              <w:bottom w:val="nil"/>
            </w:tcBorders>
          </w:tcPr>
          <w:p w:rsidR="0022373A" w:rsidRPr="00EE08C2" w:rsidRDefault="0022373A" w:rsidP="00C60CF6">
            <w:pPr>
              <w:pStyle w:val="Tabletext"/>
              <w:spacing w:before="20" w:after="0"/>
              <w:ind w:right="424"/>
              <w:jc w:val="right"/>
              <w:rPr>
                <w:szCs w:val="18"/>
                <w:lang w:val="en-US" w:eastAsia="fr-FR"/>
              </w:rPr>
            </w:pPr>
            <w:r w:rsidRPr="00EE08C2">
              <w:rPr>
                <w:szCs w:val="18"/>
                <w:lang w:val="en-US" w:eastAsia="fr-FR"/>
              </w:rPr>
              <w:t>40</w:t>
            </w:r>
          </w:p>
        </w:tc>
      </w:tr>
      <w:tr w:rsidR="0022373A" w:rsidRPr="00EE08C2" w:rsidTr="00224A06">
        <w:tc>
          <w:tcPr>
            <w:tcW w:w="6182" w:type="dxa"/>
            <w:tcBorders>
              <w:top w:val="nil"/>
              <w:bottom w:val="nil"/>
              <w:right w:val="single" w:sz="4" w:space="0" w:color="auto"/>
            </w:tcBorders>
          </w:tcPr>
          <w:p w:rsidR="0022373A" w:rsidRPr="00EE08C2" w:rsidRDefault="0022373A" w:rsidP="00C60CF6">
            <w:pPr>
              <w:spacing w:before="20"/>
              <w:rPr>
                <w:color w:val="000000"/>
                <w:sz w:val="22"/>
                <w:szCs w:val="18"/>
                <w:lang w:val="en-US"/>
              </w:rPr>
            </w:pPr>
            <w:r w:rsidRPr="00EE08C2">
              <w:rPr>
                <w:color w:val="000000"/>
                <w:sz w:val="22"/>
                <w:szCs w:val="18"/>
                <w:lang w:val="en-US"/>
              </w:rPr>
              <w:tab/>
              <w:t>Technical installations (heating, ventilation)</w:t>
            </w:r>
          </w:p>
        </w:tc>
        <w:tc>
          <w:tcPr>
            <w:tcW w:w="3481" w:type="dxa"/>
            <w:tcBorders>
              <w:top w:val="nil"/>
              <w:left w:val="single" w:sz="4" w:space="0" w:color="auto"/>
              <w:bottom w:val="nil"/>
            </w:tcBorders>
          </w:tcPr>
          <w:p w:rsidR="0022373A" w:rsidRPr="00EE08C2" w:rsidRDefault="0022373A" w:rsidP="00C60CF6">
            <w:pPr>
              <w:pStyle w:val="Tabletext"/>
              <w:spacing w:before="20" w:after="0"/>
              <w:ind w:right="424"/>
              <w:jc w:val="right"/>
              <w:rPr>
                <w:szCs w:val="18"/>
                <w:lang w:val="en-US" w:eastAsia="fr-FR"/>
              </w:rPr>
            </w:pPr>
            <w:r w:rsidRPr="00EE08C2">
              <w:rPr>
                <w:szCs w:val="18"/>
                <w:lang w:val="en-US" w:eastAsia="fr-FR"/>
              </w:rPr>
              <w:t>30</w:t>
            </w:r>
          </w:p>
        </w:tc>
      </w:tr>
      <w:tr w:rsidR="0022373A" w:rsidRPr="00EE08C2" w:rsidTr="00224A06">
        <w:tc>
          <w:tcPr>
            <w:tcW w:w="6182" w:type="dxa"/>
            <w:tcBorders>
              <w:top w:val="nil"/>
              <w:bottom w:val="nil"/>
              <w:right w:val="single" w:sz="4" w:space="0" w:color="auto"/>
            </w:tcBorders>
          </w:tcPr>
          <w:p w:rsidR="0022373A" w:rsidRPr="00EE08C2" w:rsidRDefault="0022373A" w:rsidP="00C60CF6">
            <w:pPr>
              <w:spacing w:before="20"/>
              <w:rPr>
                <w:color w:val="000000"/>
                <w:sz w:val="22"/>
                <w:szCs w:val="18"/>
                <w:lang w:val="en-US"/>
              </w:rPr>
            </w:pPr>
            <w:r w:rsidRPr="00EE08C2">
              <w:rPr>
                <w:color w:val="000000"/>
                <w:sz w:val="22"/>
                <w:szCs w:val="18"/>
                <w:lang w:val="en-US"/>
              </w:rPr>
              <w:tab/>
              <w:t>Transport facilities</w:t>
            </w:r>
          </w:p>
        </w:tc>
        <w:tc>
          <w:tcPr>
            <w:tcW w:w="3481" w:type="dxa"/>
            <w:tcBorders>
              <w:top w:val="nil"/>
              <w:left w:val="single" w:sz="4" w:space="0" w:color="auto"/>
              <w:bottom w:val="nil"/>
            </w:tcBorders>
          </w:tcPr>
          <w:p w:rsidR="0022373A" w:rsidRPr="00EE08C2" w:rsidRDefault="0022373A" w:rsidP="00C60CF6">
            <w:pPr>
              <w:pStyle w:val="Tabletext"/>
              <w:spacing w:before="20" w:after="0"/>
              <w:ind w:right="424"/>
              <w:jc w:val="right"/>
              <w:rPr>
                <w:szCs w:val="18"/>
                <w:lang w:val="en-US" w:eastAsia="fr-FR"/>
              </w:rPr>
            </w:pPr>
            <w:r w:rsidRPr="00EE08C2">
              <w:rPr>
                <w:szCs w:val="18"/>
                <w:lang w:val="en-US" w:eastAsia="fr-FR"/>
              </w:rPr>
              <w:t>40</w:t>
            </w:r>
          </w:p>
        </w:tc>
      </w:tr>
      <w:tr w:rsidR="0022373A" w:rsidRPr="00EE08C2" w:rsidTr="00224A06">
        <w:trPr>
          <w:trHeight w:val="170"/>
        </w:trPr>
        <w:tc>
          <w:tcPr>
            <w:tcW w:w="6182" w:type="dxa"/>
            <w:tcBorders>
              <w:top w:val="nil"/>
              <w:bottom w:val="nil"/>
              <w:right w:val="single" w:sz="4" w:space="0" w:color="auto"/>
            </w:tcBorders>
          </w:tcPr>
          <w:p w:rsidR="0022373A" w:rsidRPr="00EE08C2" w:rsidRDefault="0022373A" w:rsidP="00C60CF6">
            <w:pPr>
              <w:pStyle w:val="Tabletext"/>
              <w:spacing w:before="20" w:after="20"/>
              <w:rPr>
                <w:sz w:val="12"/>
                <w:szCs w:val="8"/>
                <w:lang w:val="en-US" w:eastAsia="fr-FR"/>
              </w:rPr>
            </w:pPr>
          </w:p>
        </w:tc>
        <w:tc>
          <w:tcPr>
            <w:tcW w:w="3481" w:type="dxa"/>
            <w:tcBorders>
              <w:top w:val="nil"/>
              <w:left w:val="single" w:sz="4" w:space="0" w:color="auto"/>
              <w:bottom w:val="nil"/>
            </w:tcBorders>
          </w:tcPr>
          <w:p w:rsidR="0022373A" w:rsidRPr="00EE08C2" w:rsidRDefault="0022373A" w:rsidP="00C60CF6">
            <w:pPr>
              <w:pStyle w:val="Tabletext"/>
              <w:spacing w:before="20" w:after="20"/>
              <w:ind w:right="424"/>
              <w:jc w:val="right"/>
              <w:rPr>
                <w:sz w:val="12"/>
                <w:szCs w:val="8"/>
                <w:lang w:val="en-US" w:eastAsia="fr-FR"/>
              </w:rPr>
            </w:pPr>
          </w:p>
        </w:tc>
      </w:tr>
      <w:tr w:rsidR="0022373A" w:rsidRPr="00EE08C2" w:rsidTr="00224A06">
        <w:tc>
          <w:tcPr>
            <w:tcW w:w="6182" w:type="dxa"/>
            <w:tcBorders>
              <w:top w:val="nil"/>
              <w:bottom w:val="nil"/>
              <w:right w:val="single" w:sz="4" w:space="0" w:color="auto"/>
            </w:tcBorders>
          </w:tcPr>
          <w:p w:rsidR="0022373A" w:rsidRPr="00EE08C2" w:rsidRDefault="0022373A" w:rsidP="00C60CF6">
            <w:pPr>
              <w:pStyle w:val="Tabletext"/>
              <w:spacing w:before="20" w:after="20"/>
              <w:rPr>
                <w:szCs w:val="18"/>
                <w:lang w:val="en-US" w:eastAsia="fr-FR"/>
              </w:rPr>
            </w:pPr>
            <w:r w:rsidRPr="00EE08C2">
              <w:rPr>
                <w:color w:val="000000"/>
                <w:szCs w:val="18"/>
                <w:lang w:val="en-US"/>
              </w:rPr>
              <w:t>Machinery and equipment</w:t>
            </w:r>
          </w:p>
        </w:tc>
        <w:tc>
          <w:tcPr>
            <w:tcW w:w="3481" w:type="dxa"/>
            <w:tcBorders>
              <w:top w:val="nil"/>
              <w:left w:val="single" w:sz="4" w:space="0" w:color="auto"/>
              <w:bottom w:val="nil"/>
            </w:tcBorders>
          </w:tcPr>
          <w:p w:rsidR="0022373A" w:rsidRPr="00EE08C2" w:rsidRDefault="0022373A" w:rsidP="00C60CF6">
            <w:pPr>
              <w:pStyle w:val="Tabletext"/>
              <w:spacing w:before="20" w:after="20"/>
              <w:ind w:right="424"/>
              <w:jc w:val="right"/>
              <w:rPr>
                <w:szCs w:val="18"/>
                <w:lang w:val="en-US" w:eastAsia="fr-FR"/>
              </w:rPr>
            </w:pPr>
            <w:r w:rsidRPr="00EE08C2">
              <w:rPr>
                <w:szCs w:val="18"/>
                <w:lang w:val="en-US" w:eastAsia="fr-FR"/>
              </w:rPr>
              <w:t>5</w:t>
            </w:r>
          </w:p>
        </w:tc>
      </w:tr>
      <w:tr w:rsidR="0022373A" w:rsidRPr="00EE08C2" w:rsidTr="00224A06">
        <w:tc>
          <w:tcPr>
            <w:tcW w:w="6182" w:type="dxa"/>
            <w:tcBorders>
              <w:top w:val="nil"/>
              <w:bottom w:val="nil"/>
              <w:right w:val="single" w:sz="4" w:space="0" w:color="auto"/>
            </w:tcBorders>
          </w:tcPr>
          <w:p w:rsidR="0022373A" w:rsidRPr="00EE08C2" w:rsidRDefault="0022373A" w:rsidP="00C60CF6">
            <w:pPr>
              <w:pStyle w:val="Tabletext"/>
              <w:spacing w:before="20" w:after="20"/>
              <w:rPr>
                <w:szCs w:val="18"/>
                <w:lang w:val="en-US" w:eastAsia="fr-FR"/>
              </w:rPr>
            </w:pPr>
            <w:r w:rsidRPr="00EE08C2">
              <w:rPr>
                <w:color w:val="000000"/>
                <w:szCs w:val="18"/>
                <w:lang w:val="en-US"/>
              </w:rPr>
              <w:t>Furniture and fixtures</w:t>
            </w:r>
          </w:p>
        </w:tc>
        <w:tc>
          <w:tcPr>
            <w:tcW w:w="3481" w:type="dxa"/>
            <w:tcBorders>
              <w:top w:val="nil"/>
              <w:left w:val="single" w:sz="4" w:space="0" w:color="auto"/>
              <w:bottom w:val="nil"/>
            </w:tcBorders>
          </w:tcPr>
          <w:p w:rsidR="0022373A" w:rsidRPr="00EE08C2" w:rsidRDefault="0022373A" w:rsidP="00C60CF6">
            <w:pPr>
              <w:pStyle w:val="Tabletext"/>
              <w:spacing w:before="20" w:after="20"/>
              <w:ind w:right="424"/>
              <w:jc w:val="right"/>
              <w:rPr>
                <w:szCs w:val="18"/>
                <w:lang w:val="en-US" w:eastAsia="fr-FR"/>
              </w:rPr>
            </w:pPr>
            <w:r w:rsidRPr="00EE08C2">
              <w:rPr>
                <w:szCs w:val="18"/>
                <w:lang w:val="en-US" w:eastAsia="fr-FR"/>
              </w:rPr>
              <w:t>5</w:t>
            </w:r>
          </w:p>
        </w:tc>
      </w:tr>
      <w:tr w:rsidR="0022373A" w:rsidRPr="00EE08C2" w:rsidTr="00224A06">
        <w:tc>
          <w:tcPr>
            <w:tcW w:w="6182" w:type="dxa"/>
            <w:tcBorders>
              <w:top w:val="nil"/>
              <w:bottom w:val="nil"/>
              <w:right w:val="single" w:sz="4" w:space="0" w:color="auto"/>
            </w:tcBorders>
          </w:tcPr>
          <w:p w:rsidR="0022373A" w:rsidRPr="00EE08C2" w:rsidRDefault="0022373A" w:rsidP="00C60CF6">
            <w:pPr>
              <w:pStyle w:val="Tabletext"/>
              <w:spacing w:before="20" w:after="20"/>
              <w:rPr>
                <w:szCs w:val="18"/>
                <w:lang w:val="en-US" w:eastAsia="fr-FR"/>
              </w:rPr>
            </w:pPr>
            <w:r w:rsidRPr="00EE08C2">
              <w:rPr>
                <w:color w:val="000000"/>
                <w:szCs w:val="18"/>
                <w:lang w:val="en-US"/>
              </w:rPr>
              <w:t>Vehicles</w:t>
            </w:r>
          </w:p>
        </w:tc>
        <w:tc>
          <w:tcPr>
            <w:tcW w:w="3481" w:type="dxa"/>
            <w:tcBorders>
              <w:top w:val="nil"/>
              <w:left w:val="single" w:sz="4" w:space="0" w:color="auto"/>
              <w:bottom w:val="nil"/>
            </w:tcBorders>
          </w:tcPr>
          <w:p w:rsidR="0022373A" w:rsidRPr="00EE08C2" w:rsidRDefault="0022373A" w:rsidP="00C60CF6">
            <w:pPr>
              <w:pStyle w:val="Tabletext"/>
              <w:spacing w:before="20" w:after="20"/>
              <w:ind w:right="424"/>
              <w:jc w:val="right"/>
              <w:rPr>
                <w:szCs w:val="18"/>
                <w:lang w:val="en-US" w:eastAsia="fr-FR"/>
              </w:rPr>
            </w:pPr>
            <w:r w:rsidRPr="00EE08C2">
              <w:rPr>
                <w:szCs w:val="18"/>
                <w:lang w:val="en-US" w:eastAsia="fr-FR"/>
              </w:rPr>
              <w:t>5</w:t>
            </w:r>
          </w:p>
        </w:tc>
      </w:tr>
      <w:tr w:rsidR="0022373A" w:rsidRPr="00EE08C2" w:rsidTr="00224A06">
        <w:tc>
          <w:tcPr>
            <w:tcW w:w="6182" w:type="dxa"/>
            <w:tcBorders>
              <w:top w:val="nil"/>
              <w:bottom w:val="nil"/>
              <w:right w:val="single" w:sz="4" w:space="0" w:color="auto"/>
            </w:tcBorders>
          </w:tcPr>
          <w:p w:rsidR="0022373A" w:rsidRPr="00EE08C2" w:rsidRDefault="0022373A" w:rsidP="00C60CF6">
            <w:pPr>
              <w:pStyle w:val="Tabletext"/>
              <w:spacing w:before="20" w:after="20"/>
              <w:rPr>
                <w:szCs w:val="18"/>
                <w:lang w:val="en-US" w:eastAsia="fr-FR"/>
              </w:rPr>
            </w:pPr>
            <w:r w:rsidRPr="00EE08C2">
              <w:rPr>
                <w:color w:val="000000"/>
                <w:szCs w:val="18"/>
                <w:lang w:val="en-US"/>
              </w:rPr>
              <w:t>Computer hardware</w:t>
            </w:r>
          </w:p>
        </w:tc>
        <w:tc>
          <w:tcPr>
            <w:tcW w:w="3481" w:type="dxa"/>
            <w:tcBorders>
              <w:top w:val="nil"/>
              <w:left w:val="single" w:sz="4" w:space="0" w:color="auto"/>
              <w:bottom w:val="nil"/>
            </w:tcBorders>
          </w:tcPr>
          <w:p w:rsidR="0022373A" w:rsidRPr="00EE08C2" w:rsidRDefault="0022373A" w:rsidP="00C60CF6">
            <w:pPr>
              <w:pStyle w:val="Tabletext"/>
              <w:spacing w:before="20" w:after="20"/>
              <w:ind w:right="424"/>
              <w:jc w:val="right"/>
              <w:rPr>
                <w:szCs w:val="18"/>
                <w:lang w:val="en-US" w:eastAsia="fr-FR"/>
              </w:rPr>
            </w:pPr>
            <w:r w:rsidRPr="00EE08C2">
              <w:rPr>
                <w:szCs w:val="18"/>
                <w:lang w:val="en-US" w:eastAsia="fr-FR"/>
              </w:rPr>
              <w:t>3</w:t>
            </w:r>
          </w:p>
        </w:tc>
      </w:tr>
      <w:tr w:rsidR="0022373A" w:rsidRPr="00EE08C2" w:rsidTr="00224A06">
        <w:tc>
          <w:tcPr>
            <w:tcW w:w="6182" w:type="dxa"/>
            <w:tcBorders>
              <w:top w:val="nil"/>
              <w:bottom w:val="nil"/>
              <w:right w:val="single" w:sz="4" w:space="0" w:color="auto"/>
            </w:tcBorders>
          </w:tcPr>
          <w:p w:rsidR="0022373A" w:rsidRPr="00EE08C2" w:rsidRDefault="0022373A" w:rsidP="00C60CF6">
            <w:pPr>
              <w:pStyle w:val="Tabletext"/>
              <w:spacing w:before="20" w:after="20"/>
              <w:rPr>
                <w:sz w:val="12"/>
                <w:szCs w:val="8"/>
                <w:lang w:val="en-US" w:eastAsia="fr-FR"/>
              </w:rPr>
            </w:pPr>
          </w:p>
        </w:tc>
        <w:tc>
          <w:tcPr>
            <w:tcW w:w="3481" w:type="dxa"/>
            <w:tcBorders>
              <w:top w:val="nil"/>
              <w:left w:val="single" w:sz="4" w:space="0" w:color="auto"/>
              <w:bottom w:val="nil"/>
            </w:tcBorders>
          </w:tcPr>
          <w:p w:rsidR="0022373A" w:rsidRPr="00EE08C2" w:rsidRDefault="0022373A" w:rsidP="00C60CF6">
            <w:pPr>
              <w:pStyle w:val="Tabletext"/>
              <w:spacing w:before="20" w:after="20"/>
              <w:ind w:right="424"/>
              <w:jc w:val="right"/>
              <w:rPr>
                <w:sz w:val="12"/>
                <w:szCs w:val="8"/>
                <w:lang w:val="en-US" w:eastAsia="fr-FR"/>
              </w:rPr>
            </w:pPr>
          </w:p>
        </w:tc>
      </w:tr>
      <w:tr w:rsidR="0022373A" w:rsidRPr="00EE08C2" w:rsidTr="00224A06">
        <w:tc>
          <w:tcPr>
            <w:tcW w:w="6182" w:type="dxa"/>
            <w:tcBorders>
              <w:top w:val="nil"/>
              <w:right w:val="single" w:sz="4" w:space="0" w:color="auto"/>
            </w:tcBorders>
          </w:tcPr>
          <w:p w:rsidR="0022373A" w:rsidRPr="00EE08C2" w:rsidRDefault="009C0AE0" w:rsidP="00C60CF6">
            <w:pPr>
              <w:pStyle w:val="Tabletext"/>
              <w:spacing w:before="20" w:after="20"/>
              <w:rPr>
                <w:szCs w:val="18"/>
                <w:lang w:val="en-US" w:eastAsia="fr-FR"/>
              </w:rPr>
            </w:pPr>
            <w:r w:rsidRPr="00EE08C2">
              <w:rPr>
                <w:color w:val="000000"/>
                <w:szCs w:val="18"/>
                <w:lang w:val="en-US"/>
              </w:rPr>
              <w:t>Licenses</w:t>
            </w:r>
            <w:r w:rsidR="0022373A" w:rsidRPr="00EE08C2">
              <w:rPr>
                <w:color w:val="000000"/>
                <w:szCs w:val="18"/>
                <w:lang w:val="en-US"/>
              </w:rPr>
              <w:t xml:space="preserve"> and software packages</w:t>
            </w:r>
          </w:p>
        </w:tc>
        <w:tc>
          <w:tcPr>
            <w:tcW w:w="3481" w:type="dxa"/>
            <w:tcBorders>
              <w:top w:val="nil"/>
              <w:left w:val="single" w:sz="4" w:space="0" w:color="auto"/>
            </w:tcBorders>
          </w:tcPr>
          <w:p w:rsidR="0022373A" w:rsidRPr="00EE08C2" w:rsidRDefault="0022373A" w:rsidP="00C60CF6">
            <w:pPr>
              <w:pStyle w:val="Tabletext"/>
              <w:spacing w:before="20" w:after="20"/>
              <w:ind w:right="424"/>
              <w:jc w:val="right"/>
              <w:rPr>
                <w:szCs w:val="18"/>
                <w:lang w:val="en-US" w:eastAsia="fr-FR"/>
              </w:rPr>
            </w:pPr>
            <w:r w:rsidRPr="00EE08C2">
              <w:rPr>
                <w:szCs w:val="18"/>
                <w:lang w:val="en-US" w:eastAsia="fr-FR"/>
              </w:rPr>
              <w:t>3</w:t>
            </w:r>
          </w:p>
        </w:tc>
      </w:tr>
    </w:tbl>
    <w:p w:rsidR="0022373A" w:rsidRPr="001C2A98" w:rsidRDefault="0022373A" w:rsidP="005C41A5">
      <w:pPr>
        <w:jc w:val="both"/>
        <w:rPr>
          <w:lang w:val="en-US"/>
        </w:rPr>
      </w:pPr>
      <w:r w:rsidRPr="001C2A98">
        <w:rPr>
          <w:lang w:val="en-US"/>
        </w:rPr>
        <w:t>At each annual closure date, ITU assesses whether there is any indication that an asset may be impaired. If any such indication exists, the recoverable amount of the asset is estimated and an impairment loss is recorded in the statement of financial performance when the carrying amount exceeds the recoverable amount.</w:t>
      </w:r>
    </w:p>
    <w:p w:rsidR="0022373A" w:rsidRPr="001C2A98" w:rsidRDefault="0022373A" w:rsidP="005C41A5">
      <w:pPr>
        <w:jc w:val="both"/>
        <w:rPr>
          <w:lang w:val="en-US"/>
        </w:rPr>
      </w:pPr>
      <w:r w:rsidRPr="001C2A98">
        <w:rPr>
          <w:lang w:val="en-US"/>
        </w:rPr>
        <w:t>The recoverable amount is the higher of the fair value less the costs of disposal, and the value in use. The recoverable amount of an asset is calculated individually. The value in use of fixed assets used for non-commercial purposes corresponds to the present value of the service potential expected from their use.</w:t>
      </w:r>
    </w:p>
    <w:p w:rsidR="0022373A" w:rsidRPr="001C2A98" w:rsidRDefault="0022373A" w:rsidP="005C41A5">
      <w:pPr>
        <w:jc w:val="both"/>
        <w:rPr>
          <w:lang w:val="en-US"/>
        </w:rPr>
      </w:pPr>
      <w:r w:rsidRPr="001C2A98">
        <w:rPr>
          <w:lang w:val="en-US"/>
        </w:rPr>
        <w:t>An impairment loss recognized in prior periods is reversed if there has been change in the estimates of the recoverable amount since the last estimate. The net carrying amount of the asset is increased, but shall not exceed the net carrying amount that would have applied to the asset had no impairment loss been recognized in the first place. The reverse is recorded in the statement of financial performance.</w:t>
      </w:r>
    </w:p>
    <w:p w:rsidR="0022373A" w:rsidRPr="001C2A98" w:rsidRDefault="0022373A" w:rsidP="005C41A5">
      <w:pPr>
        <w:pStyle w:val="Heading5"/>
        <w:jc w:val="both"/>
        <w:rPr>
          <w:u w:val="single"/>
          <w:lang w:val="en-US"/>
        </w:rPr>
      </w:pPr>
      <w:bookmarkStart w:id="48" w:name="_Toc329011619"/>
      <w:r w:rsidRPr="001C2A98">
        <w:rPr>
          <w:u w:val="single"/>
          <w:lang w:val="en-US"/>
        </w:rPr>
        <w:t>Fixed assets acquired under lease</w:t>
      </w:r>
      <w:bookmarkEnd w:id="48"/>
    </w:p>
    <w:p w:rsidR="0022373A" w:rsidRPr="001C2A98" w:rsidRDefault="0022373A" w:rsidP="00B04210">
      <w:pPr>
        <w:jc w:val="both"/>
        <w:rPr>
          <w:lang w:val="en-US"/>
        </w:rPr>
      </w:pPr>
      <w:r w:rsidRPr="001C2A98">
        <w:rPr>
          <w:lang w:val="en-US"/>
        </w:rPr>
        <w:t xml:space="preserve">Within the framework of its activities, ITU may use leased assets. Leases were </w:t>
      </w:r>
      <w:r w:rsidR="00991717" w:rsidRPr="001C2A98">
        <w:rPr>
          <w:lang w:val="en-US"/>
        </w:rPr>
        <w:t>analyzed</w:t>
      </w:r>
      <w:r w:rsidRPr="001C2A98">
        <w:rPr>
          <w:lang w:val="en-US"/>
        </w:rPr>
        <w:t xml:space="preserve"> with respect to the situations described and indicators provided in </w:t>
      </w:r>
      <w:r w:rsidRPr="0076607B">
        <w:rPr>
          <w:lang w:val="en-US"/>
        </w:rPr>
        <w:t xml:space="preserve">IPSAS 13 in order to determine whether they were operating leases or </w:t>
      </w:r>
      <w:r w:rsidRPr="004F546C">
        <w:rPr>
          <w:lang w:val="en-US"/>
        </w:rPr>
        <w:t xml:space="preserve">finance leases. As at 31 December </w:t>
      </w:r>
      <w:r w:rsidR="00111BDD">
        <w:rPr>
          <w:lang w:val="en-US"/>
        </w:rPr>
        <w:t>201</w:t>
      </w:r>
      <w:r w:rsidR="00B04210">
        <w:rPr>
          <w:lang w:val="en-US"/>
        </w:rPr>
        <w:t>7</w:t>
      </w:r>
      <w:r w:rsidRPr="004F546C">
        <w:rPr>
          <w:lang w:val="en-US"/>
        </w:rPr>
        <w:t>, leases concluded by ITU correspond to the definition of operating leases and are recognized as such. Payments made in respect of such leases are recognized as expenses in the statement of financial performance on a straight-line basis over the term of the lease.</w:t>
      </w:r>
    </w:p>
    <w:p w:rsidR="0022373A" w:rsidRPr="001C2A98" w:rsidRDefault="0022373A" w:rsidP="005C41A5">
      <w:pPr>
        <w:pStyle w:val="Heading5"/>
        <w:jc w:val="both"/>
        <w:rPr>
          <w:u w:val="single"/>
          <w:lang w:val="en-US"/>
        </w:rPr>
      </w:pPr>
      <w:bookmarkStart w:id="49" w:name="_Toc305764071"/>
      <w:bookmarkStart w:id="50" w:name="_Toc329011620"/>
      <w:r w:rsidRPr="001C2A98">
        <w:rPr>
          <w:u w:val="single"/>
          <w:lang w:val="en-US"/>
        </w:rPr>
        <w:t>Intangible assets</w:t>
      </w:r>
      <w:bookmarkEnd w:id="49"/>
      <w:bookmarkEnd w:id="50"/>
    </w:p>
    <w:p w:rsidR="002560A2" w:rsidRDefault="0022373A" w:rsidP="00752F2D">
      <w:pPr>
        <w:jc w:val="both"/>
        <w:rPr>
          <w:lang w:val="en-US"/>
        </w:rPr>
      </w:pPr>
      <w:r w:rsidRPr="001C2A98">
        <w:rPr>
          <w:lang w:val="en-US"/>
        </w:rPr>
        <w:t xml:space="preserve">Intangible assets, IT </w:t>
      </w:r>
      <w:r w:rsidR="00F00000" w:rsidRPr="001C2A98">
        <w:rPr>
          <w:lang w:val="en-US"/>
        </w:rPr>
        <w:t>licen</w:t>
      </w:r>
      <w:r w:rsidR="00F00000">
        <w:rPr>
          <w:lang w:val="en-US"/>
        </w:rPr>
        <w:t>s</w:t>
      </w:r>
      <w:r w:rsidR="00F00000" w:rsidRPr="001C2A98">
        <w:rPr>
          <w:lang w:val="en-US"/>
        </w:rPr>
        <w:t>es</w:t>
      </w:r>
      <w:r w:rsidRPr="001C2A98">
        <w:rPr>
          <w:lang w:val="en-US"/>
        </w:rPr>
        <w:t xml:space="preserve"> and software, </w:t>
      </w:r>
      <w:r w:rsidR="00C5350B">
        <w:rPr>
          <w:lang w:val="en-US"/>
        </w:rPr>
        <w:t>with a value higher than CHF 50</w:t>
      </w:r>
      <w:r w:rsidR="007A552E">
        <w:rPr>
          <w:lang w:val="en-US"/>
        </w:rPr>
        <w:t>’</w:t>
      </w:r>
      <w:r w:rsidR="00C5350B">
        <w:rPr>
          <w:lang w:val="en-US"/>
        </w:rPr>
        <w:t xml:space="preserve">000, </w:t>
      </w:r>
      <w:r w:rsidRPr="001C2A98">
        <w:rPr>
          <w:lang w:val="en-US"/>
        </w:rPr>
        <w:t xml:space="preserve">are recognized on the basis of their historical cost less any accumulated depreciation and impairment losses, except in the opening balance sheet where the net value has been used. </w:t>
      </w:r>
      <w:r w:rsidR="001A66BA" w:rsidRPr="001C2A98">
        <w:rPr>
          <w:lang w:val="en-US"/>
        </w:rPr>
        <w:t>Licen</w:t>
      </w:r>
      <w:r w:rsidR="001A66BA">
        <w:rPr>
          <w:lang w:val="en-US"/>
        </w:rPr>
        <w:t>s</w:t>
      </w:r>
      <w:r w:rsidR="001A66BA" w:rsidRPr="001C2A98">
        <w:rPr>
          <w:lang w:val="en-US"/>
        </w:rPr>
        <w:t>es</w:t>
      </w:r>
      <w:r w:rsidRPr="001C2A98">
        <w:rPr>
          <w:lang w:val="en-US"/>
        </w:rPr>
        <w:t>, software packages, patents and rights are amortized on a straight-line basis over a period of three years.</w:t>
      </w:r>
    </w:p>
    <w:p w:rsidR="00C3351C" w:rsidRDefault="0022373A" w:rsidP="005C41A5">
      <w:pPr>
        <w:jc w:val="both"/>
        <w:rPr>
          <w:lang w:val="en-US"/>
        </w:rPr>
      </w:pPr>
      <w:r w:rsidRPr="001C2A98">
        <w:rPr>
          <w:lang w:val="en-US"/>
        </w:rPr>
        <w:t>All cos</w:t>
      </w:r>
      <w:r w:rsidR="00B11AA3">
        <w:rPr>
          <w:lang w:val="en-US"/>
        </w:rPr>
        <w:t>ts equal to or lower than CHF 50</w:t>
      </w:r>
      <w:r w:rsidR="007A552E">
        <w:rPr>
          <w:lang w:val="en-US"/>
        </w:rPr>
        <w:t>’</w:t>
      </w:r>
      <w:r>
        <w:rPr>
          <w:lang w:val="en-US"/>
        </w:rPr>
        <w:t>000</w:t>
      </w:r>
      <w:r w:rsidRPr="001C2A98">
        <w:rPr>
          <w:lang w:val="en-US"/>
        </w:rPr>
        <w:t xml:space="preserve"> are capitalized at the time of receipt of the good</w:t>
      </w:r>
      <w:r w:rsidR="00885437">
        <w:rPr>
          <w:lang w:val="en-US"/>
        </w:rPr>
        <w:t>s</w:t>
      </w:r>
      <w:r w:rsidRPr="001C2A98">
        <w:rPr>
          <w:lang w:val="en-US"/>
        </w:rPr>
        <w:t xml:space="preserve"> and fully recognized as expenses in the statement of financial performance at the monthly closure following acquisition.</w:t>
      </w:r>
    </w:p>
    <w:p w:rsidR="000C705A" w:rsidRPr="00C3351C" w:rsidRDefault="00F00000" w:rsidP="005C41A5">
      <w:pPr>
        <w:jc w:val="both"/>
        <w:rPr>
          <w:lang w:val="en-US"/>
        </w:rPr>
      </w:pPr>
      <w:r w:rsidRPr="00D128FC">
        <w:rPr>
          <w:color w:val="000000"/>
          <w:lang w:val="en-US"/>
        </w:rPr>
        <w:t>Licen</w:t>
      </w:r>
      <w:r>
        <w:rPr>
          <w:color w:val="000000"/>
          <w:lang w:val="en-US"/>
        </w:rPr>
        <w:t>s</w:t>
      </w:r>
      <w:r w:rsidRPr="00D128FC">
        <w:rPr>
          <w:color w:val="000000"/>
          <w:lang w:val="en-US"/>
        </w:rPr>
        <w:t>es</w:t>
      </w:r>
      <w:r w:rsidR="0022373A" w:rsidRPr="00D128FC">
        <w:rPr>
          <w:color w:val="000000"/>
          <w:lang w:val="en-US"/>
        </w:rPr>
        <w:t>, software packages and pat</w:t>
      </w:r>
      <w:r w:rsidR="00FA3992" w:rsidRPr="00D128FC">
        <w:rPr>
          <w:color w:val="000000"/>
          <w:lang w:val="en-US"/>
        </w:rPr>
        <w:t xml:space="preserve">ents developed in house are </w:t>
      </w:r>
      <w:r w:rsidR="0022373A" w:rsidRPr="00D128FC">
        <w:rPr>
          <w:color w:val="000000"/>
          <w:lang w:val="en-US"/>
        </w:rPr>
        <w:t xml:space="preserve">capitalized </w:t>
      </w:r>
      <w:r w:rsidR="00FA3992" w:rsidRPr="00D128FC">
        <w:rPr>
          <w:color w:val="000000"/>
          <w:lang w:val="en-US"/>
        </w:rPr>
        <w:t xml:space="preserve">if </w:t>
      </w:r>
      <w:r w:rsidR="004F7C6A" w:rsidRPr="00D128FC">
        <w:rPr>
          <w:color w:val="000000"/>
          <w:lang w:val="en-US"/>
        </w:rPr>
        <w:t xml:space="preserve">it is probable that ITU will benefit from future economic benefits or service potential attributed to them. </w:t>
      </w:r>
      <w:r w:rsidR="000C705A" w:rsidRPr="00D128FC">
        <w:rPr>
          <w:color w:val="000000"/>
          <w:lang w:val="en-US"/>
        </w:rPr>
        <w:t>Development costs that are directly attributable to the design and testing of identifiable and unique software products controlled by the Union are recognized as intangible assets when the following criteria are met</w:t>
      </w:r>
      <w:r w:rsidR="00C3351C" w:rsidRPr="00D128FC">
        <w:rPr>
          <w:color w:val="000000"/>
          <w:lang w:val="en-US"/>
        </w:rPr>
        <w:t xml:space="preserve"> at the closing date</w:t>
      </w:r>
      <w:r w:rsidR="000C705A" w:rsidRPr="00D128FC">
        <w:rPr>
          <w:color w:val="000000"/>
          <w:lang w:val="en-US"/>
        </w:rPr>
        <w:t>:</w:t>
      </w:r>
    </w:p>
    <w:p w:rsidR="000C705A" w:rsidRPr="00D128FC" w:rsidRDefault="000C705A" w:rsidP="0013363C">
      <w:pPr>
        <w:pStyle w:val="ListParagraph"/>
        <w:numPr>
          <w:ilvl w:val="0"/>
          <w:numId w:val="1"/>
        </w:numPr>
        <w:spacing w:before="120"/>
        <w:ind w:left="714" w:hanging="357"/>
        <w:jc w:val="both"/>
        <w:rPr>
          <w:rFonts w:ascii="Calibri" w:hAnsi="Calibri"/>
          <w:color w:val="000000"/>
          <w:szCs w:val="20"/>
          <w:lang w:eastAsia="en-US"/>
        </w:rPr>
      </w:pPr>
      <w:r w:rsidRPr="00D128FC">
        <w:rPr>
          <w:rFonts w:ascii="Calibri" w:hAnsi="Calibri"/>
          <w:color w:val="000000"/>
        </w:rPr>
        <w:t xml:space="preserve">it is technically feasible to complete the software product so that it will be </w:t>
      </w:r>
      <w:r w:rsidRPr="00D128FC">
        <w:rPr>
          <w:rFonts w:ascii="Calibri" w:hAnsi="Calibri"/>
          <w:color w:val="000000"/>
          <w:szCs w:val="20"/>
          <w:lang w:eastAsia="en-US"/>
        </w:rPr>
        <w:t>available for use;</w:t>
      </w:r>
    </w:p>
    <w:p w:rsidR="000C705A" w:rsidRPr="00D128FC" w:rsidRDefault="000C705A" w:rsidP="0013363C">
      <w:pPr>
        <w:pStyle w:val="ListParagraph"/>
        <w:numPr>
          <w:ilvl w:val="0"/>
          <w:numId w:val="1"/>
        </w:numPr>
        <w:jc w:val="both"/>
        <w:rPr>
          <w:rFonts w:ascii="Calibri" w:hAnsi="Calibri"/>
          <w:color w:val="000000"/>
        </w:rPr>
      </w:pPr>
      <w:r w:rsidRPr="00D128FC">
        <w:rPr>
          <w:rFonts w:ascii="Calibri" w:hAnsi="Calibri"/>
          <w:color w:val="000000"/>
        </w:rPr>
        <w:t>management intends to complete the software product and use or sell it;</w:t>
      </w:r>
    </w:p>
    <w:p w:rsidR="000C705A" w:rsidRPr="00D128FC" w:rsidRDefault="000C705A" w:rsidP="0013363C">
      <w:pPr>
        <w:pStyle w:val="ListParagraph"/>
        <w:numPr>
          <w:ilvl w:val="0"/>
          <w:numId w:val="1"/>
        </w:numPr>
        <w:jc w:val="both"/>
        <w:rPr>
          <w:rFonts w:ascii="Calibri" w:hAnsi="Calibri"/>
          <w:color w:val="000000"/>
        </w:rPr>
      </w:pPr>
      <w:r w:rsidRPr="00D128FC">
        <w:rPr>
          <w:rFonts w:ascii="Calibri" w:hAnsi="Calibri"/>
          <w:color w:val="000000"/>
        </w:rPr>
        <w:t>there is an ability to use or sell the software product;</w:t>
      </w:r>
    </w:p>
    <w:p w:rsidR="000C705A" w:rsidRPr="00D128FC" w:rsidRDefault="000C705A" w:rsidP="0013363C">
      <w:pPr>
        <w:pStyle w:val="ListParagraph"/>
        <w:numPr>
          <w:ilvl w:val="0"/>
          <w:numId w:val="1"/>
        </w:numPr>
        <w:jc w:val="both"/>
        <w:rPr>
          <w:rFonts w:ascii="Calibri" w:hAnsi="Calibri"/>
          <w:color w:val="000000"/>
        </w:rPr>
      </w:pPr>
      <w:r w:rsidRPr="00D128FC">
        <w:rPr>
          <w:rFonts w:ascii="Calibri" w:hAnsi="Calibri"/>
          <w:color w:val="000000"/>
        </w:rPr>
        <w:t>it can be demonstrated how the software product will generate probable future economic benefits;</w:t>
      </w:r>
    </w:p>
    <w:p w:rsidR="000C705A" w:rsidRPr="00D128FC" w:rsidRDefault="000C705A" w:rsidP="0013363C">
      <w:pPr>
        <w:pStyle w:val="ListParagraph"/>
        <w:numPr>
          <w:ilvl w:val="0"/>
          <w:numId w:val="1"/>
        </w:numPr>
        <w:jc w:val="both"/>
        <w:rPr>
          <w:rFonts w:ascii="Calibri" w:hAnsi="Calibri"/>
          <w:color w:val="000000"/>
        </w:rPr>
      </w:pPr>
      <w:proofErr w:type="gramStart"/>
      <w:r w:rsidRPr="00D128FC">
        <w:rPr>
          <w:rFonts w:ascii="Calibri" w:hAnsi="Calibri"/>
          <w:color w:val="000000"/>
        </w:rPr>
        <w:t>adequate</w:t>
      </w:r>
      <w:proofErr w:type="gramEnd"/>
      <w:r w:rsidRPr="00D128FC">
        <w:rPr>
          <w:rFonts w:ascii="Calibri" w:hAnsi="Calibri"/>
          <w:color w:val="000000"/>
        </w:rPr>
        <w:t xml:space="preserve"> technical, financial and other resources to complete the development and to use or sell the software product are available; and the expenditure attributable to the software product during its development can be reliably measured.</w:t>
      </w:r>
    </w:p>
    <w:p w:rsidR="000C705A" w:rsidRPr="000C705A" w:rsidRDefault="000C705A" w:rsidP="005C41A5">
      <w:pPr>
        <w:tabs>
          <w:tab w:val="clear" w:pos="567"/>
          <w:tab w:val="clear" w:pos="1134"/>
          <w:tab w:val="clear" w:pos="1701"/>
          <w:tab w:val="clear" w:pos="2268"/>
          <w:tab w:val="clear" w:pos="2835"/>
        </w:tabs>
        <w:overflowPunct/>
        <w:jc w:val="both"/>
        <w:textAlignment w:val="auto"/>
        <w:rPr>
          <w:lang w:val="en-US"/>
        </w:rPr>
      </w:pPr>
      <w:r w:rsidRPr="000C705A">
        <w:rPr>
          <w:lang w:val="en-US"/>
        </w:rPr>
        <w:t>Directly attributable costs that are capitalized as part of the software product include</w:t>
      </w:r>
      <w:r>
        <w:rPr>
          <w:lang w:val="en-US"/>
        </w:rPr>
        <w:t xml:space="preserve"> t</w:t>
      </w:r>
      <w:r w:rsidRPr="000C705A">
        <w:rPr>
          <w:lang w:val="en-US"/>
        </w:rPr>
        <w:t>he software development employee costs and an appropriate portion of relevant</w:t>
      </w:r>
      <w:r>
        <w:rPr>
          <w:lang w:val="en-US"/>
        </w:rPr>
        <w:t xml:space="preserve"> </w:t>
      </w:r>
      <w:r w:rsidRPr="000C705A">
        <w:rPr>
          <w:lang w:val="en-US"/>
        </w:rPr>
        <w:t>overheads.</w:t>
      </w:r>
    </w:p>
    <w:p w:rsidR="000C705A" w:rsidRPr="000C705A" w:rsidRDefault="000C705A" w:rsidP="005C41A5">
      <w:pPr>
        <w:tabs>
          <w:tab w:val="clear" w:pos="567"/>
          <w:tab w:val="clear" w:pos="1134"/>
          <w:tab w:val="clear" w:pos="1701"/>
          <w:tab w:val="clear" w:pos="2268"/>
          <w:tab w:val="clear" w:pos="2835"/>
        </w:tabs>
        <w:overflowPunct/>
        <w:jc w:val="both"/>
        <w:textAlignment w:val="auto"/>
        <w:rPr>
          <w:lang w:val="en-US"/>
        </w:rPr>
      </w:pPr>
      <w:r w:rsidRPr="000C705A">
        <w:rPr>
          <w:lang w:val="en-US"/>
        </w:rPr>
        <w:t>Other development expenditures that do not meet these criteria are recogni</w:t>
      </w:r>
      <w:r w:rsidR="00480A04">
        <w:rPr>
          <w:lang w:val="en-US"/>
        </w:rPr>
        <w:t>z</w:t>
      </w:r>
      <w:r w:rsidRPr="000C705A">
        <w:rPr>
          <w:lang w:val="en-US"/>
        </w:rPr>
        <w:t>ed as an</w:t>
      </w:r>
      <w:r>
        <w:rPr>
          <w:lang w:val="en-US"/>
        </w:rPr>
        <w:t xml:space="preserve"> </w:t>
      </w:r>
      <w:r w:rsidRPr="000C705A">
        <w:rPr>
          <w:lang w:val="en-US"/>
        </w:rPr>
        <w:t>expense as incurred. Development costs previously recognized as an expense are</w:t>
      </w:r>
      <w:r>
        <w:rPr>
          <w:lang w:val="en-US"/>
        </w:rPr>
        <w:t xml:space="preserve"> </w:t>
      </w:r>
      <w:r w:rsidRPr="000C705A">
        <w:rPr>
          <w:lang w:val="en-US"/>
        </w:rPr>
        <w:t>not recognized as an asset in a subsequent period.</w:t>
      </w:r>
    </w:p>
    <w:p w:rsidR="00FA3992" w:rsidRDefault="000C705A" w:rsidP="005C41A5">
      <w:pPr>
        <w:tabs>
          <w:tab w:val="clear" w:pos="567"/>
          <w:tab w:val="clear" w:pos="1134"/>
          <w:tab w:val="clear" w:pos="1701"/>
          <w:tab w:val="clear" w:pos="2268"/>
          <w:tab w:val="clear" w:pos="2835"/>
        </w:tabs>
        <w:overflowPunct/>
        <w:jc w:val="both"/>
        <w:textAlignment w:val="auto"/>
        <w:rPr>
          <w:lang w:val="en-US"/>
        </w:rPr>
      </w:pPr>
      <w:r w:rsidRPr="000C705A">
        <w:rPr>
          <w:lang w:val="en-US"/>
        </w:rPr>
        <w:t>Computer software development costs recognized as assets are amortized over their</w:t>
      </w:r>
      <w:r>
        <w:rPr>
          <w:lang w:val="en-US"/>
        </w:rPr>
        <w:t xml:space="preserve"> </w:t>
      </w:r>
      <w:r w:rsidRPr="000C705A">
        <w:rPr>
          <w:lang w:val="en-US"/>
        </w:rPr>
        <w:t>estimated useful lives, which does not exceed three years.</w:t>
      </w:r>
    </w:p>
    <w:p w:rsidR="00C3351C" w:rsidRPr="000C705A" w:rsidRDefault="00C3351C" w:rsidP="005C41A5">
      <w:pPr>
        <w:tabs>
          <w:tab w:val="clear" w:pos="567"/>
          <w:tab w:val="clear" w:pos="1134"/>
          <w:tab w:val="clear" w:pos="1701"/>
          <w:tab w:val="clear" w:pos="2268"/>
          <w:tab w:val="clear" w:pos="2835"/>
        </w:tabs>
        <w:overflowPunct/>
        <w:jc w:val="both"/>
        <w:textAlignment w:val="auto"/>
        <w:rPr>
          <w:lang w:val="en-US"/>
        </w:rPr>
      </w:pPr>
      <w:r w:rsidRPr="001C2A98">
        <w:rPr>
          <w:lang w:val="en-US"/>
        </w:rPr>
        <w:t xml:space="preserve">Costs associated with </w:t>
      </w:r>
      <w:r>
        <w:rPr>
          <w:lang w:val="en-US"/>
        </w:rPr>
        <w:t xml:space="preserve">maintaining computer software </w:t>
      </w:r>
      <w:proofErr w:type="spellStart"/>
      <w:r w:rsidRPr="000C705A">
        <w:rPr>
          <w:lang w:val="en-US"/>
        </w:rPr>
        <w:t>program</w:t>
      </w:r>
      <w:r w:rsidR="005347CD">
        <w:rPr>
          <w:lang w:val="en-US"/>
        </w:rPr>
        <w:t>mes</w:t>
      </w:r>
      <w:proofErr w:type="spellEnd"/>
      <w:r w:rsidRPr="000C705A">
        <w:rPr>
          <w:lang w:val="en-US"/>
        </w:rPr>
        <w:t xml:space="preserve"> are recognized</w:t>
      </w:r>
      <w:r>
        <w:rPr>
          <w:lang w:val="en-US"/>
        </w:rPr>
        <w:t xml:space="preserve"> </w:t>
      </w:r>
      <w:r w:rsidRPr="000C705A">
        <w:rPr>
          <w:lang w:val="en-US"/>
        </w:rPr>
        <w:t>as an expense as incurred.</w:t>
      </w:r>
    </w:p>
    <w:p w:rsidR="0022373A" w:rsidRPr="001C2A98" w:rsidRDefault="0022373A" w:rsidP="005C41A5">
      <w:pPr>
        <w:pStyle w:val="Heading5"/>
        <w:jc w:val="both"/>
        <w:rPr>
          <w:u w:val="single"/>
          <w:lang w:val="en-US"/>
        </w:rPr>
      </w:pPr>
      <w:bookmarkStart w:id="51" w:name="_Toc305764072"/>
      <w:bookmarkStart w:id="52" w:name="_Toc329011621"/>
      <w:r w:rsidRPr="001C2A98">
        <w:rPr>
          <w:u w:val="single"/>
          <w:lang w:val="en-US"/>
        </w:rPr>
        <w:t>Provisions</w:t>
      </w:r>
      <w:bookmarkEnd w:id="51"/>
      <w:bookmarkEnd w:id="52"/>
    </w:p>
    <w:p w:rsidR="008651F2" w:rsidRDefault="0022373A" w:rsidP="005C41A5">
      <w:pPr>
        <w:jc w:val="both"/>
        <w:rPr>
          <w:lang w:val="en-US"/>
        </w:rPr>
      </w:pPr>
      <w:r w:rsidRPr="001C2A98">
        <w:rPr>
          <w:lang w:val="en-US"/>
        </w:rPr>
        <w:t xml:space="preserve">Provisions cover obligations for which the outcome, due date or </w:t>
      </w:r>
      <w:r w:rsidR="00C3351C">
        <w:rPr>
          <w:lang w:val="en-US"/>
        </w:rPr>
        <w:t xml:space="preserve">payable </w:t>
      </w:r>
      <w:r w:rsidRPr="001C2A98">
        <w:rPr>
          <w:lang w:val="en-US"/>
        </w:rPr>
        <w:t xml:space="preserve">amount is uncertain. They are </w:t>
      </w:r>
      <w:r w:rsidR="00C3351C">
        <w:rPr>
          <w:lang w:val="en-US"/>
        </w:rPr>
        <w:t>recognized</w:t>
      </w:r>
      <w:r w:rsidRPr="001C2A98">
        <w:rPr>
          <w:lang w:val="en-US"/>
        </w:rPr>
        <w:t xml:space="preserve"> when ITU has a legal or constructive obligation resulting from a past event, when it is probable that an outflow of resources will be required in order to settle the obligation and when the amount of the obligation can be reliably estimated.</w:t>
      </w:r>
    </w:p>
    <w:p w:rsidR="0022373A" w:rsidRPr="001C2A98" w:rsidRDefault="0022373A" w:rsidP="005C41A5">
      <w:pPr>
        <w:tabs>
          <w:tab w:val="clear" w:pos="567"/>
          <w:tab w:val="clear" w:pos="1134"/>
          <w:tab w:val="clear" w:pos="1701"/>
          <w:tab w:val="clear" w:pos="2268"/>
          <w:tab w:val="clear" w:pos="2835"/>
        </w:tabs>
        <w:overflowPunct/>
        <w:autoSpaceDE/>
        <w:autoSpaceDN/>
        <w:adjustRightInd/>
        <w:jc w:val="both"/>
        <w:textAlignment w:val="auto"/>
        <w:rPr>
          <w:lang w:val="en-US"/>
        </w:rPr>
      </w:pPr>
      <w:r w:rsidRPr="001C2A98">
        <w:rPr>
          <w:lang w:val="en-US"/>
        </w:rPr>
        <w:t>Where an outflow of resources is not probable or cannot be reliably estimated, the obligation is not recorded in the statement of financial position but disclosed in the Notes.</w:t>
      </w:r>
    </w:p>
    <w:p w:rsidR="0022373A" w:rsidRPr="001C2A98" w:rsidRDefault="0022373A" w:rsidP="005C41A5">
      <w:pPr>
        <w:pStyle w:val="Heading5"/>
        <w:jc w:val="both"/>
        <w:rPr>
          <w:u w:val="single"/>
          <w:lang w:val="en-US"/>
        </w:rPr>
      </w:pPr>
      <w:bookmarkStart w:id="53" w:name="_Toc305764073"/>
      <w:bookmarkStart w:id="54" w:name="_Toc329011622"/>
      <w:r w:rsidRPr="001C2A98">
        <w:rPr>
          <w:u w:val="single"/>
          <w:lang w:val="en-US"/>
        </w:rPr>
        <w:t>Contingent assets and liabilities</w:t>
      </w:r>
      <w:bookmarkEnd w:id="53"/>
      <w:bookmarkEnd w:id="54"/>
    </w:p>
    <w:p w:rsidR="0022373A" w:rsidRDefault="0022373A" w:rsidP="005C41A5">
      <w:pPr>
        <w:jc w:val="both"/>
        <w:rPr>
          <w:lang w:val="en-US"/>
        </w:rPr>
      </w:pPr>
      <w:r w:rsidRPr="001C2A98">
        <w:rPr>
          <w:lang w:val="en-US"/>
        </w:rPr>
        <w:t>Contingent assets and liabilities are possible rights and obligations arising from past events and whose existence will be confirmed by the occurrence or non-occurrence of one or more uncertain future events not wholly within ITU</w:t>
      </w:r>
      <w:r w:rsidR="007A552E">
        <w:rPr>
          <w:lang w:val="en-US"/>
        </w:rPr>
        <w:t>’</w:t>
      </w:r>
      <w:r w:rsidRPr="001C2A98">
        <w:rPr>
          <w:lang w:val="en-US"/>
        </w:rPr>
        <w:t>s control. Such items are disclosed in the Notes.</w:t>
      </w:r>
    </w:p>
    <w:p w:rsidR="0022373A" w:rsidRPr="001C2A98" w:rsidRDefault="0022373A" w:rsidP="005C41A5">
      <w:pPr>
        <w:pStyle w:val="Heading5"/>
        <w:jc w:val="both"/>
        <w:rPr>
          <w:u w:val="single"/>
          <w:lang w:val="en-US"/>
        </w:rPr>
      </w:pPr>
      <w:bookmarkStart w:id="55" w:name="_Toc305764074"/>
      <w:bookmarkStart w:id="56" w:name="_Toc329011623"/>
      <w:r w:rsidRPr="001C2A98">
        <w:rPr>
          <w:u w:val="single"/>
          <w:lang w:val="en-US"/>
        </w:rPr>
        <w:t>Employee benefits</w:t>
      </w:r>
      <w:bookmarkEnd w:id="55"/>
      <w:bookmarkEnd w:id="56"/>
    </w:p>
    <w:p w:rsidR="0022373A" w:rsidRPr="001C2A98" w:rsidRDefault="0022373A" w:rsidP="005C41A5">
      <w:pPr>
        <w:jc w:val="both"/>
        <w:rPr>
          <w:lang w:val="en-US"/>
        </w:rPr>
      </w:pPr>
      <w:r w:rsidRPr="001C2A98">
        <w:rPr>
          <w:lang w:val="en-US"/>
        </w:rPr>
        <w:t>The following employee benefits are recognized:</w:t>
      </w:r>
    </w:p>
    <w:p w:rsidR="0022373A" w:rsidRPr="004F546C" w:rsidRDefault="0022373A" w:rsidP="005C41A5">
      <w:pPr>
        <w:pStyle w:val="enumlev1"/>
        <w:jc w:val="both"/>
        <w:rPr>
          <w:lang w:val="en-US"/>
        </w:rPr>
      </w:pPr>
      <w:r w:rsidRPr="001C2A98">
        <w:rPr>
          <w:lang w:val="en-US"/>
        </w:rPr>
        <w:t>–</w:t>
      </w:r>
      <w:r w:rsidRPr="001C2A98">
        <w:rPr>
          <w:lang w:val="en-US"/>
        </w:rPr>
        <w:tab/>
        <w:t xml:space="preserve">Short-term benefits </w:t>
      </w:r>
      <w:r w:rsidR="008A2F0A">
        <w:rPr>
          <w:lang w:val="en-US"/>
        </w:rPr>
        <w:t xml:space="preserve">due to be settled within twelve months after the end of the accounting period in which employees render the </w:t>
      </w:r>
      <w:r w:rsidR="008A2F0A" w:rsidRPr="004F546C">
        <w:rPr>
          <w:lang w:val="en-US"/>
        </w:rPr>
        <w:t>related service;</w:t>
      </w:r>
    </w:p>
    <w:p w:rsidR="0022373A" w:rsidRPr="004F546C" w:rsidRDefault="0022373A" w:rsidP="005C41A5">
      <w:pPr>
        <w:pStyle w:val="enumlev1"/>
        <w:jc w:val="both"/>
        <w:rPr>
          <w:lang w:val="en-US"/>
        </w:rPr>
      </w:pPr>
      <w:r w:rsidRPr="004F546C">
        <w:rPr>
          <w:lang w:val="en-US"/>
        </w:rPr>
        <w:t>–</w:t>
      </w:r>
      <w:r w:rsidRPr="004F546C">
        <w:rPr>
          <w:lang w:val="en-US"/>
        </w:rPr>
        <w:tab/>
        <w:t>Long-term benefits resulting from the possible deferral of benefits acquired during the prior period or periods</w:t>
      </w:r>
      <w:r w:rsidR="00B2207F" w:rsidRPr="004F546C">
        <w:rPr>
          <w:lang w:val="en-US"/>
        </w:rPr>
        <w:t>;</w:t>
      </w:r>
    </w:p>
    <w:p w:rsidR="002560A2" w:rsidRDefault="0022373A" w:rsidP="00752F2D">
      <w:pPr>
        <w:pStyle w:val="enumlev1"/>
        <w:jc w:val="both"/>
        <w:rPr>
          <w:lang w:val="en-US"/>
        </w:rPr>
      </w:pPr>
      <w:r w:rsidRPr="004F546C">
        <w:rPr>
          <w:lang w:val="en-US"/>
        </w:rPr>
        <w:t>–</w:t>
      </w:r>
      <w:r w:rsidRPr="004F546C">
        <w:rPr>
          <w:lang w:val="en-US"/>
        </w:rPr>
        <w:tab/>
        <w:t>Lon</w:t>
      </w:r>
      <w:r w:rsidR="0076607B" w:rsidRPr="004F546C">
        <w:rPr>
          <w:lang w:val="en-US"/>
        </w:rPr>
        <w:t>g-term post-employment benefits.</w:t>
      </w:r>
    </w:p>
    <w:p w:rsidR="0022373A" w:rsidRPr="004F546C" w:rsidRDefault="0022373A" w:rsidP="005C41A5">
      <w:pPr>
        <w:jc w:val="both"/>
        <w:rPr>
          <w:lang w:val="en-US"/>
        </w:rPr>
      </w:pPr>
      <w:r w:rsidRPr="004F546C">
        <w:rPr>
          <w:lang w:val="en-US"/>
        </w:rPr>
        <w:t>Long-term benefits cover:</w:t>
      </w:r>
    </w:p>
    <w:p w:rsidR="0022373A" w:rsidRPr="001C2A98" w:rsidRDefault="0022373A" w:rsidP="005C41A5">
      <w:pPr>
        <w:pStyle w:val="enumlev1"/>
        <w:jc w:val="both"/>
        <w:rPr>
          <w:lang w:val="en-US"/>
        </w:rPr>
      </w:pPr>
      <w:r w:rsidRPr="004F546C">
        <w:rPr>
          <w:lang w:val="en-US"/>
        </w:rPr>
        <w:t>–</w:t>
      </w:r>
      <w:r w:rsidRPr="004F546C">
        <w:rPr>
          <w:lang w:val="en-US"/>
        </w:rPr>
        <w:tab/>
        <w:t>Obligations associated with the possibility of accruing unused leave days and having them taken into account when establishing the date</w:t>
      </w:r>
      <w:r w:rsidRPr="001C2A98">
        <w:rPr>
          <w:lang w:val="en-US"/>
        </w:rPr>
        <w:t xml:space="preserve"> of retirement</w:t>
      </w:r>
      <w:r w:rsidR="00B2207F">
        <w:rPr>
          <w:lang w:val="en-US"/>
        </w:rPr>
        <w:t>;</w:t>
      </w:r>
    </w:p>
    <w:p w:rsidR="0022373A" w:rsidRPr="001C2A98" w:rsidRDefault="0022373A" w:rsidP="005C41A5">
      <w:pPr>
        <w:pStyle w:val="enumlev1"/>
        <w:jc w:val="both"/>
        <w:rPr>
          <w:lang w:val="en-US"/>
        </w:rPr>
      </w:pPr>
      <w:r w:rsidRPr="001C2A98">
        <w:rPr>
          <w:lang w:val="en-US"/>
        </w:rPr>
        <w:t>–</w:t>
      </w:r>
      <w:r w:rsidRPr="001C2A98">
        <w:rPr>
          <w:lang w:val="en-US"/>
        </w:rPr>
        <w:tab/>
        <w:t>Obligatio</w:t>
      </w:r>
      <w:r w:rsidR="00B2207F">
        <w:rPr>
          <w:lang w:val="en-US"/>
        </w:rPr>
        <w:t>ns associated with repatriation;</w:t>
      </w:r>
    </w:p>
    <w:p w:rsidR="0022373A" w:rsidRPr="001C2A98" w:rsidRDefault="0022373A" w:rsidP="005C41A5">
      <w:pPr>
        <w:pStyle w:val="enumlev1"/>
        <w:jc w:val="both"/>
        <w:rPr>
          <w:lang w:val="en-US"/>
        </w:rPr>
      </w:pPr>
      <w:r w:rsidRPr="001C2A98">
        <w:rPr>
          <w:lang w:val="en-US"/>
        </w:rPr>
        <w:t>–</w:t>
      </w:r>
      <w:r w:rsidRPr="001C2A98">
        <w:rPr>
          <w:lang w:val="en-US"/>
        </w:rPr>
        <w:tab/>
        <w:t>Obligations associated with the pension plan of the United Nations Joint Staff Pension Fund</w:t>
      </w:r>
      <w:r w:rsidR="00B2207F">
        <w:rPr>
          <w:lang w:val="en-US"/>
        </w:rPr>
        <w:t>;</w:t>
      </w:r>
    </w:p>
    <w:p w:rsidR="0022373A" w:rsidRPr="001C2A98" w:rsidRDefault="0022373A" w:rsidP="00063B70">
      <w:pPr>
        <w:pStyle w:val="enumlev1"/>
        <w:jc w:val="both"/>
        <w:rPr>
          <w:lang w:val="en-US"/>
        </w:rPr>
      </w:pPr>
      <w:r w:rsidRPr="001C2A98">
        <w:rPr>
          <w:lang w:val="en-US"/>
        </w:rPr>
        <w:t>–</w:t>
      </w:r>
      <w:r w:rsidRPr="001C2A98">
        <w:rPr>
          <w:lang w:val="en-US"/>
        </w:rPr>
        <w:tab/>
        <w:t>Obligations concerning the After</w:t>
      </w:r>
      <w:r w:rsidR="00063B70">
        <w:rPr>
          <w:lang w:val="en-US"/>
        </w:rPr>
        <w:t>-</w:t>
      </w:r>
      <w:r w:rsidRPr="001C2A98">
        <w:rPr>
          <w:lang w:val="en-US"/>
        </w:rPr>
        <w:t xml:space="preserve">Service Health Insurance (ASHI), as specified under the United Nations ASHI </w:t>
      </w:r>
      <w:proofErr w:type="spellStart"/>
      <w:r w:rsidRPr="001C2A98">
        <w:rPr>
          <w:lang w:val="en-US"/>
        </w:rPr>
        <w:t>programme</w:t>
      </w:r>
      <w:proofErr w:type="spellEnd"/>
      <w:r w:rsidR="00B2207F">
        <w:rPr>
          <w:lang w:val="en-US"/>
        </w:rPr>
        <w:t>;</w:t>
      </w:r>
    </w:p>
    <w:p w:rsidR="0022373A" w:rsidRPr="001C2A98" w:rsidRDefault="0022373A" w:rsidP="005C41A5">
      <w:pPr>
        <w:pStyle w:val="enumlev1"/>
        <w:jc w:val="both"/>
        <w:rPr>
          <w:lang w:val="en-US"/>
        </w:rPr>
      </w:pPr>
      <w:r w:rsidRPr="001C2A98">
        <w:rPr>
          <w:lang w:val="en-US"/>
        </w:rPr>
        <w:t>–</w:t>
      </w:r>
      <w:r w:rsidRPr="001C2A98">
        <w:rPr>
          <w:lang w:val="en-US"/>
        </w:rPr>
        <w:tab/>
        <w:t>Obligations relating to the former pension plan in order to define ITU</w:t>
      </w:r>
      <w:r w:rsidR="007A552E">
        <w:rPr>
          <w:lang w:val="en-US"/>
        </w:rPr>
        <w:t>’</w:t>
      </w:r>
      <w:r w:rsidRPr="001C2A98">
        <w:rPr>
          <w:lang w:val="en-US"/>
        </w:rPr>
        <w:t>s obligations at the date of closure of the period.</w:t>
      </w:r>
    </w:p>
    <w:p w:rsidR="0022373A" w:rsidRDefault="0022373A" w:rsidP="005C41A5">
      <w:pPr>
        <w:jc w:val="both"/>
        <w:rPr>
          <w:lang w:val="en-US"/>
        </w:rPr>
      </w:pPr>
      <w:r w:rsidRPr="001C2A98">
        <w:rPr>
          <w:lang w:val="en-US"/>
        </w:rPr>
        <w:t xml:space="preserve">These last two benefits come under the heading of defined-benefit plans and, as is also the case for repatriation obligations, </w:t>
      </w:r>
      <w:r w:rsidR="008A2F0A" w:rsidRPr="001C2A98">
        <w:rPr>
          <w:lang w:val="en-US"/>
        </w:rPr>
        <w:t>are the subjects</w:t>
      </w:r>
      <w:r w:rsidRPr="001C2A98">
        <w:rPr>
          <w:lang w:val="en-US"/>
        </w:rPr>
        <w:t xml:space="preserve"> of actuarial studies.</w:t>
      </w:r>
    </w:p>
    <w:p w:rsidR="008A2F0A" w:rsidRDefault="008A2F0A" w:rsidP="00C20BB6">
      <w:pPr>
        <w:jc w:val="both"/>
        <w:rPr>
          <w:lang w:val="en-US"/>
        </w:rPr>
      </w:pPr>
      <w:r>
        <w:rPr>
          <w:lang w:val="en-US"/>
        </w:rPr>
        <w:t>ITU</w:t>
      </w:r>
      <w:r w:rsidRPr="008A2F0A">
        <w:rPr>
          <w:lang w:val="en-US"/>
        </w:rPr>
        <w:t xml:space="preserve"> is a member organization participating in the United Nations Joint Staff Pension Fund (UNJSPF), which was established by the United Nations General Assembly to provide retirement, death, disability and related benefits to employees. The Fund is a funded, multi-employer defined benefit plan. As specified by Article 3(b) of the Regulations of the Fund, membership in the Fund shall be open to the specialized agencies and to any other international, intergovernmental organization which participates in the common system of salaries, allowances and other conditions of service of the United Nations and the specialized agencies.</w:t>
      </w:r>
    </w:p>
    <w:p w:rsidR="009053D6" w:rsidRDefault="009053D6" w:rsidP="00E56BA7">
      <w:pPr>
        <w:jc w:val="both"/>
        <w:rPr>
          <w:lang w:val="en-US"/>
        </w:rPr>
      </w:pPr>
      <w:r w:rsidRPr="009053D6">
        <w:t>The plan exposes participating organizations to actuarial risks associated with the current and former employees of other organizations participating in the Fund, with the result that there is no consistent and reliable basis for allocating the obligation, plan assets and costs to individual organizations participating in the plan. ITU and the UNJSPF, in line with the other participating organizations in the Fund, are not in a position to identify the Agency’s proportionate share of the defined benefit obligation, the plan assets and the costs associated with the plan with sufficient reliability for accounting purposes. Hence, the Agency has treated this plan as if it w</w:t>
      </w:r>
      <w:r w:rsidR="00E56BA7">
        <w:t>as</w:t>
      </w:r>
      <w:r w:rsidRPr="009053D6">
        <w:t xml:space="preserve"> a defined contribution plan in line with the requirements of IPSAS 39 Employee Benefits. The Agency’s contributions to the plan during the financial period are recognized as expenses in the Statement of Financial Performance</w:t>
      </w:r>
      <w:r>
        <w:t>.</w:t>
      </w:r>
    </w:p>
    <w:p w:rsidR="0022373A" w:rsidRPr="00C044BB" w:rsidRDefault="00224A06" w:rsidP="00224A06">
      <w:pPr>
        <w:jc w:val="both"/>
      </w:pPr>
      <w:r>
        <w:t>T</w:t>
      </w:r>
      <w:r w:rsidR="00C044BB">
        <w:t>he ITU</w:t>
      </w:r>
      <w:r w:rsidR="00C044BB" w:rsidRPr="00673E04">
        <w:t xml:space="preserve"> implement</w:t>
      </w:r>
      <w:r w:rsidR="00C044BB">
        <w:t>ed</w:t>
      </w:r>
      <w:r w:rsidR="00C044BB" w:rsidRPr="00673E04">
        <w:t xml:space="preserve"> a staff health insurance scheme called the ITU Collective Medical Insurance Plan (CMIP). The plan, </w:t>
      </w:r>
      <w:r w:rsidR="00C044BB">
        <w:t>a</w:t>
      </w:r>
      <w:r w:rsidR="00C044BB" w:rsidRPr="00673E04">
        <w:t>dministered by the ITU, is based on a contract signed with the Companies Cigna/</w:t>
      </w:r>
      <w:proofErr w:type="spellStart"/>
      <w:r w:rsidR="00C044BB" w:rsidRPr="00673E04">
        <w:t>Vanbreda</w:t>
      </w:r>
      <w:proofErr w:type="spellEnd"/>
      <w:r w:rsidR="00C044BB" w:rsidRPr="00673E04">
        <w:t xml:space="preserve"> International, </w:t>
      </w:r>
      <w:r w:rsidR="00C044BB">
        <w:t xml:space="preserve">Cigna being the insurer and </w:t>
      </w:r>
      <w:r w:rsidR="00C044BB" w:rsidRPr="00673E04">
        <w:t>Cigna/</w:t>
      </w:r>
      <w:proofErr w:type="spellStart"/>
      <w:r w:rsidR="00C044BB" w:rsidRPr="00673E04">
        <w:t>Vanbreda</w:t>
      </w:r>
      <w:proofErr w:type="spellEnd"/>
      <w:r w:rsidR="00C044BB" w:rsidRPr="00673E04">
        <w:t xml:space="preserve"> being the claims administrator.</w:t>
      </w:r>
      <w:r w:rsidR="00C044BB">
        <w:t xml:space="preserve"> </w:t>
      </w:r>
      <w:r w:rsidR="00F23C61">
        <w:t xml:space="preserve"> </w:t>
      </w:r>
      <w:r w:rsidR="00C044BB" w:rsidRPr="001C2A98">
        <w:rPr>
          <w:lang w:val="en-US"/>
        </w:rPr>
        <w:t>ASHI obligations are the subject of an act</w:t>
      </w:r>
      <w:r w:rsidR="00B04210">
        <w:rPr>
          <w:lang w:val="en-US"/>
        </w:rPr>
        <w:t>uarial study pursuant to IPSAS 3</w:t>
      </w:r>
      <w:r w:rsidR="00734446">
        <w:rPr>
          <w:lang w:val="en-US"/>
        </w:rPr>
        <w:t>9</w:t>
      </w:r>
      <w:r w:rsidR="00C044BB" w:rsidRPr="001C2A98">
        <w:rPr>
          <w:lang w:val="en-US"/>
        </w:rPr>
        <w:t xml:space="preserve"> in </w:t>
      </w:r>
      <w:r w:rsidR="00C044BB" w:rsidRPr="004F546C">
        <w:rPr>
          <w:lang w:val="en-US"/>
        </w:rPr>
        <w:t>order to identify and recognize the amount of ITU’s future liability in relation to the corresponding benefits. An independent actuarial valuation was contracted by ITU</w:t>
      </w:r>
      <w:r w:rsidR="004F546C">
        <w:rPr>
          <w:lang w:val="en-US"/>
        </w:rPr>
        <w:t xml:space="preserve"> to evaluate the ASHI obligation as of end of December</w:t>
      </w:r>
      <w:r w:rsidR="00C044BB" w:rsidRPr="004F546C">
        <w:rPr>
          <w:lang w:val="en-US"/>
        </w:rPr>
        <w:t>.</w:t>
      </w:r>
      <w:r w:rsidR="00C044BB">
        <w:rPr>
          <w:lang w:val="en-US"/>
        </w:rPr>
        <w:t xml:space="preserve"> R</w:t>
      </w:r>
      <w:r w:rsidR="0022373A" w:rsidRPr="001C2A98">
        <w:rPr>
          <w:lang w:val="en-US"/>
        </w:rPr>
        <w:t>ecognition of the actuarial gains and losses of this plan follows the O</w:t>
      </w:r>
      <w:r w:rsidR="00C044BB">
        <w:rPr>
          <w:lang w:val="en-US"/>
        </w:rPr>
        <w:t xml:space="preserve">ther </w:t>
      </w:r>
      <w:r w:rsidR="0022373A" w:rsidRPr="001C2A98">
        <w:rPr>
          <w:lang w:val="en-US"/>
        </w:rPr>
        <w:t>C</w:t>
      </w:r>
      <w:r w:rsidR="00C044BB">
        <w:rPr>
          <w:lang w:val="en-US"/>
        </w:rPr>
        <w:t xml:space="preserve">omprehensive </w:t>
      </w:r>
      <w:r w:rsidR="0022373A" w:rsidRPr="001C2A98">
        <w:rPr>
          <w:lang w:val="en-US"/>
        </w:rPr>
        <w:t>I</w:t>
      </w:r>
      <w:r w:rsidR="00C044BB">
        <w:rPr>
          <w:lang w:val="en-US"/>
        </w:rPr>
        <w:t>ncome</w:t>
      </w:r>
      <w:r w:rsidR="0022373A" w:rsidRPr="001C2A98">
        <w:rPr>
          <w:lang w:val="en-US"/>
        </w:rPr>
        <w:t xml:space="preserve"> </w:t>
      </w:r>
      <w:r w:rsidR="00C044BB">
        <w:rPr>
          <w:lang w:val="en-US"/>
        </w:rPr>
        <w:t xml:space="preserve">(OCI) </w:t>
      </w:r>
      <w:r w:rsidR="0022373A" w:rsidRPr="001C2A98">
        <w:rPr>
          <w:lang w:val="en-US"/>
        </w:rPr>
        <w:t>method, which calls for recognition of actuarial gains and losses during the period as net assets in the statement of financial position.</w:t>
      </w:r>
    </w:p>
    <w:p w:rsidR="0022373A" w:rsidRDefault="0022373A" w:rsidP="005C41A5">
      <w:pPr>
        <w:jc w:val="both"/>
        <w:rPr>
          <w:lang w:val="en-US"/>
        </w:rPr>
      </w:pPr>
      <w:r w:rsidRPr="001C2A98">
        <w:rPr>
          <w:lang w:val="en-US"/>
        </w:rPr>
        <w:t>The assumptions concerning ITU are described in the Notes relating to employee benefits.</w:t>
      </w:r>
    </w:p>
    <w:p w:rsidR="0022373A" w:rsidRPr="001C2A98" w:rsidRDefault="0022373A" w:rsidP="005C41A5">
      <w:pPr>
        <w:pStyle w:val="Heading5"/>
        <w:jc w:val="both"/>
        <w:rPr>
          <w:u w:val="single"/>
          <w:lang w:val="en-US"/>
        </w:rPr>
      </w:pPr>
      <w:bookmarkStart w:id="57" w:name="_Toc329011624"/>
      <w:r w:rsidRPr="001C2A98">
        <w:rPr>
          <w:u w:val="single"/>
          <w:lang w:val="en-US"/>
        </w:rPr>
        <w:t>Recognition of funds</w:t>
      </w:r>
      <w:bookmarkEnd w:id="57"/>
    </w:p>
    <w:p w:rsidR="0022373A" w:rsidRPr="001C2A98" w:rsidRDefault="0022373A" w:rsidP="005C41A5">
      <w:pPr>
        <w:jc w:val="both"/>
        <w:rPr>
          <w:lang w:val="en-US"/>
        </w:rPr>
      </w:pPr>
      <w:r w:rsidRPr="001C2A98">
        <w:rPr>
          <w:b/>
          <w:i/>
          <w:lang w:val="en-US"/>
        </w:rPr>
        <w:t>Allocated third-party funds</w:t>
      </w:r>
    </w:p>
    <w:p w:rsidR="002560A2" w:rsidRDefault="0022373A" w:rsidP="00752F2D">
      <w:pPr>
        <w:jc w:val="both"/>
        <w:rPr>
          <w:lang w:val="en-US"/>
        </w:rPr>
      </w:pPr>
      <w:r w:rsidRPr="001C2A98">
        <w:rPr>
          <w:lang w:val="en-US"/>
        </w:rPr>
        <w:t xml:space="preserve">This refers to funding provided by third parties to support the Union in implementing projects </w:t>
      </w:r>
      <w:r w:rsidR="001753D3">
        <w:rPr>
          <w:lang w:val="en-US"/>
        </w:rPr>
        <w:t xml:space="preserve">in and </w:t>
      </w:r>
      <w:r w:rsidRPr="001C2A98">
        <w:rPr>
          <w:lang w:val="en-US"/>
        </w:rPr>
        <w:t xml:space="preserve">for </w:t>
      </w:r>
      <w:r w:rsidR="009D4CB9">
        <w:rPr>
          <w:lang w:val="en-US"/>
        </w:rPr>
        <w:t>developing</w:t>
      </w:r>
      <w:r w:rsidRPr="001C2A98">
        <w:rPr>
          <w:lang w:val="en-US"/>
        </w:rPr>
        <w:t xml:space="preserve"> countries. Such contributions are tied to contractual conditions. Funding of this kind is recognized as revenue only where the donors have made a commitment in writing and as the expenses are incurred. Funded projects begin only once the funds have been paid to ITU. At the closure of the </w:t>
      </w:r>
      <w:r w:rsidR="009D4CB9">
        <w:rPr>
          <w:lang w:val="en-US"/>
        </w:rPr>
        <w:t xml:space="preserve">financial </w:t>
      </w:r>
      <w:r w:rsidRPr="001C2A98">
        <w:rPr>
          <w:lang w:val="en-US"/>
        </w:rPr>
        <w:t xml:space="preserve">period, the unused balance of such funding is recognized in the balance of allocated funds in the statement of financial position. In some specific cases, the funds are paid to ITU </w:t>
      </w:r>
      <w:r w:rsidR="009D4CB9">
        <w:rPr>
          <w:lang w:val="en-US"/>
        </w:rPr>
        <w:t>as a</w:t>
      </w:r>
      <w:r w:rsidR="00B37DF8">
        <w:rPr>
          <w:lang w:val="en-US"/>
        </w:rPr>
        <w:t xml:space="preserve"> </w:t>
      </w:r>
      <w:r w:rsidRPr="001C2A98">
        <w:rPr>
          <w:lang w:val="en-US"/>
        </w:rPr>
        <w:t xml:space="preserve">reimbursement of expenses </w:t>
      </w:r>
      <w:r w:rsidR="009D4CB9">
        <w:rPr>
          <w:lang w:val="en-US"/>
        </w:rPr>
        <w:t xml:space="preserve">already </w:t>
      </w:r>
      <w:r w:rsidRPr="001C2A98">
        <w:rPr>
          <w:lang w:val="en-US"/>
        </w:rPr>
        <w:t>incurred.</w:t>
      </w:r>
    </w:p>
    <w:p w:rsidR="0022373A" w:rsidRPr="001C2A98" w:rsidRDefault="0022373A" w:rsidP="005C41A5">
      <w:pPr>
        <w:jc w:val="both"/>
        <w:rPr>
          <w:lang w:val="en-US"/>
        </w:rPr>
      </w:pPr>
      <w:r w:rsidRPr="001C2A98">
        <w:rPr>
          <w:lang w:val="en-US"/>
        </w:rPr>
        <w:t>Such allocated third-party funds are distributed as follows:</w:t>
      </w:r>
    </w:p>
    <w:p w:rsidR="0022373A" w:rsidRPr="008651F2" w:rsidRDefault="0022373A" w:rsidP="005C41A5">
      <w:pPr>
        <w:pStyle w:val="enumlev1"/>
        <w:jc w:val="both"/>
        <w:rPr>
          <w:b/>
          <w:bCs/>
          <w:lang w:val="en-US"/>
        </w:rPr>
      </w:pPr>
      <w:r w:rsidRPr="008651F2">
        <w:rPr>
          <w:b/>
          <w:bCs/>
          <w:lang w:val="en-US"/>
        </w:rPr>
        <w:t>–</w:t>
      </w:r>
      <w:r w:rsidRPr="008651F2">
        <w:rPr>
          <w:b/>
          <w:bCs/>
          <w:lang w:val="en-US"/>
        </w:rPr>
        <w:tab/>
        <w:t xml:space="preserve">United Nations Development </w:t>
      </w:r>
      <w:proofErr w:type="spellStart"/>
      <w:r w:rsidRPr="008651F2">
        <w:rPr>
          <w:b/>
          <w:bCs/>
          <w:lang w:val="en-US"/>
        </w:rPr>
        <w:t>Programme</w:t>
      </w:r>
      <w:proofErr w:type="spellEnd"/>
    </w:p>
    <w:p w:rsidR="009215B6" w:rsidRPr="009215B6" w:rsidRDefault="0022373A" w:rsidP="00B9510B">
      <w:pPr>
        <w:jc w:val="both"/>
        <w:rPr>
          <w:lang w:val="en-US"/>
        </w:rPr>
      </w:pPr>
      <w:r w:rsidRPr="001C2A98">
        <w:rPr>
          <w:lang w:val="en-US"/>
        </w:rPr>
        <w:t>ITU has entered into an agreement with the United Natio</w:t>
      </w:r>
      <w:r w:rsidR="009215B6">
        <w:rPr>
          <w:lang w:val="en-US"/>
        </w:rPr>
        <w:t xml:space="preserve">ns Development </w:t>
      </w:r>
      <w:proofErr w:type="spellStart"/>
      <w:r w:rsidR="009215B6">
        <w:rPr>
          <w:lang w:val="en-US"/>
        </w:rPr>
        <w:t>Programme</w:t>
      </w:r>
      <w:proofErr w:type="spellEnd"/>
      <w:r w:rsidR="009215B6">
        <w:rPr>
          <w:lang w:val="en-US"/>
        </w:rPr>
        <w:t xml:space="preserve"> (UNDP) and</w:t>
      </w:r>
      <w:r w:rsidRPr="001C2A98">
        <w:rPr>
          <w:lang w:val="en-US"/>
        </w:rPr>
        <w:t xml:space="preserve"> may be the sole executing agency, or joint executing agency with UNDP, for different projects. For projects that are either partially or entirely executed by ITU, the Union </w:t>
      </w:r>
      <w:r w:rsidR="00F136C1">
        <w:rPr>
          <w:lang w:val="en-US"/>
        </w:rPr>
        <w:t>receives</w:t>
      </w:r>
      <w:r w:rsidRPr="001C2A98">
        <w:rPr>
          <w:lang w:val="en-US"/>
        </w:rPr>
        <w:t xml:space="preserve"> a budgetary allocation </w:t>
      </w:r>
      <w:r w:rsidRPr="00B9510B">
        <w:rPr>
          <w:lang w:val="en-US"/>
        </w:rPr>
        <w:t xml:space="preserve">from UNDP. </w:t>
      </w:r>
      <w:r w:rsidR="009215B6" w:rsidRPr="00B9510B">
        <w:rPr>
          <w:lang w:val="en-US"/>
        </w:rPr>
        <w:t xml:space="preserve">In general, there are </w:t>
      </w:r>
      <w:r w:rsidR="00B9510B" w:rsidRPr="00B9510B">
        <w:rPr>
          <w:lang w:val="en-US"/>
        </w:rPr>
        <w:t>two</w:t>
      </w:r>
      <w:r w:rsidR="009215B6" w:rsidRPr="00B9510B">
        <w:rPr>
          <w:lang w:val="en-US"/>
        </w:rPr>
        <w:t xml:space="preserve"> categories of UNDP projects, namely: projects executed by ITU</w:t>
      </w:r>
      <w:r w:rsidR="00B9510B" w:rsidRPr="00B9510B">
        <w:rPr>
          <w:lang w:val="en-US"/>
        </w:rPr>
        <w:t xml:space="preserve"> and </w:t>
      </w:r>
      <w:r w:rsidR="009215B6" w:rsidRPr="00B9510B">
        <w:rPr>
          <w:lang w:val="en-US"/>
        </w:rPr>
        <w:t>projects executed by governments</w:t>
      </w:r>
      <w:r w:rsidR="00B9510B" w:rsidRPr="00B9510B">
        <w:rPr>
          <w:lang w:val="en-US"/>
        </w:rPr>
        <w:t>.</w:t>
      </w:r>
    </w:p>
    <w:p w:rsidR="001A2AFC" w:rsidRPr="00A91B6A" w:rsidRDefault="0022373A" w:rsidP="005C41A5">
      <w:pPr>
        <w:jc w:val="both"/>
        <w:rPr>
          <w:lang w:val="en-US"/>
        </w:rPr>
      </w:pPr>
      <w:r w:rsidRPr="001C2A98">
        <w:rPr>
          <w:lang w:val="en-US"/>
        </w:rPr>
        <w:t xml:space="preserve">At the end of each year, on the basis of the project delivery report (PDR), UNDP reimburses ITU for all expenses incurred, within the allocation. For the support that ITU provides to the projects, ITU </w:t>
      </w:r>
      <w:r w:rsidR="00F136C1">
        <w:rPr>
          <w:lang w:val="en-US"/>
        </w:rPr>
        <w:t>receives</w:t>
      </w:r>
      <w:r w:rsidR="009215B6">
        <w:rPr>
          <w:lang w:val="en-US"/>
        </w:rPr>
        <w:t xml:space="preserve"> an allocation</w:t>
      </w:r>
      <w:r w:rsidRPr="001C2A98">
        <w:rPr>
          <w:lang w:val="en-US"/>
        </w:rPr>
        <w:t xml:space="preserve"> </w:t>
      </w:r>
      <w:r w:rsidR="009215B6">
        <w:rPr>
          <w:lang w:val="en-US"/>
        </w:rPr>
        <w:t>calculated on a</w:t>
      </w:r>
      <w:r w:rsidRPr="001C2A98">
        <w:rPr>
          <w:lang w:val="en-US"/>
        </w:rPr>
        <w:t xml:space="preserve"> pro rata </w:t>
      </w:r>
      <w:r w:rsidR="009215B6">
        <w:rPr>
          <w:lang w:val="en-US"/>
        </w:rPr>
        <w:t>basis of</w:t>
      </w:r>
      <w:r w:rsidRPr="001C2A98">
        <w:rPr>
          <w:lang w:val="en-US"/>
        </w:rPr>
        <w:t xml:space="preserve"> the expenses recorded in the PDRs.</w:t>
      </w:r>
    </w:p>
    <w:p w:rsidR="0022373A" w:rsidRPr="008651F2" w:rsidRDefault="0022373A" w:rsidP="005C41A5">
      <w:pPr>
        <w:pStyle w:val="enumlev1"/>
        <w:jc w:val="both"/>
        <w:rPr>
          <w:b/>
          <w:bCs/>
          <w:lang w:val="en-US"/>
        </w:rPr>
      </w:pPr>
      <w:r w:rsidRPr="008651F2">
        <w:rPr>
          <w:b/>
          <w:bCs/>
          <w:lang w:val="en-US"/>
        </w:rPr>
        <w:t>–</w:t>
      </w:r>
      <w:r w:rsidRPr="008651F2">
        <w:rPr>
          <w:b/>
          <w:bCs/>
          <w:lang w:val="en-US"/>
        </w:rPr>
        <w:tab/>
        <w:t>Trust funds</w:t>
      </w:r>
    </w:p>
    <w:p w:rsidR="005D62B8" w:rsidRDefault="005D62B8" w:rsidP="00671FAB">
      <w:pPr>
        <w:jc w:val="both"/>
        <w:rPr>
          <w:lang w:val="en-US"/>
        </w:rPr>
      </w:pPr>
      <w:r w:rsidRPr="005D62B8">
        <w:rPr>
          <w:lang w:val="en-US"/>
        </w:rPr>
        <w:t>Trust funds are used to execute projects financed by earmarked contributions, by the ICT Development Fund (ICTDF) or by governments. In all cases the funds have to be credited to the projects before the expenses are committed. Trust funds are voluntary contributions with specific and restrictive utilization. These contributions generate support costs during the execution and implementation of the projects.</w:t>
      </w:r>
    </w:p>
    <w:p w:rsidR="0022373A" w:rsidRPr="008651F2" w:rsidRDefault="0022373A" w:rsidP="005C41A5">
      <w:pPr>
        <w:pStyle w:val="enumlev1"/>
        <w:jc w:val="both"/>
        <w:rPr>
          <w:b/>
          <w:bCs/>
          <w:lang w:val="en-US"/>
        </w:rPr>
      </w:pPr>
      <w:r w:rsidRPr="008651F2">
        <w:rPr>
          <w:b/>
          <w:bCs/>
          <w:lang w:val="en-US"/>
        </w:rPr>
        <w:t>–</w:t>
      </w:r>
      <w:r w:rsidRPr="008651F2">
        <w:rPr>
          <w:b/>
          <w:bCs/>
          <w:lang w:val="en-US"/>
        </w:rPr>
        <w:tab/>
        <w:t>Voluntary contributions</w:t>
      </w:r>
    </w:p>
    <w:p w:rsidR="005B53AF" w:rsidRDefault="005D62B8" w:rsidP="00C044BB">
      <w:pPr>
        <w:jc w:val="both"/>
        <w:rPr>
          <w:lang w:val="en-US"/>
        </w:rPr>
      </w:pPr>
      <w:r w:rsidRPr="00EF0231">
        <w:rPr>
          <w:lang w:val="en-US"/>
        </w:rPr>
        <w:t xml:space="preserve">Voluntary </w:t>
      </w:r>
      <w:r w:rsidRPr="004F546C">
        <w:rPr>
          <w:lang w:val="en-US"/>
        </w:rPr>
        <w:t xml:space="preserve">contributions are received from donors </w:t>
      </w:r>
      <w:r w:rsidR="00C044BB" w:rsidRPr="004F546C">
        <w:rPr>
          <w:lang w:val="en-US"/>
        </w:rPr>
        <w:t xml:space="preserve">to complement </w:t>
      </w:r>
      <w:r w:rsidRPr="004F546C">
        <w:rPr>
          <w:lang w:val="en-US"/>
        </w:rPr>
        <w:t>specific regular</w:t>
      </w:r>
      <w:r w:rsidRPr="00EF0231">
        <w:rPr>
          <w:lang w:val="en-US"/>
        </w:rPr>
        <w:t xml:space="preserve"> budget activities such as </w:t>
      </w:r>
      <w:r w:rsidR="005B53AF" w:rsidRPr="00EF0231">
        <w:rPr>
          <w:lang w:val="en-US"/>
        </w:rPr>
        <w:t>f</w:t>
      </w:r>
      <w:r w:rsidRPr="00EF0231">
        <w:rPr>
          <w:lang w:val="en-US"/>
        </w:rPr>
        <w:t>or example seminars, working groups, study groups, training and fellowships. Voluntary contributions can finance long-term activities. Voluntary contributions do not generate any support costs.</w:t>
      </w:r>
    </w:p>
    <w:p w:rsidR="009215B6" w:rsidRPr="00EF0231" w:rsidRDefault="009215B6" w:rsidP="005C41A5">
      <w:pPr>
        <w:jc w:val="both"/>
        <w:rPr>
          <w:lang w:val="en-US"/>
        </w:rPr>
      </w:pPr>
      <w:r w:rsidRPr="00016ACA">
        <w:rPr>
          <w:lang w:val="en-US"/>
        </w:rPr>
        <w:t xml:space="preserve">The Union keeps </w:t>
      </w:r>
      <w:r w:rsidRPr="008312AF">
        <w:rPr>
          <w:lang w:val="en-US"/>
        </w:rPr>
        <w:t>accounts f</w:t>
      </w:r>
      <w:r w:rsidRPr="00016ACA">
        <w:rPr>
          <w:lang w:val="en-US"/>
        </w:rPr>
        <w:t>or voluntary contributions in the currency of the contribution</w:t>
      </w:r>
      <w:r>
        <w:rPr>
          <w:lang w:val="en-US"/>
        </w:rPr>
        <w:t xml:space="preserve"> and manages the projects based on the budget allocated in the currency of the funding, unless otherwise specified.</w:t>
      </w:r>
    </w:p>
    <w:p w:rsidR="0022373A" w:rsidRPr="001C2A98" w:rsidRDefault="0022373A" w:rsidP="005C41A5">
      <w:pPr>
        <w:jc w:val="both"/>
        <w:rPr>
          <w:lang w:val="en-US"/>
        </w:rPr>
      </w:pPr>
      <w:r w:rsidRPr="001C2A98">
        <w:rPr>
          <w:b/>
          <w:i/>
          <w:lang w:val="en-US"/>
        </w:rPr>
        <w:t>Third-party funds in the process of allocation</w:t>
      </w:r>
    </w:p>
    <w:p w:rsidR="0022373A" w:rsidRPr="001C2A98" w:rsidRDefault="0022373A" w:rsidP="005C41A5">
      <w:pPr>
        <w:jc w:val="both"/>
        <w:rPr>
          <w:lang w:val="en-US"/>
        </w:rPr>
      </w:pPr>
      <w:r w:rsidRPr="000E2B5E">
        <w:rPr>
          <w:lang w:val="en-US"/>
        </w:rPr>
        <w:t>These are funds received from third parties and not yet fully allocated, which therefore cannot yet be spent.</w:t>
      </w:r>
    </w:p>
    <w:p w:rsidR="0022373A" w:rsidRPr="001C2A98" w:rsidRDefault="0022373A" w:rsidP="005C41A5">
      <w:pPr>
        <w:pStyle w:val="Heading5"/>
        <w:jc w:val="both"/>
        <w:rPr>
          <w:u w:val="single"/>
          <w:lang w:val="en-US"/>
        </w:rPr>
      </w:pPr>
      <w:bookmarkStart w:id="58" w:name="_Toc329011625"/>
      <w:r w:rsidRPr="001C2A98">
        <w:rPr>
          <w:u w:val="single"/>
          <w:lang w:val="en-US"/>
        </w:rPr>
        <w:t>Reserve Account</w:t>
      </w:r>
      <w:bookmarkEnd w:id="58"/>
    </w:p>
    <w:p w:rsidR="0022373A" w:rsidRPr="001C2A98" w:rsidRDefault="00AC6F43">
      <w:pPr>
        <w:jc w:val="both"/>
        <w:rPr>
          <w:bCs/>
          <w:lang w:val="en-US"/>
        </w:rPr>
      </w:pPr>
      <w:r w:rsidRPr="00CF59BF">
        <w:t>In accordance with No. 485 of the Convention and Article 27 of the Financial Regulations, the Reserve Account is maintained mainly from unused appropriations</w:t>
      </w:r>
      <w:r>
        <w:t xml:space="preserve">. </w:t>
      </w:r>
      <w:r w:rsidR="0022373A" w:rsidRPr="001C2A98">
        <w:rPr>
          <w:bCs/>
          <w:lang w:val="en-US"/>
        </w:rPr>
        <w:t>Variations in the Reserve Account are detailed in the statement of changes in the net assets of the Union. It is made up of:</w:t>
      </w:r>
    </w:p>
    <w:p w:rsidR="0022373A" w:rsidRPr="00085D2D" w:rsidRDefault="0022373A" w:rsidP="005C41A5">
      <w:pPr>
        <w:ind w:left="567" w:hanging="567"/>
        <w:jc w:val="both"/>
        <w:rPr>
          <w:bCs/>
          <w:lang w:val="en-US"/>
        </w:rPr>
      </w:pPr>
      <w:r w:rsidRPr="00085D2D">
        <w:rPr>
          <w:bCs/>
          <w:lang w:val="en-US"/>
        </w:rPr>
        <w:t>a)</w:t>
      </w:r>
      <w:r w:rsidRPr="00085D2D">
        <w:rPr>
          <w:bCs/>
          <w:lang w:val="en-US"/>
        </w:rPr>
        <w:tab/>
      </w:r>
      <w:proofErr w:type="gramStart"/>
      <w:r w:rsidRPr="00085D2D">
        <w:rPr>
          <w:bCs/>
          <w:lang w:val="en-US"/>
        </w:rPr>
        <w:t>the</w:t>
      </w:r>
      <w:proofErr w:type="gramEnd"/>
      <w:r w:rsidRPr="00085D2D">
        <w:rPr>
          <w:bCs/>
          <w:lang w:val="en-US"/>
        </w:rPr>
        <w:t xml:space="preserve"> positive or negative net balance </w:t>
      </w:r>
      <w:r w:rsidR="00085D2D" w:rsidRPr="00085D2D">
        <w:rPr>
          <w:bCs/>
          <w:lang w:val="en-US"/>
        </w:rPr>
        <w:t xml:space="preserve">from the regular </w:t>
      </w:r>
      <w:r w:rsidR="007450E4">
        <w:rPr>
          <w:bCs/>
          <w:lang w:val="en-US"/>
        </w:rPr>
        <w:t>budget implementation</w:t>
      </w:r>
      <w:r w:rsidR="007450E4" w:rsidRPr="00085D2D">
        <w:rPr>
          <w:bCs/>
          <w:lang w:val="en-US"/>
        </w:rPr>
        <w:t xml:space="preserve"> </w:t>
      </w:r>
      <w:r w:rsidR="00085D2D" w:rsidRPr="00085D2D">
        <w:rPr>
          <w:bCs/>
          <w:lang w:val="en-US"/>
        </w:rPr>
        <w:t>for</w:t>
      </w:r>
      <w:r w:rsidRPr="00085D2D">
        <w:rPr>
          <w:bCs/>
          <w:lang w:val="en-US"/>
        </w:rPr>
        <w:t xml:space="preserve"> each financial year</w:t>
      </w:r>
      <w:r w:rsidR="00B2207F">
        <w:rPr>
          <w:bCs/>
          <w:lang w:val="en-US"/>
        </w:rPr>
        <w:t>;</w:t>
      </w:r>
    </w:p>
    <w:p w:rsidR="0022373A" w:rsidRPr="00085D2D" w:rsidRDefault="0022373A">
      <w:pPr>
        <w:jc w:val="both"/>
        <w:rPr>
          <w:bCs/>
          <w:lang w:val="en-US"/>
        </w:rPr>
      </w:pPr>
      <w:r w:rsidRPr="00085D2D">
        <w:rPr>
          <w:bCs/>
          <w:lang w:val="en-US"/>
        </w:rPr>
        <w:t>b)</w:t>
      </w:r>
      <w:r w:rsidRPr="00085D2D">
        <w:rPr>
          <w:bCs/>
          <w:lang w:val="en-US"/>
        </w:rPr>
        <w:tab/>
      </w:r>
      <w:proofErr w:type="gramStart"/>
      <w:r w:rsidRPr="00085D2D">
        <w:rPr>
          <w:bCs/>
          <w:lang w:val="en-US"/>
        </w:rPr>
        <w:t>transfers</w:t>
      </w:r>
      <w:proofErr w:type="gramEnd"/>
      <w:r w:rsidRPr="00085D2D">
        <w:rPr>
          <w:bCs/>
          <w:lang w:val="en-US"/>
        </w:rPr>
        <w:t xml:space="preserve"> from other reserves/funds as decided by the Council</w:t>
      </w:r>
      <w:r w:rsidR="00B2207F">
        <w:rPr>
          <w:bCs/>
          <w:lang w:val="en-US"/>
        </w:rPr>
        <w:t>;</w:t>
      </w:r>
    </w:p>
    <w:p w:rsidR="0022373A" w:rsidRPr="001C2A98" w:rsidRDefault="0022373A" w:rsidP="005C41A5">
      <w:pPr>
        <w:ind w:left="567" w:hanging="567"/>
        <w:jc w:val="both"/>
        <w:rPr>
          <w:b/>
          <w:lang w:val="en-US"/>
        </w:rPr>
      </w:pPr>
      <w:r w:rsidRPr="00085D2D">
        <w:rPr>
          <w:bCs/>
          <w:lang w:val="en-US"/>
        </w:rPr>
        <w:t>c)</w:t>
      </w:r>
      <w:r w:rsidRPr="00085D2D">
        <w:rPr>
          <w:bCs/>
          <w:lang w:val="en-US"/>
        </w:rPr>
        <w:tab/>
      </w:r>
      <w:proofErr w:type="gramStart"/>
      <w:r w:rsidRPr="00085D2D">
        <w:rPr>
          <w:bCs/>
          <w:lang w:val="en-US"/>
        </w:rPr>
        <w:t>any</w:t>
      </w:r>
      <w:proofErr w:type="gramEnd"/>
      <w:r w:rsidRPr="00085D2D">
        <w:rPr>
          <w:bCs/>
          <w:lang w:val="en-US"/>
        </w:rPr>
        <w:t xml:space="preserve"> amounts to be credited to the Reserve Account as prescribed by the </w:t>
      </w:r>
      <w:r w:rsidR="00526E73" w:rsidRPr="001C2A98">
        <w:rPr>
          <w:lang w:val="en-US"/>
        </w:rPr>
        <w:t>accounting standards common to the organizations of the United Nations system</w:t>
      </w:r>
      <w:r w:rsidRPr="001C2A98">
        <w:rPr>
          <w:lang w:val="en-US"/>
        </w:rPr>
        <w:t>.</w:t>
      </w:r>
    </w:p>
    <w:p w:rsidR="002856FD" w:rsidRPr="00CF59BF" w:rsidRDefault="002856FD" w:rsidP="005C41A5">
      <w:pPr>
        <w:jc w:val="both"/>
      </w:pPr>
      <w:r w:rsidRPr="00CF59BF">
        <w:t>The Reserve Account also includes funds derived from those activities in respect of which ITU applies the cost-recovery principle pursuant to Council Resolution 1113 (Document C97/133). The products and services to which ITU applies cost recovery are currently:</w:t>
      </w:r>
    </w:p>
    <w:p w:rsidR="002560A2" w:rsidRDefault="002856FD" w:rsidP="00C10F21">
      <w:pPr>
        <w:pStyle w:val="enumlev1"/>
        <w:jc w:val="both"/>
        <w:rPr>
          <w:lang w:val="en-US"/>
        </w:rPr>
      </w:pPr>
      <w:r>
        <w:rPr>
          <w:lang w:val="en-US"/>
        </w:rPr>
        <w:t>–</w:t>
      </w:r>
      <w:r>
        <w:rPr>
          <w:lang w:val="en-US"/>
        </w:rPr>
        <w:tab/>
        <w:t>R</w:t>
      </w:r>
      <w:r w:rsidRPr="00CF59BF">
        <w:rPr>
          <w:lang w:val="en-US"/>
        </w:rPr>
        <w:t xml:space="preserve">egistration of universal international </w:t>
      </w:r>
      <w:proofErr w:type="spellStart"/>
      <w:r w:rsidRPr="00CF59BF">
        <w:rPr>
          <w:lang w:val="en-US"/>
        </w:rPr>
        <w:t>freephone</w:t>
      </w:r>
      <w:proofErr w:type="spellEnd"/>
      <w:r w:rsidRPr="00CF59BF">
        <w:rPr>
          <w:lang w:val="en-US"/>
        </w:rPr>
        <w:t xml:space="preserve"> numbers (UIFN)</w:t>
      </w:r>
      <w:r w:rsidR="00B95B4C">
        <w:rPr>
          <w:lang w:val="en-US"/>
        </w:rPr>
        <w:t>;</w:t>
      </w:r>
    </w:p>
    <w:p w:rsidR="002856FD" w:rsidRPr="00CF59BF" w:rsidRDefault="002856FD" w:rsidP="005C41A5">
      <w:pPr>
        <w:pStyle w:val="enumlev1"/>
        <w:jc w:val="both"/>
        <w:rPr>
          <w:lang w:val="en-US"/>
        </w:rPr>
      </w:pPr>
      <w:r w:rsidRPr="00CF59BF">
        <w:rPr>
          <w:lang w:val="en-US"/>
        </w:rPr>
        <w:t>–</w:t>
      </w:r>
      <w:r w:rsidRPr="00CF59BF">
        <w:rPr>
          <w:lang w:val="en-US"/>
        </w:rPr>
        <w:tab/>
        <w:t>Memorandum of Understanding on global mobile personal communication systems (GMPCS</w:t>
      </w:r>
      <w:r>
        <w:rPr>
          <w:lang w:val="en-US"/>
        </w:rPr>
        <w:t> </w:t>
      </w:r>
      <w:r w:rsidRPr="00CF59BF">
        <w:rPr>
          <w:lang w:val="en-US"/>
        </w:rPr>
        <w:t>MoUs)</w:t>
      </w:r>
      <w:r w:rsidR="00B95B4C">
        <w:rPr>
          <w:lang w:val="en-US"/>
        </w:rPr>
        <w:t>;</w:t>
      </w:r>
    </w:p>
    <w:p w:rsidR="002856FD" w:rsidRPr="00CF59BF" w:rsidRDefault="002856FD" w:rsidP="005C41A5">
      <w:pPr>
        <w:pStyle w:val="enumlev1"/>
        <w:jc w:val="both"/>
        <w:rPr>
          <w:lang w:val="en-US"/>
        </w:rPr>
      </w:pPr>
      <w:r>
        <w:rPr>
          <w:lang w:val="en-US"/>
        </w:rPr>
        <w:t>–</w:t>
      </w:r>
      <w:r>
        <w:rPr>
          <w:lang w:val="en-US"/>
        </w:rPr>
        <w:tab/>
        <w:t>P</w:t>
      </w:r>
      <w:r w:rsidRPr="00CF59BF">
        <w:rPr>
          <w:lang w:val="en-US"/>
        </w:rPr>
        <w:t>rocessing of satellite network filings</w:t>
      </w:r>
      <w:r w:rsidR="00B95B4C">
        <w:rPr>
          <w:lang w:val="en-US"/>
        </w:rPr>
        <w:t>;</w:t>
      </w:r>
    </w:p>
    <w:p w:rsidR="002856FD" w:rsidRPr="00CF59BF" w:rsidRDefault="002856FD" w:rsidP="005C41A5">
      <w:pPr>
        <w:pStyle w:val="enumlev1"/>
        <w:jc w:val="both"/>
        <w:rPr>
          <w:lang w:val="en-US"/>
        </w:rPr>
      </w:pPr>
      <w:r>
        <w:rPr>
          <w:lang w:val="en-US"/>
        </w:rPr>
        <w:t>–</w:t>
      </w:r>
      <w:r>
        <w:rPr>
          <w:lang w:val="en-US"/>
        </w:rPr>
        <w:tab/>
        <w:t>R</w:t>
      </w:r>
      <w:r w:rsidRPr="00CF59BF">
        <w:rPr>
          <w:lang w:val="en-US"/>
        </w:rPr>
        <w:t>egistration of universal international premium-rate numbers (UIPRN) and universal international shared-cost numbers (UISCN)</w:t>
      </w:r>
      <w:r w:rsidR="00B95B4C">
        <w:rPr>
          <w:lang w:val="en-US"/>
        </w:rPr>
        <w:t>;</w:t>
      </w:r>
    </w:p>
    <w:p w:rsidR="002856FD" w:rsidRPr="00CF59BF" w:rsidRDefault="002856FD" w:rsidP="005C41A5">
      <w:pPr>
        <w:pStyle w:val="enumlev1"/>
        <w:jc w:val="both"/>
        <w:rPr>
          <w:lang w:val="en-US"/>
        </w:rPr>
      </w:pPr>
      <w:r w:rsidRPr="00CF59BF">
        <w:rPr>
          <w:lang w:val="en-US"/>
        </w:rPr>
        <w:t>–</w:t>
      </w:r>
      <w:r w:rsidRPr="00CF59BF">
        <w:rPr>
          <w:lang w:val="en-US"/>
        </w:rPr>
        <w:tab/>
        <w:t>TELECOM</w:t>
      </w:r>
      <w:r w:rsidR="00B95B4C">
        <w:rPr>
          <w:lang w:val="en-US"/>
        </w:rPr>
        <w:t>;</w:t>
      </w:r>
    </w:p>
    <w:p w:rsidR="002856FD" w:rsidRPr="00CF59BF" w:rsidRDefault="002856FD" w:rsidP="005C41A5">
      <w:pPr>
        <w:pStyle w:val="enumlev1"/>
        <w:jc w:val="both"/>
        <w:rPr>
          <w:lang w:val="en-US"/>
        </w:rPr>
      </w:pPr>
      <w:r>
        <w:rPr>
          <w:lang w:val="en-US"/>
        </w:rPr>
        <w:t>–</w:t>
      </w:r>
      <w:r>
        <w:rPr>
          <w:lang w:val="en-US"/>
        </w:rPr>
        <w:tab/>
        <w:t>P</w:t>
      </w:r>
      <w:r w:rsidRPr="00CF59BF">
        <w:rPr>
          <w:lang w:val="en-US"/>
        </w:rPr>
        <w:t>ublication sales</w:t>
      </w:r>
      <w:r w:rsidR="00B95B4C">
        <w:rPr>
          <w:lang w:val="en-US"/>
        </w:rPr>
        <w:t>;</w:t>
      </w:r>
    </w:p>
    <w:p w:rsidR="002856FD" w:rsidRPr="00CF59BF" w:rsidRDefault="002856FD" w:rsidP="005C41A5">
      <w:pPr>
        <w:pStyle w:val="enumlev1"/>
        <w:jc w:val="both"/>
        <w:rPr>
          <w:lang w:val="en-US"/>
        </w:rPr>
      </w:pPr>
      <w:r>
        <w:rPr>
          <w:lang w:val="en-US"/>
        </w:rPr>
        <w:t>–</w:t>
      </w:r>
      <w:r>
        <w:rPr>
          <w:lang w:val="en-US"/>
        </w:rPr>
        <w:tab/>
        <w:t>P</w:t>
      </w:r>
      <w:r w:rsidRPr="00CF59BF">
        <w:rPr>
          <w:lang w:val="en-US"/>
        </w:rPr>
        <w:t>roject support revenue.</w:t>
      </w:r>
    </w:p>
    <w:p w:rsidR="0022373A" w:rsidRPr="001C2A98" w:rsidRDefault="0022373A" w:rsidP="005C41A5">
      <w:pPr>
        <w:jc w:val="both"/>
        <w:rPr>
          <w:b/>
          <w:lang w:val="en-US"/>
        </w:rPr>
      </w:pPr>
      <w:r w:rsidRPr="001C2A98">
        <w:rPr>
          <w:lang w:val="en-US"/>
        </w:rPr>
        <w:t xml:space="preserve">Notwithstanding the provisions of Article 13, § 4 b) of </w:t>
      </w:r>
      <w:r w:rsidR="00B54F88">
        <w:rPr>
          <w:lang w:val="en-US"/>
        </w:rPr>
        <w:t xml:space="preserve">the </w:t>
      </w:r>
      <w:r w:rsidRPr="001C2A98">
        <w:rPr>
          <w:lang w:val="en-US"/>
        </w:rPr>
        <w:t xml:space="preserve">Financial Regulations, bearing in mind the need to maintain the Reserve Account at a minimum level determined by the Plenipotentiary Conference, withdrawals may be made from the Reserve Account by special decision of the Council, </w:t>
      </w:r>
      <w:r w:rsidRPr="001C2A98">
        <w:rPr>
          <w:i/>
          <w:iCs/>
          <w:lang w:val="en-US"/>
        </w:rPr>
        <w:t>inter alia</w:t>
      </w:r>
      <w:r w:rsidRPr="001C2A98">
        <w:rPr>
          <w:lang w:val="en-US"/>
        </w:rPr>
        <w:t xml:space="preserve">, for: </w:t>
      </w:r>
    </w:p>
    <w:p w:rsidR="0022373A" w:rsidRPr="001C2A98" w:rsidRDefault="0022373A" w:rsidP="005C41A5">
      <w:pPr>
        <w:pStyle w:val="enumlev1"/>
        <w:jc w:val="both"/>
        <w:rPr>
          <w:b/>
          <w:lang w:val="en-US"/>
        </w:rPr>
      </w:pPr>
      <w:r w:rsidRPr="001C2A98">
        <w:rPr>
          <w:lang w:val="en-US"/>
        </w:rPr>
        <w:t>a)</w:t>
      </w:r>
      <w:r w:rsidRPr="001C2A98">
        <w:rPr>
          <w:lang w:val="en-US"/>
        </w:rPr>
        <w:tab/>
      </w:r>
      <w:proofErr w:type="gramStart"/>
      <w:r w:rsidRPr="001C2A98">
        <w:rPr>
          <w:lang w:val="en-US"/>
        </w:rPr>
        <w:t>reducing</w:t>
      </w:r>
      <w:proofErr w:type="gramEnd"/>
      <w:r w:rsidRPr="001C2A98">
        <w:rPr>
          <w:lang w:val="en-US"/>
        </w:rPr>
        <w:t xml:space="preserve"> the amount of the contributory unit</w:t>
      </w:r>
      <w:r w:rsidR="007450E4">
        <w:rPr>
          <w:lang w:val="en-US"/>
        </w:rPr>
        <w:t>;</w:t>
      </w:r>
    </w:p>
    <w:p w:rsidR="0022373A" w:rsidRPr="001C2A98" w:rsidRDefault="0022373A" w:rsidP="005C41A5">
      <w:pPr>
        <w:pStyle w:val="enumlev1"/>
        <w:jc w:val="both"/>
        <w:rPr>
          <w:b/>
          <w:lang w:val="en-US"/>
        </w:rPr>
      </w:pPr>
      <w:r w:rsidRPr="001C2A98">
        <w:rPr>
          <w:lang w:val="en-US"/>
        </w:rPr>
        <w:t>b)</w:t>
      </w:r>
      <w:r w:rsidRPr="001C2A98">
        <w:rPr>
          <w:lang w:val="en-US"/>
        </w:rPr>
        <w:tab/>
      </w:r>
      <w:proofErr w:type="gramStart"/>
      <w:r w:rsidRPr="001C2A98">
        <w:rPr>
          <w:lang w:val="en-US"/>
        </w:rPr>
        <w:t>balancing</w:t>
      </w:r>
      <w:proofErr w:type="gramEnd"/>
      <w:r w:rsidRPr="001C2A98">
        <w:rPr>
          <w:lang w:val="en-US"/>
        </w:rPr>
        <w:t xml:space="preserve"> the budget of the Union</w:t>
      </w:r>
      <w:r w:rsidR="007450E4">
        <w:rPr>
          <w:lang w:val="en-US"/>
        </w:rPr>
        <w:t>;</w:t>
      </w:r>
    </w:p>
    <w:p w:rsidR="0022373A" w:rsidRPr="001C2A98" w:rsidRDefault="0022373A" w:rsidP="005C41A5">
      <w:pPr>
        <w:pStyle w:val="enumlev1"/>
        <w:jc w:val="both"/>
        <w:rPr>
          <w:b/>
          <w:lang w:val="en-US"/>
        </w:rPr>
      </w:pPr>
      <w:r w:rsidRPr="001C2A98">
        <w:rPr>
          <w:lang w:val="en-US"/>
        </w:rPr>
        <w:t>c)</w:t>
      </w:r>
      <w:r w:rsidRPr="001C2A98">
        <w:rPr>
          <w:lang w:val="en-US"/>
        </w:rPr>
        <w:tab/>
      </w:r>
      <w:proofErr w:type="gramStart"/>
      <w:r w:rsidRPr="001C2A98">
        <w:rPr>
          <w:lang w:val="en-US"/>
        </w:rPr>
        <w:t>transfers</w:t>
      </w:r>
      <w:proofErr w:type="gramEnd"/>
      <w:r w:rsidRPr="001C2A98">
        <w:rPr>
          <w:lang w:val="en-US"/>
        </w:rPr>
        <w:t xml:space="preserve"> to other reserves/funds</w:t>
      </w:r>
      <w:r w:rsidR="007450E4">
        <w:rPr>
          <w:lang w:val="en-US"/>
        </w:rPr>
        <w:t>; or</w:t>
      </w:r>
    </w:p>
    <w:p w:rsidR="0022373A" w:rsidRDefault="0022373A" w:rsidP="005C41A5">
      <w:pPr>
        <w:pStyle w:val="enumlev1"/>
        <w:jc w:val="both"/>
        <w:rPr>
          <w:lang w:val="en-US"/>
        </w:rPr>
      </w:pPr>
      <w:r w:rsidRPr="001C2A98">
        <w:rPr>
          <w:lang w:val="en-US"/>
        </w:rPr>
        <w:t>d)</w:t>
      </w:r>
      <w:r w:rsidRPr="001C2A98">
        <w:rPr>
          <w:lang w:val="en-US"/>
        </w:rPr>
        <w:tab/>
      </w:r>
      <w:proofErr w:type="gramStart"/>
      <w:r w:rsidRPr="001C2A98">
        <w:rPr>
          <w:lang w:val="en-US"/>
        </w:rPr>
        <w:t>any</w:t>
      </w:r>
      <w:proofErr w:type="gramEnd"/>
      <w:r w:rsidRPr="001C2A98">
        <w:rPr>
          <w:lang w:val="en-US"/>
        </w:rPr>
        <w:t xml:space="preserve"> amounts to be debited to the Reserve Account as prescribed by the accounting standards common to the organizations of the United Nations system.</w:t>
      </w:r>
    </w:p>
    <w:p w:rsidR="00C22BFF" w:rsidRDefault="00C22BFF" w:rsidP="005C41A5">
      <w:pPr>
        <w:pStyle w:val="Heading5"/>
        <w:jc w:val="both"/>
        <w:rPr>
          <w:u w:val="single"/>
          <w:lang w:val="en-US"/>
        </w:rPr>
      </w:pPr>
      <w:bookmarkStart w:id="59" w:name="_Toc305764075"/>
      <w:bookmarkStart w:id="60" w:name="_Toc329011626"/>
      <w:r>
        <w:rPr>
          <w:u w:val="single"/>
          <w:lang w:val="en-US"/>
        </w:rPr>
        <w:t>Other funds</w:t>
      </w:r>
    </w:p>
    <w:p w:rsidR="00EB43C3" w:rsidRPr="00C22BFF" w:rsidRDefault="00C22BFF" w:rsidP="005C41A5">
      <w:pPr>
        <w:jc w:val="both"/>
        <w:rPr>
          <w:lang w:val="en-US"/>
        </w:rPr>
      </w:pPr>
      <w:r w:rsidRPr="00C22BFF">
        <w:rPr>
          <w:lang w:val="en-US"/>
        </w:rPr>
        <w:t xml:space="preserve">Other funds include the </w:t>
      </w:r>
      <w:r w:rsidR="00EB43C3" w:rsidRPr="00C22BFF">
        <w:rPr>
          <w:lang w:val="en-US"/>
        </w:rPr>
        <w:t>ITU Staff Superannuation and Benevolent Funds</w:t>
      </w:r>
      <w:r w:rsidRPr="00C22BFF">
        <w:rPr>
          <w:lang w:val="en-US"/>
        </w:rPr>
        <w:t xml:space="preserve"> and well as the Pension and Intervention funds</w:t>
      </w:r>
      <w:r>
        <w:rPr>
          <w:lang w:val="en-US"/>
        </w:rPr>
        <w:t xml:space="preserve"> and the ASHI fund</w:t>
      </w:r>
      <w:r w:rsidR="00B95B4C">
        <w:rPr>
          <w:lang w:val="en-US"/>
        </w:rPr>
        <w:t>.</w:t>
      </w:r>
    </w:p>
    <w:p w:rsidR="00EB43C3" w:rsidRPr="001C2A98" w:rsidRDefault="00EB43C3" w:rsidP="005F0CBF">
      <w:pPr>
        <w:jc w:val="both"/>
        <w:rPr>
          <w:lang w:val="en-US"/>
        </w:rPr>
      </w:pPr>
      <w:r w:rsidRPr="001C2A98">
        <w:rPr>
          <w:lang w:val="en-US"/>
        </w:rPr>
        <w:t>The ITU Staff Superannuation and Benevolent Funds </w:t>
      </w:r>
      <w:r w:rsidRPr="005F0CBF">
        <w:rPr>
          <w:lang w:val="en-US"/>
        </w:rPr>
        <w:t>comprise</w:t>
      </w:r>
      <w:r w:rsidR="005F0CBF" w:rsidRPr="005F0CBF">
        <w:rPr>
          <w:lang w:val="en-US"/>
        </w:rPr>
        <w:t xml:space="preserve"> two</w:t>
      </w:r>
      <w:r w:rsidRPr="005F0CBF">
        <w:rPr>
          <w:lang w:val="en-US"/>
        </w:rPr>
        <w:t xml:space="preserve"> funds:</w:t>
      </w:r>
    </w:p>
    <w:p w:rsidR="00EB43C3" w:rsidRPr="001C2A98" w:rsidRDefault="00EB43C3" w:rsidP="005C41A5">
      <w:pPr>
        <w:pStyle w:val="enumlev1"/>
        <w:jc w:val="both"/>
        <w:rPr>
          <w:lang w:val="en-US"/>
        </w:rPr>
      </w:pPr>
      <w:r w:rsidRPr="001C2A98">
        <w:rPr>
          <w:lang w:val="en-US"/>
        </w:rPr>
        <w:t>–</w:t>
      </w:r>
      <w:r w:rsidRPr="001C2A98">
        <w:rPr>
          <w:lang w:val="en-US"/>
        </w:rPr>
        <w:tab/>
        <w:t>Provident Fund</w:t>
      </w:r>
      <w:r w:rsidR="00B95B4C">
        <w:rPr>
          <w:lang w:val="en-US"/>
        </w:rPr>
        <w:t>;</w:t>
      </w:r>
    </w:p>
    <w:p w:rsidR="00EB43C3" w:rsidRPr="001C2A98" w:rsidRDefault="00EB43C3" w:rsidP="005C41A5">
      <w:pPr>
        <w:pStyle w:val="enumlev1"/>
        <w:jc w:val="both"/>
        <w:rPr>
          <w:lang w:val="en-US"/>
        </w:rPr>
      </w:pPr>
      <w:r w:rsidRPr="001C2A98">
        <w:rPr>
          <w:lang w:val="en-US"/>
        </w:rPr>
        <w:t>–</w:t>
      </w:r>
      <w:r w:rsidRPr="001C2A98">
        <w:rPr>
          <w:lang w:val="en-US"/>
        </w:rPr>
        <w:tab/>
        <w:t>Assistance Fund.</w:t>
      </w:r>
    </w:p>
    <w:p w:rsidR="00581490" w:rsidRPr="0002174A" w:rsidRDefault="00EB43C3" w:rsidP="001B40AC">
      <w:pPr>
        <w:jc w:val="both"/>
        <w:rPr>
          <w:lang w:val="en-US"/>
        </w:rPr>
      </w:pPr>
      <w:r w:rsidRPr="001C2A98">
        <w:rPr>
          <w:lang w:val="en-US"/>
        </w:rPr>
        <w:t xml:space="preserve">They are the set of funds </w:t>
      </w:r>
      <w:r w:rsidRPr="004F546C">
        <w:rPr>
          <w:lang w:val="en-US"/>
        </w:rPr>
        <w:t xml:space="preserve">that guarantee the pensions of employees who were in service prior to 1 January 1960, the date on which ITU became affiliated to the United Nations Joint Staff Pension Fund. </w:t>
      </w:r>
      <w:r w:rsidR="00B3515F" w:rsidRPr="004F546C">
        <w:rPr>
          <w:lang w:val="en-US"/>
        </w:rPr>
        <w:t xml:space="preserve">In </w:t>
      </w:r>
      <w:r w:rsidR="00111BDD">
        <w:rPr>
          <w:lang w:val="en-US"/>
        </w:rPr>
        <w:t>201</w:t>
      </w:r>
      <w:r w:rsidR="00A13886">
        <w:rPr>
          <w:lang w:val="en-US"/>
        </w:rPr>
        <w:t>6</w:t>
      </w:r>
      <w:r w:rsidRPr="004F546C">
        <w:rPr>
          <w:lang w:val="en-US"/>
        </w:rPr>
        <w:t>, the Reserve and Complement Fund pa</w:t>
      </w:r>
      <w:r w:rsidR="00021C50">
        <w:rPr>
          <w:lang w:val="en-US"/>
        </w:rPr>
        <w:t>id</w:t>
      </w:r>
      <w:r w:rsidRPr="004F546C">
        <w:rPr>
          <w:lang w:val="en-US"/>
        </w:rPr>
        <w:t xml:space="preserve"> out </w:t>
      </w:r>
      <w:r w:rsidR="00A13886">
        <w:rPr>
          <w:lang w:val="en-US"/>
        </w:rPr>
        <w:t>26</w:t>
      </w:r>
      <w:r w:rsidRPr="004F546C">
        <w:rPr>
          <w:lang w:val="en-US"/>
        </w:rPr>
        <w:t xml:space="preserve"> retirement pensions and </w:t>
      </w:r>
      <w:r w:rsidR="00A13886">
        <w:rPr>
          <w:lang w:val="en-US"/>
        </w:rPr>
        <w:t>25</w:t>
      </w:r>
      <w:r w:rsidRPr="004F546C">
        <w:rPr>
          <w:lang w:val="en-US"/>
        </w:rPr>
        <w:t xml:space="preserve"> survivor</w:t>
      </w:r>
      <w:r w:rsidR="007A552E" w:rsidRPr="004F546C">
        <w:rPr>
          <w:lang w:val="en-US"/>
        </w:rPr>
        <w:t>’</w:t>
      </w:r>
      <w:r w:rsidRPr="004F546C">
        <w:rPr>
          <w:lang w:val="en-US"/>
        </w:rPr>
        <w:t>s pensions; and the Assistance Fund serve</w:t>
      </w:r>
      <w:r w:rsidR="00021C50">
        <w:rPr>
          <w:lang w:val="en-US"/>
        </w:rPr>
        <w:t>d</w:t>
      </w:r>
      <w:r w:rsidRPr="004F546C">
        <w:rPr>
          <w:lang w:val="en-US"/>
        </w:rPr>
        <w:t xml:space="preserve"> to assist staff members and pensioners in difficult financial situations</w:t>
      </w:r>
      <w:r w:rsidR="00B3515F" w:rsidRPr="004F546C">
        <w:rPr>
          <w:lang w:val="en-US"/>
        </w:rPr>
        <w:t xml:space="preserve">. </w:t>
      </w:r>
      <w:r w:rsidR="00581490" w:rsidRPr="004F546C">
        <w:rPr>
          <w:lang w:val="en-US"/>
        </w:rPr>
        <w:t>The most recent calculation of the obligations to be provisioned for beneficiaries of the ITU Staff Superannuation and Benevolent Funds was made on 31 December 2011.</w:t>
      </w:r>
    </w:p>
    <w:p w:rsidR="00581490" w:rsidRPr="004E2561" w:rsidRDefault="00581490" w:rsidP="005C41A5">
      <w:pPr>
        <w:jc w:val="both"/>
        <w:rPr>
          <w:lang w:val="en-US"/>
        </w:rPr>
      </w:pPr>
      <w:r w:rsidRPr="00EC6ACC">
        <w:rPr>
          <w:lang w:val="en-US"/>
        </w:rPr>
        <w:t xml:space="preserve">Pursuant to Resolution 7 (Geneva, 1959) of the Plenipotentiary Conference, the staff of ITU is affiliated, as from 1 January 1960, to the United Nations Joint Staff Pension Fund. Under Article 86 of the Regulations of the ITU Staff Superannuation and Benevolent Funds, those Funds are managed by the Union. The assets of the Funds must be invested in trustee securities. The accounts of these Funds are verified by the External Auditor as part of the periodic audits of the accounts of the Union. By Resolution 1211, adopted at its additional session in October 2003, the Council resolved that, with retroactive effect as from 1 January 2003, the statutory rate of interest of the Funds was removed from Article </w:t>
      </w:r>
      <w:r w:rsidRPr="004E2561">
        <w:rPr>
          <w:lang w:val="en-US"/>
        </w:rPr>
        <w:t xml:space="preserve">86 of the Regulations of the Funds. </w:t>
      </w:r>
    </w:p>
    <w:p w:rsidR="00C22BFF" w:rsidRDefault="00055B07" w:rsidP="00F278B4">
      <w:pPr>
        <w:jc w:val="both"/>
        <w:rPr>
          <w:lang w:val="en-US"/>
        </w:rPr>
      </w:pPr>
      <w:r w:rsidRPr="004E2561">
        <w:rPr>
          <w:lang w:val="en-US"/>
        </w:rPr>
        <w:t xml:space="preserve">Other funds also include since 2013, a fund dedicated to the long-term funding of the ASHI unfunded liability as well as the </w:t>
      </w:r>
      <w:r w:rsidR="005B2BC0" w:rsidRPr="004E2561">
        <w:rPr>
          <w:lang w:val="en-US"/>
        </w:rPr>
        <w:t>new health insurance</w:t>
      </w:r>
      <w:r w:rsidRPr="004E2561">
        <w:rPr>
          <w:lang w:val="en-US"/>
        </w:rPr>
        <w:t xml:space="preserve"> fund, which </w:t>
      </w:r>
      <w:r w:rsidR="00CA56B6" w:rsidRPr="004E2561">
        <w:rPr>
          <w:lang w:val="en-US"/>
        </w:rPr>
        <w:t>constitute</w:t>
      </w:r>
      <w:r w:rsidR="00F278B4">
        <w:rPr>
          <w:lang w:val="en-US"/>
        </w:rPr>
        <w:t>s</w:t>
      </w:r>
      <w:r w:rsidRPr="004E2561">
        <w:rPr>
          <w:lang w:val="en-US"/>
        </w:rPr>
        <w:t xml:space="preserve"> the guaranty fund for </w:t>
      </w:r>
      <w:r w:rsidR="00F278B4">
        <w:rPr>
          <w:lang w:val="en-US"/>
        </w:rPr>
        <w:t xml:space="preserve">the </w:t>
      </w:r>
      <w:r w:rsidRPr="004E2561">
        <w:rPr>
          <w:lang w:val="en-US"/>
        </w:rPr>
        <w:t>ITU new health Insurance scheme</w:t>
      </w:r>
      <w:r w:rsidR="00CA56B6" w:rsidRPr="004E2561">
        <w:rPr>
          <w:lang w:val="en-US"/>
        </w:rPr>
        <w:t xml:space="preserve"> </w:t>
      </w:r>
      <w:r w:rsidR="00F278B4">
        <w:rPr>
          <w:lang w:val="en-US"/>
        </w:rPr>
        <w:t xml:space="preserve">since </w:t>
      </w:r>
      <w:r w:rsidR="00111BDD">
        <w:rPr>
          <w:lang w:val="en-US"/>
        </w:rPr>
        <w:t>201</w:t>
      </w:r>
      <w:r w:rsidR="00F278B4">
        <w:rPr>
          <w:lang w:val="en-US"/>
        </w:rPr>
        <w:t>4</w:t>
      </w:r>
      <w:r w:rsidRPr="004E2561">
        <w:rPr>
          <w:lang w:val="en-US"/>
        </w:rPr>
        <w:t>.</w:t>
      </w:r>
    </w:p>
    <w:p w:rsidR="00734446" w:rsidRDefault="00734446" w:rsidP="00F03DD8">
      <w:pPr>
        <w:jc w:val="both"/>
        <w:rPr>
          <w:b/>
          <w:bCs/>
          <w:u w:val="single"/>
          <w:lang w:val="en-US"/>
        </w:rPr>
      </w:pPr>
      <w:r w:rsidRPr="00F85CF0">
        <w:rPr>
          <w:b/>
          <w:bCs/>
          <w:u w:val="single"/>
          <w:lang w:val="en-US"/>
        </w:rPr>
        <w:t>New building fund</w:t>
      </w:r>
    </w:p>
    <w:p w:rsidR="00B04210" w:rsidRDefault="00B40141" w:rsidP="00F278B4">
      <w:pPr>
        <w:jc w:val="both"/>
        <w:rPr>
          <w:rFonts w:asciiTheme="minorHAnsi" w:hAnsiTheme="minorHAnsi"/>
          <w:szCs w:val="24"/>
        </w:rPr>
      </w:pPr>
      <w:r w:rsidRPr="005D021A">
        <w:rPr>
          <w:rFonts w:asciiTheme="minorHAnsi" w:hAnsiTheme="minorHAnsi"/>
        </w:rPr>
        <w:t xml:space="preserve">Council 2016, through </w:t>
      </w:r>
      <w:hyperlink r:id="rId40" w:history="1">
        <w:r w:rsidRPr="005D021A">
          <w:rPr>
            <w:rStyle w:val="Hyperlink"/>
            <w:rFonts w:asciiTheme="minorHAnsi" w:hAnsiTheme="minorHAnsi"/>
          </w:rPr>
          <w:t>Decision 588</w:t>
        </w:r>
      </w:hyperlink>
      <w:r w:rsidRPr="005D021A">
        <w:rPr>
          <w:rFonts w:asciiTheme="minorHAnsi" w:hAnsiTheme="minorHAnsi"/>
        </w:rPr>
        <w:t xml:space="preserve">, decided to replace the </w:t>
      </w:r>
      <w:proofErr w:type="spellStart"/>
      <w:r w:rsidRPr="005D021A">
        <w:rPr>
          <w:rFonts w:asciiTheme="minorHAnsi" w:hAnsiTheme="minorHAnsi"/>
        </w:rPr>
        <w:t>Varembé</w:t>
      </w:r>
      <w:proofErr w:type="spellEnd"/>
      <w:r w:rsidRPr="005D021A">
        <w:rPr>
          <w:rFonts w:asciiTheme="minorHAnsi" w:hAnsiTheme="minorHAnsi"/>
        </w:rPr>
        <w:t xml:space="preserve"> building by a new </w:t>
      </w:r>
      <w:r w:rsidRPr="005D021A">
        <w:rPr>
          <w:rFonts w:asciiTheme="minorHAnsi" w:hAnsiTheme="minorHAnsi"/>
          <w:szCs w:val="24"/>
        </w:rPr>
        <w:t xml:space="preserve">construction (herein called “Varembé-2”) that would also include the offices and facilities of the Tower building, and complement the </w:t>
      </w:r>
      <w:proofErr w:type="spellStart"/>
      <w:r w:rsidRPr="005D021A">
        <w:rPr>
          <w:rFonts w:asciiTheme="minorHAnsi" w:hAnsiTheme="minorHAnsi"/>
          <w:szCs w:val="24"/>
        </w:rPr>
        <w:t>Montbrillant</w:t>
      </w:r>
      <w:proofErr w:type="spellEnd"/>
      <w:r w:rsidRPr="005D021A">
        <w:rPr>
          <w:rFonts w:asciiTheme="minorHAnsi" w:hAnsiTheme="minorHAnsi"/>
          <w:szCs w:val="24"/>
        </w:rPr>
        <w:t xml:space="preserve"> building which would be retained and refurbished</w:t>
      </w:r>
      <w:r>
        <w:rPr>
          <w:rFonts w:asciiTheme="minorHAnsi" w:hAnsiTheme="minorHAnsi"/>
          <w:szCs w:val="24"/>
        </w:rPr>
        <w:t>.</w:t>
      </w:r>
    </w:p>
    <w:p w:rsidR="00B40141" w:rsidRPr="005D021A" w:rsidRDefault="00B40141" w:rsidP="00F03DD8">
      <w:pPr>
        <w:pStyle w:val="Normalaftertitle"/>
        <w:tabs>
          <w:tab w:val="clear" w:pos="567"/>
          <w:tab w:val="clear" w:pos="1134"/>
          <w:tab w:val="clear" w:pos="1701"/>
          <w:tab w:val="clear" w:pos="2268"/>
          <w:tab w:val="clear" w:pos="2835"/>
        </w:tabs>
        <w:snapToGrid w:val="0"/>
        <w:spacing w:before="120" w:after="120"/>
        <w:jc w:val="both"/>
        <w:rPr>
          <w:rFonts w:asciiTheme="minorHAnsi" w:hAnsiTheme="minorHAnsi"/>
          <w:szCs w:val="24"/>
        </w:rPr>
      </w:pPr>
      <w:r>
        <w:rPr>
          <w:rFonts w:asciiTheme="minorHAnsi" w:hAnsiTheme="minorHAnsi"/>
          <w:szCs w:val="24"/>
        </w:rPr>
        <w:t>A</w:t>
      </w:r>
      <w:r w:rsidRPr="005D021A">
        <w:rPr>
          <w:rFonts w:asciiTheme="minorHAnsi" w:hAnsiTheme="minorHAnsi"/>
          <w:szCs w:val="24"/>
        </w:rPr>
        <w:t>n interest-free loan of up to CHF 150 million to finance this project</w:t>
      </w:r>
      <w:r>
        <w:rPr>
          <w:rFonts w:asciiTheme="minorHAnsi" w:hAnsiTheme="minorHAnsi"/>
          <w:szCs w:val="24"/>
        </w:rPr>
        <w:t xml:space="preserve"> has been granted by the Swiss Confederation</w:t>
      </w:r>
      <w:r w:rsidRPr="005D021A">
        <w:rPr>
          <w:rFonts w:asciiTheme="minorHAnsi" w:hAnsiTheme="minorHAnsi"/>
          <w:szCs w:val="24"/>
        </w:rPr>
        <w:t xml:space="preserve"> with a maximum budget for total project costs before sale of the Tower of CHF 140 million and an additional contingency fund of CHF 7 million to be used, if necessary, for unforeseen cost overruns.</w:t>
      </w:r>
    </w:p>
    <w:p w:rsidR="00B40141" w:rsidRDefault="00B40141" w:rsidP="00F03DD8">
      <w:pPr>
        <w:jc w:val="both"/>
        <w:rPr>
          <w:rFonts w:asciiTheme="minorHAnsi" w:hAnsiTheme="minorHAnsi"/>
          <w:szCs w:val="24"/>
        </w:rPr>
      </w:pPr>
      <w:r w:rsidRPr="005D021A">
        <w:rPr>
          <w:rFonts w:asciiTheme="minorHAnsi" w:hAnsiTheme="minorHAnsi"/>
          <w:szCs w:val="24"/>
        </w:rPr>
        <w:t xml:space="preserve">The Secretary-General applied to Switzerland for the first tranche of the loan for the first phase of the project: </w:t>
      </w:r>
      <w:r w:rsidR="00F03DD8">
        <w:rPr>
          <w:rFonts w:asciiTheme="minorHAnsi" w:hAnsiTheme="minorHAnsi"/>
          <w:szCs w:val="24"/>
        </w:rPr>
        <w:t xml:space="preserve"> </w:t>
      </w:r>
      <w:r w:rsidRPr="005D021A">
        <w:rPr>
          <w:rFonts w:asciiTheme="minorHAnsi" w:hAnsiTheme="minorHAnsi"/>
          <w:szCs w:val="24"/>
        </w:rPr>
        <w:t xml:space="preserve">the architectural competition, architectural studies and related expenses for the period up to 31/12/2019. The loan request amounted to CHF 12 million, with </w:t>
      </w:r>
      <w:r w:rsidR="00F03DD8">
        <w:rPr>
          <w:rFonts w:asciiTheme="minorHAnsi" w:hAnsiTheme="minorHAnsi"/>
          <w:szCs w:val="24"/>
        </w:rPr>
        <w:t xml:space="preserve">the </w:t>
      </w:r>
      <w:r w:rsidRPr="005D021A">
        <w:rPr>
          <w:rFonts w:asciiTheme="minorHAnsi" w:hAnsiTheme="minorHAnsi"/>
          <w:szCs w:val="24"/>
        </w:rPr>
        <w:t>first annual repayment being made only after the building is successfully received (at the earliest end-2023). The loan was granted by the Swiss Parliament in December 2016 and ITU has signed a contract with FIPOI for the administration of this loan. The funds have been available since the beginning of 2017</w:t>
      </w:r>
      <w:r>
        <w:rPr>
          <w:rFonts w:asciiTheme="minorHAnsi" w:hAnsiTheme="minorHAnsi"/>
          <w:szCs w:val="24"/>
        </w:rPr>
        <w:t>.</w:t>
      </w:r>
    </w:p>
    <w:p w:rsidR="00B40141" w:rsidRDefault="00B40141" w:rsidP="006A1D7A">
      <w:pPr>
        <w:jc w:val="both"/>
        <w:rPr>
          <w:rFonts w:asciiTheme="minorHAnsi" w:hAnsiTheme="minorHAnsi"/>
          <w:szCs w:val="24"/>
        </w:rPr>
      </w:pPr>
      <w:r>
        <w:rPr>
          <w:rFonts w:asciiTheme="minorHAnsi" w:hAnsiTheme="minorHAnsi"/>
          <w:szCs w:val="24"/>
        </w:rPr>
        <w:t xml:space="preserve">To follow </w:t>
      </w:r>
      <w:r w:rsidR="00F03DD8">
        <w:rPr>
          <w:rFonts w:asciiTheme="minorHAnsi" w:hAnsiTheme="minorHAnsi"/>
          <w:szCs w:val="24"/>
        </w:rPr>
        <w:t xml:space="preserve">up </w:t>
      </w:r>
      <w:r>
        <w:rPr>
          <w:rFonts w:asciiTheme="minorHAnsi" w:hAnsiTheme="minorHAnsi"/>
          <w:szCs w:val="24"/>
        </w:rPr>
        <w:t>on the implementation of this project</w:t>
      </w:r>
      <w:r w:rsidR="00F03DD8">
        <w:rPr>
          <w:rFonts w:asciiTheme="minorHAnsi" w:hAnsiTheme="minorHAnsi"/>
          <w:szCs w:val="24"/>
        </w:rPr>
        <w:t>,</w:t>
      </w:r>
      <w:r>
        <w:rPr>
          <w:rFonts w:asciiTheme="minorHAnsi" w:hAnsiTheme="minorHAnsi"/>
          <w:szCs w:val="24"/>
        </w:rPr>
        <w:t xml:space="preserve"> a new fund has been created. This fund is disclosed under the segment reporting and also under Annex</w:t>
      </w:r>
      <w:r w:rsidR="006A1D7A">
        <w:rPr>
          <w:rFonts w:asciiTheme="minorHAnsi" w:hAnsiTheme="minorHAnsi"/>
          <w:szCs w:val="24"/>
        </w:rPr>
        <w:t xml:space="preserve"> A2.</w:t>
      </w:r>
    </w:p>
    <w:p w:rsidR="00C22BFF" w:rsidRDefault="00C22BFF" w:rsidP="005C41A5">
      <w:pPr>
        <w:pStyle w:val="Heading5"/>
        <w:jc w:val="both"/>
        <w:rPr>
          <w:u w:val="single"/>
          <w:lang w:val="en-US"/>
        </w:rPr>
      </w:pPr>
      <w:proofErr w:type="spellStart"/>
      <w:r w:rsidRPr="00C22BFF">
        <w:rPr>
          <w:u w:val="single"/>
          <w:lang w:val="en-US"/>
        </w:rPr>
        <w:t>Extrabudgetary</w:t>
      </w:r>
      <w:proofErr w:type="spellEnd"/>
      <w:r w:rsidRPr="00C22BFF">
        <w:rPr>
          <w:u w:val="single"/>
          <w:lang w:val="en-US"/>
        </w:rPr>
        <w:t xml:space="preserve"> activities related funds</w:t>
      </w:r>
    </w:p>
    <w:p w:rsidR="00C22BFF" w:rsidRPr="001C2A98" w:rsidRDefault="00C22BFF" w:rsidP="005C41A5">
      <w:pPr>
        <w:pStyle w:val="enumlev1"/>
        <w:jc w:val="both"/>
        <w:rPr>
          <w:lang w:val="en-US"/>
        </w:rPr>
      </w:pPr>
      <w:r w:rsidRPr="001C2A98">
        <w:rPr>
          <w:lang w:val="en-US"/>
        </w:rPr>
        <w:t>–</w:t>
      </w:r>
      <w:r w:rsidRPr="001C2A98">
        <w:rPr>
          <w:lang w:val="en-US"/>
        </w:rPr>
        <w:tab/>
      </w:r>
      <w:r w:rsidRPr="001C2A98">
        <w:rPr>
          <w:b/>
          <w:bCs/>
          <w:lang w:val="en-US"/>
        </w:rPr>
        <w:t>ICT Development Fund</w:t>
      </w:r>
    </w:p>
    <w:p w:rsidR="00C22BFF" w:rsidRPr="001C2A98" w:rsidRDefault="00C22BFF" w:rsidP="005C41A5">
      <w:pPr>
        <w:jc w:val="both"/>
        <w:rPr>
          <w:lang w:val="en-US"/>
        </w:rPr>
      </w:pPr>
      <w:r w:rsidRPr="001C2A98">
        <w:rPr>
          <w:lang w:val="en-US"/>
        </w:rPr>
        <w:t>In line with ITU</w:t>
      </w:r>
      <w:r w:rsidR="007A552E">
        <w:rPr>
          <w:lang w:val="en-US"/>
        </w:rPr>
        <w:t>’</w:t>
      </w:r>
      <w:r w:rsidRPr="001C2A98">
        <w:rPr>
          <w:lang w:val="en-US"/>
        </w:rPr>
        <w:t xml:space="preserve">s mission of fostering the expansion of modern communication services worldwide, the Council assigns a share of the surplus revenue derived from ITU TELECOM events to the ICT Development Fund (ICTDF), which serves to finance various national and regional development projects. In the case of project financing through the ICTDF, only the expenses are recognized in the statement of financial performance. At the closure of each </w:t>
      </w:r>
      <w:r>
        <w:rPr>
          <w:lang w:val="en-US"/>
        </w:rPr>
        <w:t xml:space="preserve">financial </w:t>
      </w:r>
      <w:r w:rsidRPr="001C2A98">
        <w:rPr>
          <w:lang w:val="en-US"/>
        </w:rPr>
        <w:t xml:space="preserve">period, the allocated own funds appearing on the balance sheet are reduced by the total amount of the expenses incurred during the same period. This same principle applies for projects financed under the development action plan, the funds available for these </w:t>
      </w:r>
      <w:proofErr w:type="spellStart"/>
      <w:r w:rsidRPr="001C2A98">
        <w:rPr>
          <w:lang w:val="en-US"/>
        </w:rPr>
        <w:t>programmes</w:t>
      </w:r>
      <w:proofErr w:type="spellEnd"/>
      <w:r w:rsidRPr="001C2A98">
        <w:rPr>
          <w:lang w:val="en-US"/>
        </w:rPr>
        <w:t xml:space="preserve"> having already been recognized as revenue in prior </w:t>
      </w:r>
      <w:r>
        <w:rPr>
          <w:lang w:val="en-US"/>
        </w:rPr>
        <w:t xml:space="preserve">financial </w:t>
      </w:r>
      <w:r w:rsidRPr="001C2A98">
        <w:rPr>
          <w:lang w:val="en-US"/>
        </w:rPr>
        <w:t>periods.</w:t>
      </w:r>
    </w:p>
    <w:p w:rsidR="00C22BFF" w:rsidRDefault="00C22BFF" w:rsidP="005C41A5">
      <w:pPr>
        <w:jc w:val="both"/>
        <w:rPr>
          <w:lang w:val="en-US"/>
        </w:rPr>
      </w:pPr>
      <w:r w:rsidRPr="001C2A98">
        <w:rPr>
          <w:lang w:val="en-US"/>
        </w:rPr>
        <w:t>The ICTDF also registers contributions paid by members or third parties for the financing of ICT development projects.</w:t>
      </w:r>
    </w:p>
    <w:p w:rsidR="00C22BFF" w:rsidRPr="001C2A98" w:rsidRDefault="00C22BFF" w:rsidP="005C41A5">
      <w:pPr>
        <w:pStyle w:val="enumlev1"/>
        <w:jc w:val="both"/>
        <w:rPr>
          <w:b/>
          <w:bCs/>
          <w:lang w:val="en-US"/>
        </w:rPr>
      </w:pPr>
      <w:r w:rsidRPr="001C2A98">
        <w:rPr>
          <w:lang w:val="en-US"/>
        </w:rPr>
        <w:t>–</w:t>
      </w:r>
      <w:r w:rsidRPr="001C2A98">
        <w:rPr>
          <w:lang w:val="en-US"/>
        </w:rPr>
        <w:tab/>
      </w:r>
      <w:r w:rsidRPr="001C2A98">
        <w:rPr>
          <w:b/>
          <w:bCs/>
          <w:lang w:val="en-US"/>
        </w:rPr>
        <w:t>ITU TELECOM Exhibition Working Capital Fund</w:t>
      </w:r>
    </w:p>
    <w:p w:rsidR="00B72F90" w:rsidRPr="00B72F90" w:rsidRDefault="00B72F90" w:rsidP="00C70EA1">
      <w:pPr>
        <w:jc w:val="both"/>
        <w:rPr>
          <w:lang w:val="en-US"/>
        </w:rPr>
      </w:pPr>
      <w:r w:rsidRPr="00B72F90">
        <w:rPr>
          <w:lang w:val="en-US"/>
        </w:rPr>
        <w:t xml:space="preserve">ITU Telecom events provide a global platform for governments, corporates and Small </w:t>
      </w:r>
      <w:r w:rsidR="00C35D3F">
        <w:rPr>
          <w:lang w:val="en-US"/>
        </w:rPr>
        <w:t xml:space="preserve">and </w:t>
      </w:r>
      <w:r w:rsidRPr="00B72F90">
        <w:rPr>
          <w:lang w:val="en-US"/>
        </w:rPr>
        <w:t>Medium Enterprises (SMEs) in order to accelerate ICT innovation for social and economic development.  The events comprise an Exhibition showcasing innovative service, applications and solutions, and investment</w:t>
      </w:r>
      <w:r w:rsidR="00C70EA1">
        <w:rPr>
          <w:lang w:val="en-US"/>
        </w:rPr>
        <w:t>s</w:t>
      </w:r>
      <w:r w:rsidRPr="00B72F90">
        <w:rPr>
          <w:lang w:val="en-US"/>
        </w:rPr>
        <w:t xml:space="preserve"> and partnership opportunities from around the world; and a world-class Leadership Summit and Forum offering debates at the highest level on the latest issues in the ICT industry while exploring in-depth developments in technology, policy and regulatory issues, strategy and business models in the digital economy.  ITU Telecom events </w:t>
      </w:r>
      <w:r w:rsidR="0004364D">
        <w:rPr>
          <w:lang w:val="en-US"/>
        </w:rPr>
        <w:t xml:space="preserve">also </w:t>
      </w:r>
      <w:r w:rsidRPr="00B72F90">
        <w:rPr>
          <w:lang w:val="en-US"/>
        </w:rPr>
        <w:t>bring together participants at the highest level including Heads of State, Ministers, Regulators, C-level executives and other influential leaders.</w:t>
      </w:r>
    </w:p>
    <w:p w:rsidR="00B72F90" w:rsidRDefault="00B72F90" w:rsidP="00485971">
      <w:pPr>
        <w:jc w:val="both"/>
        <w:rPr>
          <w:lang w:val="en-US"/>
        </w:rPr>
      </w:pPr>
      <w:r w:rsidRPr="00B72F90">
        <w:rPr>
          <w:lang w:val="en-US"/>
        </w:rPr>
        <w:t xml:space="preserve">Following the closure of accounts of each ITU Telecom event, any surplus revenue or excess expense </w:t>
      </w:r>
      <w:r w:rsidR="00485971">
        <w:rPr>
          <w:lang w:val="en-US"/>
        </w:rPr>
        <w:t xml:space="preserve">is </w:t>
      </w:r>
      <w:r w:rsidRPr="00B72F90">
        <w:rPr>
          <w:lang w:val="en-US"/>
        </w:rPr>
        <w:t>transferred to the Exhibition Working Capital Fund, the balance of which is entered in the financial statement</w:t>
      </w:r>
      <w:r w:rsidR="00C70EA1">
        <w:rPr>
          <w:lang w:val="en-US"/>
        </w:rPr>
        <w:t>s</w:t>
      </w:r>
      <w:r w:rsidRPr="00B72F90">
        <w:rPr>
          <w:lang w:val="en-US"/>
        </w:rPr>
        <w:t xml:space="preserve"> of the Union. </w:t>
      </w:r>
      <w:r w:rsidR="00485971">
        <w:rPr>
          <w:lang w:val="en-US"/>
        </w:rPr>
        <w:t xml:space="preserve"> </w:t>
      </w:r>
      <w:r w:rsidRPr="00B72F90">
        <w:rPr>
          <w:lang w:val="en-US"/>
        </w:rPr>
        <w:t xml:space="preserve">Subject to Council’s approval, funds may be transferred from </w:t>
      </w:r>
      <w:r w:rsidR="00014050">
        <w:rPr>
          <w:lang w:val="en-US"/>
        </w:rPr>
        <w:t xml:space="preserve">the </w:t>
      </w:r>
      <w:r w:rsidRPr="00B72F90">
        <w:rPr>
          <w:lang w:val="en-US"/>
        </w:rPr>
        <w:t xml:space="preserve">Exhibition Working Capital Fund to </w:t>
      </w:r>
      <w:r w:rsidR="00014050">
        <w:rPr>
          <w:lang w:val="en-US"/>
        </w:rPr>
        <w:t xml:space="preserve">the </w:t>
      </w:r>
      <w:r w:rsidRPr="00B72F90">
        <w:rPr>
          <w:lang w:val="en-US"/>
        </w:rPr>
        <w:t>ICT Development Fund</w:t>
      </w:r>
      <w:r>
        <w:rPr>
          <w:lang w:val="en-US"/>
        </w:rPr>
        <w:t>.</w:t>
      </w:r>
    </w:p>
    <w:p w:rsidR="00884AD0" w:rsidRPr="00884AD0" w:rsidRDefault="00C22BFF" w:rsidP="00884AD0">
      <w:pPr>
        <w:pStyle w:val="enumlev1"/>
        <w:jc w:val="both"/>
        <w:rPr>
          <w:b/>
          <w:bCs/>
          <w:lang w:val="en-US"/>
        </w:rPr>
      </w:pPr>
      <w:r w:rsidRPr="00D56677">
        <w:rPr>
          <w:lang w:val="en-US"/>
        </w:rPr>
        <w:t>–</w:t>
      </w:r>
      <w:r w:rsidRPr="00D56677">
        <w:rPr>
          <w:lang w:val="en-US"/>
        </w:rPr>
        <w:tab/>
      </w:r>
      <w:r w:rsidRPr="00D56677">
        <w:rPr>
          <w:b/>
          <w:bCs/>
          <w:lang w:val="en-US"/>
        </w:rPr>
        <w:t xml:space="preserve">Reserves related to </w:t>
      </w:r>
      <w:r w:rsidR="00C81B79">
        <w:rPr>
          <w:b/>
          <w:bCs/>
          <w:lang w:val="en-US"/>
        </w:rPr>
        <w:t>Extra-budgetary</w:t>
      </w:r>
      <w:r w:rsidRPr="00D56677">
        <w:rPr>
          <w:b/>
          <w:bCs/>
          <w:lang w:val="en-US"/>
        </w:rPr>
        <w:t xml:space="preserve"> projects</w:t>
      </w:r>
    </w:p>
    <w:p w:rsidR="00C22BFF" w:rsidRDefault="00C22BFF" w:rsidP="005C41A5">
      <w:pPr>
        <w:jc w:val="both"/>
        <w:rPr>
          <w:lang w:val="en-US"/>
        </w:rPr>
      </w:pPr>
      <w:r w:rsidRPr="00D56677">
        <w:rPr>
          <w:lang w:val="en-US"/>
        </w:rPr>
        <w:t>The Union has set up a reserve to receive any remaining balances from closed projects. This reserve will be used to finance new projects or regional initiatives, as well as to cover certain projects in deficit.</w:t>
      </w:r>
    </w:p>
    <w:p w:rsidR="00224A06" w:rsidRPr="00224A06" w:rsidRDefault="00224A06">
      <w:pPr>
        <w:tabs>
          <w:tab w:val="clear" w:pos="567"/>
          <w:tab w:val="clear" w:pos="1134"/>
          <w:tab w:val="clear" w:pos="1701"/>
          <w:tab w:val="clear" w:pos="2268"/>
          <w:tab w:val="clear" w:pos="2835"/>
        </w:tabs>
        <w:overflowPunct/>
        <w:autoSpaceDE/>
        <w:autoSpaceDN/>
        <w:adjustRightInd/>
        <w:spacing w:before="0"/>
        <w:textAlignment w:val="auto"/>
        <w:rPr>
          <w:b/>
          <w:lang w:val="en-US"/>
        </w:rPr>
      </w:pPr>
      <w:r w:rsidRPr="00224A06">
        <w:rPr>
          <w:lang w:val="en-US"/>
        </w:rPr>
        <w:br w:type="page"/>
      </w:r>
    </w:p>
    <w:p w:rsidR="0022373A" w:rsidRDefault="0022373A" w:rsidP="005C41A5">
      <w:pPr>
        <w:pStyle w:val="Heading5"/>
        <w:jc w:val="both"/>
        <w:rPr>
          <w:u w:val="single"/>
          <w:lang w:val="en-US"/>
        </w:rPr>
      </w:pPr>
      <w:r w:rsidRPr="001C2A98">
        <w:rPr>
          <w:u w:val="single"/>
          <w:lang w:val="en-US"/>
        </w:rPr>
        <w:t>Recognition of revenue</w:t>
      </w:r>
      <w:bookmarkEnd w:id="59"/>
      <w:bookmarkEnd w:id="60"/>
    </w:p>
    <w:p w:rsidR="005626E8" w:rsidRPr="005626E8" w:rsidRDefault="005626E8" w:rsidP="003E5D14">
      <w:pPr>
        <w:pStyle w:val="ListParagraph"/>
        <w:spacing w:before="120"/>
        <w:ind w:left="0"/>
      </w:pPr>
      <w:r>
        <w:rPr>
          <w:rFonts w:ascii="Calibri" w:eastAsia="Times New Roman" w:hAnsi="Calibri"/>
          <w:szCs w:val="20"/>
          <w:lang w:eastAsia="en-US"/>
        </w:rPr>
        <w:t>The</w:t>
      </w:r>
      <w:r w:rsidRPr="005626E8">
        <w:rPr>
          <w:rFonts w:ascii="Calibri" w:eastAsia="Times New Roman" w:hAnsi="Calibri"/>
          <w:szCs w:val="20"/>
          <w:lang w:eastAsia="en-US"/>
        </w:rPr>
        <w:t xml:space="preserve"> financial statements are drawn up on the basis of accrual accounting. Revenue is recognized at the beginning of each period for membership contributions (regular budget), or when contributions are confirmed in writing (voluntary contributions).</w:t>
      </w:r>
    </w:p>
    <w:p w:rsidR="0022373A" w:rsidRPr="001C2A98" w:rsidRDefault="0022373A" w:rsidP="005C41A5">
      <w:pPr>
        <w:jc w:val="both"/>
        <w:rPr>
          <w:lang w:val="en-US"/>
        </w:rPr>
      </w:pPr>
      <w:r w:rsidRPr="001C2A98">
        <w:rPr>
          <w:lang w:val="en-US"/>
        </w:rPr>
        <w:t>Revenue comprises assessed contributions, voluntary contributions and other recovered revenues.</w:t>
      </w:r>
    </w:p>
    <w:p w:rsidR="000E2B5E" w:rsidRDefault="0022373A" w:rsidP="005C41A5">
      <w:pPr>
        <w:jc w:val="both"/>
        <w:rPr>
          <w:lang w:val="en-US"/>
        </w:rPr>
      </w:pPr>
      <w:r w:rsidRPr="001C2A98">
        <w:rPr>
          <w:u w:val="single"/>
          <w:lang w:val="en-US"/>
        </w:rPr>
        <w:t>Assessed contributions</w:t>
      </w:r>
      <w:r w:rsidRPr="001C2A98">
        <w:rPr>
          <w:lang w:val="en-US"/>
        </w:rPr>
        <w:t>: This refers mainly to contributions from Member States, Sector Members and Associates. The Plenipotentiary Conference establishes the upper limit of the contributory unit to serve as the basis for calculating the Union</w:t>
      </w:r>
      <w:r w:rsidR="007A552E">
        <w:rPr>
          <w:lang w:val="en-US"/>
        </w:rPr>
        <w:t>’</w:t>
      </w:r>
      <w:r w:rsidRPr="001C2A98">
        <w:rPr>
          <w:lang w:val="en-US"/>
        </w:rPr>
        <w:t>s revenue for the biennial budgets for the next four years. Member States and Sector Members are free to choose their class of contribution for defraying Union expenses in accordance with the relevant provisions of the ITU Constitution, and pay, in respect of the year of their accession or admission, a contribution calculated as from the first day of the month of accession or admission. This revenue is used for the purpose of implementing the Union</w:t>
      </w:r>
      <w:r w:rsidR="007A552E">
        <w:rPr>
          <w:lang w:val="en-US"/>
        </w:rPr>
        <w:t>’</w:t>
      </w:r>
      <w:r w:rsidRPr="001C2A98">
        <w:rPr>
          <w:lang w:val="en-US"/>
        </w:rPr>
        <w:t>s activities as defined by the Plenipotentiary Conference.</w:t>
      </w:r>
    </w:p>
    <w:p w:rsidR="0022373A" w:rsidRPr="001C2A98" w:rsidRDefault="0022373A" w:rsidP="005C41A5">
      <w:pPr>
        <w:tabs>
          <w:tab w:val="clear" w:pos="567"/>
          <w:tab w:val="clear" w:pos="1134"/>
          <w:tab w:val="clear" w:pos="1701"/>
          <w:tab w:val="clear" w:pos="2268"/>
          <w:tab w:val="clear" w:pos="2835"/>
        </w:tabs>
        <w:overflowPunct/>
        <w:autoSpaceDE/>
        <w:autoSpaceDN/>
        <w:adjustRightInd/>
        <w:jc w:val="both"/>
        <w:textAlignment w:val="auto"/>
        <w:rPr>
          <w:lang w:val="en-US"/>
        </w:rPr>
      </w:pPr>
      <w:r w:rsidRPr="001C2A98">
        <w:rPr>
          <w:u w:val="single"/>
          <w:lang w:val="en-US"/>
        </w:rPr>
        <w:t>Other recovered revenues</w:t>
      </w:r>
      <w:r w:rsidRPr="001C2A98">
        <w:rPr>
          <w:lang w:val="en-US"/>
        </w:rPr>
        <w:t xml:space="preserve"> comprise the products and services for which ITU applies the principle of cost recovery, namely:</w:t>
      </w:r>
    </w:p>
    <w:p w:rsidR="0022373A" w:rsidRPr="001C2A98" w:rsidRDefault="0022373A" w:rsidP="005C41A5">
      <w:pPr>
        <w:pStyle w:val="enumlev1"/>
        <w:jc w:val="both"/>
        <w:rPr>
          <w:lang w:val="en-US"/>
        </w:rPr>
      </w:pPr>
      <w:r w:rsidRPr="001C2A98">
        <w:rPr>
          <w:lang w:val="en-US"/>
        </w:rPr>
        <w:t>–</w:t>
      </w:r>
      <w:r w:rsidRPr="001C2A98">
        <w:rPr>
          <w:lang w:val="en-US"/>
        </w:rPr>
        <w:tab/>
      </w:r>
      <w:proofErr w:type="gramStart"/>
      <w:r w:rsidRPr="001C2A98">
        <w:rPr>
          <w:lang w:val="en-US"/>
        </w:rPr>
        <w:t>registration</w:t>
      </w:r>
      <w:proofErr w:type="gramEnd"/>
      <w:r w:rsidRPr="001C2A98">
        <w:rPr>
          <w:lang w:val="en-US"/>
        </w:rPr>
        <w:t xml:space="preserve"> of universal international </w:t>
      </w:r>
      <w:proofErr w:type="spellStart"/>
      <w:r w:rsidRPr="001C2A98">
        <w:rPr>
          <w:lang w:val="en-US"/>
        </w:rPr>
        <w:t>freephone</w:t>
      </w:r>
      <w:proofErr w:type="spellEnd"/>
      <w:r w:rsidRPr="001C2A98">
        <w:rPr>
          <w:lang w:val="en-US"/>
        </w:rPr>
        <w:t xml:space="preserve"> numbers (UIFN)</w:t>
      </w:r>
      <w:r w:rsidR="00B2207F">
        <w:rPr>
          <w:lang w:val="en-US"/>
        </w:rPr>
        <w:t>;</w:t>
      </w:r>
    </w:p>
    <w:p w:rsidR="002560A2" w:rsidRDefault="0022373A" w:rsidP="005626E8">
      <w:pPr>
        <w:pStyle w:val="enumlev1"/>
        <w:jc w:val="both"/>
        <w:rPr>
          <w:lang w:val="en-US"/>
        </w:rPr>
      </w:pPr>
      <w:r w:rsidRPr="001C2A98">
        <w:rPr>
          <w:lang w:val="en-US"/>
        </w:rPr>
        <w:t>–</w:t>
      </w:r>
      <w:r w:rsidRPr="001C2A98">
        <w:rPr>
          <w:lang w:val="en-US"/>
        </w:rPr>
        <w:tab/>
        <w:t>Memorandum of Understanding on global mobile personal communication systems (GMPCS-MoU)</w:t>
      </w:r>
      <w:r w:rsidR="00B2207F">
        <w:rPr>
          <w:lang w:val="en-US"/>
        </w:rPr>
        <w:t>;</w:t>
      </w:r>
    </w:p>
    <w:p w:rsidR="0022373A" w:rsidRPr="001C2A98" w:rsidRDefault="0022373A" w:rsidP="005C41A5">
      <w:pPr>
        <w:pStyle w:val="enumlev1"/>
        <w:jc w:val="both"/>
        <w:rPr>
          <w:lang w:val="en-US"/>
        </w:rPr>
      </w:pPr>
      <w:r w:rsidRPr="001C2A98">
        <w:rPr>
          <w:lang w:val="en-US"/>
        </w:rPr>
        <w:t>–</w:t>
      </w:r>
      <w:r w:rsidRPr="001C2A98">
        <w:rPr>
          <w:lang w:val="en-US"/>
        </w:rPr>
        <w:tab/>
        <w:t>processing of satellite network filings</w:t>
      </w:r>
      <w:r w:rsidR="00B2207F">
        <w:rPr>
          <w:lang w:val="en-US"/>
        </w:rPr>
        <w:t>;</w:t>
      </w:r>
    </w:p>
    <w:p w:rsidR="002560A2" w:rsidRDefault="0022373A" w:rsidP="005C41A5">
      <w:pPr>
        <w:pStyle w:val="enumlev1"/>
        <w:jc w:val="both"/>
        <w:rPr>
          <w:lang w:val="en-US"/>
        </w:rPr>
      </w:pPr>
      <w:r w:rsidRPr="001C2A98">
        <w:rPr>
          <w:lang w:val="en-US"/>
        </w:rPr>
        <w:t>–</w:t>
      </w:r>
      <w:r w:rsidRPr="001C2A98">
        <w:rPr>
          <w:lang w:val="en-US"/>
        </w:rPr>
        <w:tab/>
      </w:r>
      <w:proofErr w:type="gramStart"/>
      <w:r w:rsidRPr="001C2A98">
        <w:rPr>
          <w:lang w:val="en-US"/>
        </w:rPr>
        <w:t>publication</w:t>
      </w:r>
      <w:proofErr w:type="gramEnd"/>
      <w:r w:rsidRPr="001C2A98">
        <w:rPr>
          <w:lang w:val="en-US"/>
        </w:rPr>
        <w:t xml:space="preserve"> sales</w:t>
      </w:r>
      <w:r w:rsidR="00B2207F">
        <w:rPr>
          <w:lang w:val="en-US"/>
        </w:rPr>
        <w:t>;</w:t>
      </w:r>
    </w:p>
    <w:p w:rsidR="0022373A" w:rsidRPr="001C2A98" w:rsidRDefault="0022373A" w:rsidP="005C41A5">
      <w:pPr>
        <w:pStyle w:val="enumlev1"/>
        <w:jc w:val="both"/>
        <w:rPr>
          <w:lang w:val="en-US"/>
        </w:rPr>
      </w:pPr>
      <w:r w:rsidRPr="001C2A98">
        <w:rPr>
          <w:lang w:val="en-US"/>
        </w:rPr>
        <w:t>–</w:t>
      </w:r>
      <w:r w:rsidRPr="001C2A98">
        <w:rPr>
          <w:lang w:val="en-US"/>
        </w:rPr>
        <w:tab/>
      </w:r>
      <w:proofErr w:type="gramStart"/>
      <w:r w:rsidRPr="001C2A98">
        <w:rPr>
          <w:lang w:val="en-US"/>
        </w:rPr>
        <w:t>project</w:t>
      </w:r>
      <w:proofErr w:type="gramEnd"/>
      <w:r w:rsidRPr="001C2A98">
        <w:rPr>
          <w:lang w:val="en-US"/>
        </w:rPr>
        <w:t xml:space="preserve"> support revenue.</w:t>
      </w:r>
    </w:p>
    <w:p w:rsidR="0022373A" w:rsidRPr="001C2A98" w:rsidRDefault="0022373A" w:rsidP="005C41A5">
      <w:pPr>
        <w:jc w:val="both"/>
        <w:rPr>
          <w:lang w:val="en-US"/>
        </w:rPr>
      </w:pPr>
      <w:r w:rsidRPr="001C2A98">
        <w:rPr>
          <w:lang w:val="en-US"/>
        </w:rPr>
        <w:t xml:space="preserve">ITU receives contributions upfront for providing services for the registration of universal international </w:t>
      </w:r>
      <w:proofErr w:type="spellStart"/>
      <w:r w:rsidRPr="001C2A98">
        <w:rPr>
          <w:lang w:val="en-US"/>
        </w:rPr>
        <w:t>freephone</w:t>
      </w:r>
      <w:proofErr w:type="spellEnd"/>
      <w:r w:rsidRPr="001C2A98">
        <w:rPr>
          <w:lang w:val="en-US"/>
        </w:rPr>
        <w:t xml:space="preserve"> numbers (UIFN) and the registration of universal international premium-rate numbers (UIPRN) and universal international shared-cost numbers (UISCN).</w:t>
      </w:r>
    </w:p>
    <w:p w:rsidR="0022373A" w:rsidRPr="001F4955" w:rsidRDefault="0022373A" w:rsidP="0017709E">
      <w:pPr>
        <w:jc w:val="both"/>
        <w:rPr>
          <w:lang w:val="en-US"/>
        </w:rPr>
      </w:pPr>
      <w:r w:rsidRPr="00A929E6">
        <w:rPr>
          <w:lang w:val="en-US"/>
        </w:rPr>
        <w:t xml:space="preserve">Parties requesting these services must deposit upfront a sum of CHF </w:t>
      </w:r>
      <w:r w:rsidR="00B40141" w:rsidRPr="00A929E6">
        <w:rPr>
          <w:lang w:val="en-US"/>
        </w:rPr>
        <w:t>3</w:t>
      </w:r>
      <w:r w:rsidRPr="00A929E6">
        <w:rPr>
          <w:lang w:val="en-US"/>
        </w:rPr>
        <w:t>00</w:t>
      </w:r>
      <w:r w:rsidR="001F4955" w:rsidRPr="00A929E6">
        <w:rPr>
          <w:lang w:val="en-US"/>
        </w:rPr>
        <w:t xml:space="preserve"> per number in the Union’s accounts.  Non </w:t>
      </w:r>
      <w:r w:rsidR="00B40141" w:rsidRPr="00A929E6">
        <w:rPr>
          <w:lang w:val="en-US"/>
        </w:rPr>
        <w:t xml:space="preserve">ITU-T and </w:t>
      </w:r>
      <w:r w:rsidR="00AB3CAC" w:rsidRPr="00A929E6">
        <w:rPr>
          <w:lang w:val="en-US"/>
        </w:rPr>
        <w:t xml:space="preserve">non </w:t>
      </w:r>
      <w:r w:rsidR="00B40141" w:rsidRPr="00A929E6">
        <w:rPr>
          <w:lang w:val="en-US"/>
        </w:rPr>
        <w:t>ITU</w:t>
      </w:r>
      <w:r w:rsidR="001F4955" w:rsidRPr="00A929E6">
        <w:rPr>
          <w:lang w:val="en-US"/>
        </w:rPr>
        <w:t xml:space="preserve">-R members are charged </w:t>
      </w:r>
      <w:r w:rsidR="00B40141" w:rsidRPr="00A929E6">
        <w:rPr>
          <w:lang w:val="en-US"/>
        </w:rPr>
        <w:t>an annual maintenance fee of CHF</w:t>
      </w:r>
      <w:r w:rsidR="0017709E" w:rsidRPr="00A929E6">
        <w:rPr>
          <w:lang w:val="en-US"/>
        </w:rPr>
        <w:t> </w:t>
      </w:r>
      <w:r w:rsidR="00B40141" w:rsidRPr="00A929E6">
        <w:rPr>
          <w:lang w:val="en-US"/>
        </w:rPr>
        <w:t xml:space="preserve">100 </w:t>
      </w:r>
      <w:r w:rsidRPr="00A929E6">
        <w:rPr>
          <w:lang w:val="en-US"/>
        </w:rPr>
        <w:t xml:space="preserve">per number </w:t>
      </w:r>
      <w:r w:rsidR="00143305" w:rsidRPr="00A929E6">
        <w:rPr>
          <w:lang w:val="en-US"/>
        </w:rPr>
        <w:t xml:space="preserve">to be </w:t>
      </w:r>
      <w:r w:rsidR="0017709E" w:rsidRPr="00A929E6">
        <w:rPr>
          <w:lang w:val="en-US"/>
        </w:rPr>
        <w:t xml:space="preserve">paid </w:t>
      </w:r>
      <w:r w:rsidRPr="00A929E6">
        <w:rPr>
          <w:lang w:val="en-US"/>
        </w:rPr>
        <w:t>in</w:t>
      </w:r>
      <w:r w:rsidR="0017709E" w:rsidRPr="00A929E6">
        <w:rPr>
          <w:lang w:val="en-US"/>
        </w:rPr>
        <w:t>to</w:t>
      </w:r>
      <w:r w:rsidRPr="00A929E6">
        <w:rPr>
          <w:lang w:val="en-US"/>
        </w:rPr>
        <w:t xml:space="preserve"> the Union</w:t>
      </w:r>
      <w:r w:rsidR="007A552E" w:rsidRPr="00A929E6">
        <w:rPr>
          <w:lang w:val="en-US"/>
        </w:rPr>
        <w:t>’</w:t>
      </w:r>
      <w:r w:rsidRPr="00A929E6">
        <w:rPr>
          <w:lang w:val="en-US"/>
        </w:rPr>
        <w:t>s accounts. As the numbers are used, ITU invoices its services. It is at the stage when the numbers are used that the Union recognizes revenue in its accounts. The corresponding invoices are settled from the account containing the customers</w:t>
      </w:r>
      <w:r w:rsidR="007A552E" w:rsidRPr="00A929E6">
        <w:rPr>
          <w:lang w:val="en-US"/>
        </w:rPr>
        <w:t>’</w:t>
      </w:r>
      <w:r w:rsidRPr="00A929E6">
        <w:rPr>
          <w:lang w:val="en-US"/>
        </w:rPr>
        <w:t xml:space="preserve"> deposits.</w:t>
      </w:r>
      <w:r w:rsidR="00B40141" w:rsidRPr="00A929E6">
        <w:rPr>
          <w:lang w:val="en-US"/>
        </w:rPr>
        <w:t xml:space="preserve"> Every year an invoice for the maintenance fee</w:t>
      </w:r>
      <w:r w:rsidR="00C838CC" w:rsidRPr="00A929E6">
        <w:rPr>
          <w:lang w:val="en-US"/>
        </w:rPr>
        <w:t xml:space="preserve"> of all the active numbers</w:t>
      </w:r>
      <w:r w:rsidR="00B40141" w:rsidRPr="00A929E6">
        <w:rPr>
          <w:lang w:val="en-US"/>
        </w:rPr>
        <w:t xml:space="preserve"> </w:t>
      </w:r>
      <w:r w:rsidR="00C838CC" w:rsidRPr="00A929E6">
        <w:rPr>
          <w:lang w:val="en-US"/>
        </w:rPr>
        <w:t xml:space="preserve">is </w:t>
      </w:r>
      <w:r w:rsidR="00B40141" w:rsidRPr="00A929E6">
        <w:rPr>
          <w:lang w:val="en-US"/>
        </w:rPr>
        <w:t xml:space="preserve">issued </w:t>
      </w:r>
      <w:r w:rsidR="00C838CC" w:rsidRPr="00A929E6">
        <w:rPr>
          <w:lang w:val="en-US"/>
        </w:rPr>
        <w:t xml:space="preserve">and sent to all non ITU-T and </w:t>
      </w:r>
      <w:r w:rsidR="00AB3CAC" w:rsidRPr="00A929E6">
        <w:rPr>
          <w:lang w:val="en-US"/>
        </w:rPr>
        <w:t xml:space="preserve">non </w:t>
      </w:r>
      <w:r w:rsidR="00C838CC" w:rsidRPr="00A929E6">
        <w:rPr>
          <w:lang w:val="en-US"/>
        </w:rPr>
        <w:t>ITU-R members.</w:t>
      </w:r>
    </w:p>
    <w:p w:rsidR="0022373A" w:rsidRPr="001C2A98" w:rsidRDefault="0022373A" w:rsidP="005C41A5">
      <w:pPr>
        <w:jc w:val="both"/>
        <w:rPr>
          <w:lang w:val="en-US"/>
        </w:rPr>
      </w:pPr>
      <w:r w:rsidRPr="001F4955">
        <w:rPr>
          <w:lang w:val="en-US"/>
        </w:rPr>
        <w:t>Voluntary contributions are recognized when there is an agreement signed by</w:t>
      </w:r>
      <w:r w:rsidRPr="001C2A98">
        <w:rPr>
          <w:lang w:val="en-US"/>
        </w:rPr>
        <w:t xml:space="preserve"> the donors. Contributions received which relate to future financial periods are recognized under deferred revenues. The balance of unused voluntary contributions at the date of closure is recognized under third-party funds. Other revenue pertaining to future financial periods is recognized under deferred revenues.</w:t>
      </w:r>
    </w:p>
    <w:p w:rsidR="00BE3C2E" w:rsidRDefault="0022373A" w:rsidP="00C10F21">
      <w:pPr>
        <w:jc w:val="both"/>
        <w:rPr>
          <w:lang w:val="en-US"/>
        </w:rPr>
      </w:pPr>
      <w:r w:rsidRPr="001C2A98">
        <w:rPr>
          <w:lang w:val="en-US"/>
        </w:rPr>
        <w:t>Revenue from sales of publications is recognized at the time when the publications are dispatched, and revenue from sales of services involving access to ITU statistics and data in electronic form is recognized at the time when the data become accessible.</w:t>
      </w:r>
    </w:p>
    <w:p w:rsidR="0022373A" w:rsidRPr="00C9132E" w:rsidRDefault="0022373A" w:rsidP="005C41A5">
      <w:pPr>
        <w:pStyle w:val="Heading5"/>
        <w:jc w:val="both"/>
        <w:rPr>
          <w:u w:val="single"/>
          <w:lang w:val="en-US"/>
        </w:rPr>
      </w:pPr>
      <w:bookmarkStart w:id="61" w:name="_Toc305764076"/>
      <w:bookmarkStart w:id="62" w:name="_Toc329011627"/>
      <w:r w:rsidRPr="00C9132E">
        <w:rPr>
          <w:u w:val="single"/>
          <w:lang w:val="en-US"/>
        </w:rPr>
        <w:t>Segment reporting</w:t>
      </w:r>
      <w:bookmarkEnd w:id="61"/>
      <w:bookmarkEnd w:id="62"/>
    </w:p>
    <w:p w:rsidR="0022373A" w:rsidRPr="004E2561" w:rsidRDefault="0022373A" w:rsidP="003E5D14">
      <w:pPr>
        <w:jc w:val="both"/>
        <w:rPr>
          <w:lang w:val="en-US"/>
        </w:rPr>
      </w:pPr>
      <w:r w:rsidRPr="00363757">
        <w:rPr>
          <w:lang w:val="en-US"/>
        </w:rPr>
        <w:t>Segment reporting is based on ITU</w:t>
      </w:r>
      <w:r w:rsidR="007A552E" w:rsidRPr="00363757">
        <w:rPr>
          <w:lang w:val="en-US"/>
        </w:rPr>
        <w:t>’</w:t>
      </w:r>
      <w:r w:rsidRPr="00363757">
        <w:rPr>
          <w:lang w:val="en-US"/>
        </w:rPr>
        <w:t xml:space="preserve">s main activities and sources of financing, and is done in a manner consistent with the structure of the financial information provided to the </w:t>
      </w:r>
      <w:r w:rsidR="007450E4" w:rsidRPr="00363757">
        <w:rPr>
          <w:lang w:val="en-US"/>
        </w:rPr>
        <w:t>Chief of the Financ</w:t>
      </w:r>
      <w:r w:rsidR="00405EF1" w:rsidRPr="00363757">
        <w:rPr>
          <w:lang w:val="en-US"/>
        </w:rPr>
        <w:t>ial Resources Management Depart</w:t>
      </w:r>
      <w:r w:rsidR="007450E4" w:rsidRPr="00363757">
        <w:rPr>
          <w:lang w:val="en-US"/>
        </w:rPr>
        <w:t>ment</w:t>
      </w:r>
      <w:r w:rsidRPr="00363757">
        <w:rPr>
          <w:lang w:val="en-US"/>
        </w:rPr>
        <w:t>. The segments reflect the ITU</w:t>
      </w:r>
      <w:r w:rsidR="007A552E" w:rsidRPr="00363757">
        <w:rPr>
          <w:lang w:val="en-US"/>
        </w:rPr>
        <w:t>’</w:t>
      </w:r>
      <w:r w:rsidR="004E2561" w:rsidRPr="00363757">
        <w:rPr>
          <w:lang w:val="en-US"/>
        </w:rPr>
        <w:t xml:space="preserve">s work </w:t>
      </w:r>
      <w:proofErr w:type="spellStart"/>
      <w:r w:rsidR="004E2561" w:rsidRPr="00363757">
        <w:rPr>
          <w:lang w:val="en-US"/>
        </w:rPr>
        <w:t>programme</w:t>
      </w:r>
      <w:proofErr w:type="spellEnd"/>
      <w:r w:rsidR="004E2561" w:rsidRPr="00363757">
        <w:rPr>
          <w:lang w:val="en-US"/>
        </w:rPr>
        <w:t xml:space="preserve"> for </w:t>
      </w:r>
      <w:r w:rsidR="00111BDD" w:rsidRPr="00363757">
        <w:rPr>
          <w:lang w:val="en-US"/>
        </w:rPr>
        <w:t>201</w:t>
      </w:r>
      <w:r w:rsidR="00386A24">
        <w:rPr>
          <w:lang w:val="en-US"/>
        </w:rPr>
        <w:t>6</w:t>
      </w:r>
      <w:r w:rsidR="00F136C1" w:rsidRPr="00363757">
        <w:rPr>
          <w:lang w:val="en-US"/>
        </w:rPr>
        <w:t>-20</w:t>
      </w:r>
      <w:r w:rsidR="004E2561" w:rsidRPr="00363757">
        <w:rPr>
          <w:lang w:val="en-US"/>
        </w:rPr>
        <w:t>1</w:t>
      </w:r>
      <w:r w:rsidR="003E5D14">
        <w:rPr>
          <w:lang w:val="en-US"/>
        </w:rPr>
        <w:t>7:</w:t>
      </w:r>
      <w:r w:rsidR="00F136C1" w:rsidRPr="00363757">
        <w:rPr>
          <w:lang w:val="en-US"/>
        </w:rPr>
        <w:t xml:space="preserve"> </w:t>
      </w:r>
    </w:p>
    <w:p w:rsidR="00A929E6" w:rsidRDefault="00A929E6">
      <w:pPr>
        <w:tabs>
          <w:tab w:val="clear" w:pos="567"/>
          <w:tab w:val="clear" w:pos="1134"/>
          <w:tab w:val="clear" w:pos="1701"/>
          <w:tab w:val="clear" w:pos="2268"/>
          <w:tab w:val="clear" w:pos="2835"/>
        </w:tabs>
        <w:overflowPunct/>
        <w:autoSpaceDE/>
        <w:autoSpaceDN/>
        <w:adjustRightInd/>
        <w:spacing w:before="0"/>
        <w:textAlignment w:val="auto"/>
        <w:rPr>
          <w:lang w:val="en-US"/>
        </w:rPr>
      </w:pPr>
      <w:r>
        <w:rPr>
          <w:lang w:val="en-US"/>
        </w:rPr>
        <w:br w:type="page"/>
      </w:r>
    </w:p>
    <w:p w:rsidR="0022373A" w:rsidRDefault="0022373A" w:rsidP="005C41A5">
      <w:pPr>
        <w:pStyle w:val="enumlev1"/>
        <w:jc w:val="both"/>
        <w:rPr>
          <w:lang w:val="en-US"/>
        </w:rPr>
      </w:pPr>
      <w:r w:rsidRPr="004E2561">
        <w:rPr>
          <w:lang w:val="en-US"/>
        </w:rPr>
        <w:t>–</w:t>
      </w:r>
      <w:r w:rsidRPr="004E2561">
        <w:rPr>
          <w:lang w:val="en-US"/>
        </w:rPr>
        <w:tab/>
        <w:t>General Secretariat</w:t>
      </w:r>
      <w:r w:rsidR="00B2207F">
        <w:rPr>
          <w:lang w:val="en-US"/>
        </w:rPr>
        <w:t>;</w:t>
      </w:r>
    </w:p>
    <w:p w:rsidR="0022373A" w:rsidRPr="001C2A98" w:rsidRDefault="0022373A" w:rsidP="005C41A5">
      <w:pPr>
        <w:pStyle w:val="enumlev1"/>
        <w:jc w:val="both"/>
        <w:rPr>
          <w:lang w:val="en-US"/>
        </w:rPr>
      </w:pPr>
      <w:r w:rsidRPr="001C2A98">
        <w:rPr>
          <w:lang w:val="en-US"/>
        </w:rPr>
        <w:t>–</w:t>
      </w:r>
      <w:r w:rsidRPr="001C2A98">
        <w:rPr>
          <w:lang w:val="en-US"/>
        </w:rPr>
        <w:tab/>
      </w:r>
      <w:proofErr w:type="spellStart"/>
      <w:r w:rsidRPr="001C2A98">
        <w:rPr>
          <w:lang w:val="en-US"/>
        </w:rPr>
        <w:t>Radiocommunication</w:t>
      </w:r>
      <w:proofErr w:type="spellEnd"/>
      <w:r w:rsidRPr="001C2A98">
        <w:rPr>
          <w:lang w:val="en-US"/>
        </w:rPr>
        <w:t xml:space="preserve"> Sector (ITU-R): Management of international resources, namely the radio-frequency spectrum and satellite orbits</w:t>
      </w:r>
      <w:r w:rsidR="00B2207F">
        <w:rPr>
          <w:lang w:val="en-US"/>
        </w:rPr>
        <w:t>;</w:t>
      </w:r>
    </w:p>
    <w:p w:rsidR="0022373A" w:rsidRPr="001C2A98" w:rsidRDefault="0022373A" w:rsidP="005C41A5">
      <w:pPr>
        <w:pStyle w:val="enumlev1"/>
        <w:jc w:val="both"/>
        <w:rPr>
          <w:lang w:val="en-US"/>
        </w:rPr>
      </w:pPr>
      <w:r w:rsidRPr="001C2A98">
        <w:rPr>
          <w:lang w:val="en-US"/>
        </w:rPr>
        <w:t>–</w:t>
      </w:r>
      <w:r w:rsidRPr="001C2A98">
        <w:rPr>
          <w:lang w:val="en-US"/>
        </w:rPr>
        <w:tab/>
        <w:t>Telecommunication Standardization Sector (ITU-T): Shaping harmonized working methods and establishment of flexible collaboration mechanisms to meet market needs</w:t>
      </w:r>
      <w:r w:rsidR="00B2207F">
        <w:rPr>
          <w:lang w:val="en-US"/>
        </w:rPr>
        <w:t>;</w:t>
      </w:r>
    </w:p>
    <w:p w:rsidR="0022373A" w:rsidRDefault="0022373A" w:rsidP="005C41A5">
      <w:pPr>
        <w:pStyle w:val="enumlev1"/>
        <w:jc w:val="both"/>
        <w:rPr>
          <w:lang w:val="en-US"/>
        </w:rPr>
      </w:pPr>
      <w:r w:rsidRPr="001C2A98">
        <w:rPr>
          <w:lang w:val="en-US"/>
        </w:rPr>
        <w:t>–</w:t>
      </w:r>
      <w:r w:rsidRPr="001C2A98">
        <w:rPr>
          <w:lang w:val="en-US"/>
        </w:rPr>
        <w:tab/>
        <w:t>Telecommunication Development Sector (ITU-D): Provision, under affordable conditions, of equitable and sustainable access to ICTs</w:t>
      </w:r>
      <w:r w:rsidR="00B2207F">
        <w:rPr>
          <w:lang w:val="en-US"/>
        </w:rPr>
        <w:t>;</w:t>
      </w:r>
    </w:p>
    <w:p w:rsidR="00734446" w:rsidRPr="00734446" w:rsidRDefault="00734446" w:rsidP="00E433D2">
      <w:pPr>
        <w:pStyle w:val="enumlev1"/>
        <w:numPr>
          <w:ilvl w:val="0"/>
          <w:numId w:val="24"/>
        </w:numPr>
        <w:ind w:left="567" w:hanging="567"/>
        <w:jc w:val="both"/>
        <w:rPr>
          <w:lang w:val="en-US"/>
        </w:rPr>
      </w:pPr>
      <w:r w:rsidRPr="00F85CF0">
        <w:rPr>
          <w:lang w:val="en-US"/>
        </w:rPr>
        <w:t>New Building fund</w:t>
      </w:r>
      <w:r w:rsidR="00E433D2">
        <w:rPr>
          <w:lang w:val="en-US"/>
        </w:rPr>
        <w:t xml:space="preserve"> which </w:t>
      </w:r>
      <w:r w:rsidRPr="00F85CF0">
        <w:rPr>
          <w:lang w:val="en-US"/>
        </w:rPr>
        <w:t>represent</w:t>
      </w:r>
      <w:r w:rsidR="00B742B2" w:rsidRPr="00F85CF0">
        <w:rPr>
          <w:lang w:val="en-US"/>
        </w:rPr>
        <w:t>s</w:t>
      </w:r>
      <w:r w:rsidRPr="00F85CF0">
        <w:rPr>
          <w:lang w:val="en-US"/>
        </w:rPr>
        <w:t xml:space="preserve"> the project</w:t>
      </w:r>
      <w:r>
        <w:rPr>
          <w:lang w:val="en-US"/>
        </w:rPr>
        <w:t xml:space="preserve"> o</w:t>
      </w:r>
      <w:r w:rsidR="00E433D2">
        <w:rPr>
          <w:lang w:val="en-US"/>
        </w:rPr>
        <w:t xml:space="preserve">n the </w:t>
      </w:r>
      <w:r>
        <w:rPr>
          <w:lang w:val="en-US"/>
        </w:rPr>
        <w:t>construction of the new headquarter</w:t>
      </w:r>
      <w:r w:rsidR="00E433D2">
        <w:rPr>
          <w:lang w:val="en-US"/>
        </w:rPr>
        <w:t>s</w:t>
      </w:r>
      <w:r>
        <w:rPr>
          <w:lang w:val="en-US"/>
        </w:rPr>
        <w:t xml:space="preserve"> premises</w:t>
      </w:r>
      <w:r w:rsidR="00346504">
        <w:rPr>
          <w:lang w:val="en-US"/>
        </w:rPr>
        <w:t>;</w:t>
      </w:r>
    </w:p>
    <w:p w:rsidR="00734446" w:rsidRPr="00734446" w:rsidRDefault="00734446" w:rsidP="00734446">
      <w:pPr>
        <w:pStyle w:val="enumlev1"/>
        <w:numPr>
          <w:ilvl w:val="0"/>
          <w:numId w:val="24"/>
        </w:numPr>
        <w:ind w:hanging="720"/>
        <w:jc w:val="both"/>
        <w:rPr>
          <w:lang w:val="en-US"/>
        </w:rPr>
      </w:pPr>
      <w:r w:rsidRPr="00B742B2">
        <w:rPr>
          <w:lang w:val="en-US"/>
        </w:rPr>
        <w:t>Old pension fund which regroup</w:t>
      </w:r>
      <w:r w:rsidR="00E433D2">
        <w:rPr>
          <w:lang w:val="en-US"/>
        </w:rPr>
        <w:t>s</w:t>
      </w:r>
      <w:r w:rsidRPr="00B742B2">
        <w:rPr>
          <w:lang w:val="en-US"/>
        </w:rPr>
        <w:t xml:space="preserve"> the </w:t>
      </w:r>
      <w:r w:rsidR="00EC02E5" w:rsidRPr="00B742B2">
        <w:rPr>
          <w:lang w:val="en-US"/>
        </w:rPr>
        <w:t>provident</w:t>
      </w:r>
      <w:r w:rsidRPr="00B742B2">
        <w:rPr>
          <w:lang w:val="en-US"/>
        </w:rPr>
        <w:t xml:space="preserve"> fund and the assistance fund</w:t>
      </w:r>
      <w:r w:rsidR="00E433D2">
        <w:rPr>
          <w:lang w:val="en-US"/>
        </w:rPr>
        <w:t>;</w:t>
      </w:r>
    </w:p>
    <w:p w:rsidR="0022373A" w:rsidRPr="001C2A98" w:rsidRDefault="0022373A" w:rsidP="005C41A5">
      <w:pPr>
        <w:pStyle w:val="enumlev1"/>
        <w:jc w:val="both"/>
        <w:rPr>
          <w:lang w:val="en-US"/>
        </w:rPr>
      </w:pPr>
      <w:r w:rsidRPr="001C2A98">
        <w:rPr>
          <w:lang w:val="en-US"/>
        </w:rPr>
        <w:t>–</w:t>
      </w:r>
      <w:r w:rsidRPr="001C2A98">
        <w:rPr>
          <w:lang w:val="en-US"/>
        </w:rPr>
        <w:tab/>
        <w:t>Projects: UNDP funds, trust funds, ICT Development Fund and voluntary contributions</w:t>
      </w:r>
      <w:r w:rsidR="00B2207F">
        <w:rPr>
          <w:lang w:val="en-US"/>
        </w:rPr>
        <w:t>;</w:t>
      </w:r>
    </w:p>
    <w:p w:rsidR="005F3F1F" w:rsidRDefault="0022373A" w:rsidP="005C41A5">
      <w:pPr>
        <w:pStyle w:val="enumlev1"/>
        <w:jc w:val="both"/>
        <w:rPr>
          <w:lang w:val="en-US"/>
        </w:rPr>
      </w:pPr>
      <w:r w:rsidRPr="001C2A98">
        <w:rPr>
          <w:lang w:val="en-US"/>
        </w:rPr>
        <w:t>–</w:t>
      </w:r>
      <w:r w:rsidRPr="001C2A98">
        <w:rPr>
          <w:lang w:val="en-US"/>
        </w:rPr>
        <w:tab/>
      </w:r>
      <w:r w:rsidR="007450E4">
        <w:rPr>
          <w:lang w:val="en-US"/>
        </w:rPr>
        <w:t xml:space="preserve">ITU </w:t>
      </w:r>
      <w:r w:rsidRPr="001C2A98">
        <w:rPr>
          <w:lang w:val="en-US"/>
        </w:rPr>
        <w:t>TELECOM.</w:t>
      </w:r>
    </w:p>
    <w:p w:rsidR="0022373A" w:rsidRDefault="0022373A" w:rsidP="005C41A5">
      <w:pPr>
        <w:jc w:val="both"/>
        <w:rPr>
          <w:lang w:val="en-US"/>
        </w:rPr>
      </w:pPr>
      <w:r w:rsidRPr="001C2A98">
        <w:rPr>
          <w:lang w:val="en-US"/>
        </w:rPr>
        <w:t>On account of the nature of ITU</w:t>
      </w:r>
      <w:r w:rsidR="007A552E">
        <w:rPr>
          <w:lang w:val="en-US"/>
        </w:rPr>
        <w:t>’</w:t>
      </w:r>
      <w:r w:rsidRPr="001C2A98">
        <w:rPr>
          <w:lang w:val="en-US"/>
        </w:rPr>
        <w:t>s activities, its tangible and intangible fixed assets are used jointly by all its Sectors and are not managed by the individual Sectors. The Union</w:t>
      </w:r>
      <w:r w:rsidR="007A552E">
        <w:rPr>
          <w:lang w:val="en-US"/>
        </w:rPr>
        <w:t>’</w:t>
      </w:r>
      <w:r w:rsidRPr="001C2A98">
        <w:rPr>
          <w:lang w:val="en-US"/>
        </w:rPr>
        <w:t xml:space="preserve">s assets and liabilities, other than those representing its net assets, fall under the ownership or responsibility of the organization as a whole and do not constitute assets and liabilities of its component parts. </w:t>
      </w:r>
      <w:r w:rsidR="009070CC" w:rsidRPr="001C2A98">
        <w:rPr>
          <w:lang w:val="en-US"/>
        </w:rPr>
        <w:t>Extra budgetary</w:t>
      </w:r>
      <w:r w:rsidRPr="001C2A98">
        <w:rPr>
          <w:lang w:val="en-US"/>
        </w:rPr>
        <w:t xml:space="preserve"> funds do not have any fixed assets. Assets and liabilities represent a wide range of activities that are common to the constituent parts of the Union. Any allocation of assets and liabilities to the different Sectors would inevitably be arbitrary and incoherent. It would thus run counter to the principles of IPSAS 18. It is for this reason that individual assets and liabilities will not be segmented.</w:t>
      </w:r>
    </w:p>
    <w:p w:rsidR="0022373A" w:rsidRPr="00844D34" w:rsidRDefault="0022373A" w:rsidP="005C41A5">
      <w:pPr>
        <w:pStyle w:val="Heading5"/>
        <w:jc w:val="both"/>
        <w:rPr>
          <w:u w:val="single"/>
          <w:lang w:val="en-US"/>
        </w:rPr>
      </w:pPr>
      <w:bookmarkStart w:id="63" w:name="_Toc305764077"/>
      <w:bookmarkStart w:id="64" w:name="_Toc329011628"/>
      <w:r w:rsidRPr="005F3F1F">
        <w:rPr>
          <w:u w:val="single"/>
          <w:lang w:val="en-US"/>
        </w:rPr>
        <w:t xml:space="preserve">Budget </w:t>
      </w:r>
      <w:r w:rsidRPr="00844D34">
        <w:rPr>
          <w:u w:val="single"/>
          <w:lang w:val="en-US"/>
        </w:rPr>
        <w:t>comparison</w:t>
      </w:r>
      <w:bookmarkEnd w:id="63"/>
      <w:bookmarkEnd w:id="64"/>
    </w:p>
    <w:p w:rsidR="002560A2" w:rsidRDefault="0022373A" w:rsidP="005626E8">
      <w:pPr>
        <w:jc w:val="both"/>
        <w:rPr>
          <w:lang w:val="en-US"/>
        </w:rPr>
      </w:pPr>
      <w:r w:rsidRPr="00BD38D2">
        <w:rPr>
          <w:lang w:val="en-US"/>
        </w:rPr>
        <w:t xml:space="preserve">The </w:t>
      </w:r>
      <w:r w:rsidR="00390394" w:rsidRPr="00BD38D2">
        <w:rPr>
          <w:lang w:val="en-US"/>
        </w:rPr>
        <w:t xml:space="preserve">draft </w:t>
      </w:r>
      <w:r w:rsidR="00844D34" w:rsidRPr="00BD38D2">
        <w:rPr>
          <w:lang w:val="en-US"/>
        </w:rPr>
        <w:t xml:space="preserve">budget of the Union for </w:t>
      </w:r>
      <w:r w:rsidR="00111BDD" w:rsidRPr="00BD38D2">
        <w:rPr>
          <w:lang w:val="en-US"/>
        </w:rPr>
        <w:t>201</w:t>
      </w:r>
      <w:r w:rsidR="00386A24">
        <w:rPr>
          <w:lang w:val="en-US"/>
        </w:rPr>
        <w:t>6</w:t>
      </w:r>
      <w:r w:rsidR="00844D34" w:rsidRPr="00BD38D2">
        <w:rPr>
          <w:lang w:val="en-US"/>
        </w:rPr>
        <w:t>-201</w:t>
      </w:r>
      <w:r w:rsidR="00386A24">
        <w:rPr>
          <w:lang w:val="en-US"/>
        </w:rPr>
        <w:t>7</w:t>
      </w:r>
      <w:r w:rsidRPr="00BD38D2">
        <w:rPr>
          <w:lang w:val="en-US"/>
        </w:rPr>
        <w:t xml:space="preserve"> </w:t>
      </w:r>
      <w:r w:rsidR="00390394" w:rsidRPr="00BD38D2">
        <w:rPr>
          <w:lang w:val="en-US"/>
        </w:rPr>
        <w:t>is based on</w:t>
      </w:r>
      <w:r w:rsidRPr="00BD38D2">
        <w:rPr>
          <w:lang w:val="en-US"/>
        </w:rPr>
        <w:t xml:space="preserve"> Decision 5 (Rev. </w:t>
      </w:r>
      <w:r w:rsidR="00386A24">
        <w:rPr>
          <w:lang w:val="en-US"/>
        </w:rPr>
        <w:t>Busan</w:t>
      </w:r>
      <w:r w:rsidR="00983BAA" w:rsidRPr="00BD38D2">
        <w:rPr>
          <w:lang w:val="en-US"/>
        </w:rPr>
        <w:t xml:space="preserve">, </w:t>
      </w:r>
      <w:r w:rsidRPr="00BD38D2">
        <w:rPr>
          <w:lang w:val="en-US"/>
        </w:rPr>
        <w:t>20</w:t>
      </w:r>
      <w:r w:rsidR="00390394" w:rsidRPr="00BD38D2">
        <w:rPr>
          <w:lang w:val="en-US"/>
        </w:rPr>
        <w:t>1</w:t>
      </w:r>
      <w:r w:rsidR="00386A24">
        <w:rPr>
          <w:lang w:val="en-US"/>
        </w:rPr>
        <w:t>4</w:t>
      </w:r>
      <w:r w:rsidRPr="00BD38D2">
        <w:rPr>
          <w:lang w:val="en-US"/>
        </w:rPr>
        <w:t xml:space="preserve">) entitled </w:t>
      </w:r>
      <w:r w:rsidR="007A552E" w:rsidRPr="00BD38D2">
        <w:rPr>
          <w:lang w:val="en-US"/>
        </w:rPr>
        <w:t>“</w:t>
      </w:r>
      <w:r w:rsidRPr="00BD38D2">
        <w:rPr>
          <w:lang w:val="en-US"/>
        </w:rPr>
        <w:t xml:space="preserve">Income and expenditure </w:t>
      </w:r>
      <w:r w:rsidR="00C3351C" w:rsidRPr="00BD38D2">
        <w:rPr>
          <w:lang w:val="en-US"/>
        </w:rPr>
        <w:t>for the Union for the period 201</w:t>
      </w:r>
      <w:r w:rsidR="00386A24">
        <w:rPr>
          <w:lang w:val="en-US"/>
        </w:rPr>
        <w:t>6</w:t>
      </w:r>
      <w:r w:rsidRPr="00BD38D2">
        <w:rPr>
          <w:lang w:val="en-US"/>
        </w:rPr>
        <w:t>-201</w:t>
      </w:r>
      <w:r w:rsidR="00386A24">
        <w:rPr>
          <w:lang w:val="en-US"/>
        </w:rPr>
        <w:t>9</w:t>
      </w:r>
      <w:r w:rsidR="007A552E" w:rsidRPr="00BD38D2">
        <w:rPr>
          <w:lang w:val="en-US"/>
        </w:rPr>
        <w:t>”</w:t>
      </w:r>
      <w:r w:rsidRPr="00BD38D2">
        <w:rPr>
          <w:lang w:val="en-US"/>
        </w:rPr>
        <w:t xml:space="preserve"> and the strat</w:t>
      </w:r>
      <w:r w:rsidR="00C3351C" w:rsidRPr="00BD38D2">
        <w:rPr>
          <w:lang w:val="en-US"/>
        </w:rPr>
        <w:t>egic plan for the Union for 201</w:t>
      </w:r>
      <w:r w:rsidR="00386A24">
        <w:rPr>
          <w:lang w:val="en-US"/>
        </w:rPr>
        <w:t>6</w:t>
      </w:r>
      <w:r w:rsidR="00C3351C" w:rsidRPr="00BD38D2">
        <w:rPr>
          <w:lang w:val="en-US"/>
        </w:rPr>
        <w:t>-201</w:t>
      </w:r>
      <w:r w:rsidR="00386A24">
        <w:rPr>
          <w:lang w:val="en-US"/>
        </w:rPr>
        <w:t>9</w:t>
      </w:r>
      <w:r w:rsidRPr="00BD38D2">
        <w:rPr>
          <w:lang w:val="en-US"/>
        </w:rPr>
        <w:t xml:space="preserve"> set out in Resolution 71 (</w:t>
      </w:r>
      <w:r w:rsidR="00390394" w:rsidRPr="00BD38D2">
        <w:rPr>
          <w:lang w:val="en-US"/>
        </w:rPr>
        <w:t xml:space="preserve">Rev. </w:t>
      </w:r>
      <w:r w:rsidR="00386A24">
        <w:rPr>
          <w:lang w:val="en-US"/>
        </w:rPr>
        <w:t>Busan</w:t>
      </w:r>
      <w:r w:rsidR="00386A24" w:rsidRPr="00BD38D2">
        <w:rPr>
          <w:lang w:val="en-US"/>
        </w:rPr>
        <w:t>, 201</w:t>
      </w:r>
      <w:r w:rsidR="00386A24">
        <w:rPr>
          <w:lang w:val="en-US"/>
        </w:rPr>
        <w:t>4</w:t>
      </w:r>
      <w:r w:rsidRPr="00BD38D2">
        <w:rPr>
          <w:lang w:val="en-US"/>
        </w:rPr>
        <w:t>)</w:t>
      </w:r>
      <w:r w:rsidR="00390394" w:rsidRPr="00BD38D2">
        <w:rPr>
          <w:lang w:val="en-US"/>
        </w:rPr>
        <w:t xml:space="preserve"> of the </w:t>
      </w:r>
      <w:r w:rsidRPr="00BD38D2">
        <w:rPr>
          <w:lang w:val="en-US"/>
        </w:rPr>
        <w:t>Plenipotentiary Confer</w:t>
      </w:r>
      <w:r w:rsidR="00C3351C" w:rsidRPr="00BD38D2">
        <w:rPr>
          <w:lang w:val="en-US"/>
        </w:rPr>
        <w:t>ence.</w:t>
      </w:r>
    </w:p>
    <w:p w:rsidR="0022373A" w:rsidRPr="00BD38D2" w:rsidRDefault="00C3351C" w:rsidP="00BF7758">
      <w:pPr>
        <w:jc w:val="both"/>
        <w:rPr>
          <w:lang w:val="en-US"/>
        </w:rPr>
      </w:pPr>
      <w:r w:rsidRPr="00BD38D2">
        <w:rPr>
          <w:lang w:val="en-US"/>
        </w:rPr>
        <w:t xml:space="preserve">Furthermore, the </w:t>
      </w:r>
      <w:proofErr w:type="spellStart"/>
      <w:r w:rsidRPr="00BD38D2">
        <w:rPr>
          <w:lang w:val="en-US"/>
        </w:rPr>
        <w:t>programme</w:t>
      </w:r>
      <w:proofErr w:type="spellEnd"/>
      <w:r w:rsidR="0022373A" w:rsidRPr="00BD38D2">
        <w:rPr>
          <w:lang w:val="en-US"/>
        </w:rPr>
        <w:t xml:space="preserve"> budget is coordinated with the operational plans of the Sectors and the General Secretariat.</w:t>
      </w:r>
    </w:p>
    <w:p w:rsidR="0022373A" w:rsidRPr="00BD38D2" w:rsidRDefault="0022373A" w:rsidP="00386A24">
      <w:pPr>
        <w:jc w:val="both"/>
        <w:rPr>
          <w:lang w:val="en-US"/>
        </w:rPr>
      </w:pPr>
      <w:r w:rsidRPr="00BD38D2">
        <w:rPr>
          <w:lang w:val="en-US"/>
        </w:rPr>
        <w:t>Pursuant to IPSAS 24, the annual financial statements must include a comparison between budgeted amounts and actual amounts. The dr</w:t>
      </w:r>
      <w:r w:rsidR="00C3351C" w:rsidRPr="00BD38D2">
        <w:rPr>
          <w:lang w:val="en-US"/>
        </w:rPr>
        <w:t>aft budget of the Union for 201</w:t>
      </w:r>
      <w:r w:rsidR="00386A24">
        <w:rPr>
          <w:lang w:val="en-US"/>
        </w:rPr>
        <w:t>6</w:t>
      </w:r>
      <w:r w:rsidR="00C3351C" w:rsidRPr="00BD38D2">
        <w:rPr>
          <w:lang w:val="en-US"/>
        </w:rPr>
        <w:t>-</w:t>
      </w:r>
      <w:r w:rsidR="00111BDD" w:rsidRPr="00BD38D2">
        <w:rPr>
          <w:lang w:val="en-US"/>
        </w:rPr>
        <w:t>201</w:t>
      </w:r>
      <w:r w:rsidR="00386A24">
        <w:rPr>
          <w:lang w:val="en-US"/>
        </w:rPr>
        <w:t>7</w:t>
      </w:r>
      <w:r w:rsidRPr="00BD38D2">
        <w:rPr>
          <w:lang w:val="en-US"/>
        </w:rPr>
        <w:t xml:space="preserve"> is composed of two annual budgets. A budget estimate has been made for each of the financial years.</w:t>
      </w:r>
    </w:p>
    <w:p w:rsidR="0022373A" w:rsidRDefault="001F61C9" w:rsidP="00734446">
      <w:pPr>
        <w:jc w:val="both"/>
        <w:rPr>
          <w:lang w:val="en-US"/>
        </w:rPr>
      </w:pPr>
      <w:r w:rsidRPr="00B31F6F">
        <w:rPr>
          <w:lang w:val="en-US"/>
        </w:rPr>
        <w:t xml:space="preserve">The final budget for </w:t>
      </w:r>
      <w:r w:rsidR="00111BDD" w:rsidRPr="00B31F6F">
        <w:rPr>
          <w:lang w:val="en-US"/>
        </w:rPr>
        <w:t>201</w:t>
      </w:r>
      <w:r w:rsidR="00734446">
        <w:rPr>
          <w:lang w:val="en-US"/>
        </w:rPr>
        <w:t>7</w:t>
      </w:r>
      <w:r w:rsidR="00B31F6F" w:rsidRPr="00B31F6F">
        <w:rPr>
          <w:lang w:val="en-US"/>
        </w:rPr>
        <w:t xml:space="preserve"> </w:t>
      </w:r>
      <w:r w:rsidR="0022373A" w:rsidRPr="00B31F6F">
        <w:rPr>
          <w:lang w:val="en-US"/>
        </w:rPr>
        <w:t xml:space="preserve">was approved by the Council at its </w:t>
      </w:r>
      <w:r w:rsidR="004F546C" w:rsidRPr="00B31F6F">
        <w:rPr>
          <w:lang w:val="en-US"/>
        </w:rPr>
        <w:t>201</w:t>
      </w:r>
      <w:r w:rsidR="00386A24">
        <w:rPr>
          <w:lang w:val="en-US"/>
        </w:rPr>
        <w:t>5</w:t>
      </w:r>
      <w:r w:rsidR="0022373A" w:rsidRPr="00B31F6F">
        <w:rPr>
          <w:lang w:val="en-US"/>
        </w:rPr>
        <w:t xml:space="preserve"> session by Resol</w:t>
      </w:r>
      <w:r w:rsidR="00390394" w:rsidRPr="00B31F6F">
        <w:rPr>
          <w:lang w:val="en-US"/>
        </w:rPr>
        <w:t>ution 13</w:t>
      </w:r>
      <w:r w:rsidR="00386A24">
        <w:rPr>
          <w:lang w:val="en-US"/>
        </w:rPr>
        <w:t>75</w:t>
      </w:r>
      <w:r w:rsidR="0022373A" w:rsidRPr="00B31F6F">
        <w:rPr>
          <w:lang w:val="en-US"/>
        </w:rPr>
        <w:t xml:space="preserve">. Statement V contains a comparison of the final budget and actual amounts. Since the budget and the financial statements were not drawn up on the same basis, Statement V contains a reconciliation of the amounts in the budget and the amounts in Statement II (Statement of financial performance). </w:t>
      </w:r>
      <w:r w:rsidR="003774B3">
        <w:rPr>
          <w:lang w:val="en-US"/>
        </w:rPr>
        <w:t>The p</w:t>
      </w:r>
      <w:r w:rsidR="0022373A" w:rsidRPr="00B31F6F">
        <w:rPr>
          <w:lang w:val="en-US"/>
        </w:rPr>
        <w:t xml:space="preserve">erimeter differences reflect the incorporation of </w:t>
      </w:r>
      <w:r w:rsidR="009070CC" w:rsidRPr="00B31F6F">
        <w:rPr>
          <w:lang w:val="en-US"/>
        </w:rPr>
        <w:t>extra budgetary</w:t>
      </w:r>
      <w:r w:rsidR="0022373A" w:rsidRPr="00B31F6F">
        <w:rPr>
          <w:lang w:val="en-US"/>
        </w:rPr>
        <w:t xml:space="preserve"> funds in the Union</w:t>
      </w:r>
      <w:r w:rsidR="007A552E" w:rsidRPr="00B31F6F">
        <w:rPr>
          <w:lang w:val="en-US"/>
        </w:rPr>
        <w:t>’</w:t>
      </w:r>
      <w:r w:rsidR="0022373A" w:rsidRPr="00B31F6F">
        <w:rPr>
          <w:lang w:val="en-US"/>
        </w:rPr>
        <w:t>s financial statements.</w:t>
      </w:r>
    </w:p>
    <w:p w:rsidR="0022373A" w:rsidRPr="001C2A98" w:rsidRDefault="0022373A" w:rsidP="00406EAC">
      <w:pPr>
        <w:pStyle w:val="Heading5"/>
        <w:jc w:val="both"/>
        <w:rPr>
          <w:lang w:val="en-US"/>
        </w:rPr>
      </w:pPr>
      <w:bookmarkStart w:id="65" w:name="_Toc305764078"/>
      <w:bookmarkStart w:id="66" w:name="_Toc329011629"/>
      <w:r w:rsidRPr="00BD38D2">
        <w:rPr>
          <w:lang w:val="en-US"/>
        </w:rPr>
        <w:t xml:space="preserve">Note </w:t>
      </w:r>
      <w:r w:rsidR="00D86B0C">
        <w:rPr>
          <w:lang w:val="en-US"/>
        </w:rPr>
        <w:t>3</w:t>
      </w:r>
      <w:r w:rsidRPr="001C2A98">
        <w:rPr>
          <w:lang w:val="en-US"/>
        </w:rPr>
        <w:tab/>
        <w:t xml:space="preserve">Management of net assets </w:t>
      </w:r>
      <w:bookmarkEnd w:id="65"/>
      <w:bookmarkEnd w:id="66"/>
    </w:p>
    <w:p w:rsidR="0022373A" w:rsidRPr="001C2A98" w:rsidRDefault="0022373A" w:rsidP="005C41A5">
      <w:pPr>
        <w:tabs>
          <w:tab w:val="left" w:pos="7088"/>
        </w:tabs>
        <w:jc w:val="both"/>
        <w:rPr>
          <w:lang w:val="en-US"/>
        </w:rPr>
      </w:pPr>
      <w:r w:rsidRPr="001C2A98">
        <w:rPr>
          <w:lang w:val="en-US"/>
        </w:rPr>
        <w:t>The Union</w:t>
      </w:r>
      <w:r w:rsidR="007A552E">
        <w:rPr>
          <w:lang w:val="en-US"/>
        </w:rPr>
        <w:t>’</w:t>
      </w:r>
      <w:r w:rsidRPr="001C2A98">
        <w:rPr>
          <w:lang w:val="en-US"/>
        </w:rPr>
        <w:t>s net assets consist of own funds allocated to the organization or set aside for projects as well as unallocated own funds set aside for projects.</w:t>
      </w:r>
    </w:p>
    <w:p w:rsidR="00995601" w:rsidRDefault="00A372DE" w:rsidP="00EC02E5">
      <w:pPr>
        <w:tabs>
          <w:tab w:val="left" w:pos="720"/>
        </w:tabs>
        <w:snapToGrid w:val="0"/>
        <w:spacing w:after="120"/>
        <w:jc w:val="both"/>
        <w:rPr>
          <w:lang w:val="en-US"/>
        </w:rPr>
      </w:pPr>
      <w:r>
        <w:rPr>
          <w:lang w:val="en-US"/>
        </w:rPr>
        <w:t>Decision 582</w:t>
      </w:r>
      <w:r w:rsidR="0022373A" w:rsidRPr="004F546C">
        <w:rPr>
          <w:lang w:val="en-US"/>
        </w:rPr>
        <w:t>, ad</w:t>
      </w:r>
      <w:r w:rsidR="004F546C" w:rsidRPr="004F546C">
        <w:rPr>
          <w:lang w:val="en-US"/>
        </w:rPr>
        <w:t>opted by the Council at its 201</w:t>
      </w:r>
      <w:r w:rsidR="00DB0598">
        <w:rPr>
          <w:lang w:val="en-US"/>
        </w:rPr>
        <w:t>5</w:t>
      </w:r>
      <w:r w:rsidR="0022373A" w:rsidRPr="004F546C">
        <w:rPr>
          <w:lang w:val="en-US"/>
        </w:rPr>
        <w:t xml:space="preserve"> </w:t>
      </w:r>
      <w:r w:rsidR="00C66BAD">
        <w:rPr>
          <w:lang w:val="en-US"/>
        </w:rPr>
        <w:t xml:space="preserve">extraordinary </w:t>
      </w:r>
      <w:r w:rsidR="0022373A" w:rsidRPr="004F546C">
        <w:rPr>
          <w:lang w:val="en-US"/>
        </w:rPr>
        <w:t>session</w:t>
      </w:r>
      <w:r w:rsidR="00C44781">
        <w:rPr>
          <w:lang w:val="en-US"/>
        </w:rPr>
        <w:t xml:space="preserve"> </w:t>
      </w:r>
      <w:r w:rsidR="0022373A" w:rsidRPr="00A17696">
        <w:rPr>
          <w:lang w:val="en-US"/>
        </w:rPr>
        <w:t>provid</w:t>
      </w:r>
      <w:r w:rsidR="000C0BA8" w:rsidRPr="00A17696">
        <w:rPr>
          <w:lang w:val="en-US"/>
        </w:rPr>
        <w:t>ed for a withdrawal of CHF </w:t>
      </w:r>
      <w:r>
        <w:rPr>
          <w:lang w:val="en-US"/>
        </w:rPr>
        <w:t>3</w:t>
      </w:r>
      <w:r w:rsidR="009A6634">
        <w:rPr>
          <w:lang w:val="en-US"/>
        </w:rPr>
        <w:t> </w:t>
      </w:r>
      <w:r w:rsidR="000C0BA8" w:rsidRPr="00A17696">
        <w:rPr>
          <w:lang w:val="en-US"/>
        </w:rPr>
        <w:t xml:space="preserve">million </w:t>
      </w:r>
      <w:r w:rsidR="00902E5D" w:rsidRPr="00480492">
        <w:rPr>
          <w:rFonts w:cs="Calibri"/>
          <w:szCs w:val="24"/>
        </w:rPr>
        <w:t xml:space="preserve">from the Reserve Account </w:t>
      </w:r>
      <w:r w:rsidR="000C0BA8" w:rsidRPr="00A17696">
        <w:rPr>
          <w:lang w:val="en-US"/>
        </w:rPr>
        <w:t xml:space="preserve">for </w:t>
      </w:r>
      <w:r>
        <w:rPr>
          <w:lang w:val="en-US"/>
        </w:rPr>
        <w:t xml:space="preserve">the implementation of the voluntary departure/early retirement </w:t>
      </w:r>
      <w:proofErr w:type="spellStart"/>
      <w:r>
        <w:rPr>
          <w:lang w:val="en-US"/>
        </w:rPr>
        <w:t>programme</w:t>
      </w:r>
      <w:proofErr w:type="spellEnd"/>
      <w:r>
        <w:rPr>
          <w:lang w:val="en-US"/>
        </w:rPr>
        <w:t xml:space="preserve">. </w:t>
      </w:r>
      <w:r w:rsidR="00995601">
        <w:rPr>
          <w:lang w:val="en-US"/>
        </w:rPr>
        <w:t xml:space="preserve">Nevertheless, the withdrawal </w:t>
      </w:r>
      <w:r w:rsidR="009A6634">
        <w:rPr>
          <w:lang w:val="en-US"/>
        </w:rPr>
        <w:t xml:space="preserve">from </w:t>
      </w:r>
      <w:r w:rsidR="005A3FC9">
        <w:rPr>
          <w:lang w:val="en-US"/>
        </w:rPr>
        <w:t xml:space="preserve">the reserve account </w:t>
      </w:r>
      <w:r w:rsidR="00995601">
        <w:rPr>
          <w:lang w:val="en-US"/>
        </w:rPr>
        <w:t>was not necessary due to the</w:t>
      </w:r>
      <w:r>
        <w:rPr>
          <w:lang w:val="en-US"/>
        </w:rPr>
        <w:t xml:space="preserve"> level of </w:t>
      </w:r>
      <w:r w:rsidR="00734446">
        <w:rPr>
          <w:lang w:val="en-US"/>
        </w:rPr>
        <w:t>savings</w:t>
      </w:r>
      <w:r>
        <w:rPr>
          <w:lang w:val="en-US"/>
        </w:rPr>
        <w:t xml:space="preserve"> realized in 2017.</w:t>
      </w:r>
    </w:p>
    <w:p w:rsidR="002746F2" w:rsidRPr="002746F2" w:rsidRDefault="00844D34" w:rsidP="00EC02E5">
      <w:pPr>
        <w:snapToGrid w:val="0"/>
        <w:spacing w:before="240"/>
        <w:jc w:val="both"/>
        <w:rPr>
          <w:lang w:val="en-US"/>
        </w:rPr>
      </w:pPr>
      <w:r w:rsidRPr="00716BCE">
        <w:rPr>
          <w:lang w:val="en-US"/>
        </w:rPr>
        <w:t xml:space="preserve">At 31 December </w:t>
      </w:r>
      <w:r w:rsidR="00111BDD" w:rsidRPr="00716BCE">
        <w:rPr>
          <w:lang w:val="en-US"/>
        </w:rPr>
        <w:t>201</w:t>
      </w:r>
      <w:r w:rsidR="00A372DE">
        <w:rPr>
          <w:lang w:val="en-US"/>
        </w:rPr>
        <w:t>7</w:t>
      </w:r>
      <w:r w:rsidR="002856FD" w:rsidRPr="00716BCE">
        <w:rPr>
          <w:lang w:val="en-US"/>
        </w:rPr>
        <w:t xml:space="preserve">, the assets of the Reserve Account stood </w:t>
      </w:r>
      <w:r w:rsidR="002856FD" w:rsidRPr="00EC02E5">
        <w:rPr>
          <w:lang w:val="en-US"/>
        </w:rPr>
        <w:t>at CHF </w:t>
      </w:r>
      <w:r w:rsidRPr="00EC02E5">
        <w:rPr>
          <w:lang w:val="en-US"/>
        </w:rPr>
        <w:t>27</w:t>
      </w:r>
      <w:r w:rsidR="00EC02E5" w:rsidRPr="00EC02E5">
        <w:rPr>
          <w:lang w:val="en-US"/>
        </w:rPr>
        <w:t>.7</w:t>
      </w:r>
      <w:r w:rsidR="00380F00" w:rsidRPr="00EC02E5">
        <w:rPr>
          <w:lang w:val="en-US"/>
        </w:rPr>
        <w:t xml:space="preserve"> </w:t>
      </w:r>
      <w:r w:rsidR="002856FD" w:rsidRPr="00EC02E5">
        <w:rPr>
          <w:lang w:val="en-US"/>
        </w:rPr>
        <w:t>mill</w:t>
      </w:r>
      <w:r w:rsidRPr="00EC02E5">
        <w:rPr>
          <w:lang w:val="en-US"/>
        </w:rPr>
        <w:t>ion</w:t>
      </w:r>
      <w:r w:rsidRPr="00716BCE">
        <w:rPr>
          <w:lang w:val="en-US"/>
        </w:rPr>
        <w:t xml:space="preserve"> after allocation of the </w:t>
      </w:r>
      <w:r w:rsidR="00111BDD" w:rsidRPr="00716BCE">
        <w:rPr>
          <w:lang w:val="en-US"/>
        </w:rPr>
        <w:t>201</w:t>
      </w:r>
      <w:r w:rsidR="00A372DE">
        <w:rPr>
          <w:lang w:val="en-US"/>
        </w:rPr>
        <w:t>7</w:t>
      </w:r>
      <w:r w:rsidR="002856FD" w:rsidRPr="00716BCE">
        <w:rPr>
          <w:lang w:val="en-US"/>
        </w:rPr>
        <w:t xml:space="preserve"> surplus allocated to the Rese</w:t>
      </w:r>
      <w:r w:rsidRPr="00716BCE">
        <w:rPr>
          <w:lang w:val="en-US"/>
        </w:rPr>
        <w:t>rve Account</w:t>
      </w:r>
      <w:r w:rsidR="002856FD" w:rsidRPr="00716BCE">
        <w:rPr>
          <w:lang w:val="en-US"/>
        </w:rPr>
        <w:t>. The assets of the Reserve Account rep</w:t>
      </w:r>
      <w:r w:rsidRPr="00716BCE">
        <w:rPr>
          <w:lang w:val="en-US"/>
        </w:rPr>
        <w:t xml:space="preserve">resent </w:t>
      </w:r>
      <w:r w:rsidRPr="00EC02E5">
        <w:rPr>
          <w:lang w:val="en-US"/>
        </w:rPr>
        <w:t>1</w:t>
      </w:r>
      <w:r w:rsidR="00EC02E5" w:rsidRPr="00EC02E5">
        <w:rPr>
          <w:lang w:val="en-US"/>
        </w:rPr>
        <w:t>7</w:t>
      </w:r>
      <w:r w:rsidR="004139C1" w:rsidRPr="00EC02E5">
        <w:rPr>
          <w:lang w:val="en-US"/>
        </w:rPr>
        <w:t>.</w:t>
      </w:r>
      <w:r w:rsidR="00EC02E5" w:rsidRPr="00EC02E5">
        <w:rPr>
          <w:lang w:val="en-US"/>
        </w:rPr>
        <w:t>2</w:t>
      </w:r>
      <w:r w:rsidR="008D32FB" w:rsidRPr="00EC02E5">
        <w:rPr>
          <w:lang w:val="en-US"/>
        </w:rPr>
        <w:t> </w:t>
      </w:r>
      <w:r w:rsidRPr="00EC02E5">
        <w:rPr>
          <w:lang w:val="en-US"/>
        </w:rPr>
        <w:t>per cent of the </w:t>
      </w:r>
      <w:r w:rsidR="00111BDD" w:rsidRPr="00EC02E5">
        <w:rPr>
          <w:lang w:val="en-US"/>
        </w:rPr>
        <w:t>201</w:t>
      </w:r>
      <w:r w:rsidR="00A372DE" w:rsidRPr="00EC02E5">
        <w:rPr>
          <w:lang w:val="en-US"/>
        </w:rPr>
        <w:t>7</w:t>
      </w:r>
      <w:r w:rsidR="002856FD" w:rsidRPr="00EC02E5">
        <w:rPr>
          <w:lang w:val="en-US"/>
        </w:rPr>
        <w:t xml:space="preserve"> budget</w:t>
      </w:r>
      <w:r w:rsidR="002856FD" w:rsidRPr="00716BCE">
        <w:rPr>
          <w:lang w:val="en-US"/>
        </w:rPr>
        <w:t xml:space="preserve">, which is significantly above the </w:t>
      </w:r>
      <w:r w:rsidR="008E7BCC" w:rsidRPr="00716BCE">
        <w:rPr>
          <w:lang w:val="en-US"/>
        </w:rPr>
        <w:t>six</w:t>
      </w:r>
      <w:r w:rsidR="002856FD" w:rsidRPr="00716BCE">
        <w:rPr>
          <w:lang w:val="en-US"/>
        </w:rPr>
        <w:t xml:space="preserve"> per cent threshold stipulated in Decision 5 (Rev. </w:t>
      </w:r>
      <w:r w:rsidR="004139C1" w:rsidRPr="00716BCE">
        <w:rPr>
          <w:lang w:val="en-US"/>
        </w:rPr>
        <w:t xml:space="preserve">Busan, </w:t>
      </w:r>
      <w:r w:rsidR="00111BDD" w:rsidRPr="00716BCE">
        <w:rPr>
          <w:lang w:val="en-US"/>
        </w:rPr>
        <w:t>201</w:t>
      </w:r>
      <w:r w:rsidR="00380F00">
        <w:rPr>
          <w:lang w:val="en-US"/>
        </w:rPr>
        <w:t>4</w:t>
      </w:r>
      <w:r w:rsidR="002856FD" w:rsidRPr="00716BCE">
        <w:rPr>
          <w:lang w:val="en-US"/>
        </w:rPr>
        <w:t>) of the Plenipotentiary Conference.</w:t>
      </w:r>
    </w:p>
    <w:p w:rsidR="00C22BFF" w:rsidRDefault="00F34118" w:rsidP="00D86B0C">
      <w:pPr>
        <w:pStyle w:val="Heading5"/>
        <w:jc w:val="both"/>
        <w:rPr>
          <w:lang w:val="en-US"/>
        </w:rPr>
      </w:pPr>
      <w:r w:rsidRPr="00936114">
        <w:rPr>
          <w:lang w:val="en-US"/>
        </w:rPr>
        <w:t xml:space="preserve">Note </w:t>
      </w:r>
      <w:r w:rsidR="00D86B0C">
        <w:rPr>
          <w:lang w:val="en-US"/>
        </w:rPr>
        <w:t>4</w:t>
      </w:r>
      <w:r w:rsidR="00074F8B" w:rsidRPr="00936114">
        <w:rPr>
          <w:lang w:val="en-US"/>
        </w:rPr>
        <w:tab/>
        <w:t xml:space="preserve">Financial </w:t>
      </w:r>
      <w:r w:rsidR="00C22BFF" w:rsidRPr="00936114">
        <w:rPr>
          <w:lang w:val="en-US"/>
        </w:rPr>
        <w:t>risk</w:t>
      </w:r>
      <w:r w:rsidR="001C59DF" w:rsidRPr="00936114">
        <w:rPr>
          <w:lang w:val="en-US"/>
        </w:rPr>
        <w:t xml:space="preserve"> management</w:t>
      </w:r>
    </w:p>
    <w:p w:rsidR="003C55E5" w:rsidRDefault="0022373A" w:rsidP="00ED0279">
      <w:pPr>
        <w:snapToGrid w:val="0"/>
        <w:spacing w:after="120"/>
        <w:jc w:val="both"/>
        <w:rPr>
          <w:b/>
          <w:bCs/>
          <w:lang w:val="en-US"/>
        </w:rPr>
      </w:pPr>
      <w:r w:rsidRPr="001C2A98">
        <w:rPr>
          <w:lang w:val="en-US"/>
        </w:rPr>
        <w:t>In the course of its work, ITU is exposed</w:t>
      </w:r>
      <w:r w:rsidR="007072D0">
        <w:rPr>
          <w:lang w:val="en-US"/>
        </w:rPr>
        <w:t xml:space="preserve"> to a number of financial risks including</w:t>
      </w:r>
      <w:r w:rsidRPr="001C2A98">
        <w:rPr>
          <w:lang w:val="en-US"/>
        </w:rPr>
        <w:t xml:space="preserve"> </w:t>
      </w:r>
      <w:r w:rsidR="007072D0">
        <w:rPr>
          <w:lang w:val="en-US"/>
        </w:rPr>
        <w:t xml:space="preserve">credit risk, </w:t>
      </w:r>
      <w:r w:rsidRPr="001C2A98">
        <w:rPr>
          <w:lang w:val="en-US"/>
        </w:rPr>
        <w:t>market risk (</w:t>
      </w:r>
      <w:r w:rsidR="007072D0">
        <w:rPr>
          <w:lang w:val="en-US"/>
        </w:rPr>
        <w:t>Foreign exchange currency risk),</w:t>
      </w:r>
      <w:r w:rsidR="008D17AC">
        <w:rPr>
          <w:lang w:val="en-US"/>
        </w:rPr>
        <w:t xml:space="preserve"> </w:t>
      </w:r>
      <w:r w:rsidR="005D1217">
        <w:rPr>
          <w:lang w:val="en-US"/>
        </w:rPr>
        <w:t xml:space="preserve">interest rate risk </w:t>
      </w:r>
      <w:r w:rsidR="008D17AC">
        <w:rPr>
          <w:lang w:val="en-US"/>
        </w:rPr>
        <w:t xml:space="preserve">and </w:t>
      </w:r>
      <w:r w:rsidR="00E4298D">
        <w:rPr>
          <w:lang w:val="en-US"/>
        </w:rPr>
        <w:t>liquidity</w:t>
      </w:r>
      <w:r w:rsidRPr="001C2A98">
        <w:rPr>
          <w:lang w:val="en-US"/>
        </w:rPr>
        <w:t xml:space="preserve"> risk. This Note </w:t>
      </w:r>
      <w:r w:rsidR="00074F8B">
        <w:rPr>
          <w:lang w:val="en-US"/>
        </w:rPr>
        <w:t xml:space="preserve">presents information </w:t>
      </w:r>
      <w:r w:rsidR="000C7B24">
        <w:rPr>
          <w:lang w:val="en-US"/>
        </w:rPr>
        <w:t xml:space="preserve">on </w:t>
      </w:r>
      <w:r w:rsidR="00074F8B">
        <w:rPr>
          <w:lang w:val="en-US"/>
        </w:rPr>
        <w:t xml:space="preserve">ITU exposure to each of the above risks and </w:t>
      </w:r>
      <w:r w:rsidRPr="001C2A98">
        <w:rPr>
          <w:lang w:val="en-US"/>
        </w:rPr>
        <w:t>outlines the principles adopted by ITU to manage financial risks and preserve its capital. The management of financial risks is centralized under the responsibility of the Secretary-General.</w:t>
      </w:r>
    </w:p>
    <w:p w:rsidR="00AC70CA" w:rsidRPr="00AB6FDF" w:rsidRDefault="00AC70CA" w:rsidP="005C41A5">
      <w:pPr>
        <w:snapToGrid w:val="0"/>
        <w:spacing w:after="120"/>
        <w:jc w:val="both"/>
        <w:rPr>
          <w:b/>
          <w:bCs/>
          <w:lang w:val="en-US"/>
        </w:rPr>
      </w:pPr>
      <w:r w:rsidRPr="00ED0279">
        <w:rPr>
          <w:b/>
          <w:bCs/>
          <w:lang w:val="en-US"/>
        </w:rPr>
        <w:t>Fair value</w:t>
      </w:r>
    </w:p>
    <w:p w:rsidR="00325F0E" w:rsidRPr="00FF5C0C" w:rsidRDefault="00AC70CA" w:rsidP="005C41A5">
      <w:pPr>
        <w:snapToGrid w:val="0"/>
        <w:spacing w:after="120"/>
        <w:jc w:val="both"/>
        <w:rPr>
          <w:b/>
          <w:bCs/>
          <w:lang w:val="en-US"/>
        </w:rPr>
      </w:pPr>
      <w:r>
        <w:rPr>
          <w:lang w:val="en-US"/>
        </w:rPr>
        <w:t>Set out below is a comparison by class of the carrying amounts and fair value of ITU</w:t>
      </w:r>
      <w:r w:rsidR="007A552E">
        <w:rPr>
          <w:lang w:val="en-US"/>
        </w:rPr>
        <w:t>’</w:t>
      </w:r>
      <w:r>
        <w:rPr>
          <w:lang w:val="en-US"/>
        </w:rPr>
        <w:t>s financial instruments</w:t>
      </w:r>
      <w:r w:rsidR="00325F0E">
        <w:rPr>
          <w:lang w:val="en-US"/>
        </w:rPr>
        <w:t>.</w:t>
      </w:r>
    </w:p>
    <w:tbl>
      <w:tblPr>
        <w:tblW w:w="9926" w:type="dxa"/>
        <w:tblInd w:w="-10" w:type="dxa"/>
        <w:tblLook w:val="04A0" w:firstRow="1" w:lastRow="0" w:firstColumn="1" w:lastColumn="0" w:noHBand="0" w:noVBand="1"/>
      </w:tblPr>
      <w:tblGrid>
        <w:gridCol w:w="4820"/>
        <w:gridCol w:w="1417"/>
        <w:gridCol w:w="1276"/>
        <w:gridCol w:w="1276"/>
        <w:gridCol w:w="1137"/>
      </w:tblGrid>
      <w:tr w:rsidR="00930754" w:rsidRPr="00930754" w:rsidTr="00930754">
        <w:trPr>
          <w:trHeight w:val="315"/>
        </w:trPr>
        <w:tc>
          <w:tcPr>
            <w:tcW w:w="4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30754" w:rsidRPr="00930754" w:rsidRDefault="00930754" w:rsidP="00930754">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2"/>
                <w:szCs w:val="22"/>
                <w:lang w:val="en-US" w:eastAsia="zh-CN"/>
              </w:rPr>
            </w:pPr>
            <w:r w:rsidRPr="00930754">
              <w:rPr>
                <w:rFonts w:cs="Arial"/>
                <w:b/>
                <w:bCs/>
                <w:color w:val="000000"/>
                <w:sz w:val="22"/>
                <w:szCs w:val="22"/>
                <w:lang w:val="en-US" w:eastAsia="zh-CN"/>
              </w:rPr>
              <w:t>In thousands of CHF</w:t>
            </w:r>
          </w:p>
        </w:tc>
        <w:tc>
          <w:tcPr>
            <w:tcW w:w="2693" w:type="dxa"/>
            <w:gridSpan w:val="2"/>
            <w:tcBorders>
              <w:top w:val="single" w:sz="8" w:space="0" w:color="auto"/>
              <w:left w:val="nil"/>
              <w:bottom w:val="single" w:sz="8" w:space="0" w:color="auto"/>
              <w:right w:val="single" w:sz="8" w:space="0" w:color="000000"/>
            </w:tcBorders>
            <w:shd w:val="clear" w:color="auto" w:fill="auto"/>
            <w:vAlign w:val="center"/>
            <w:hideMark/>
          </w:tcPr>
          <w:p w:rsidR="00930754" w:rsidRPr="00930754" w:rsidRDefault="00930754" w:rsidP="00930754">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2"/>
                <w:szCs w:val="22"/>
                <w:lang w:val="en-US" w:eastAsia="zh-CN"/>
              </w:rPr>
            </w:pPr>
            <w:r w:rsidRPr="00930754">
              <w:rPr>
                <w:rFonts w:cs="Arial"/>
                <w:b/>
                <w:bCs/>
                <w:color w:val="000000"/>
                <w:sz w:val="22"/>
                <w:szCs w:val="22"/>
                <w:lang w:val="en-US" w:eastAsia="zh-CN"/>
              </w:rPr>
              <w:t>Carrying amount</w:t>
            </w:r>
          </w:p>
        </w:tc>
        <w:tc>
          <w:tcPr>
            <w:tcW w:w="2413" w:type="dxa"/>
            <w:gridSpan w:val="2"/>
            <w:tcBorders>
              <w:top w:val="single" w:sz="8" w:space="0" w:color="auto"/>
              <w:left w:val="nil"/>
              <w:bottom w:val="single" w:sz="8" w:space="0" w:color="auto"/>
              <w:right w:val="single" w:sz="8" w:space="0" w:color="000000"/>
            </w:tcBorders>
            <w:shd w:val="clear" w:color="auto" w:fill="auto"/>
            <w:vAlign w:val="center"/>
            <w:hideMark/>
          </w:tcPr>
          <w:p w:rsidR="00930754" w:rsidRPr="00930754" w:rsidRDefault="00930754" w:rsidP="00930754">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2"/>
                <w:szCs w:val="22"/>
                <w:lang w:val="en-US" w:eastAsia="zh-CN"/>
              </w:rPr>
            </w:pPr>
            <w:r w:rsidRPr="00930754">
              <w:rPr>
                <w:rFonts w:cs="Arial"/>
                <w:b/>
                <w:bCs/>
                <w:color w:val="000000"/>
                <w:sz w:val="22"/>
                <w:szCs w:val="22"/>
                <w:lang w:val="en-US" w:eastAsia="zh-CN"/>
              </w:rPr>
              <w:t>Fair value</w:t>
            </w:r>
          </w:p>
        </w:tc>
      </w:tr>
      <w:tr w:rsidR="00930754" w:rsidRPr="00930754" w:rsidTr="00930754">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930754" w:rsidRPr="00930754" w:rsidRDefault="00930754" w:rsidP="0093075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930754">
              <w:rPr>
                <w:rFonts w:cs="Arial"/>
                <w:color w:val="000000"/>
                <w:sz w:val="22"/>
                <w:szCs w:val="22"/>
                <w:lang w:val="en-US" w:eastAsia="zh-CN"/>
              </w:rPr>
              <w:t xml:space="preserve">Financial assets </w:t>
            </w:r>
          </w:p>
        </w:tc>
        <w:tc>
          <w:tcPr>
            <w:tcW w:w="1417" w:type="dxa"/>
            <w:tcBorders>
              <w:top w:val="nil"/>
              <w:left w:val="nil"/>
              <w:bottom w:val="single" w:sz="8" w:space="0" w:color="auto"/>
              <w:right w:val="single" w:sz="8" w:space="0" w:color="auto"/>
            </w:tcBorders>
            <w:shd w:val="clear" w:color="auto" w:fill="auto"/>
            <w:vAlign w:val="center"/>
            <w:hideMark/>
          </w:tcPr>
          <w:p w:rsidR="00930754" w:rsidRPr="00930754" w:rsidRDefault="00930754" w:rsidP="00930754">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val="en-US" w:eastAsia="zh-CN"/>
              </w:rPr>
            </w:pPr>
            <w:r w:rsidRPr="00930754">
              <w:rPr>
                <w:rFonts w:cs="Arial"/>
                <w:b/>
                <w:bCs/>
                <w:sz w:val="22"/>
                <w:szCs w:val="22"/>
                <w:lang w:val="en-US" w:eastAsia="zh-CN"/>
              </w:rPr>
              <w:t>2017</w:t>
            </w:r>
          </w:p>
        </w:tc>
        <w:tc>
          <w:tcPr>
            <w:tcW w:w="1276" w:type="dxa"/>
            <w:tcBorders>
              <w:top w:val="nil"/>
              <w:left w:val="nil"/>
              <w:bottom w:val="single" w:sz="8" w:space="0" w:color="auto"/>
              <w:right w:val="single" w:sz="8" w:space="0" w:color="auto"/>
            </w:tcBorders>
            <w:shd w:val="clear" w:color="auto" w:fill="auto"/>
            <w:vAlign w:val="center"/>
            <w:hideMark/>
          </w:tcPr>
          <w:p w:rsidR="00930754" w:rsidRPr="00930754" w:rsidRDefault="00930754" w:rsidP="00930754">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val="en-US" w:eastAsia="zh-CN"/>
              </w:rPr>
            </w:pPr>
            <w:r w:rsidRPr="00930754">
              <w:rPr>
                <w:rFonts w:cs="Arial"/>
                <w:b/>
                <w:bCs/>
                <w:sz w:val="22"/>
                <w:szCs w:val="22"/>
                <w:lang w:val="en-US" w:eastAsia="zh-CN"/>
              </w:rPr>
              <w:t>2016</w:t>
            </w:r>
          </w:p>
        </w:tc>
        <w:tc>
          <w:tcPr>
            <w:tcW w:w="1276" w:type="dxa"/>
            <w:tcBorders>
              <w:top w:val="nil"/>
              <w:left w:val="nil"/>
              <w:bottom w:val="single" w:sz="8" w:space="0" w:color="auto"/>
              <w:right w:val="single" w:sz="8" w:space="0" w:color="auto"/>
            </w:tcBorders>
            <w:shd w:val="clear" w:color="auto" w:fill="auto"/>
            <w:vAlign w:val="center"/>
            <w:hideMark/>
          </w:tcPr>
          <w:p w:rsidR="00930754" w:rsidRPr="00930754" w:rsidRDefault="00930754" w:rsidP="00930754">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val="en-US" w:eastAsia="zh-CN"/>
              </w:rPr>
            </w:pPr>
            <w:r w:rsidRPr="00930754">
              <w:rPr>
                <w:rFonts w:cs="Arial"/>
                <w:b/>
                <w:bCs/>
                <w:sz w:val="22"/>
                <w:szCs w:val="22"/>
                <w:lang w:val="en-US" w:eastAsia="zh-CN"/>
              </w:rPr>
              <w:t>2017</w:t>
            </w:r>
          </w:p>
        </w:tc>
        <w:tc>
          <w:tcPr>
            <w:tcW w:w="1137" w:type="dxa"/>
            <w:tcBorders>
              <w:top w:val="nil"/>
              <w:left w:val="nil"/>
              <w:bottom w:val="single" w:sz="8" w:space="0" w:color="auto"/>
              <w:right w:val="single" w:sz="8" w:space="0" w:color="auto"/>
            </w:tcBorders>
            <w:shd w:val="clear" w:color="auto" w:fill="auto"/>
            <w:vAlign w:val="center"/>
            <w:hideMark/>
          </w:tcPr>
          <w:p w:rsidR="00930754" w:rsidRPr="00930754" w:rsidRDefault="00930754" w:rsidP="00930754">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2"/>
                <w:szCs w:val="22"/>
                <w:lang w:val="en-US" w:eastAsia="zh-CN"/>
              </w:rPr>
            </w:pPr>
            <w:r w:rsidRPr="00930754">
              <w:rPr>
                <w:rFonts w:cs="Arial"/>
                <w:b/>
                <w:bCs/>
                <w:color w:val="000000"/>
                <w:sz w:val="22"/>
                <w:szCs w:val="22"/>
                <w:lang w:val="en-US" w:eastAsia="zh-CN"/>
              </w:rPr>
              <w:t>2016</w:t>
            </w:r>
          </w:p>
        </w:tc>
      </w:tr>
      <w:tr w:rsidR="00930754" w:rsidRPr="00930754" w:rsidTr="00930754">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930754" w:rsidRPr="00930754" w:rsidRDefault="00930754" w:rsidP="0093075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930754">
              <w:rPr>
                <w:rFonts w:cs="Arial"/>
                <w:color w:val="000000"/>
                <w:sz w:val="22"/>
                <w:szCs w:val="22"/>
                <w:lang w:val="en-US" w:eastAsia="zh-CN"/>
              </w:rPr>
              <w:t>Cash and cash equivalent</w:t>
            </w:r>
          </w:p>
        </w:tc>
        <w:tc>
          <w:tcPr>
            <w:tcW w:w="1417" w:type="dxa"/>
            <w:tcBorders>
              <w:top w:val="nil"/>
              <w:left w:val="nil"/>
              <w:bottom w:val="single" w:sz="8" w:space="0" w:color="auto"/>
              <w:right w:val="single" w:sz="8" w:space="0" w:color="auto"/>
            </w:tcBorders>
            <w:shd w:val="clear" w:color="auto" w:fill="auto"/>
            <w:vAlign w:val="center"/>
            <w:hideMark/>
          </w:tcPr>
          <w:p w:rsidR="00930754" w:rsidRPr="00930754" w:rsidRDefault="00930754" w:rsidP="0093075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930754">
              <w:rPr>
                <w:rFonts w:cs="Arial"/>
                <w:color w:val="000000"/>
                <w:sz w:val="22"/>
                <w:szCs w:val="22"/>
                <w:lang w:val="en-US" w:eastAsia="zh-CN"/>
              </w:rPr>
              <w:t>135</w:t>
            </w:r>
            <w:r w:rsidR="002B736C">
              <w:rPr>
                <w:rFonts w:cs="Arial"/>
                <w:color w:val="000000"/>
                <w:sz w:val="22"/>
                <w:szCs w:val="22"/>
                <w:lang w:val="en-US" w:eastAsia="zh-CN"/>
              </w:rPr>
              <w:t>,</w:t>
            </w:r>
            <w:r w:rsidRPr="00930754">
              <w:rPr>
                <w:rFonts w:cs="Arial"/>
                <w:color w:val="000000"/>
                <w:sz w:val="22"/>
                <w:szCs w:val="22"/>
                <w:lang w:val="en-US" w:eastAsia="zh-CN"/>
              </w:rPr>
              <w:t>297</w:t>
            </w:r>
          </w:p>
        </w:tc>
        <w:tc>
          <w:tcPr>
            <w:tcW w:w="1276" w:type="dxa"/>
            <w:tcBorders>
              <w:top w:val="nil"/>
              <w:left w:val="nil"/>
              <w:bottom w:val="single" w:sz="8" w:space="0" w:color="auto"/>
              <w:right w:val="single" w:sz="8" w:space="0" w:color="auto"/>
            </w:tcBorders>
            <w:shd w:val="clear" w:color="auto" w:fill="auto"/>
            <w:vAlign w:val="center"/>
            <w:hideMark/>
          </w:tcPr>
          <w:p w:rsidR="00930754" w:rsidRPr="00930754" w:rsidRDefault="00930754" w:rsidP="0093075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930754">
              <w:rPr>
                <w:rFonts w:cs="Arial"/>
                <w:color w:val="000000"/>
                <w:sz w:val="22"/>
                <w:szCs w:val="22"/>
                <w:lang w:val="en-US" w:eastAsia="zh-CN"/>
              </w:rPr>
              <w:t>108</w:t>
            </w:r>
            <w:r w:rsidR="002B736C">
              <w:rPr>
                <w:rFonts w:cs="Arial"/>
                <w:color w:val="000000"/>
                <w:sz w:val="22"/>
                <w:szCs w:val="22"/>
                <w:lang w:val="en-US" w:eastAsia="zh-CN"/>
              </w:rPr>
              <w:t>,</w:t>
            </w:r>
            <w:r w:rsidRPr="00930754">
              <w:rPr>
                <w:rFonts w:cs="Arial"/>
                <w:color w:val="000000"/>
                <w:sz w:val="22"/>
                <w:szCs w:val="22"/>
                <w:lang w:val="en-US" w:eastAsia="zh-CN"/>
              </w:rPr>
              <w:t>434</w:t>
            </w:r>
          </w:p>
        </w:tc>
        <w:tc>
          <w:tcPr>
            <w:tcW w:w="1276" w:type="dxa"/>
            <w:tcBorders>
              <w:top w:val="nil"/>
              <w:left w:val="nil"/>
              <w:bottom w:val="single" w:sz="8" w:space="0" w:color="auto"/>
              <w:right w:val="single" w:sz="8" w:space="0" w:color="auto"/>
            </w:tcBorders>
            <w:shd w:val="clear" w:color="auto" w:fill="auto"/>
            <w:vAlign w:val="center"/>
            <w:hideMark/>
          </w:tcPr>
          <w:p w:rsidR="00930754" w:rsidRPr="00930754" w:rsidRDefault="00930754" w:rsidP="0093075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930754">
              <w:rPr>
                <w:rFonts w:cs="Arial"/>
                <w:color w:val="000000"/>
                <w:sz w:val="22"/>
                <w:szCs w:val="22"/>
                <w:lang w:val="en-US" w:eastAsia="zh-CN"/>
              </w:rPr>
              <w:t>135</w:t>
            </w:r>
            <w:r w:rsidR="002B736C">
              <w:rPr>
                <w:rFonts w:cs="Arial"/>
                <w:color w:val="000000"/>
                <w:sz w:val="22"/>
                <w:szCs w:val="22"/>
                <w:lang w:val="en-US" w:eastAsia="zh-CN"/>
              </w:rPr>
              <w:t>,</w:t>
            </w:r>
            <w:r w:rsidRPr="00930754">
              <w:rPr>
                <w:rFonts w:cs="Arial"/>
                <w:color w:val="000000"/>
                <w:sz w:val="22"/>
                <w:szCs w:val="22"/>
                <w:lang w:val="en-US" w:eastAsia="zh-CN"/>
              </w:rPr>
              <w:t>297</w:t>
            </w:r>
          </w:p>
        </w:tc>
        <w:tc>
          <w:tcPr>
            <w:tcW w:w="1137" w:type="dxa"/>
            <w:tcBorders>
              <w:top w:val="nil"/>
              <w:left w:val="nil"/>
              <w:bottom w:val="single" w:sz="8" w:space="0" w:color="auto"/>
              <w:right w:val="single" w:sz="8" w:space="0" w:color="auto"/>
            </w:tcBorders>
            <w:shd w:val="clear" w:color="auto" w:fill="auto"/>
            <w:vAlign w:val="center"/>
            <w:hideMark/>
          </w:tcPr>
          <w:p w:rsidR="00930754" w:rsidRPr="00930754" w:rsidRDefault="00930754" w:rsidP="0093075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930754">
              <w:rPr>
                <w:rFonts w:cs="Arial"/>
                <w:color w:val="000000"/>
                <w:sz w:val="22"/>
                <w:szCs w:val="22"/>
                <w:lang w:val="en-US" w:eastAsia="zh-CN"/>
              </w:rPr>
              <w:t>108</w:t>
            </w:r>
            <w:r w:rsidR="002B736C">
              <w:rPr>
                <w:rFonts w:cs="Arial"/>
                <w:color w:val="000000"/>
                <w:sz w:val="22"/>
                <w:szCs w:val="22"/>
                <w:lang w:val="en-US" w:eastAsia="zh-CN"/>
              </w:rPr>
              <w:t>,</w:t>
            </w:r>
            <w:r w:rsidRPr="00930754">
              <w:rPr>
                <w:rFonts w:cs="Arial"/>
                <w:color w:val="000000"/>
                <w:sz w:val="22"/>
                <w:szCs w:val="22"/>
                <w:lang w:val="en-US" w:eastAsia="zh-CN"/>
              </w:rPr>
              <w:t>434</w:t>
            </w:r>
          </w:p>
        </w:tc>
      </w:tr>
      <w:tr w:rsidR="00930754" w:rsidRPr="00930754" w:rsidTr="00930754">
        <w:trPr>
          <w:trHeight w:val="6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930754" w:rsidRPr="00930754" w:rsidRDefault="00930754" w:rsidP="0093075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930754">
              <w:rPr>
                <w:rFonts w:cs="Arial"/>
                <w:color w:val="000000"/>
                <w:sz w:val="22"/>
                <w:szCs w:val="22"/>
                <w:lang w:val="en-US" w:eastAsia="zh-CN"/>
              </w:rPr>
              <w:t>Financial instruments at fair value through surplus/ deficit</w:t>
            </w:r>
          </w:p>
        </w:tc>
        <w:tc>
          <w:tcPr>
            <w:tcW w:w="1417" w:type="dxa"/>
            <w:tcBorders>
              <w:top w:val="nil"/>
              <w:left w:val="nil"/>
              <w:bottom w:val="single" w:sz="8" w:space="0" w:color="auto"/>
              <w:right w:val="single" w:sz="8" w:space="0" w:color="auto"/>
            </w:tcBorders>
            <w:shd w:val="clear" w:color="auto" w:fill="auto"/>
            <w:vAlign w:val="center"/>
            <w:hideMark/>
          </w:tcPr>
          <w:p w:rsidR="00930754" w:rsidRPr="00930754" w:rsidRDefault="00930754" w:rsidP="0093075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930754">
              <w:rPr>
                <w:rFonts w:cs="Arial"/>
                <w:color w:val="000000"/>
                <w:sz w:val="22"/>
                <w:szCs w:val="22"/>
                <w:lang w:val="en-US" w:eastAsia="zh-CN"/>
              </w:rPr>
              <w:t>31</w:t>
            </w:r>
            <w:r w:rsidR="002B736C">
              <w:rPr>
                <w:rFonts w:cs="Arial"/>
                <w:color w:val="000000"/>
                <w:sz w:val="22"/>
                <w:szCs w:val="22"/>
                <w:lang w:val="en-US" w:eastAsia="zh-CN"/>
              </w:rPr>
              <w:t>,</w:t>
            </w:r>
            <w:r w:rsidRPr="00930754">
              <w:rPr>
                <w:rFonts w:cs="Arial"/>
                <w:color w:val="000000"/>
                <w:sz w:val="22"/>
                <w:szCs w:val="22"/>
                <w:lang w:val="en-US" w:eastAsia="zh-CN"/>
              </w:rPr>
              <w:t>363</w:t>
            </w:r>
          </w:p>
        </w:tc>
        <w:tc>
          <w:tcPr>
            <w:tcW w:w="1276" w:type="dxa"/>
            <w:tcBorders>
              <w:top w:val="nil"/>
              <w:left w:val="nil"/>
              <w:bottom w:val="single" w:sz="8" w:space="0" w:color="auto"/>
              <w:right w:val="single" w:sz="8" w:space="0" w:color="auto"/>
            </w:tcBorders>
            <w:shd w:val="clear" w:color="auto" w:fill="auto"/>
            <w:vAlign w:val="center"/>
            <w:hideMark/>
          </w:tcPr>
          <w:p w:rsidR="00930754" w:rsidRPr="00930754" w:rsidRDefault="00930754" w:rsidP="0093075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930754">
              <w:rPr>
                <w:rFonts w:cs="Arial"/>
                <w:color w:val="000000"/>
                <w:sz w:val="22"/>
                <w:szCs w:val="22"/>
                <w:lang w:val="en-US" w:eastAsia="zh-CN"/>
              </w:rPr>
              <w:t>64</w:t>
            </w:r>
            <w:r w:rsidR="002B736C">
              <w:rPr>
                <w:rFonts w:cs="Arial"/>
                <w:color w:val="000000"/>
                <w:sz w:val="22"/>
                <w:szCs w:val="22"/>
                <w:lang w:val="en-US" w:eastAsia="zh-CN"/>
              </w:rPr>
              <w:t>,</w:t>
            </w:r>
            <w:r w:rsidRPr="00930754">
              <w:rPr>
                <w:rFonts w:cs="Arial"/>
                <w:color w:val="000000"/>
                <w:sz w:val="22"/>
                <w:szCs w:val="22"/>
                <w:lang w:val="en-US" w:eastAsia="zh-CN"/>
              </w:rPr>
              <w:t>980</w:t>
            </w:r>
          </w:p>
        </w:tc>
        <w:tc>
          <w:tcPr>
            <w:tcW w:w="1276" w:type="dxa"/>
            <w:tcBorders>
              <w:top w:val="nil"/>
              <w:left w:val="nil"/>
              <w:bottom w:val="single" w:sz="8" w:space="0" w:color="auto"/>
              <w:right w:val="single" w:sz="8" w:space="0" w:color="auto"/>
            </w:tcBorders>
            <w:shd w:val="clear" w:color="auto" w:fill="auto"/>
            <w:vAlign w:val="center"/>
            <w:hideMark/>
          </w:tcPr>
          <w:p w:rsidR="00930754" w:rsidRPr="00930754" w:rsidRDefault="00930754" w:rsidP="0093075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930754">
              <w:rPr>
                <w:rFonts w:cs="Arial"/>
                <w:color w:val="000000"/>
                <w:sz w:val="22"/>
                <w:szCs w:val="22"/>
                <w:lang w:val="en-US" w:eastAsia="zh-CN"/>
              </w:rPr>
              <w:t>31</w:t>
            </w:r>
            <w:r w:rsidR="002B736C">
              <w:rPr>
                <w:rFonts w:cs="Arial"/>
                <w:color w:val="000000"/>
                <w:sz w:val="22"/>
                <w:szCs w:val="22"/>
                <w:lang w:val="en-US" w:eastAsia="zh-CN"/>
              </w:rPr>
              <w:t>,</w:t>
            </w:r>
            <w:r w:rsidRPr="00930754">
              <w:rPr>
                <w:rFonts w:cs="Arial"/>
                <w:color w:val="000000"/>
                <w:sz w:val="22"/>
                <w:szCs w:val="22"/>
                <w:lang w:val="en-US" w:eastAsia="zh-CN"/>
              </w:rPr>
              <w:t>363</w:t>
            </w:r>
          </w:p>
        </w:tc>
        <w:tc>
          <w:tcPr>
            <w:tcW w:w="1137" w:type="dxa"/>
            <w:tcBorders>
              <w:top w:val="nil"/>
              <w:left w:val="nil"/>
              <w:bottom w:val="single" w:sz="8" w:space="0" w:color="auto"/>
              <w:right w:val="single" w:sz="8" w:space="0" w:color="auto"/>
            </w:tcBorders>
            <w:shd w:val="clear" w:color="auto" w:fill="auto"/>
            <w:vAlign w:val="center"/>
            <w:hideMark/>
          </w:tcPr>
          <w:p w:rsidR="00930754" w:rsidRPr="00930754" w:rsidRDefault="00930754" w:rsidP="0093075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930754">
              <w:rPr>
                <w:rFonts w:cs="Arial"/>
                <w:color w:val="000000"/>
                <w:sz w:val="22"/>
                <w:szCs w:val="22"/>
                <w:lang w:val="en-US" w:eastAsia="zh-CN"/>
              </w:rPr>
              <w:t>64</w:t>
            </w:r>
            <w:r w:rsidR="002B736C">
              <w:rPr>
                <w:rFonts w:cs="Arial"/>
                <w:color w:val="000000"/>
                <w:sz w:val="22"/>
                <w:szCs w:val="22"/>
                <w:lang w:val="en-US" w:eastAsia="zh-CN"/>
              </w:rPr>
              <w:t>,</w:t>
            </w:r>
            <w:r w:rsidRPr="00930754">
              <w:rPr>
                <w:rFonts w:cs="Arial"/>
                <w:color w:val="000000"/>
                <w:sz w:val="22"/>
                <w:szCs w:val="22"/>
                <w:lang w:val="en-US" w:eastAsia="zh-CN"/>
              </w:rPr>
              <w:t>980</w:t>
            </w:r>
          </w:p>
        </w:tc>
      </w:tr>
      <w:tr w:rsidR="00930754" w:rsidRPr="00930754" w:rsidTr="00930754">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930754" w:rsidRPr="00930754" w:rsidRDefault="00930754" w:rsidP="0093075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930754">
              <w:rPr>
                <w:rFonts w:cs="Arial"/>
                <w:color w:val="000000"/>
                <w:sz w:val="22"/>
                <w:szCs w:val="22"/>
                <w:lang w:val="en-US" w:eastAsia="zh-CN"/>
              </w:rPr>
              <w:t>Receivable from exchange transactions – current</w:t>
            </w:r>
          </w:p>
        </w:tc>
        <w:tc>
          <w:tcPr>
            <w:tcW w:w="1417" w:type="dxa"/>
            <w:tcBorders>
              <w:top w:val="nil"/>
              <w:left w:val="nil"/>
              <w:bottom w:val="single" w:sz="8" w:space="0" w:color="auto"/>
              <w:right w:val="single" w:sz="8" w:space="0" w:color="auto"/>
            </w:tcBorders>
            <w:shd w:val="clear" w:color="auto" w:fill="auto"/>
            <w:vAlign w:val="center"/>
            <w:hideMark/>
          </w:tcPr>
          <w:p w:rsidR="00930754" w:rsidRPr="00930754" w:rsidRDefault="00930754" w:rsidP="0093075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930754">
              <w:rPr>
                <w:rFonts w:cs="Arial"/>
                <w:color w:val="000000"/>
                <w:sz w:val="22"/>
                <w:szCs w:val="22"/>
                <w:lang w:val="en-US" w:eastAsia="zh-CN"/>
              </w:rPr>
              <w:t>8</w:t>
            </w:r>
            <w:r w:rsidR="002B736C">
              <w:rPr>
                <w:rFonts w:cs="Arial"/>
                <w:color w:val="000000"/>
                <w:sz w:val="22"/>
                <w:szCs w:val="22"/>
                <w:lang w:val="en-US" w:eastAsia="zh-CN"/>
              </w:rPr>
              <w:t>,</w:t>
            </w:r>
            <w:r w:rsidRPr="00930754">
              <w:rPr>
                <w:rFonts w:cs="Arial"/>
                <w:color w:val="000000"/>
                <w:sz w:val="22"/>
                <w:szCs w:val="22"/>
                <w:lang w:val="en-US" w:eastAsia="zh-CN"/>
              </w:rPr>
              <w:t>934</w:t>
            </w:r>
          </w:p>
        </w:tc>
        <w:tc>
          <w:tcPr>
            <w:tcW w:w="1276" w:type="dxa"/>
            <w:tcBorders>
              <w:top w:val="nil"/>
              <w:left w:val="nil"/>
              <w:bottom w:val="single" w:sz="8" w:space="0" w:color="auto"/>
              <w:right w:val="single" w:sz="8" w:space="0" w:color="auto"/>
            </w:tcBorders>
            <w:shd w:val="clear" w:color="auto" w:fill="auto"/>
            <w:vAlign w:val="center"/>
            <w:hideMark/>
          </w:tcPr>
          <w:p w:rsidR="00930754" w:rsidRPr="00930754" w:rsidRDefault="00930754" w:rsidP="0093075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930754">
              <w:rPr>
                <w:rFonts w:cs="Arial"/>
                <w:color w:val="000000"/>
                <w:sz w:val="22"/>
                <w:szCs w:val="22"/>
                <w:lang w:val="en-US" w:eastAsia="zh-CN"/>
              </w:rPr>
              <w:t>9</w:t>
            </w:r>
            <w:r w:rsidR="002B736C">
              <w:rPr>
                <w:rFonts w:cs="Arial"/>
                <w:color w:val="000000"/>
                <w:sz w:val="22"/>
                <w:szCs w:val="22"/>
                <w:lang w:val="en-US" w:eastAsia="zh-CN"/>
              </w:rPr>
              <w:t>,</w:t>
            </w:r>
            <w:r w:rsidRPr="00930754">
              <w:rPr>
                <w:rFonts w:cs="Arial"/>
                <w:color w:val="000000"/>
                <w:sz w:val="22"/>
                <w:szCs w:val="22"/>
                <w:lang w:val="en-US" w:eastAsia="zh-CN"/>
              </w:rPr>
              <w:t>033</w:t>
            </w:r>
          </w:p>
        </w:tc>
        <w:tc>
          <w:tcPr>
            <w:tcW w:w="1276" w:type="dxa"/>
            <w:tcBorders>
              <w:top w:val="nil"/>
              <w:left w:val="nil"/>
              <w:bottom w:val="single" w:sz="8" w:space="0" w:color="auto"/>
              <w:right w:val="single" w:sz="8" w:space="0" w:color="auto"/>
            </w:tcBorders>
            <w:shd w:val="clear" w:color="auto" w:fill="auto"/>
            <w:vAlign w:val="center"/>
            <w:hideMark/>
          </w:tcPr>
          <w:p w:rsidR="00930754" w:rsidRPr="00930754" w:rsidRDefault="00930754" w:rsidP="0093075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930754">
              <w:rPr>
                <w:rFonts w:cs="Arial"/>
                <w:color w:val="000000"/>
                <w:sz w:val="22"/>
                <w:szCs w:val="22"/>
                <w:lang w:val="en-US" w:eastAsia="zh-CN"/>
              </w:rPr>
              <w:t>8</w:t>
            </w:r>
            <w:r w:rsidR="002B736C">
              <w:rPr>
                <w:rFonts w:cs="Arial"/>
                <w:color w:val="000000"/>
                <w:sz w:val="22"/>
                <w:szCs w:val="22"/>
                <w:lang w:val="en-US" w:eastAsia="zh-CN"/>
              </w:rPr>
              <w:t>,</w:t>
            </w:r>
            <w:r w:rsidRPr="00930754">
              <w:rPr>
                <w:rFonts w:cs="Arial"/>
                <w:color w:val="000000"/>
                <w:sz w:val="22"/>
                <w:szCs w:val="22"/>
                <w:lang w:val="en-US" w:eastAsia="zh-CN"/>
              </w:rPr>
              <w:t>934</w:t>
            </w:r>
          </w:p>
        </w:tc>
        <w:tc>
          <w:tcPr>
            <w:tcW w:w="1137" w:type="dxa"/>
            <w:tcBorders>
              <w:top w:val="nil"/>
              <w:left w:val="nil"/>
              <w:bottom w:val="single" w:sz="8" w:space="0" w:color="auto"/>
              <w:right w:val="single" w:sz="8" w:space="0" w:color="auto"/>
            </w:tcBorders>
            <w:shd w:val="clear" w:color="auto" w:fill="auto"/>
            <w:vAlign w:val="center"/>
            <w:hideMark/>
          </w:tcPr>
          <w:p w:rsidR="00930754" w:rsidRPr="00930754" w:rsidRDefault="00930754" w:rsidP="0093075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930754">
              <w:rPr>
                <w:rFonts w:cs="Arial"/>
                <w:color w:val="000000"/>
                <w:sz w:val="22"/>
                <w:szCs w:val="22"/>
                <w:lang w:val="en-US" w:eastAsia="zh-CN"/>
              </w:rPr>
              <w:t>9</w:t>
            </w:r>
            <w:r w:rsidR="002B736C">
              <w:rPr>
                <w:rFonts w:cs="Arial"/>
                <w:color w:val="000000"/>
                <w:sz w:val="22"/>
                <w:szCs w:val="22"/>
                <w:lang w:val="en-US" w:eastAsia="zh-CN"/>
              </w:rPr>
              <w:t>,</w:t>
            </w:r>
            <w:r w:rsidRPr="00930754">
              <w:rPr>
                <w:rFonts w:cs="Arial"/>
                <w:color w:val="000000"/>
                <w:sz w:val="22"/>
                <w:szCs w:val="22"/>
                <w:lang w:val="en-US" w:eastAsia="zh-CN"/>
              </w:rPr>
              <w:t>033</w:t>
            </w:r>
          </w:p>
        </w:tc>
      </w:tr>
      <w:tr w:rsidR="00930754" w:rsidRPr="00930754" w:rsidTr="00930754">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930754" w:rsidRPr="00930754" w:rsidRDefault="00930754" w:rsidP="0093075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930754">
              <w:rPr>
                <w:rFonts w:cs="Arial"/>
                <w:color w:val="000000"/>
                <w:sz w:val="22"/>
                <w:szCs w:val="22"/>
                <w:lang w:val="en-US" w:eastAsia="zh-CN"/>
              </w:rPr>
              <w:t>Receivable from non-exchange transaction- current</w:t>
            </w:r>
          </w:p>
        </w:tc>
        <w:tc>
          <w:tcPr>
            <w:tcW w:w="1417" w:type="dxa"/>
            <w:tcBorders>
              <w:top w:val="nil"/>
              <w:left w:val="nil"/>
              <w:bottom w:val="single" w:sz="8" w:space="0" w:color="auto"/>
              <w:right w:val="single" w:sz="8" w:space="0" w:color="auto"/>
            </w:tcBorders>
            <w:shd w:val="clear" w:color="auto" w:fill="auto"/>
            <w:vAlign w:val="center"/>
            <w:hideMark/>
          </w:tcPr>
          <w:p w:rsidR="00930754" w:rsidRPr="00930754" w:rsidRDefault="00930754" w:rsidP="0093075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930754">
              <w:rPr>
                <w:rFonts w:cs="Arial"/>
                <w:color w:val="000000"/>
                <w:sz w:val="22"/>
                <w:szCs w:val="22"/>
                <w:lang w:val="en-US" w:eastAsia="zh-CN"/>
              </w:rPr>
              <w:t>88</w:t>
            </w:r>
            <w:r w:rsidR="002B736C">
              <w:rPr>
                <w:rFonts w:cs="Arial"/>
                <w:color w:val="000000"/>
                <w:sz w:val="22"/>
                <w:szCs w:val="22"/>
                <w:lang w:val="en-US" w:eastAsia="zh-CN"/>
              </w:rPr>
              <w:t>,</w:t>
            </w:r>
            <w:r w:rsidRPr="00930754">
              <w:rPr>
                <w:rFonts w:cs="Arial"/>
                <w:color w:val="000000"/>
                <w:sz w:val="22"/>
                <w:szCs w:val="22"/>
                <w:lang w:val="en-US" w:eastAsia="zh-CN"/>
              </w:rPr>
              <w:t>139</w:t>
            </w:r>
          </w:p>
        </w:tc>
        <w:tc>
          <w:tcPr>
            <w:tcW w:w="1276" w:type="dxa"/>
            <w:tcBorders>
              <w:top w:val="nil"/>
              <w:left w:val="nil"/>
              <w:bottom w:val="single" w:sz="8" w:space="0" w:color="auto"/>
              <w:right w:val="single" w:sz="8" w:space="0" w:color="auto"/>
            </w:tcBorders>
            <w:shd w:val="clear" w:color="auto" w:fill="auto"/>
            <w:vAlign w:val="center"/>
            <w:hideMark/>
          </w:tcPr>
          <w:p w:rsidR="00930754" w:rsidRPr="00930754" w:rsidRDefault="00930754" w:rsidP="0093075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930754">
              <w:rPr>
                <w:rFonts w:cs="Arial"/>
                <w:color w:val="000000"/>
                <w:sz w:val="22"/>
                <w:szCs w:val="22"/>
                <w:lang w:val="en-US" w:eastAsia="zh-CN"/>
              </w:rPr>
              <w:t>76</w:t>
            </w:r>
            <w:r w:rsidR="002B736C">
              <w:rPr>
                <w:rFonts w:cs="Arial"/>
                <w:color w:val="000000"/>
                <w:sz w:val="22"/>
                <w:szCs w:val="22"/>
                <w:lang w:val="en-US" w:eastAsia="zh-CN"/>
              </w:rPr>
              <w:t>,</w:t>
            </w:r>
            <w:r w:rsidRPr="00930754">
              <w:rPr>
                <w:rFonts w:cs="Arial"/>
                <w:color w:val="000000"/>
                <w:sz w:val="22"/>
                <w:szCs w:val="22"/>
                <w:lang w:val="en-US" w:eastAsia="zh-CN"/>
              </w:rPr>
              <w:t>469</w:t>
            </w:r>
          </w:p>
        </w:tc>
        <w:tc>
          <w:tcPr>
            <w:tcW w:w="1276" w:type="dxa"/>
            <w:tcBorders>
              <w:top w:val="nil"/>
              <w:left w:val="nil"/>
              <w:bottom w:val="single" w:sz="8" w:space="0" w:color="auto"/>
              <w:right w:val="single" w:sz="8" w:space="0" w:color="auto"/>
            </w:tcBorders>
            <w:shd w:val="clear" w:color="auto" w:fill="auto"/>
            <w:vAlign w:val="center"/>
            <w:hideMark/>
          </w:tcPr>
          <w:p w:rsidR="00930754" w:rsidRPr="00930754" w:rsidRDefault="00930754" w:rsidP="0093075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930754">
              <w:rPr>
                <w:rFonts w:cs="Arial"/>
                <w:color w:val="000000"/>
                <w:sz w:val="22"/>
                <w:szCs w:val="22"/>
                <w:lang w:val="en-US" w:eastAsia="zh-CN"/>
              </w:rPr>
              <w:t>88</w:t>
            </w:r>
            <w:r w:rsidR="002B736C">
              <w:rPr>
                <w:rFonts w:cs="Arial"/>
                <w:color w:val="000000"/>
                <w:sz w:val="22"/>
                <w:szCs w:val="22"/>
                <w:lang w:val="en-US" w:eastAsia="zh-CN"/>
              </w:rPr>
              <w:t>,</w:t>
            </w:r>
            <w:r w:rsidRPr="00930754">
              <w:rPr>
                <w:rFonts w:cs="Arial"/>
                <w:color w:val="000000"/>
                <w:sz w:val="22"/>
                <w:szCs w:val="22"/>
                <w:lang w:val="en-US" w:eastAsia="zh-CN"/>
              </w:rPr>
              <w:t>139</w:t>
            </w:r>
          </w:p>
        </w:tc>
        <w:tc>
          <w:tcPr>
            <w:tcW w:w="1137" w:type="dxa"/>
            <w:tcBorders>
              <w:top w:val="nil"/>
              <w:left w:val="nil"/>
              <w:bottom w:val="single" w:sz="8" w:space="0" w:color="auto"/>
              <w:right w:val="single" w:sz="8" w:space="0" w:color="auto"/>
            </w:tcBorders>
            <w:shd w:val="clear" w:color="auto" w:fill="auto"/>
            <w:vAlign w:val="center"/>
            <w:hideMark/>
          </w:tcPr>
          <w:p w:rsidR="00930754" w:rsidRPr="00930754" w:rsidRDefault="00930754" w:rsidP="0093075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930754">
              <w:rPr>
                <w:rFonts w:cs="Arial"/>
                <w:color w:val="000000"/>
                <w:sz w:val="22"/>
                <w:szCs w:val="22"/>
                <w:lang w:val="en-US" w:eastAsia="zh-CN"/>
              </w:rPr>
              <w:t>76</w:t>
            </w:r>
            <w:r w:rsidR="002B736C">
              <w:rPr>
                <w:rFonts w:cs="Arial"/>
                <w:color w:val="000000"/>
                <w:sz w:val="22"/>
                <w:szCs w:val="22"/>
                <w:lang w:val="en-US" w:eastAsia="zh-CN"/>
              </w:rPr>
              <w:t>,</w:t>
            </w:r>
            <w:r w:rsidRPr="00930754">
              <w:rPr>
                <w:rFonts w:cs="Arial"/>
                <w:color w:val="000000"/>
                <w:sz w:val="22"/>
                <w:szCs w:val="22"/>
                <w:lang w:val="en-US" w:eastAsia="zh-CN"/>
              </w:rPr>
              <w:t>469</w:t>
            </w:r>
          </w:p>
        </w:tc>
      </w:tr>
    </w:tbl>
    <w:tbl>
      <w:tblPr>
        <w:tblpPr w:leftFromText="180" w:rightFromText="180" w:vertAnchor="text" w:horzAnchor="margin" w:tblpY="335"/>
        <w:tblW w:w="9913" w:type="dxa"/>
        <w:tblLook w:val="04A0" w:firstRow="1" w:lastRow="0" w:firstColumn="1" w:lastColumn="0" w:noHBand="0" w:noVBand="1"/>
      </w:tblPr>
      <w:tblGrid>
        <w:gridCol w:w="4810"/>
        <w:gridCol w:w="1417"/>
        <w:gridCol w:w="1276"/>
        <w:gridCol w:w="1276"/>
        <w:gridCol w:w="1134"/>
      </w:tblGrid>
      <w:tr w:rsidR="00930754" w:rsidRPr="00930754" w:rsidTr="00930754">
        <w:trPr>
          <w:trHeight w:val="315"/>
        </w:trPr>
        <w:tc>
          <w:tcPr>
            <w:tcW w:w="481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30754" w:rsidRPr="00930754" w:rsidRDefault="00930754" w:rsidP="00930754">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2"/>
                <w:szCs w:val="22"/>
                <w:lang w:val="en-US" w:eastAsia="zh-CN"/>
              </w:rPr>
            </w:pPr>
            <w:r w:rsidRPr="00930754">
              <w:rPr>
                <w:rFonts w:cs="Arial"/>
                <w:b/>
                <w:bCs/>
                <w:color w:val="000000"/>
                <w:sz w:val="22"/>
                <w:szCs w:val="22"/>
                <w:lang w:val="en-US" w:eastAsia="zh-CN"/>
              </w:rPr>
              <w:t>In thousands of CHF</w:t>
            </w:r>
          </w:p>
        </w:tc>
        <w:tc>
          <w:tcPr>
            <w:tcW w:w="2693" w:type="dxa"/>
            <w:gridSpan w:val="2"/>
            <w:tcBorders>
              <w:top w:val="single" w:sz="8" w:space="0" w:color="auto"/>
              <w:left w:val="nil"/>
              <w:bottom w:val="single" w:sz="8" w:space="0" w:color="auto"/>
              <w:right w:val="single" w:sz="8" w:space="0" w:color="000000"/>
            </w:tcBorders>
            <w:shd w:val="clear" w:color="auto" w:fill="auto"/>
            <w:vAlign w:val="center"/>
            <w:hideMark/>
          </w:tcPr>
          <w:p w:rsidR="00930754" w:rsidRPr="00930754" w:rsidRDefault="00930754" w:rsidP="00930754">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2"/>
                <w:szCs w:val="22"/>
                <w:lang w:val="en-US" w:eastAsia="zh-CN"/>
              </w:rPr>
            </w:pPr>
            <w:r w:rsidRPr="00930754">
              <w:rPr>
                <w:rFonts w:cs="Arial"/>
                <w:b/>
                <w:bCs/>
                <w:color w:val="000000"/>
                <w:sz w:val="22"/>
                <w:szCs w:val="22"/>
                <w:lang w:val="en-US" w:eastAsia="zh-CN"/>
              </w:rPr>
              <w:t>Carrying amount</w:t>
            </w:r>
          </w:p>
        </w:tc>
        <w:tc>
          <w:tcPr>
            <w:tcW w:w="2410" w:type="dxa"/>
            <w:gridSpan w:val="2"/>
            <w:tcBorders>
              <w:top w:val="single" w:sz="8" w:space="0" w:color="auto"/>
              <w:left w:val="nil"/>
              <w:bottom w:val="single" w:sz="8" w:space="0" w:color="auto"/>
              <w:right w:val="single" w:sz="8" w:space="0" w:color="000000"/>
            </w:tcBorders>
            <w:shd w:val="clear" w:color="auto" w:fill="auto"/>
            <w:vAlign w:val="center"/>
            <w:hideMark/>
          </w:tcPr>
          <w:p w:rsidR="00930754" w:rsidRPr="00930754" w:rsidRDefault="00930754" w:rsidP="00930754">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2"/>
                <w:szCs w:val="22"/>
                <w:lang w:val="en-US" w:eastAsia="zh-CN"/>
              </w:rPr>
            </w:pPr>
            <w:r w:rsidRPr="00930754">
              <w:rPr>
                <w:rFonts w:cs="Arial"/>
                <w:b/>
                <w:bCs/>
                <w:color w:val="000000"/>
                <w:sz w:val="22"/>
                <w:szCs w:val="22"/>
                <w:lang w:val="en-US" w:eastAsia="zh-CN"/>
              </w:rPr>
              <w:t>Fair value</w:t>
            </w:r>
          </w:p>
        </w:tc>
      </w:tr>
      <w:tr w:rsidR="00930754" w:rsidRPr="00930754" w:rsidTr="00930754">
        <w:trPr>
          <w:trHeight w:val="315"/>
        </w:trPr>
        <w:tc>
          <w:tcPr>
            <w:tcW w:w="4810" w:type="dxa"/>
            <w:tcBorders>
              <w:top w:val="nil"/>
              <w:left w:val="single" w:sz="8" w:space="0" w:color="auto"/>
              <w:bottom w:val="single" w:sz="8" w:space="0" w:color="auto"/>
              <w:right w:val="single" w:sz="8" w:space="0" w:color="auto"/>
            </w:tcBorders>
            <w:shd w:val="clear" w:color="auto" w:fill="auto"/>
            <w:vAlign w:val="center"/>
            <w:hideMark/>
          </w:tcPr>
          <w:p w:rsidR="00930754" w:rsidRPr="00930754" w:rsidRDefault="00930754" w:rsidP="0093075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930754">
              <w:rPr>
                <w:rFonts w:cs="Arial"/>
                <w:color w:val="000000"/>
                <w:sz w:val="22"/>
                <w:szCs w:val="22"/>
                <w:lang w:val="en-US" w:eastAsia="zh-CN"/>
              </w:rPr>
              <w:t xml:space="preserve">Financial liabilities </w:t>
            </w:r>
          </w:p>
        </w:tc>
        <w:tc>
          <w:tcPr>
            <w:tcW w:w="1417" w:type="dxa"/>
            <w:tcBorders>
              <w:top w:val="nil"/>
              <w:left w:val="nil"/>
              <w:bottom w:val="single" w:sz="8" w:space="0" w:color="auto"/>
              <w:right w:val="single" w:sz="8" w:space="0" w:color="auto"/>
            </w:tcBorders>
            <w:shd w:val="clear" w:color="auto" w:fill="auto"/>
            <w:vAlign w:val="center"/>
            <w:hideMark/>
          </w:tcPr>
          <w:p w:rsidR="00930754" w:rsidRPr="00930754" w:rsidRDefault="00930754" w:rsidP="00930754">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2"/>
                <w:szCs w:val="22"/>
                <w:lang w:val="en-US" w:eastAsia="zh-CN"/>
              </w:rPr>
            </w:pPr>
            <w:r w:rsidRPr="00930754">
              <w:rPr>
                <w:rFonts w:cs="Arial"/>
                <w:b/>
                <w:bCs/>
                <w:color w:val="000000"/>
                <w:sz w:val="22"/>
                <w:szCs w:val="22"/>
                <w:lang w:val="en-US" w:eastAsia="zh-CN"/>
              </w:rPr>
              <w:t>2017</w:t>
            </w:r>
          </w:p>
        </w:tc>
        <w:tc>
          <w:tcPr>
            <w:tcW w:w="1276" w:type="dxa"/>
            <w:tcBorders>
              <w:top w:val="nil"/>
              <w:left w:val="nil"/>
              <w:bottom w:val="single" w:sz="8" w:space="0" w:color="auto"/>
              <w:right w:val="single" w:sz="8" w:space="0" w:color="auto"/>
            </w:tcBorders>
            <w:shd w:val="clear" w:color="auto" w:fill="auto"/>
            <w:vAlign w:val="center"/>
            <w:hideMark/>
          </w:tcPr>
          <w:p w:rsidR="00930754" w:rsidRPr="00930754" w:rsidRDefault="00930754" w:rsidP="00930754">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2"/>
                <w:szCs w:val="22"/>
                <w:lang w:val="en-US" w:eastAsia="zh-CN"/>
              </w:rPr>
            </w:pPr>
            <w:r w:rsidRPr="00930754">
              <w:rPr>
                <w:rFonts w:cs="Arial"/>
                <w:b/>
                <w:bCs/>
                <w:color w:val="000000"/>
                <w:sz w:val="22"/>
                <w:szCs w:val="22"/>
                <w:lang w:val="en-US" w:eastAsia="zh-CN"/>
              </w:rPr>
              <w:t>2016</w:t>
            </w:r>
          </w:p>
        </w:tc>
        <w:tc>
          <w:tcPr>
            <w:tcW w:w="1276" w:type="dxa"/>
            <w:tcBorders>
              <w:top w:val="nil"/>
              <w:left w:val="nil"/>
              <w:bottom w:val="single" w:sz="8" w:space="0" w:color="auto"/>
              <w:right w:val="single" w:sz="8" w:space="0" w:color="auto"/>
            </w:tcBorders>
            <w:shd w:val="clear" w:color="auto" w:fill="auto"/>
            <w:vAlign w:val="center"/>
            <w:hideMark/>
          </w:tcPr>
          <w:p w:rsidR="00930754" w:rsidRPr="00930754" w:rsidRDefault="00930754" w:rsidP="00930754">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2"/>
                <w:szCs w:val="22"/>
                <w:lang w:val="en-US" w:eastAsia="zh-CN"/>
              </w:rPr>
            </w:pPr>
            <w:r w:rsidRPr="00930754">
              <w:rPr>
                <w:rFonts w:cs="Arial"/>
                <w:b/>
                <w:bCs/>
                <w:color w:val="000000"/>
                <w:sz w:val="22"/>
                <w:szCs w:val="22"/>
                <w:lang w:val="en-US" w:eastAsia="zh-CN"/>
              </w:rPr>
              <w:t>2017</w:t>
            </w:r>
          </w:p>
        </w:tc>
        <w:tc>
          <w:tcPr>
            <w:tcW w:w="1134" w:type="dxa"/>
            <w:tcBorders>
              <w:top w:val="nil"/>
              <w:left w:val="nil"/>
              <w:bottom w:val="single" w:sz="8" w:space="0" w:color="auto"/>
              <w:right w:val="single" w:sz="8" w:space="0" w:color="auto"/>
            </w:tcBorders>
            <w:shd w:val="clear" w:color="auto" w:fill="auto"/>
            <w:vAlign w:val="center"/>
            <w:hideMark/>
          </w:tcPr>
          <w:p w:rsidR="00930754" w:rsidRPr="00930754" w:rsidRDefault="00930754" w:rsidP="00930754">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2"/>
                <w:szCs w:val="22"/>
                <w:lang w:val="en-US" w:eastAsia="zh-CN"/>
              </w:rPr>
            </w:pPr>
            <w:r w:rsidRPr="00930754">
              <w:rPr>
                <w:rFonts w:cs="Arial"/>
                <w:b/>
                <w:bCs/>
                <w:color w:val="000000"/>
                <w:sz w:val="22"/>
                <w:szCs w:val="22"/>
                <w:lang w:val="en-US" w:eastAsia="zh-CN"/>
              </w:rPr>
              <w:t>2016</w:t>
            </w:r>
          </w:p>
        </w:tc>
      </w:tr>
      <w:tr w:rsidR="00930754" w:rsidRPr="00930754" w:rsidTr="00930754">
        <w:trPr>
          <w:trHeight w:val="315"/>
        </w:trPr>
        <w:tc>
          <w:tcPr>
            <w:tcW w:w="4810" w:type="dxa"/>
            <w:tcBorders>
              <w:top w:val="nil"/>
              <w:left w:val="single" w:sz="8" w:space="0" w:color="auto"/>
              <w:bottom w:val="single" w:sz="8" w:space="0" w:color="auto"/>
              <w:right w:val="single" w:sz="8" w:space="0" w:color="auto"/>
            </w:tcBorders>
            <w:shd w:val="clear" w:color="auto" w:fill="auto"/>
            <w:vAlign w:val="center"/>
            <w:hideMark/>
          </w:tcPr>
          <w:p w:rsidR="00930754" w:rsidRPr="00930754" w:rsidRDefault="00930754" w:rsidP="0093075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930754">
              <w:rPr>
                <w:rFonts w:cs="Arial"/>
                <w:color w:val="000000"/>
                <w:sz w:val="22"/>
                <w:szCs w:val="22"/>
                <w:lang w:val="en-US" w:eastAsia="zh-CN"/>
              </w:rPr>
              <w:t>Borrowings</w:t>
            </w:r>
          </w:p>
        </w:tc>
        <w:tc>
          <w:tcPr>
            <w:tcW w:w="1417" w:type="dxa"/>
            <w:tcBorders>
              <w:top w:val="nil"/>
              <w:left w:val="nil"/>
              <w:bottom w:val="single" w:sz="8" w:space="0" w:color="auto"/>
              <w:right w:val="single" w:sz="8" w:space="0" w:color="auto"/>
            </w:tcBorders>
            <w:shd w:val="clear" w:color="auto" w:fill="auto"/>
            <w:vAlign w:val="center"/>
            <w:hideMark/>
          </w:tcPr>
          <w:p w:rsidR="00930754" w:rsidRPr="00930754" w:rsidRDefault="00930754" w:rsidP="0093075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930754">
              <w:rPr>
                <w:rFonts w:cs="Arial"/>
                <w:color w:val="000000"/>
                <w:sz w:val="22"/>
                <w:szCs w:val="22"/>
                <w:lang w:val="en-US" w:eastAsia="zh-CN"/>
              </w:rPr>
              <w:t>43</w:t>
            </w:r>
            <w:r w:rsidR="002B736C">
              <w:rPr>
                <w:rFonts w:cs="Arial"/>
                <w:color w:val="000000"/>
                <w:sz w:val="22"/>
                <w:szCs w:val="22"/>
                <w:lang w:val="en-US" w:eastAsia="zh-CN"/>
              </w:rPr>
              <w:t>,</w:t>
            </w:r>
            <w:r w:rsidRPr="00930754">
              <w:rPr>
                <w:rFonts w:cs="Arial"/>
                <w:color w:val="000000"/>
                <w:sz w:val="22"/>
                <w:szCs w:val="22"/>
                <w:lang w:val="en-US" w:eastAsia="zh-CN"/>
              </w:rPr>
              <w:t>019</w:t>
            </w:r>
          </w:p>
        </w:tc>
        <w:tc>
          <w:tcPr>
            <w:tcW w:w="1276" w:type="dxa"/>
            <w:tcBorders>
              <w:top w:val="nil"/>
              <w:left w:val="nil"/>
              <w:bottom w:val="single" w:sz="8" w:space="0" w:color="auto"/>
              <w:right w:val="single" w:sz="8" w:space="0" w:color="auto"/>
            </w:tcBorders>
            <w:shd w:val="clear" w:color="auto" w:fill="auto"/>
            <w:vAlign w:val="center"/>
            <w:hideMark/>
          </w:tcPr>
          <w:p w:rsidR="00930754" w:rsidRPr="00930754" w:rsidRDefault="00930754" w:rsidP="0093075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930754">
              <w:rPr>
                <w:rFonts w:cs="Arial"/>
                <w:color w:val="000000"/>
                <w:sz w:val="22"/>
                <w:szCs w:val="22"/>
                <w:lang w:val="en-US" w:eastAsia="zh-CN"/>
              </w:rPr>
              <w:t>43</w:t>
            </w:r>
            <w:r w:rsidR="002B736C">
              <w:rPr>
                <w:rFonts w:cs="Arial"/>
                <w:color w:val="000000"/>
                <w:sz w:val="22"/>
                <w:szCs w:val="22"/>
                <w:lang w:val="en-US" w:eastAsia="zh-CN"/>
              </w:rPr>
              <w:t>,</w:t>
            </w:r>
            <w:r w:rsidRPr="00930754">
              <w:rPr>
                <w:rFonts w:cs="Arial"/>
                <w:color w:val="000000"/>
                <w:sz w:val="22"/>
                <w:szCs w:val="22"/>
                <w:lang w:val="en-US" w:eastAsia="zh-CN"/>
              </w:rPr>
              <w:t>792</w:t>
            </w:r>
          </w:p>
        </w:tc>
        <w:tc>
          <w:tcPr>
            <w:tcW w:w="1276" w:type="dxa"/>
            <w:tcBorders>
              <w:top w:val="nil"/>
              <w:left w:val="nil"/>
              <w:bottom w:val="single" w:sz="8" w:space="0" w:color="auto"/>
              <w:right w:val="single" w:sz="8" w:space="0" w:color="auto"/>
            </w:tcBorders>
            <w:shd w:val="clear" w:color="auto" w:fill="auto"/>
            <w:vAlign w:val="center"/>
            <w:hideMark/>
          </w:tcPr>
          <w:p w:rsidR="00930754" w:rsidRPr="00930754" w:rsidRDefault="00930754" w:rsidP="0093075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930754">
              <w:rPr>
                <w:rFonts w:cs="Arial"/>
                <w:color w:val="000000"/>
                <w:sz w:val="22"/>
                <w:szCs w:val="22"/>
                <w:lang w:val="en-US" w:eastAsia="zh-CN"/>
              </w:rPr>
              <w:t>43</w:t>
            </w:r>
            <w:r w:rsidR="002B736C">
              <w:rPr>
                <w:rFonts w:cs="Arial"/>
                <w:color w:val="000000"/>
                <w:sz w:val="22"/>
                <w:szCs w:val="22"/>
                <w:lang w:val="en-US" w:eastAsia="zh-CN"/>
              </w:rPr>
              <w:t>,</w:t>
            </w:r>
            <w:r w:rsidRPr="00930754">
              <w:rPr>
                <w:rFonts w:cs="Arial"/>
                <w:color w:val="000000"/>
                <w:sz w:val="22"/>
                <w:szCs w:val="22"/>
                <w:lang w:val="en-US" w:eastAsia="zh-CN"/>
              </w:rPr>
              <w:t>019</w:t>
            </w:r>
          </w:p>
        </w:tc>
        <w:tc>
          <w:tcPr>
            <w:tcW w:w="1134" w:type="dxa"/>
            <w:tcBorders>
              <w:top w:val="nil"/>
              <w:left w:val="nil"/>
              <w:bottom w:val="single" w:sz="8" w:space="0" w:color="auto"/>
              <w:right w:val="single" w:sz="8" w:space="0" w:color="auto"/>
            </w:tcBorders>
            <w:shd w:val="clear" w:color="auto" w:fill="auto"/>
            <w:vAlign w:val="center"/>
            <w:hideMark/>
          </w:tcPr>
          <w:p w:rsidR="00930754" w:rsidRPr="00930754" w:rsidRDefault="00930754" w:rsidP="0093075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930754">
              <w:rPr>
                <w:rFonts w:cs="Arial"/>
                <w:color w:val="000000"/>
                <w:sz w:val="22"/>
                <w:szCs w:val="22"/>
                <w:lang w:val="en-US" w:eastAsia="zh-CN"/>
              </w:rPr>
              <w:t>43</w:t>
            </w:r>
            <w:r w:rsidR="002B736C">
              <w:rPr>
                <w:rFonts w:cs="Arial"/>
                <w:color w:val="000000"/>
                <w:sz w:val="22"/>
                <w:szCs w:val="22"/>
                <w:lang w:val="en-US" w:eastAsia="zh-CN"/>
              </w:rPr>
              <w:t>,</w:t>
            </w:r>
            <w:r w:rsidRPr="00930754">
              <w:rPr>
                <w:rFonts w:cs="Arial"/>
                <w:color w:val="000000"/>
                <w:sz w:val="22"/>
                <w:szCs w:val="22"/>
                <w:lang w:val="en-US" w:eastAsia="zh-CN"/>
              </w:rPr>
              <w:t>792</w:t>
            </w:r>
          </w:p>
        </w:tc>
      </w:tr>
      <w:tr w:rsidR="00930754" w:rsidRPr="00930754" w:rsidTr="00930754">
        <w:trPr>
          <w:trHeight w:val="315"/>
        </w:trPr>
        <w:tc>
          <w:tcPr>
            <w:tcW w:w="4810" w:type="dxa"/>
            <w:tcBorders>
              <w:top w:val="nil"/>
              <w:left w:val="single" w:sz="8" w:space="0" w:color="auto"/>
              <w:bottom w:val="single" w:sz="8" w:space="0" w:color="auto"/>
              <w:right w:val="single" w:sz="8" w:space="0" w:color="auto"/>
            </w:tcBorders>
            <w:shd w:val="clear" w:color="auto" w:fill="auto"/>
            <w:vAlign w:val="center"/>
            <w:hideMark/>
          </w:tcPr>
          <w:p w:rsidR="00930754" w:rsidRPr="00930754" w:rsidRDefault="00930754" w:rsidP="0093075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930754">
              <w:rPr>
                <w:rFonts w:cs="Arial"/>
                <w:color w:val="000000"/>
                <w:sz w:val="22"/>
                <w:szCs w:val="22"/>
                <w:lang w:val="en-US" w:eastAsia="zh-CN"/>
              </w:rPr>
              <w:t>Payables from exchange transactions</w:t>
            </w:r>
          </w:p>
        </w:tc>
        <w:tc>
          <w:tcPr>
            <w:tcW w:w="1417" w:type="dxa"/>
            <w:tcBorders>
              <w:top w:val="nil"/>
              <w:left w:val="nil"/>
              <w:bottom w:val="single" w:sz="8" w:space="0" w:color="auto"/>
              <w:right w:val="single" w:sz="8" w:space="0" w:color="auto"/>
            </w:tcBorders>
            <w:shd w:val="clear" w:color="auto" w:fill="auto"/>
            <w:vAlign w:val="center"/>
            <w:hideMark/>
          </w:tcPr>
          <w:p w:rsidR="00930754" w:rsidRPr="00930754" w:rsidRDefault="00930754" w:rsidP="0093075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930754">
              <w:rPr>
                <w:rFonts w:cs="Arial"/>
                <w:color w:val="000000"/>
                <w:sz w:val="22"/>
                <w:szCs w:val="22"/>
                <w:lang w:val="en-US" w:eastAsia="zh-CN"/>
              </w:rPr>
              <w:t>5</w:t>
            </w:r>
            <w:r w:rsidR="002B736C">
              <w:rPr>
                <w:rFonts w:cs="Arial"/>
                <w:color w:val="000000"/>
                <w:sz w:val="22"/>
                <w:szCs w:val="22"/>
                <w:lang w:val="en-US" w:eastAsia="zh-CN"/>
              </w:rPr>
              <w:t>,</w:t>
            </w:r>
            <w:r w:rsidRPr="00930754">
              <w:rPr>
                <w:rFonts w:cs="Arial"/>
                <w:color w:val="000000"/>
                <w:sz w:val="22"/>
                <w:szCs w:val="22"/>
                <w:lang w:val="en-US" w:eastAsia="zh-CN"/>
              </w:rPr>
              <w:t>103</w:t>
            </w:r>
          </w:p>
        </w:tc>
        <w:tc>
          <w:tcPr>
            <w:tcW w:w="1276" w:type="dxa"/>
            <w:tcBorders>
              <w:top w:val="nil"/>
              <w:left w:val="nil"/>
              <w:bottom w:val="single" w:sz="8" w:space="0" w:color="auto"/>
              <w:right w:val="single" w:sz="8" w:space="0" w:color="auto"/>
            </w:tcBorders>
            <w:shd w:val="clear" w:color="auto" w:fill="auto"/>
            <w:vAlign w:val="center"/>
            <w:hideMark/>
          </w:tcPr>
          <w:p w:rsidR="00930754" w:rsidRPr="00930754" w:rsidRDefault="00930754" w:rsidP="0093075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930754">
              <w:rPr>
                <w:rFonts w:cs="Arial"/>
                <w:color w:val="000000"/>
                <w:sz w:val="22"/>
                <w:szCs w:val="22"/>
                <w:lang w:val="en-US" w:eastAsia="zh-CN"/>
              </w:rPr>
              <w:t>5</w:t>
            </w:r>
            <w:r w:rsidR="002B736C">
              <w:rPr>
                <w:rFonts w:cs="Arial"/>
                <w:color w:val="000000"/>
                <w:sz w:val="22"/>
                <w:szCs w:val="22"/>
                <w:lang w:val="en-US" w:eastAsia="zh-CN"/>
              </w:rPr>
              <w:t>,</w:t>
            </w:r>
            <w:r w:rsidRPr="00930754">
              <w:rPr>
                <w:rFonts w:cs="Arial"/>
                <w:color w:val="000000"/>
                <w:sz w:val="22"/>
                <w:szCs w:val="22"/>
                <w:lang w:val="en-US" w:eastAsia="zh-CN"/>
              </w:rPr>
              <w:t>404</w:t>
            </w:r>
          </w:p>
        </w:tc>
        <w:tc>
          <w:tcPr>
            <w:tcW w:w="1276" w:type="dxa"/>
            <w:tcBorders>
              <w:top w:val="nil"/>
              <w:left w:val="nil"/>
              <w:bottom w:val="single" w:sz="8" w:space="0" w:color="auto"/>
              <w:right w:val="single" w:sz="8" w:space="0" w:color="auto"/>
            </w:tcBorders>
            <w:shd w:val="clear" w:color="auto" w:fill="auto"/>
            <w:vAlign w:val="center"/>
            <w:hideMark/>
          </w:tcPr>
          <w:p w:rsidR="00930754" w:rsidRPr="00930754" w:rsidRDefault="00930754" w:rsidP="0093075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930754">
              <w:rPr>
                <w:rFonts w:cs="Arial"/>
                <w:color w:val="000000"/>
                <w:sz w:val="22"/>
                <w:szCs w:val="22"/>
                <w:lang w:val="en-US" w:eastAsia="zh-CN"/>
              </w:rPr>
              <w:t>5</w:t>
            </w:r>
            <w:r w:rsidR="002B736C">
              <w:rPr>
                <w:rFonts w:cs="Arial"/>
                <w:color w:val="000000"/>
                <w:sz w:val="22"/>
                <w:szCs w:val="22"/>
                <w:lang w:val="en-US" w:eastAsia="zh-CN"/>
              </w:rPr>
              <w:t>,</w:t>
            </w:r>
            <w:r w:rsidRPr="00930754">
              <w:rPr>
                <w:rFonts w:cs="Arial"/>
                <w:color w:val="000000"/>
                <w:sz w:val="22"/>
                <w:szCs w:val="22"/>
                <w:lang w:val="en-US" w:eastAsia="zh-CN"/>
              </w:rPr>
              <w:t>103</w:t>
            </w:r>
          </w:p>
        </w:tc>
        <w:tc>
          <w:tcPr>
            <w:tcW w:w="1134" w:type="dxa"/>
            <w:tcBorders>
              <w:top w:val="nil"/>
              <w:left w:val="nil"/>
              <w:bottom w:val="single" w:sz="8" w:space="0" w:color="auto"/>
              <w:right w:val="single" w:sz="8" w:space="0" w:color="auto"/>
            </w:tcBorders>
            <w:shd w:val="clear" w:color="auto" w:fill="auto"/>
            <w:vAlign w:val="center"/>
            <w:hideMark/>
          </w:tcPr>
          <w:p w:rsidR="00930754" w:rsidRPr="00930754" w:rsidRDefault="00930754" w:rsidP="0093075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930754">
              <w:rPr>
                <w:rFonts w:cs="Arial"/>
                <w:color w:val="000000"/>
                <w:sz w:val="22"/>
                <w:szCs w:val="22"/>
                <w:lang w:val="en-US" w:eastAsia="zh-CN"/>
              </w:rPr>
              <w:t>5</w:t>
            </w:r>
            <w:r w:rsidR="002B736C">
              <w:rPr>
                <w:rFonts w:cs="Arial"/>
                <w:color w:val="000000"/>
                <w:sz w:val="22"/>
                <w:szCs w:val="22"/>
                <w:lang w:val="en-US" w:eastAsia="zh-CN"/>
              </w:rPr>
              <w:t>,</w:t>
            </w:r>
            <w:r w:rsidRPr="00930754">
              <w:rPr>
                <w:rFonts w:cs="Arial"/>
                <w:color w:val="000000"/>
                <w:sz w:val="22"/>
                <w:szCs w:val="22"/>
                <w:lang w:val="en-US" w:eastAsia="zh-CN"/>
              </w:rPr>
              <w:t>404</w:t>
            </w:r>
          </w:p>
        </w:tc>
      </w:tr>
    </w:tbl>
    <w:p w:rsidR="00930754" w:rsidRDefault="00930754" w:rsidP="002573DC">
      <w:pPr>
        <w:snapToGrid w:val="0"/>
        <w:spacing w:before="0"/>
        <w:jc w:val="both"/>
        <w:rPr>
          <w:lang w:val="en-US"/>
        </w:rPr>
      </w:pPr>
    </w:p>
    <w:p w:rsidR="002573DC" w:rsidRDefault="002573DC" w:rsidP="00224A06">
      <w:pPr>
        <w:snapToGrid w:val="0"/>
        <w:spacing w:before="0"/>
        <w:jc w:val="both"/>
        <w:rPr>
          <w:lang w:val="en-US"/>
        </w:rPr>
      </w:pPr>
    </w:p>
    <w:p w:rsidR="00325F0E" w:rsidRDefault="008A7383" w:rsidP="00224A06">
      <w:pPr>
        <w:snapToGrid w:val="0"/>
        <w:spacing w:before="0"/>
        <w:jc w:val="both"/>
        <w:rPr>
          <w:lang w:val="en-US"/>
        </w:rPr>
      </w:pPr>
      <w:r>
        <w:rPr>
          <w:lang w:val="en-US"/>
        </w:rPr>
        <w:t>The fair value of the financial asse</w:t>
      </w:r>
      <w:r w:rsidR="00074F8B">
        <w:rPr>
          <w:lang w:val="en-US"/>
        </w:rPr>
        <w:t>t</w:t>
      </w:r>
      <w:r>
        <w:rPr>
          <w:lang w:val="en-US"/>
        </w:rPr>
        <w:t>s and liabilities are included at the amount at which the instrument could be exchanged in a current transaction between willing parties, other than in a forced sale or liquidation.</w:t>
      </w:r>
    </w:p>
    <w:p w:rsidR="008A7383" w:rsidRDefault="008A7383" w:rsidP="005C41A5">
      <w:pPr>
        <w:jc w:val="both"/>
        <w:rPr>
          <w:lang w:val="en-US"/>
        </w:rPr>
      </w:pPr>
      <w:r>
        <w:rPr>
          <w:lang w:val="en-US"/>
        </w:rPr>
        <w:t>The following methods and assumptions were used to estimate the fair value:</w:t>
      </w:r>
    </w:p>
    <w:p w:rsidR="008A7383" w:rsidRDefault="008A7383" w:rsidP="005C41A5">
      <w:pPr>
        <w:tabs>
          <w:tab w:val="clear" w:pos="567"/>
          <w:tab w:val="left" w:pos="284"/>
        </w:tabs>
        <w:snapToGrid w:val="0"/>
        <w:ind w:left="284" w:hanging="284"/>
        <w:jc w:val="both"/>
        <w:rPr>
          <w:lang w:val="en-US"/>
        </w:rPr>
      </w:pPr>
      <w:r>
        <w:rPr>
          <w:lang w:val="en-US"/>
        </w:rPr>
        <w:t>-</w:t>
      </w:r>
      <w:r w:rsidR="00B95B4C">
        <w:rPr>
          <w:lang w:val="en-US"/>
        </w:rPr>
        <w:tab/>
      </w:r>
      <w:r>
        <w:rPr>
          <w:lang w:val="en-US"/>
        </w:rPr>
        <w:t>Cash and cash equivalents, short term deposits, receivable</w:t>
      </w:r>
      <w:r w:rsidR="003D0C8F">
        <w:rPr>
          <w:lang w:val="en-US"/>
        </w:rPr>
        <w:t>s</w:t>
      </w:r>
      <w:r>
        <w:rPr>
          <w:lang w:val="en-US"/>
        </w:rPr>
        <w:t xml:space="preserve"> from exchange transactions, other receivables, payables from exchange transactions</w:t>
      </w:r>
      <w:r w:rsidR="00074F8B">
        <w:rPr>
          <w:lang w:val="en-US"/>
        </w:rPr>
        <w:t xml:space="preserve">, and other </w:t>
      </w:r>
      <w:r>
        <w:rPr>
          <w:lang w:val="en-US"/>
        </w:rPr>
        <w:t xml:space="preserve">payables approximate their carrying amounts largely </w:t>
      </w:r>
      <w:r w:rsidR="00E06365">
        <w:rPr>
          <w:lang w:val="en-US"/>
        </w:rPr>
        <w:t>due to the short</w:t>
      </w:r>
      <w:r w:rsidR="003D0C8F">
        <w:rPr>
          <w:lang w:val="en-US"/>
        </w:rPr>
        <w:t>-</w:t>
      </w:r>
      <w:r w:rsidR="00E06365">
        <w:rPr>
          <w:lang w:val="en-US"/>
        </w:rPr>
        <w:t xml:space="preserve">term </w:t>
      </w:r>
      <w:r w:rsidR="00B95B4C">
        <w:rPr>
          <w:lang w:val="en-US"/>
        </w:rPr>
        <w:t>maturities of these investments;</w:t>
      </w:r>
    </w:p>
    <w:p w:rsidR="00E06365" w:rsidRDefault="00AB6FDF" w:rsidP="00224A06">
      <w:pPr>
        <w:tabs>
          <w:tab w:val="clear" w:pos="567"/>
          <w:tab w:val="left" w:pos="284"/>
        </w:tabs>
        <w:snapToGrid w:val="0"/>
        <w:jc w:val="both"/>
        <w:rPr>
          <w:lang w:val="en-US"/>
        </w:rPr>
      </w:pPr>
      <w:r>
        <w:rPr>
          <w:lang w:val="en-US"/>
        </w:rPr>
        <w:t>-</w:t>
      </w:r>
      <w:r w:rsidR="00B95B4C">
        <w:rPr>
          <w:lang w:val="en-US"/>
        </w:rPr>
        <w:tab/>
      </w:r>
      <w:r>
        <w:rPr>
          <w:lang w:val="en-US"/>
        </w:rPr>
        <w:t>Short</w:t>
      </w:r>
      <w:r w:rsidR="008E7BCC">
        <w:rPr>
          <w:lang w:val="en-US"/>
        </w:rPr>
        <w:t>-</w:t>
      </w:r>
      <w:r>
        <w:rPr>
          <w:lang w:val="en-US"/>
        </w:rPr>
        <w:t xml:space="preserve"> and long-term receivables ar</w:t>
      </w:r>
      <w:r w:rsidR="00B95B4C">
        <w:rPr>
          <w:lang w:val="en-US"/>
        </w:rPr>
        <w:t xml:space="preserve">e valued as disclosed in Note </w:t>
      </w:r>
      <w:r w:rsidR="006C5B22">
        <w:rPr>
          <w:lang w:val="en-US"/>
        </w:rPr>
        <w:t>2</w:t>
      </w:r>
      <w:r w:rsidR="00B95B4C">
        <w:rPr>
          <w:lang w:val="en-US"/>
        </w:rPr>
        <w:t>;</w:t>
      </w:r>
    </w:p>
    <w:p w:rsidR="00E06365" w:rsidRDefault="00E06365" w:rsidP="006C5B22">
      <w:pPr>
        <w:tabs>
          <w:tab w:val="clear" w:pos="567"/>
          <w:tab w:val="left" w:pos="284"/>
        </w:tabs>
        <w:jc w:val="both"/>
        <w:rPr>
          <w:lang w:val="en-US"/>
        </w:rPr>
      </w:pPr>
      <w:r>
        <w:rPr>
          <w:lang w:val="en-US"/>
        </w:rPr>
        <w:t>-</w:t>
      </w:r>
      <w:r w:rsidR="00B95B4C">
        <w:rPr>
          <w:lang w:val="en-US"/>
        </w:rPr>
        <w:tab/>
      </w:r>
      <w:r w:rsidR="00AB6FDF">
        <w:rPr>
          <w:lang w:val="en-US"/>
        </w:rPr>
        <w:t>Borrowing</w:t>
      </w:r>
      <w:r w:rsidR="00ED6261">
        <w:rPr>
          <w:lang w:val="en-US"/>
        </w:rPr>
        <w:t>s</w:t>
      </w:r>
      <w:r w:rsidR="00AB6FDF">
        <w:rPr>
          <w:lang w:val="en-US"/>
        </w:rPr>
        <w:t xml:space="preserve"> are valued as disclosed in </w:t>
      </w:r>
      <w:r w:rsidR="00B95B4C">
        <w:rPr>
          <w:lang w:val="en-US"/>
        </w:rPr>
        <w:t>N</w:t>
      </w:r>
      <w:r w:rsidR="00AB6FDF">
        <w:rPr>
          <w:lang w:val="en-US"/>
        </w:rPr>
        <w:t xml:space="preserve">ote </w:t>
      </w:r>
      <w:r w:rsidR="006C5B22">
        <w:rPr>
          <w:lang w:val="en-US"/>
        </w:rPr>
        <w:t>2</w:t>
      </w:r>
      <w:r w:rsidR="00AB6FDF">
        <w:rPr>
          <w:lang w:val="en-US"/>
        </w:rPr>
        <w:t>.</w:t>
      </w:r>
    </w:p>
    <w:p w:rsidR="00181704" w:rsidRDefault="00007623" w:rsidP="005C41A5">
      <w:pPr>
        <w:snapToGrid w:val="0"/>
        <w:spacing w:after="120"/>
        <w:jc w:val="both"/>
        <w:rPr>
          <w:b/>
          <w:bCs/>
          <w:lang w:val="en-US"/>
        </w:rPr>
      </w:pPr>
      <w:r w:rsidRPr="00ED6261">
        <w:rPr>
          <w:b/>
          <w:bCs/>
          <w:lang w:val="en-US"/>
        </w:rPr>
        <w:t>Fair value hierarchy</w:t>
      </w:r>
    </w:p>
    <w:p w:rsidR="00007623" w:rsidRDefault="00007623" w:rsidP="005C41A5">
      <w:pPr>
        <w:spacing w:after="120"/>
        <w:jc w:val="both"/>
        <w:rPr>
          <w:lang w:val="en-US"/>
        </w:rPr>
      </w:pPr>
      <w:r>
        <w:rPr>
          <w:lang w:val="en-US"/>
        </w:rPr>
        <w:t>ITU uses the following hierarchy for determining and disclosing the fair value of financial instruments by valuation technique:</w:t>
      </w:r>
    </w:p>
    <w:p w:rsidR="00007623" w:rsidRDefault="00EC7882" w:rsidP="005C41A5">
      <w:pPr>
        <w:spacing w:after="120"/>
        <w:jc w:val="both"/>
        <w:rPr>
          <w:lang w:val="en-US"/>
        </w:rPr>
      </w:pPr>
      <w:r>
        <w:rPr>
          <w:lang w:val="en-US"/>
        </w:rPr>
        <w:t>Level 1: Q</w:t>
      </w:r>
      <w:r w:rsidR="00007623">
        <w:rPr>
          <w:lang w:val="en-US"/>
        </w:rPr>
        <w:t>uoted prices in active markets for identical assets and liabilities</w:t>
      </w:r>
      <w:r w:rsidR="003D0C8F">
        <w:rPr>
          <w:lang w:val="en-US"/>
        </w:rPr>
        <w:t>;</w:t>
      </w:r>
    </w:p>
    <w:p w:rsidR="00007623" w:rsidRDefault="00EC7882" w:rsidP="005C41A5">
      <w:pPr>
        <w:spacing w:after="120"/>
        <w:jc w:val="both"/>
        <w:rPr>
          <w:lang w:val="en-US"/>
        </w:rPr>
      </w:pPr>
      <w:r>
        <w:rPr>
          <w:lang w:val="en-US"/>
        </w:rPr>
        <w:t>Level 2: I</w:t>
      </w:r>
      <w:r w:rsidR="00007623">
        <w:rPr>
          <w:lang w:val="en-US"/>
        </w:rPr>
        <w:t xml:space="preserve">nputs other than quoted prices included within Level 1 that are observable for the </w:t>
      </w:r>
      <w:r>
        <w:rPr>
          <w:lang w:val="en-US"/>
        </w:rPr>
        <w:t>asset or liability, either directly or indirectly</w:t>
      </w:r>
      <w:r w:rsidR="003D0C8F">
        <w:rPr>
          <w:lang w:val="en-US"/>
        </w:rPr>
        <w:t>;</w:t>
      </w:r>
    </w:p>
    <w:p w:rsidR="00EC7882" w:rsidRDefault="00EC7882" w:rsidP="005C41A5">
      <w:pPr>
        <w:spacing w:after="120"/>
        <w:jc w:val="both"/>
        <w:rPr>
          <w:lang w:val="en-US"/>
        </w:rPr>
      </w:pPr>
      <w:r>
        <w:rPr>
          <w:lang w:val="en-US"/>
        </w:rPr>
        <w:t>Level 3: Techniques</w:t>
      </w:r>
      <w:r w:rsidR="008F7AA6">
        <w:rPr>
          <w:lang w:val="en-US"/>
        </w:rPr>
        <w:t>,</w:t>
      </w:r>
      <w:r>
        <w:rPr>
          <w:lang w:val="en-US"/>
        </w:rPr>
        <w:t xml:space="preserve"> which use input</w:t>
      </w:r>
      <w:r w:rsidR="008F7AA6">
        <w:rPr>
          <w:lang w:val="en-US"/>
        </w:rPr>
        <w:t xml:space="preserve">s </w:t>
      </w:r>
      <w:r>
        <w:rPr>
          <w:lang w:val="en-US"/>
        </w:rPr>
        <w:t>that have a significant effect on the recorded fair value</w:t>
      </w:r>
      <w:r w:rsidR="008F7AA6">
        <w:rPr>
          <w:lang w:val="en-US"/>
        </w:rPr>
        <w:t>,</w:t>
      </w:r>
      <w:r>
        <w:rPr>
          <w:lang w:val="en-US"/>
        </w:rPr>
        <w:t xml:space="preserve"> that are not based on observable market data.</w:t>
      </w:r>
    </w:p>
    <w:p w:rsidR="00ED6261" w:rsidRPr="00A17696" w:rsidRDefault="00EC7882" w:rsidP="00753BD2">
      <w:pPr>
        <w:jc w:val="both"/>
        <w:rPr>
          <w:lang w:val="en-US"/>
        </w:rPr>
      </w:pPr>
      <w:r>
        <w:rPr>
          <w:lang w:val="en-US"/>
        </w:rPr>
        <w:t xml:space="preserve">At 31 </w:t>
      </w:r>
      <w:r w:rsidRPr="00A17696">
        <w:rPr>
          <w:lang w:val="en-US"/>
        </w:rPr>
        <w:t xml:space="preserve">December </w:t>
      </w:r>
      <w:r w:rsidR="00111BDD">
        <w:rPr>
          <w:lang w:val="en-US"/>
        </w:rPr>
        <w:t>201</w:t>
      </w:r>
      <w:r w:rsidR="00753BD2">
        <w:rPr>
          <w:lang w:val="en-US"/>
        </w:rPr>
        <w:t>7</w:t>
      </w:r>
      <w:r w:rsidRPr="00A17696">
        <w:rPr>
          <w:lang w:val="en-US"/>
        </w:rPr>
        <w:t xml:space="preserve">, </w:t>
      </w:r>
      <w:r w:rsidR="00ED6261" w:rsidRPr="00A17696">
        <w:rPr>
          <w:lang w:val="en-US"/>
        </w:rPr>
        <w:t>all investments are bank deposits and short-term bank investments and valued at their fair value in the Statement of Financial Situation.</w:t>
      </w:r>
    </w:p>
    <w:p w:rsidR="0022373A" w:rsidRPr="001C2A98" w:rsidRDefault="0022373A" w:rsidP="005C41A5">
      <w:pPr>
        <w:pStyle w:val="enumlev1"/>
        <w:jc w:val="both"/>
        <w:rPr>
          <w:lang w:val="en-US"/>
        </w:rPr>
      </w:pPr>
      <w:r w:rsidRPr="00A17696">
        <w:rPr>
          <w:lang w:val="en-US"/>
        </w:rPr>
        <w:t>a)</w:t>
      </w:r>
      <w:r w:rsidRPr="00A17696">
        <w:rPr>
          <w:lang w:val="en-US"/>
        </w:rPr>
        <w:tab/>
        <w:t>Credit risk</w:t>
      </w:r>
    </w:p>
    <w:p w:rsidR="003A694A" w:rsidRDefault="0022373A" w:rsidP="00ED0279">
      <w:pPr>
        <w:pStyle w:val="enumlev1"/>
        <w:jc w:val="both"/>
        <w:rPr>
          <w:lang w:val="en-US"/>
        </w:rPr>
      </w:pPr>
      <w:r w:rsidRPr="001C2A98">
        <w:rPr>
          <w:lang w:val="en-US"/>
        </w:rPr>
        <w:tab/>
      </w:r>
      <w:r w:rsidR="00451448">
        <w:rPr>
          <w:lang w:val="en-US"/>
        </w:rPr>
        <w:t xml:space="preserve">Credit risk is the risk of financial loss to ITU if customers or counterparties to financial </w:t>
      </w:r>
      <w:r w:rsidR="00451448" w:rsidRPr="00F830AE">
        <w:rPr>
          <w:lang w:val="en-US"/>
        </w:rPr>
        <w:t>instruments fail to meet their contractual obligations, and arises principally from investments, receivables</w:t>
      </w:r>
      <w:r w:rsidR="00451448">
        <w:rPr>
          <w:lang w:val="en-US"/>
        </w:rPr>
        <w:t xml:space="preserve"> and cash and cash equivalents. The carrying amount of financial assets represents the maximum credit exposure. The maximum exposure to credit risk as at 31 December was:</w:t>
      </w:r>
    </w:p>
    <w:p w:rsidR="00451448" w:rsidRDefault="00451448" w:rsidP="007072D0">
      <w:pPr>
        <w:pStyle w:val="enumlev1"/>
        <w:rPr>
          <w:lang w:val="en-US"/>
        </w:rPr>
      </w:pPr>
    </w:p>
    <w:tbl>
      <w:tblPr>
        <w:tblStyle w:val="TableGrid"/>
        <w:tblW w:w="0" w:type="auto"/>
        <w:tblInd w:w="1555" w:type="dxa"/>
        <w:tblLook w:val="04A0" w:firstRow="1" w:lastRow="0" w:firstColumn="1" w:lastColumn="0" w:noHBand="0" w:noVBand="1"/>
      </w:tblPr>
      <w:tblGrid>
        <w:gridCol w:w="3369"/>
        <w:gridCol w:w="1984"/>
        <w:gridCol w:w="1559"/>
      </w:tblGrid>
      <w:tr w:rsidR="00451448" w:rsidTr="00F76CFD">
        <w:tc>
          <w:tcPr>
            <w:tcW w:w="3369" w:type="dxa"/>
          </w:tcPr>
          <w:p w:rsidR="00451448" w:rsidRPr="0070318B" w:rsidRDefault="008F7AA6" w:rsidP="007072D0">
            <w:pPr>
              <w:pStyle w:val="enumlev1"/>
              <w:ind w:left="0" w:firstLine="0"/>
              <w:rPr>
                <w:b/>
                <w:bCs/>
                <w:sz w:val="20"/>
                <w:szCs w:val="20"/>
                <w:lang w:val="en-US"/>
              </w:rPr>
            </w:pPr>
            <w:r w:rsidRPr="0070318B">
              <w:rPr>
                <w:b/>
                <w:bCs/>
                <w:sz w:val="20"/>
                <w:szCs w:val="20"/>
                <w:lang w:val="en-US"/>
              </w:rPr>
              <w:t>In thousands of CHF</w:t>
            </w:r>
          </w:p>
        </w:tc>
        <w:tc>
          <w:tcPr>
            <w:tcW w:w="1984" w:type="dxa"/>
            <w:vAlign w:val="center"/>
          </w:tcPr>
          <w:p w:rsidR="00451448" w:rsidRPr="0070318B" w:rsidRDefault="00451448" w:rsidP="00AB0BA6">
            <w:pPr>
              <w:tabs>
                <w:tab w:val="clear" w:pos="567"/>
                <w:tab w:val="clear" w:pos="1134"/>
                <w:tab w:val="clear" w:pos="1701"/>
                <w:tab w:val="clear" w:pos="2268"/>
                <w:tab w:val="clear" w:pos="2835"/>
              </w:tabs>
              <w:overflowPunct/>
              <w:spacing w:before="40" w:after="40"/>
              <w:jc w:val="right"/>
              <w:textAlignment w:val="auto"/>
              <w:rPr>
                <w:rFonts w:cs="Calibri"/>
                <w:b/>
                <w:bCs/>
                <w:color w:val="000000"/>
                <w:sz w:val="20"/>
                <w:szCs w:val="20"/>
                <w:lang w:val="en-US" w:eastAsia="zh-CN"/>
              </w:rPr>
            </w:pPr>
            <w:r w:rsidRPr="0070318B">
              <w:rPr>
                <w:rFonts w:cs="Calibri"/>
                <w:b/>
                <w:bCs/>
                <w:color w:val="000000"/>
                <w:sz w:val="20"/>
                <w:szCs w:val="20"/>
                <w:lang w:val="en-US" w:eastAsia="zh-CN"/>
              </w:rPr>
              <w:t>31.12.</w:t>
            </w:r>
            <w:r w:rsidR="00111BDD" w:rsidRPr="0070318B">
              <w:rPr>
                <w:rFonts w:cs="Calibri"/>
                <w:b/>
                <w:bCs/>
                <w:color w:val="000000"/>
                <w:sz w:val="20"/>
                <w:szCs w:val="20"/>
                <w:lang w:val="en-US" w:eastAsia="zh-CN"/>
              </w:rPr>
              <w:t>201</w:t>
            </w:r>
            <w:r w:rsidR="00AB0BA6">
              <w:rPr>
                <w:rFonts w:cs="Calibri"/>
                <w:b/>
                <w:bCs/>
                <w:color w:val="000000"/>
                <w:sz w:val="20"/>
                <w:szCs w:val="20"/>
                <w:lang w:val="en-US" w:eastAsia="zh-CN"/>
              </w:rPr>
              <w:t>7</w:t>
            </w:r>
          </w:p>
        </w:tc>
        <w:tc>
          <w:tcPr>
            <w:tcW w:w="1559" w:type="dxa"/>
            <w:vAlign w:val="center"/>
          </w:tcPr>
          <w:p w:rsidR="00451448" w:rsidRPr="0070318B" w:rsidRDefault="00451448" w:rsidP="00AB0BA6">
            <w:pPr>
              <w:tabs>
                <w:tab w:val="clear" w:pos="567"/>
                <w:tab w:val="clear" w:pos="1134"/>
                <w:tab w:val="clear" w:pos="1701"/>
                <w:tab w:val="clear" w:pos="2268"/>
                <w:tab w:val="clear" w:pos="2835"/>
              </w:tabs>
              <w:overflowPunct/>
              <w:spacing w:before="40" w:after="40"/>
              <w:jc w:val="right"/>
              <w:textAlignment w:val="auto"/>
              <w:rPr>
                <w:rFonts w:cs="Calibri"/>
                <w:b/>
                <w:bCs/>
                <w:color w:val="000000"/>
                <w:sz w:val="20"/>
                <w:szCs w:val="20"/>
                <w:lang w:val="en-US" w:eastAsia="zh-CN"/>
              </w:rPr>
            </w:pPr>
            <w:r w:rsidRPr="0070318B">
              <w:rPr>
                <w:rFonts w:cs="Calibri"/>
                <w:b/>
                <w:bCs/>
                <w:color w:val="000000"/>
                <w:sz w:val="20"/>
                <w:szCs w:val="20"/>
                <w:lang w:val="en-US" w:eastAsia="zh-CN"/>
              </w:rPr>
              <w:t>31.12.201</w:t>
            </w:r>
            <w:r w:rsidR="00AB0BA6">
              <w:rPr>
                <w:rFonts w:cs="Calibri"/>
                <w:b/>
                <w:bCs/>
                <w:color w:val="000000"/>
                <w:sz w:val="20"/>
                <w:szCs w:val="20"/>
                <w:lang w:val="en-US" w:eastAsia="zh-CN"/>
              </w:rPr>
              <w:t>6</w:t>
            </w:r>
          </w:p>
        </w:tc>
      </w:tr>
      <w:tr w:rsidR="00AB0BA6" w:rsidRPr="00DD56B0" w:rsidTr="00F76CFD">
        <w:tc>
          <w:tcPr>
            <w:tcW w:w="3369" w:type="dxa"/>
          </w:tcPr>
          <w:p w:rsidR="00AB0BA6" w:rsidRPr="0070318B" w:rsidRDefault="00AB0BA6" w:rsidP="00AB0BA6">
            <w:pPr>
              <w:pStyle w:val="enumlev1"/>
              <w:ind w:left="0" w:firstLine="0"/>
              <w:rPr>
                <w:sz w:val="20"/>
                <w:szCs w:val="20"/>
                <w:lang w:val="en-US"/>
              </w:rPr>
            </w:pPr>
            <w:r w:rsidRPr="0070318B">
              <w:rPr>
                <w:sz w:val="20"/>
                <w:szCs w:val="20"/>
                <w:lang w:val="en-US"/>
              </w:rPr>
              <w:t>Investments</w:t>
            </w:r>
          </w:p>
        </w:tc>
        <w:tc>
          <w:tcPr>
            <w:tcW w:w="1984" w:type="dxa"/>
          </w:tcPr>
          <w:p w:rsidR="00AB0BA6" w:rsidRPr="0070318B" w:rsidRDefault="00AB0BA6" w:rsidP="00AB0BA6">
            <w:pPr>
              <w:pStyle w:val="enumlev1"/>
              <w:ind w:left="0" w:firstLine="0"/>
              <w:jc w:val="right"/>
              <w:rPr>
                <w:sz w:val="20"/>
                <w:szCs w:val="20"/>
                <w:lang w:val="en-US"/>
              </w:rPr>
            </w:pPr>
            <w:r>
              <w:rPr>
                <w:sz w:val="20"/>
                <w:szCs w:val="20"/>
                <w:lang w:val="en-US"/>
              </w:rPr>
              <w:t>31</w:t>
            </w:r>
            <w:r w:rsidRPr="0070318B">
              <w:rPr>
                <w:sz w:val="20"/>
                <w:szCs w:val="20"/>
                <w:lang w:val="en-US"/>
              </w:rPr>
              <w:t>’</w:t>
            </w:r>
            <w:r>
              <w:rPr>
                <w:sz w:val="20"/>
                <w:szCs w:val="20"/>
                <w:lang w:val="en-US"/>
              </w:rPr>
              <w:t>363</w:t>
            </w:r>
          </w:p>
        </w:tc>
        <w:tc>
          <w:tcPr>
            <w:tcW w:w="1559" w:type="dxa"/>
          </w:tcPr>
          <w:p w:rsidR="00AB0BA6" w:rsidRPr="0070318B" w:rsidRDefault="00AB0BA6" w:rsidP="00AB0BA6">
            <w:pPr>
              <w:pStyle w:val="enumlev1"/>
              <w:ind w:left="0" w:firstLine="0"/>
              <w:jc w:val="right"/>
              <w:rPr>
                <w:sz w:val="20"/>
                <w:szCs w:val="20"/>
                <w:lang w:val="en-US"/>
              </w:rPr>
            </w:pPr>
            <w:r>
              <w:rPr>
                <w:sz w:val="20"/>
                <w:szCs w:val="20"/>
                <w:lang w:val="en-US"/>
              </w:rPr>
              <w:t>64</w:t>
            </w:r>
            <w:r w:rsidRPr="0070318B">
              <w:rPr>
                <w:sz w:val="20"/>
                <w:szCs w:val="20"/>
                <w:lang w:val="en-US"/>
              </w:rPr>
              <w:t>’</w:t>
            </w:r>
            <w:r>
              <w:rPr>
                <w:sz w:val="20"/>
                <w:szCs w:val="20"/>
                <w:lang w:val="en-US"/>
              </w:rPr>
              <w:t>980</w:t>
            </w:r>
          </w:p>
        </w:tc>
      </w:tr>
      <w:tr w:rsidR="00AB0BA6" w:rsidRPr="00DD56B0" w:rsidTr="00F76CFD">
        <w:tc>
          <w:tcPr>
            <w:tcW w:w="3369" w:type="dxa"/>
          </w:tcPr>
          <w:p w:rsidR="00AB0BA6" w:rsidRPr="0070318B" w:rsidRDefault="00AB0BA6" w:rsidP="00AB0BA6">
            <w:pPr>
              <w:pStyle w:val="enumlev1"/>
              <w:ind w:left="0" w:firstLine="0"/>
              <w:rPr>
                <w:sz w:val="20"/>
                <w:szCs w:val="20"/>
                <w:lang w:val="en-US"/>
              </w:rPr>
            </w:pPr>
            <w:r w:rsidRPr="0070318B">
              <w:rPr>
                <w:sz w:val="20"/>
                <w:szCs w:val="20"/>
                <w:lang w:val="en-US"/>
              </w:rPr>
              <w:t>Receivables</w:t>
            </w:r>
          </w:p>
        </w:tc>
        <w:tc>
          <w:tcPr>
            <w:tcW w:w="1984" w:type="dxa"/>
          </w:tcPr>
          <w:p w:rsidR="00AB0BA6" w:rsidRPr="0070318B" w:rsidRDefault="007E0B11" w:rsidP="00AB0BA6">
            <w:pPr>
              <w:pStyle w:val="enumlev1"/>
              <w:ind w:left="0" w:firstLine="0"/>
              <w:jc w:val="right"/>
              <w:rPr>
                <w:sz w:val="20"/>
                <w:szCs w:val="20"/>
                <w:lang w:val="en-US"/>
              </w:rPr>
            </w:pPr>
            <w:r>
              <w:rPr>
                <w:sz w:val="20"/>
                <w:szCs w:val="20"/>
                <w:lang w:val="en-US"/>
              </w:rPr>
              <w:t>104’575</w:t>
            </w:r>
          </w:p>
        </w:tc>
        <w:tc>
          <w:tcPr>
            <w:tcW w:w="1559" w:type="dxa"/>
          </w:tcPr>
          <w:p w:rsidR="00AB0BA6" w:rsidRPr="0070318B" w:rsidRDefault="00AB0BA6" w:rsidP="00AB0BA6">
            <w:pPr>
              <w:pStyle w:val="enumlev1"/>
              <w:ind w:left="0" w:firstLine="0"/>
              <w:jc w:val="right"/>
              <w:rPr>
                <w:sz w:val="20"/>
                <w:szCs w:val="20"/>
                <w:lang w:val="en-US"/>
              </w:rPr>
            </w:pPr>
            <w:r w:rsidRPr="006C5B22">
              <w:rPr>
                <w:sz w:val="20"/>
                <w:szCs w:val="20"/>
                <w:lang w:val="en-US"/>
              </w:rPr>
              <w:t>94’950</w:t>
            </w:r>
          </w:p>
        </w:tc>
      </w:tr>
      <w:tr w:rsidR="00AB0BA6" w:rsidRPr="00DD56B0" w:rsidTr="00F76CFD">
        <w:tc>
          <w:tcPr>
            <w:tcW w:w="3369" w:type="dxa"/>
          </w:tcPr>
          <w:p w:rsidR="00AB0BA6" w:rsidRPr="0070318B" w:rsidRDefault="00AB0BA6" w:rsidP="00AB0BA6">
            <w:pPr>
              <w:pStyle w:val="enumlev1"/>
              <w:ind w:left="0" w:firstLine="0"/>
              <w:rPr>
                <w:sz w:val="20"/>
                <w:szCs w:val="20"/>
                <w:lang w:val="en-US"/>
              </w:rPr>
            </w:pPr>
            <w:r w:rsidRPr="0070318B">
              <w:rPr>
                <w:sz w:val="20"/>
                <w:szCs w:val="20"/>
                <w:lang w:val="en-US"/>
              </w:rPr>
              <w:t>Cash and cash equivalents</w:t>
            </w:r>
          </w:p>
        </w:tc>
        <w:tc>
          <w:tcPr>
            <w:tcW w:w="1984" w:type="dxa"/>
          </w:tcPr>
          <w:p w:rsidR="00AB0BA6" w:rsidRPr="0070318B" w:rsidRDefault="00AB0BA6" w:rsidP="00AB0BA6">
            <w:pPr>
              <w:pStyle w:val="enumlev1"/>
              <w:ind w:left="0" w:firstLine="0"/>
              <w:jc w:val="right"/>
              <w:rPr>
                <w:sz w:val="20"/>
                <w:szCs w:val="20"/>
                <w:lang w:val="en-US"/>
              </w:rPr>
            </w:pPr>
            <w:r>
              <w:rPr>
                <w:sz w:val="20"/>
                <w:szCs w:val="20"/>
                <w:lang w:val="en-US"/>
              </w:rPr>
              <w:t>135</w:t>
            </w:r>
            <w:r w:rsidRPr="0070318B">
              <w:rPr>
                <w:sz w:val="20"/>
                <w:szCs w:val="20"/>
                <w:lang w:val="en-US"/>
              </w:rPr>
              <w:t>’</w:t>
            </w:r>
            <w:r>
              <w:rPr>
                <w:sz w:val="20"/>
                <w:szCs w:val="20"/>
                <w:lang w:val="en-US"/>
              </w:rPr>
              <w:t>297</w:t>
            </w:r>
          </w:p>
        </w:tc>
        <w:tc>
          <w:tcPr>
            <w:tcW w:w="1559" w:type="dxa"/>
          </w:tcPr>
          <w:p w:rsidR="00AB0BA6" w:rsidRPr="0070318B" w:rsidRDefault="00AB0BA6" w:rsidP="00AB0BA6">
            <w:pPr>
              <w:pStyle w:val="enumlev1"/>
              <w:ind w:left="0" w:firstLine="0"/>
              <w:jc w:val="right"/>
              <w:rPr>
                <w:sz w:val="20"/>
                <w:szCs w:val="20"/>
                <w:lang w:val="en-US"/>
              </w:rPr>
            </w:pPr>
            <w:r>
              <w:rPr>
                <w:sz w:val="20"/>
                <w:szCs w:val="20"/>
                <w:lang w:val="en-US"/>
              </w:rPr>
              <w:t>108</w:t>
            </w:r>
            <w:r w:rsidRPr="0070318B">
              <w:rPr>
                <w:sz w:val="20"/>
                <w:szCs w:val="20"/>
                <w:lang w:val="en-US"/>
              </w:rPr>
              <w:t>’</w:t>
            </w:r>
            <w:r>
              <w:rPr>
                <w:sz w:val="20"/>
                <w:szCs w:val="20"/>
                <w:lang w:val="en-US"/>
              </w:rPr>
              <w:t>435</w:t>
            </w:r>
          </w:p>
        </w:tc>
      </w:tr>
      <w:tr w:rsidR="00AB0BA6" w:rsidTr="00F76CFD">
        <w:tc>
          <w:tcPr>
            <w:tcW w:w="3369" w:type="dxa"/>
          </w:tcPr>
          <w:p w:rsidR="00AB0BA6" w:rsidRPr="0070318B" w:rsidRDefault="00AB0BA6" w:rsidP="00AB0BA6">
            <w:pPr>
              <w:pStyle w:val="enumlev1"/>
              <w:ind w:left="0" w:firstLine="0"/>
              <w:rPr>
                <w:sz w:val="20"/>
                <w:szCs w:val="20"/>
                <w:lang w:val="en-US"/>
              </w:rPr>
            </w:pPr>
            <w:r w:rsidRPr="0070318B">
              <w:rPr>
                <w:sz w:val="20"/>
                <w:szCs w:val="20"/>
                <w:lang w:val="en-US"/>
              </w:rPr>
              <w:t>Maximum exposure to credit risk</w:t>
            </w:r>
          </w:p>
        </w:tc>
        <w:tc>
          <w:tcPr>
            <w:tcW w:w="1984" w:type="dxa"/>
          </w:tcPr>
          <w:p w:rsidR="00AB0BA6" w:rsidRPr="0070318B" w:rsidRDefault="00AB0BA6" w:rsidP="007E0B11">
            <w:pPr>
              <w:pStyle w:val="enumlev1"/>
              <w:ind w:left="0" w:firstLine="0"/>
              <w:jc w:val="right"/>
              <w:rPr>
                <w:sz w:val="20"/>
                <w:szCs w:val="20"/>
                <w:lang w:val="en-US"/>
              </w:rPr>
            </w:pPr>
            <w:r w:rsidRPr="0070318B">
              <w:rPr>
                <w:sz w:val="20"/>
                <w:szCs w:val="20"/>
                <w:lang w:val="en-US"/>
              </w:rPr>
              <w:t>2</w:t>
            </w:r>
            <w:r w:rsidR="007E0B11">
              <w:rPr>
                <w:sz w:val="20"/>
                <w:szCs w:val="20"/>
                <w:lang w:val="en-US"/>
              </w:rPr>
              <w:t>71</w:t>
            </w:r>
            <w:r w:rsidRPr="0070318B">
              <w:rPr>
                <w:sz w:val="20"/>
                <w:szCs w:val="20"/>
                <w:lang w:val="en-US"/>
              </w:rPr>
              <w:t>’</w:t>
            </w:r>
            <w:r w:rsidR="007E0B11">
              <w:rPr>
                <w:sz w:val="20"/>
                <w:szCs w:val="20"/>
                <w:lang w:val="en-US"/>
              </w:rPr>
              <w:t>235</w:t>
            </w:r>
          </w:p>
        </w:tc>
        <w:tc>
          <w:tcPr>
            <w:tcW w:w="1559" w:type="dxa"/>
          </w:tcPr>
          <w:p w:rsidR="00AB0BA6" w:rsidRPr="0070318B" w:rsidRDefault="00AB0BA6" w:rsidP="00AB0BA6">
            <w:pPr>
              <w:pStyle w:val="enumlev1"/>
              <w:ind w:left="0" w:firstLine="0"/>
              <w:jc w:val="right"/>
              <w:rPr>
                <w:sz w:val="20"/>
                <w:szCs w:val="20"/>
                <w:lang w:val="en-US"/>
              </w:rPr>
            </w:pPr>
            <w:r w:rsidRPr="0070318B">
              <w:rPr>
                <w:sz w:val="20"/>
                <w:szCs w:val="20"/>
                <w:lang w:val="en-US"/>
              </w:rPr>
              <w:t>258’144</w:t>
            </w:r>
          </w:p>
        </w:tc>
      </w:tr>
    </w:tbl>
    <w:p w:rsidR="00451448" w:rsidRDefault="00451448" w:rsidP="007072D0">
      <w:pPr>
        <w:pStyle w:val="enumlev1"/>
        <w:rPr>
          <w:lang w:val="en-US"/>
        </w:rPr>
      </w:pPr>
    </w:p>
    <w:p w:rsidR="00451448" w:rsidRDefault="00524570" w:rsidP="005C41A5">
      <w:pPr>
        <w:pStyle w:val="enumlev1"/>
        <w:jc w:val="both"/>
        <w:rPr>
          <w:lang w:val="en-US"/>
        </w:rPr>
      </w:pPr>
      <w:r>
        <w:rPr>
          <w:lang w:val="en-US"/>
        </w:rPr>
        <w:t>b)</w:t>
      </w:r>
      <w:r w:rsidR="0022373A" w:rsidRPr="001C2A98">
        <w:rPr>
          <w:lang w:val="en-US"/>
        </w:rPr>
        <w:tab/>
      </w:r>
      <w:r w:rsidR="00451448">
        <w:rPr>
          <w:lang w:val="en-US"/>
        </w:rPr>
        <w:t>Credit quality</w:t>
      </w:r>
    </w:p>
    <w:p w:rsidR="00524570" w:rsidRDefault="008F7AA6" w:rsidP="005C41A5">
      <w:pPr>
        <w:pStyle w:val="enumlev1"/>
        <w:jc w:val="both"/>
        <w:rPr>
          <w:lang w:val="en-US"/>
        </w:rPr>
      </w:pPr>
      <w:r>
        <w:rPr>
          <w:lang w:val="en-US"/>
        </w:rPr>
        <w:tab/>
        <w:t>Credit</w:t>
      </w:r>
      <w:r w:rsidR="00451448">
        <w:rPr>
          <w:lang w:val="en-US"/>
        </w:rPr>
        <w:t xml:space="preserve"> quality is </w:t>
      </w:r>
      <w:r w:rsidR="00445819">
        <w:rPr>
          <w:lang w:val="en-US"/>
        </w:rPr>
        <w:t xml:space="preserve">the </w:t>
      </w:r>
      <w:r w:rsidR="00451448">
        <w:rPr>
          <w:lang w:val="en-US"/>
        </w:rPr>
        <w:t xml:space="preserve">assessed risk of default attached to counterparties to which ITU extend credit as well as </w:t>
      </w:r>
      <w:r w:rsidR="00445819">
        <w:rPr>
          <w:lang w:val="en-US"/>
        </w:rPr>
        <w:t>those</w:t>
      </w:r>
      <w:r w:rsidR="00451448">
        <w:rPr>
          <w:lang w:val="en-US"/>
        </w:rPr>
        <w:t xml:space="preserve"> parties with whom ITU invests</w:t>
      </w:r>
      <w:r w:rsidR="00830CA5">
        <w:rPr>
          <w:lang w:val="en-US"/>
        </w:rPr>
        <w:t>.</w:t>
      </w:r>
    </w:p>
    <w:p w:rsidR="00445819" w:rsidRDefault="00445819" w:rsidP="005C41A5">
      <w:pPr>
        <w:pStyle w:val="enumlev1"/>
        <w:jc w:val="both"/>
        <w:rPr>
          <w:lang w:val="en-US"/>
        </w:rPr>
      </w:pPr>
      <w:r>
        <w:rPr>
          <w:lang w:val="en-US"/>
        </w:rPr>
        <w:tab/>
      </w:r>
      <w:r w:rsidRPr="001C2A98">
        <w:rPr>
          <w:lang w:val="en-US"/>
        </w:rPr>
        <w:t>Measures such as the sending of quarterly statements</w:t>
      </w:r>
      <w:r>
        <w:rPr>
          <w:lang w:val="en-US"/>
        </w:rPr>
        <w:t xml:space="preserve"> and</w:t>
      </w:r>
      <w:r w:rsidRPr="001C2A98">
        <w:rPr>
          <w:lang w:val="en-US"/>
        </w:rPr>
        <w:t xml:space="preserve"> suspension of participation in the work of ITU have been introduced to ensure that Member States, Sector Members and Associates settle their arrears. </w:t>
      </w:r>
      <w:r>
        <w:rPr>
          <w:lang w:val="en-US"/>
        </w:rPr>
        <w:t>Furthermore, the loss of voting right has been introduced for Member States to encourage a timely settling of their arrears.</w:t>
      </w:r>
    </w:p>
    <w:p w:rsidR="00A219E0" w:rsidRDefault="00445819" w:rsidP="009D3F2E">
      <w:pPr>
        <w:pStyle w:val="enumlev1"/>
        <w:jc w:val="both"/>
        <w:rPr>
          <w:lang w:val="en-US"/>
        </w:rPr>
      </w:pPr>
      <w:r>
        <w:rPr>
          <w:lang w:val="en-US"/>
        </w:rPr>
        <w:tab/>
      </w:r>
      <w:r w:rsidRPr="001C2A98">
        <w:rPr>
          <w:lang w:val="en-US"/>
        </w:rPr>
        <w:t xml:space="preserve">ITU mitigates </w:t>
      </w:r>
      <w:r>
        <w:rPr>
          <w:lang w:val="en-US"/>
        </w:rPr>
        <w:t>credit risks on cash and cash</w:t>
      </w:r>
      <w:r w:rsidRPr="001C2A98">
        <w:rPr>
          <w:lang w:val="en-US"/>
        </w:rPr>
        <w:t xml:space="preserve"> equivalents and on investments by spreading them among several banking institutions</w:t>
      </w:r>
      <w:r>
        <w:rPr>
          <w:lang w:val="en-US"/>
        </w:rPr>
        <w:t xml:space="preserve"> with high grade credit ratings</w:t>
      </w:r>
      <w:r w:rsidRPr="001C2A98">
        <w:rPr>
          <w:lang w:val="en-US"/>
        </w:rPr>
        <w:t>.</w:t>
      </w:r>
      <w:r>
        <w:rPr>
          <w:lang w:val="en-US"/>
        </w:rPr>
        <w:t xml:space="preserve"> </w:t>
      </w:r>
      <w:r w:rsidRPr="00445819">
        <w:rPr>
          <w:lang w:val="en-US"/>
        </w:rPr>
        <w:t>A</w:t>
      </w:r>
      <w:r>
        <w:rPr>
          <w:lang w:val="en-US"/>
        </w:rPr>
        <w:t>ccording to A</w:t>
      </w:r>
      <w:r w:rsidRPr="00445819">
        <w:rPr>
          <w:lang w:val="en-US"/>
        </w:rPr>
        <w:t>rticle 16 of the Financial Regulations and Financial Rules</w:t>
      </w:r>
      <w:r>
        <w:rPr>
          <w:lang w:val="en-US"/>
        </w:rPr>
        <w:t>, t</w:t>
      </w:r>
      <w:r w:rsidRPr="00445819">
        <w:rPr>
          <w:lang w:val="en-US"/>
        </w:rPr>
        <w:t>he Secretary-General choose</w:t>
      </w:r>
      <w:r>
        <w:rPr>
          <w:lang w:val="en-US"/>
        </w:rPr>
        <w:t>s</w:t>
      </w:r>
      <w:r w:rsidRPr="00445819">
        <w:rPr>
          <w:lang w:val="en-US"/>
        </w:rPr>
        <w:t xml:space="preserve"> the banks or other institutions in which the Union</w:t>
      </w:r>
      <w:r w:rsidR="007A552E">
        <w:rPr>
          <w:lang w:val="en-US"/>
        </w:rPr>
        <w:t>’</w:t>
      </w:r>
      <w:r w:rsidRPr="00445819">
        <w:rPr>
          <w:lang w:val="en-US"/>
        </w:rPr>
        <w:t>s funds are to be deposited. In this respect, the Secretary-General shall ensure that funds are invested in such a way as</w:t>
      </w:r>
      <w:r>
        <w:rPr>
          <w:lang w:val="en-US"/>
        </w:rPr>
        <w:t xml:space="preserve"> </w:t>
      </w:r>
      <w:r w:rsidRPr="00445819">
        <w:rPr>
          <w:lang w:val="en-US"/>
        </w:rPr>
        <w:t>to place primary emphasis on minimizing the risk to principal funds while</w:t>
      </w:r>
      <w:r>
        <w:rPr>
          <w:lang w:val="en-US"/>
        </w:rPr>
        <w:t xml:space="preserve"> </w:t>
      </w:r>
      <w:r w:rsidRPr="00445819">
        <w:rPr>
          <w:lang w:val="en-US"/>
        </w:rPr>
        <w:t>ensuring the liquidity necessary to meet the Union</w:t>
      </w:r>
      <w:r w:rsidR="007A552E">
        <w:rPr>
          <w:lang w:val="en-US"/>
        </w:rPr>
        <w:t>’</w:t>
      </w:r>
      <w:r w:rsidRPr="00445819">
        <w:rPr>
          <w:lang w:val="en-US"/>
        </w:rPr>
        <w:t>s cash-flow requirements.</w:t>
      </w:r>
      <w:r>
        <w:rPr>
          <w:lang w:val="en-US"/>
        </w:rPr>
        <w:t xml:space="preserve"> ITU does not make deposits with banks with a </w:t>
      </w:r>
      <w:r w:rsidR="00A219E0">
        <w:rPr>
          <w:lang w:val="en-US"/>
        </w:rPr>
        <w:t>credit</w:t>
      </w:r>
      <w:r>
        <w:rPr>
          <w:lang w:val="en-US"/>
        </w:rPr>
        <w:t xml:space="preserve"> rating below A3.</w:t>
      </w:r>
    </w:p>
    <w:p w:rsidR="00445819" w:rsidRPr="00445819" w:rsidRDefault="00445819" w:rsidP="005C41A5">
      <w:pPr>
        <w:pStyle w:val="enumlev1"/>
        <w:jc w:val="both"/>
        <w:rPr>
          <w:lang w:val="en-US"/>
        </w:rPr>
      </w:pPr>
      <w:r w:rsidRPr="00445819">
        <w:rPr>
          <w:lang w:val="en-US"/>
        </w:rPr>
        <w:tab/>
        <w:t>In addition to these criteria, investments shall be selected on the basis of</w:t>
      </w:r>
      <w:r>
        <w:rPr>
          <w:lang w:val="en-US"/>
        </w:rPr>
        <w:t xml:space="preserve"> </w:t>
      </w:r>
      <w:r w:rsidRPr="00445819">
        <w:rPr>
          <w:lang w:val="en-US"/>
        </w:rPr>
        <w:t>achieving the highest reasonable rate of return and shall accord with the</w:t>
      </w:r>
      <w:r>
        <w:rPr>
          <w:lang w:val="en-US"/>
        </w:rPr>
        <w:t xml:space="preserve"> </w:t>
      </w:r>
      <w:r w:rsidRPr="00445819">
        <w:rPr>
          <w:lang w:val="en-US"/>
        </w:rPr>
        <w:t>principles of the United Nations.</w:t>
      </w:r>
    </w:p>
    <w:p w:rsidR="00445819" w:rsidRDefault="00445819" w:rsidP="005C41A5">
      <w:pPr>
        <w:pStyle w:val="enumlev1"/>
        <w:jc w:val="both"/>
        <w:rPr>
          <w:lang w:val="en-US"/>
        </w:rPr>
      </w:pPr>
      <w:r>
        <w:rPr>
          <w:lang w:val="en-US"/>
        </w:rPr>
        <w:tab/>
        <w:t>The Secretary-General</w:t>
      </w:r>
      <w:r w:rsidRPr="00445819">
        <w:rPr>
          <w:lang w:val="en-US"/>
        </w:rPr>
        <w:t xml:space="preserve"> designate</w:t>
      </w:r>
      <w:r>
        <w:rPr>
          <w:lang w:val="en-US"/>
        </w:rPr>
        <w:t>s</w:t>
      </w:r>
      <w:r w:rsidRPr="00445819">
        <w:rPr>
          <w:lang w:val="en-US"/>
        </w:rPr>
        <w:t xml:space="preserve"> the banks in which the funds of the</w:t>
      </w:r>
      <w:r>
        <w:rPr>
          <w:lang w:val="en-US"/>
        </w:rPr>
        <w:t xml:space="preserve"> </w:t>
      </w:r>
      <w:r w:rsidRPr="00445819">
        <w:rPr>
          <w:lang w:val="en-US"/>
        </w:rPr>
        <w:t>Union shall be kept, shall establish all bank accounts required for the Union</w:t>
      </w:r>
      <w:r>
        <w:rPr>
          <w:lang w:val="en-US"/>
        </w:rPr>
        <w:t xml:space="preserve"> </w:t>
      </w:r>
      <w:r w:rsidRPr="00445819">
        <w:rPr>
          <w:lang w:val="en-US"/>
        </w:rPr>
        <w:t>and shall designate those officials to whom signing authority is delegated for</w:t>
      </w:r>
      <w:r>
        <w:rPr>
          <w:lang w:val="en-US"/>
        </w:rPr>
        <w:t xml:space="preserve"> </w:t>
      </w:r>
      <w:r w:rsidRPr="00445819">
        <w:rPr>
          <w:lang w:val="en-US"/>
        </w:rPr>
        <w:t>the operation of those accou</w:t>
      </w:r>
      <w:r>
        <w:rPr>
          <w:lang w:val="en-US"/>
        </w:rPr>
        <w:t>nts. The Secretary-General</w:t>
      </w:r>
      <w:r w:rsidRPr="00445819">
        <w:rPr>
          <w:lang w:val="en-US"/>
        </w:rPr>
        <w:t xml:space="preserve"> also authorize</w:t>
      </w:r>
      <w:r>
        <w:rPr>
          <w:lang w:val="en-US"/>
        </w:rPr>
        <w:t xml:space="preserve">s </w:t>
      </w:r>
      <w:r w:rsidRPr="00445819">
        <w:rPr>
          <w:lang w:val="en-US"/>
        </w:rPr>
        <w:t>all bank account closures.</w:t>
      </w:r>
    </w:p>
    <w:p w:rsidR="005D1217" w:rsidRDefault="0022373A" w:rsidP="005C41A5">
      <w:pPr>
        <w:pStyle w:val="enumlev1"/>
        <w:jc w:val="both"/>
        <w:rPr>
          <w:lang w:val="en-US"/>
        </w:rPr>
      </w:pPr>
      <w:r w:rsidRPr="001C2A98">
        <w:rPr>
          <w:lang w:val="en-US"/>
        </w:rPr>
        <w:t>c)</w:t>
      </w:r>
      <w:r w:rsidRPr="001C2A98">
        <w:rPr>
          <w:lang w:val="en-US"/>
        </w:rPr>
        <w:tab/>
      </w:r>
      <w:r w:rsidR="005D1217">
        <w:rPr>
          <w:lang w:val="en-US"/>
        </w:rPr>
        <w:t>Interest rate risk</w:t>
      </w:r>
    </w:p>
    <w:p w:rsidR="00A92380" w:rsidRPr="00CC1CC4" w:rsidRDefault="005D1217" w:rsidP="005B4D90">
      <w:pPr>
        <w:pStyle w:val="enumlev1"/>
        <w:jc w:val="both"/>
        <w:rPr>
          <w:lang w:val="en-US"/>
        </w:rPr>
      </w:pPr>
      <w:r>
        <w:rPr>
          <w:lang w:val="en-US"/>
        </w:rPr>
        <w:tab/>
      </w:r>
      <w:r w:rsidR="00A92380">
        <w:rPr>
          <w:lang w:val="en-US"/>
        </w:rPr>
        <w:t xml:space="preserve">ITU is </w:t>
      </w:r>
      <w:r w:rsidR="00A92380" w:rsidRPr="00CC1CC4">
        <w:rPr>
          <w:lang w:val="en-US"/>
        </w:rPr>
        <w:t>exposed to interest rate risks through its short term investments.</w:t>
      </w:r>
      <w:r w:rsidR="001A316A" w:rsidRPr="00CC1CC4">
        <w:rPr>
          <w:lang w:val="en-US"/>
        </w:rPr>
        <w:t xml:space="preserve"> </w:t>
      </w:r>
      <w:r w:rsidR="00327A6D">
        <w:rPr>
          <w:lang w:val="en-US"/>
        </w:rPr>
        <w:t xml:space="preserve"> Further to the introduction</w:t>
      </w:r>
      <w:r w:rsidR="00505975">
        <w:rPr>
          <w:lang w:val="en-US"/>
        </w:rPr>
        <w:t xml:space="preserve"> of the negative interest </w:t>
      </w:r>
      <w:r w:rsidR="00327A6D">
        <w:rPr>
          <w:lang w:val="en-US"/>
        </w:rPr>
        <w:t>in 201</w:t>
      </w:r>
      <w:r w:rsidR="00295484">
        <w:rPr>
          <w:lang w:val="en-US"/>
        </w:rPr>
        <w:t>5</w:t>
      </w:r>
      <w:r w:rsidR="00327A6D">
        <w:rPr>
          <w:lang w:val="en-US"/>
        </w:rPr>
        <w:t xml:space="preserve"> </w:t>
      </w:r>
      <w:r w:rsidR="00505975">
        <w:rPr>
          <w:lang w:val="en-US"/>
        </w:rPr>
        <w:t>on cash in hand by the financial institutions, ITU had review</w:t>
      </w:r>
      <w:r w:rsidR="00327A6D">
        <w:rPr>
          <w:lang w:val="en-US"/>
        </w:rPr>
        <w:t>ed</w:t>
      </w:r>
      <w:r w:rsidR="00505975">
        <w:rPr>
          <w:lang w:val="en-US"/>
        </w:rPr>
        <w:t xml:space="preserve"> carefully its policy in order to avoid impacting the cash and cash equivalent. </w:t>
      </w:r>
      <w:r w:rsidR="007E0B11">
        <w:rPr>
          <w:lang w:val="en-US"/>
        </w:rPr>
        <w:t xml:space="preserve">Since </w:t>
      </w:r>
      <w:r w:rsidR="005B4D90">
        <w:rPr>
          <w:lang w:val="en-US"/>
        </w:rPr>
        <w:t xml:space="preserve">then, </w:t>
      </w:r>
      <w:r w:rsidR="007C0913">
        <w:rPr>
          <w:lang w:val="en-US"/>
        </w:rPr>
        <w:t xml:space="preserve">the </w:t>
      </w:r>
      <w:r w:rsidR="00327A6D">
        <w:rPr>
          <w:lang w:val="en-US"/>
        </w:rPr>
        <w:t xml:space="preserve">ITU </w:t>
      </w:r>
      <w:r w:rsidR="005B4D90">
        <w:rPr>
          <w:lang w:val="en-US"/>
        </w:rPr>
        <w:t xml:space="preserve">has </w:t>
      </w:r>
      <w:r w:rsidR="00327A6D">
        <w:rPr>
          <w:lang w:val="en-US"/>
        </w:rPr>
        <w:t xml:space="preserve">succeeded </w:t>
      </w:r>
      <w:r w:rsidR="007213E3">
        <w:rPr>
          <w:lang w:val="en-US"/>
        </w:rPr>
        <w:t xml:space="preserve">in securing </w:t>
      </w:r>
      <w:r w:rsidR="007E0B11">
        <w:rPr>
          <w:lang w:val="en-US"/>
        </w:rPr>
        <w:t>all the funds, despite the need of a careful and daily monitoring.</w:t>
      </w:r>
    </w:p>
    <w:p w:rsidR="0022373A" w:rsidRPr="001C2A98" w:rsidRDefault="005D1217" w:rsidP="005C41A5">
      <w:pPr>
        <w:pStyle w:val="enumlev1"/>
        <w:jc w:val="both"/>
        <w:rPr>
          <w:lang w:val="en-US"/>
        </w:rPr>
      </w:pPr>
      <w:r w:rsidRPr="00CC1CC4">
        <w:rPr>
          <w:lang w:val="en-US"/>
        </w:rPr>
        <w:t>d)</w:t>
      </w:r>
      <w:r w:rsidRPr="00CC1CC4">
        <w:rPr>
          <w:lang w:val="en-US"/>
        </w:rPr>
        <w:tab/>
      </w:r>
      <w:r w:rsidR="0022373A" w:rsidRPr="00CC1CC4">
        <w:rPr>
          <w:lang w:val="en-US"/>
        </w:rPr>
        <w:t>Liquidity risk</w:t>
      </w:r>
    </w:p>
    <w:p w:rsidR="00C74307" w:rsidRDefault="0022373A" w:rsidP="005C41A5">
      <w:pPr>
        <w:pStyle w:val="enumlev1"/>
        <w:jc w:val="both"/>
        <w:rPr>
          <w:lang w:val="en-US"/>
        </w:rPr>
      </w:pPr>
      <w:r w:rsidRPr="001C2A98">
        <w:rPr>
          <w:lang w:val="en-US"/>
        </w:rPr>
        <w:tab/>
        <w:t xml:space="preserve">Liquidity risk </w:t>
      </w:r>
      <w:r w:rsidR="00C74307">
        <w:rPr>
          <w:lang w:val="en-US"/>
        </w:rPr>
        <w:t>is the risk of ITU not being able to meet its obligations as they fall due. ITU approach to managing liquidity risk is to ensure that sufficient liquidity is available to meet its liabilities when due. ITU ensures that it has sufficient cash on demand to meet expected operating expenses through the use of cash flow forecasts.</w:t>
      </w:r>
    </w:p>
    <w:p w:rsidR="001A316A" w:rsidRDefault="00C74307" w:rsidP="005C41A5">
      <w:pPr>
        <w:pStyle w:val="enumlev1"/>
        <w:jc w:val="both"/>
        <w:rPr>
          <w:lang w:val="en-US"/>
        </w:rPr>
      </w:pPr>
      <w:r>
        <w:rPr>
          <w:lang w:val="en-US"/>
        </w:rPr>
        <w:tab/>
      </w:r>
      <w:r w:rsidR="0022373A" w:rsidRPr="001C2A98">
        <w:rPr>
          <w:lang w:val="en-US"/>
        </w:rPr>
        <w:t xml:space="preserve">Liquidity risk may be considered negligible </w:t>
      </w:r>
      <w:r>
        <w:rPr>
          <w:lang w:val="en-US"/>
        </w:rPr>
        <w:t xml:space="preserve">as, </w:t>
      </w:r>
      <w:r w:rsidRPr="001C2A98">
        <w:rPr>
          <w:lang w:val="en-US"/>
        </w:rPr>
        <w:t>in accordance with Article 17 of the Financial Regulations</w:t>
      </w:r>
      <w:r>
        <w:rPr>
          <w:lang w:val="en-US"/>
        </w:rPr>
        <w:t xml:space="preserve">, </w:t>
      </w:r>
      <w:r w:rsidR="008E5B5E">
        <w:rPr>
          <w:lang w:val="en-US"/>
        </w:rPr>
        <w:t xml:space="preserve">advances of funds from </w:t>
      </w:r>
      <w:r>
        <w:rPr>
          <w:lang w:val="en-US"/>
        </w:rPr>
        <w:t xml:space="preserve">the Government of the Swiss Confederation </w:t>
      </w:r>
      <w:r w:rsidR="008E5B5E">
        <w:rPr>
          <w:lang w:val="en-US"/>
        </w:rPr>
        <w:t>will be granted under conditions to be stipulated to meet temporary cash requirements of the Union.</w:t>
      </w:r>
    </w:p>
    <w:p w:rsidR="003C55E5" w:rsidRDefault="001A316A" w:rsidP="00ED0279">
      <w:pPr>
        <w:pStyle w:val="enumlev1"/>
        <w:jc w:val="both"/>
        <w:rPr>
          <w:lang w:val="en-US"/>
        </w:rPr>
      </w:pPr>
      <w:r>
        <w:rPr>
          <w:lang w:val="en-US"/>
        </w:rPr>
        <w:tab/>
      </w:r>
      <w:r w:rsidR="0043416A">
        <w:rPr>
          <w:lang w:val="en-US"/>
        </w:rPr>
        <w:t>The primary objective of managing ITU</w:t>
      </w:r>
      <w:r w:rsidR="007A552E">
        <w:rPr>
          <w:lang w:val="en-US"/>
        </w:rPr>
        <w:t>’</w:t>
      </w:r>
      <w:r w:rsidR="0043416A">
        <w:rPr>
          <w:lang w:val="en-US"/>
        </w:rPr>
        <w:t>s capital is to ensure that there is sufficient cash available to support ITU</w:t>
      </w:r>
      <w:r w:rsidR="007A552E">
        <w:rPr>
          <w:lang w:val="en-US"/>
        </w:rPr>
        <w:t>’</w:t>
      </w:r>
      <w:r w:rsidR="0043416A">
        <w:rPr>
          <w:lang w:val="en-US"/>
        </w:rPr>
        <w:t>s funding requirements, including capital expenditure, to ensure that ITU remains financially sound.</w:t>
      </w:r>
    </w:p>
    <w:p w:rsidR="00D073A3" w:rsidRDefault="001A316A" w:rsidP="005C41A5">
      <w:pPr>
        <w:pStyle w:val="enumlev1"/>
        <w:jc w:val="both"/>
        <w:rPr>
          <w:lang w:val="en-US"/>
        </w:rPr>
      </w:pPr>
      <w:r>
        <w:rPr>
          <w:lang w:val="en-US"/>
        </w:rPr>
        <w:t>e)</w:t>
      </w:r>
      <w:r>
        <w:rPr>
          <w:lang w:val="en-US"/>
        </w:rPr>
        <w:tab/>
      </w:r>
      <w:r w:rsidR="00D073A3">
        <w:rPr>
          <w:lang w:val="en-US"/>
        </w:rPr>
        <w:t>Currency risk</w:t>
      </w:r>
    </w:p>
    <w:p w:rsidR="00D073A3" w:rsidRPr="005D1217" w:rsidRDefault="00D073A3" w:rsidP="005C41A5">
      <w:pPr>
        <w:pStyle w:val="enumlev1"/>
        <w:ind w:firstLine="0"/>
        <w:jc w:val="both"/>
        <w:rPr>
          <w:lang w:val="en-US"/>
        </w:rPr>
      </w:pPr>
      <w:r w:rsidRPr="001C2A98">
        <w:rPr>
          <w:lang w:val="en-US"/>
        </w:rPr>
        <w:t>ITU</w:t>
      </w:r>
      <w:r>
        <w:rPr>
          <w:lang w:val="en-US"/>
        </w:rPr>
        <w:t xml:space="preserve"> receives Member </w:t>
      </w:r>
      <w:r w:rsidR="00EF3DCD">
        <w:rPr>
          <w:lang w:val="en-US"/>
        </w:rPr>
        <w:t>St</w:t>
      </w:r>
      <w:r>
        <w:rPr>
          <w:lang w:val="en-US"/>
        </w:rPr>
        <w:t xml:space="preserve">ates and regular budget contributions in CHF and </w:t>
      </w:r>
      <w:r w:rsidR="00C81B79">
        <w:rPr>
          <w:lang w:val="en-US"/>
        </w:rPr>
        <w:t>Extra-budgetary</w:t>
      </w:r>
      <w:r>
        <w:rPr>
          <w:lang w:val="en-US"/>
        </w:rPr>
        <w:t xml:space="preserve"> contributions in other currencies than the CHF. </w:t>
      </w:r>
      <w:r w:rsidRPr="001C2A98">
        <w:rPr>
          <w:lang w:val="en-US"/>
        </w:rPr>
        <w:t>ITU does not have recourse to fixed-term exchange contracts, futures, swaps or currency options</w:t>
      </w:r>
      <w:r>
        <w:rPr>
          <w:lang w:val="en-US"/>
        </w:rPr>
        <w:t xml:space="preserve"> to hedge realized or unrealized foreign exchanges gains or losses. </w:t>
      </w:r>
      <w:r w:rsidRPr="00D073A3">
        <w:rPr>
          <w:lang w:val="en-US"/>
        </w:rPr>
        <w:t>When possible, natural hedging is applied by assigning the necessary currencies directly to the appropriate bank accounts.</w:t>
      </w:r>
    </w:p>
    <w:p w:rsidR="00EE259B" w:rsidRDefault="00DD56B0" w:rsidP="004975CE">
      <w:pPr>
        <w:pStyle w:val="enumlev1"/>
        <w:ind w:firstLine="0"/>
        <w:jc w:val="both"/>
        <w:rPr>
          <w:lang w:val="en-US"/>
        </w:rPr>
      </w:pPr>
      <w:r w:rsidRPr="004C71C0">
        <w:rPr>
          <w:lang w:val="en-US"/>
        </w:rPr>
        <w:t xml:space="preserve">It is to be noted that the </w:t>
      </w:r>
      <w:r w:rsidR="009E3B74" w:rsidRPr="004C71C0">
        <w:rPr>
          <w:lang w:val="en-US"/>
        </w:rPr>
        <w:t>new Health Insurance scheme</w:t>
      </w:r>
      <w:r w:rsidRPr="004C71C0">
        <w:rPr>
          <w:lang w:val="en-US"/>
        </w:rPr>
        <w:t xml:space="preserve"> is managed in </w:t>
      </w:r>
      <w:r w:rsidR="0028127C">
        <w:rPr>
          <w:lang w:val="en-US"/>
        </w:rPr>
        <w:t>Swiss francs</w:t>
      </w:r>
      <w:r w:rsidRPr="004C71C0">
        <w:rPr>
          <w:lang w:val="en-US"/>
        </w:rPr>
        <w:t>, which is significantly reducing exposure to exchange rates</w:t>
      </w:r>
      <w:r w:rsidR="009E3B74" w:rsidRPr="004C71C0">
        <w:rPr>
          <w:lang w:val="en-US"/>
        </w:rPr>
        <w:t xml:space="preserve"> fluctuation</w:t>
      </w:r>
      <w:r w:rsidR="004C71C0" w:rsidRPr="004C71C0">
        <w:rPr>
          <w:lang w:val="en-US"/>
        </w:rPr>
        <w:t>s. T</w:t>
      </w:r>
      <w:r w:rsidR="00D073A3" w:rsidRPr="004C71C0">
        <w:rPr>
          <w:lang w:val="en-US"/>
        </w:rPr>
        <w:t xml:space="preserve">he Union is </w:t>
      </w:r>
      <w:r w:rsidR="009E3B74" w:rsidRPr="004C71C0">
        <w:rPr>
          <w:lang w:val="en-US"/>
        </w:rPr>
        <w:t xml:space="preserve">still </w:t>
      </w:r>
      <w:r w:rsidR="00D073A3" w:rsidRPr="004C71C0">
        <w:rPr>
          <w:lang w:val="en-US"/>
        </w:rPr>
        <w:t xml:space="preserve">exposed to foreign exchange gains or losses arising from the </w:t>
      </w:r>
      <w:r w:rsidR="009E3B74" w:rsidRPr="004C71C0">
        <w:rPr>
          <w:lang w:val="en-US"/>
        </w:rPr>
        <w:t>payment of contributions to the UNJSPF</w:t>
      </w:r>
      <w:r w:rsidR="00D073A3" w:rsidRPr="004C71C0">
        <w:rPr>
          <w:lang w:val="en-US"/>
        </w:rPr>
        <w:t xml:space="preserve"> in US</w:t>
      </w:r>
      <w:r w:rsidR="009E3B74" w:rsidRPr="004C71C0">
        <w:rPr>
          <w:lang w:val="en-US"/>
        </w:rPr>
        <w:t>D</w:t>
      </w:r>
      <w:r w:rsidR="00D073A3" w:rsidRPr="004C71C0">
        <w:rPr>
          <w:lang w:val="en-US"/>
        </w:rPr>
        <w:t xml:space="preserve">. </w:t>
      </w:r>
      <w:r w:rsidR="004C71C0" w:rsidRPr="004C71C0">
        <w:rPr>
          <w:lang w:val="en-US"/>
        </w:rPr>
        <w:t xml:space="preserve">However, since </w:t>
      </w:r>
      <w:r w:rsidR="009E3B74" w:rsidRPr="004C71C0">
        <w:rPr>
          <w:lang w:val="en-US"/>
        </w:rPr>
        <w:t xml:space="preserve">the Professional staff contributions are defined in USD and </w:t>
      </w:r>
      <w:r w:rsidR="00322D20">
        <w:rPr>
          <w:lang w:val="en-US"/>
        </w:rPr>
        <w:t xml:space="preserve">the </w:t>
      </w:r>
      <w:r w:rsidR="009E3B74" w:rsidRPr="004C71C0">
        <w:rPr>
          <w:lang w:val="en-US"/>
        </w:rPr>
        <w:t>General Staff contribution</w:t>
      </w:r>
      <w:r w:rsidR="0028127C">
        <w:rPr>
          <w:lang w:val="en-US"/>
        </w:rPr>
        <w:t>s</w:t>
      </w:r>
      <w:r w:rsidR="009E3B74" w:rsidRPr="004C71C0">
        <w:rPr>
          <w:lang w:val="en-US"/>
        </w:rPr>
        <w:t xml:space="preserve"> are defined in CHF </w:t>
      </w:r>
      <w:r w:rsidR="0028127C">
        <w:rPr>
          <w:lang w:val="en-US"/>
        </w:rPr>
        <w:t>and</w:t>
      </w:r>
      <w:r w:rsidR="009E3B74" w:rsidRPr="004C71C0">
        <w:rPr>
          <w:lang w:val="en-US"/>
        </w:rPr>
        <w:t xml:space="preserve"> the number of staff in these </w:t>
      </w:r>
      <w:r w:rsidR="004C71C0" w:rsidRPr="004C71C0">
        <w:rPr>
          <w:lang w:val="en-US"/>
        </w:rPr>
        <w:t xml:space="preserve">two </w:t>
      </w:r>
      <w:r w:rsidR="009E3B74" w:rsidRPr="004C71C0">
        <w:rPr>
          <w:lang w:val="en-US"/>
        </w:rPr>
        <w:t>categories is equally distributed, the exchange rates fluctuation</w:t>
      </w:r>
      <w:r w:rsidR="004C71C0" w:rsidRPr="004C71C0">
        <w:rPr>
          <w:lang w:val="en-US"/>
        </w:rPr>
        <w:t>s tend</w:t>
      </w:r>
      <w:r w:rsidR="009E3B74" w:rsidRPr="004C71C0">
        <w:rPr>
          <w:lang w:val="en-US"/>
        </w:rPr>
        <w:t xml:space="preserve"> to </w:t>
      </w:r>
      <w:r w:rsidR="004C71C0" w:rsidRPr="004C71C0">
        <w:rPr>
          <w:lang w:val="en-US"/>
        </w:rPr>
        <w:t>counterbalance</w:t>
      </w:r>
      <w:r w:rsidR="009E3B74" w:rsidRPr="004C71C0">
        <w:rPr>
          <w:lang w:val="en-US"/>
        </w:rPr>
        <w:t>.</w:t>
      </w:r>
    </w:p>
    <w:p w:rsidR="00D073A3" w:rsidRDefault="00C81B79" w:rsidP="00884AD0">
      <w:pPr>
        <w:pStyle w:val="enumlev1"/>
        <w:ind w:firstLine="0"/>
        <w:jc w:val="both"/>
        <w:rPr>
          <w:lang w:val="en-US"/>
        </w:rPr>
      </w:pPr>
      <w:r>
        <w:rPr>
          <w:lang w:val="en-US"/>
        </w:rPr>
        <w:t>Extra-budgetary</w:t>
      </w:r>
      <w:r w:rsidR="00D073A3" w:rsidRPr="009E3B74">
        <w:rPr>
          <w:lang w:val="en-US"/>
        </w:rPr>
        <w:t xml:space="preserve"> contributions are managed in the currency of the contribution and converted in CHF for presentation purposes.</w:t>
      </w:r>
    </w:p>
    <w:p w:rsidR="00D073A3" w:rsidRDefault="003200DC" w:rsidP="005C41A5">
      <w:pPr>
        <w:pStyle w:val="enumlev1"/>
        <w:tabs>
          <w:tab w:val="left" w:pos="0"/>
        </w:tabs>
        <w:spacing w:before="120" w:after="120"/>
        <w:ind w:left="0" w:firstLine="0"/>
        <w:jc w:val="both"/>
        <w:rPr>
          <w:lang w:val="en-US"/>
        </w:rPr>
      </w:pPr>
      <w:r>
        <w:rPr>
          <w:lang w:val="en-US"/>
        </w:rPr>
        <w:t>f)</w:t>
      </w:r>
      <w:r>
        <w:rPr>
          <w:lang w:val="en-US"/>
        </w:rPr>
        <w:tab/>
      </w:r>
      <w:r w:rsidR="00D073A3">
        <w:rPr>
          <w:lang w:val="en-US"/>
        </w:rPr>
        <w:t>Market risk</w:t>
      </w:r>
    </w:p>
    <w:p w:rsidR="00F2562A" w:rsidRDefault="00D073A3" w:rsidP="00884AD0">
      <w:pPr>
        <w:pStyle w:val="enumlev1"/>
        <w:snapToGrid w:val="0"/>
        <w:spacing w:before="0"/>
        <w:ind w:firstLine="0"/>
        <w:jc w:val="both"/>
        <w:rPr>
          <w:lang w:val="en-US"/>
        </w:rPr>
      </w:pPr>
      <w:r>
        <w:rPr>
          <w:lang w:val="en-US"/>
        </w:rPr>
        <w:t>Market risk is the risk of changes in market prices, such as foreign-exchange rates and interest rates, affecting ITU</w:t>
      </w:r>
      <w:r w:rsidR="007A552E">
        <w:rPr>
          <w:lang w:val="en-US"/>
        </w:rPr>
        <w:t>’</w:t>
      </w:r>
      <w:r>
        <w:rPr>
          <w:lang w:val="en-US"/>
        </w:rPr>
        <w:t xml:space="preserve">s income or the value of its financial instruments holdings. The objective of market risk management is to manage and control market risk exposures within acceptable parameters, while optimizing the return on the risk. </w:t>
      </w:r>
    </w:p>
    <w:p w:rsidR="00D073A3" w:rsidRDefault="00D073A3" w:rsidP="007E0B11">
      <w:pPr>
        <w:pStyle w:val="enumlev1"/>
        <w:tabs>
          <w:tab w:val="clear" w:pos="567"/>
          <w:tab w:val="left" w:pos="0"/>
        </w:tabs>
        <w:snapToGrid w:val="0"/>
        <w:spacing w:before="120" w:after="120"/>
        <w:ind w:left="0" w:firstLine="0"/>
        <w:rPr>
          <w:lang w:val="en-US"/>
        </w:rPr>
      </w:pPr>
      <w:r>
        <w:rPr>
          <w:lang w:val="en-US"/>
        </w:rPr>
        <w:t>The maturity profile</w:t>
      </w:r>
      <w:r w:rsidR="005C41A5">
        <w:rPr>
          <w:lang w:val="en-US"/>
        </w:rPr>
        <w:t>s</w:t>
      </w:r>
      <w:r>
        <w:rPr>
          <w:lang w:val="en-US"/>
        </w:rPr>
        <w:t xml:space="preserve"> on financial instruments as at 31 December </w:t>
      </w:r>
      <w:r w:rsidR="00111BDD">
        <w:rPr>
          <w:lang w:val="en-US"/>
        </w:rPr>
        <w:t>201</w:t>
      </w:r>
      <w:r w:rsidR="007E0B11">
        <w:rPr>
          <w:lang w:val="en-US"/>
        </w:rPr>
        <w:t>7</w:t>
      </w:r>
      <w:r>
        <w:rPr>
          <w:lang w:val="en-US"/>
        </w:rPr>
        <w:t xml:space="preserve"> are as follow</w:t>
      </w:r>
      <w:r w:rsidR="005C41A5">
        <w:rPr>
          <w:lang w:val="en-US"/>
        </w:rPr>
        <w:t>s</w:t>
      </w:r>
      <w:r>
        <w:rPr>
          <w:lang w:val="en-US"/>
        </w:rPr>
        <w:t>:</w:t>
      </w:r>
    </w:p>
    <w:tbl>
      <w:tblPr>
        <w:tblStyle w:val="TableGrid"/>
        <w:tblW w:w="0" w:type="auto"/>
        <w:tblLook w:val="04A0" w:firstRow="1" w:lastRow="0" w:firstColumn="1" w:lastColumn="0" w:noHBand="0" w:noVBand="1"/>
      </w:tblPr>
      <w:tblGrid>
        <w:gridCol w:w="2326"/>
        <w:gridCol w:w="1483"/>
        <w:gridCol w:w="1536"/>
        <w:gridCol w:w="1426"/>
        <w:gridCol w:w="1277"/>
        <w:gridCol w:w="1274"/>
      </w:tblGrid>
      <w:tr w:rsidR="009F3607" w:rsidRPr="00E51001" w:rsidTr="00DF77D5">
        <w:tc>
          <w:tcPr>
            <w:tcW w:w="2326" w:type="dxa"/>
          </w:tcPr>
          <w:p w:rsidR="009F3607" w:rsidRPr="0070318B" w:rsidRDefault="009F3607" w:rsidP="00524570">
            <w:pPr>
              <w:pStyle w:val="enumlev1"/>
              <w:tabs>
                <w:tab w:val="clear" w:pos="567"/>
                <w:tab w:val="left" w:pos="0"/>
              </w:tabs>
              <w:ind w:left="0" w:firstLine="0"/>
              <w:jc w:val="center"/>
              <w:rPr>
                <w:b/>
                <w:bCs/>
                <w:sz w:val="20"/>
                <w:szCs w:val="20"/>
                <w:lang w:val="en-US"/>
              </w:rPr>
            </w:pPr>
            <w:r w:rsidRPr="0070318B">
              <w:rPr>
                <w:b/>
                <w:bCs/>
                <w:sz w:val="20"/>
                <w:szCs w:val="20"/>
                <w:lang w:val="en-US"/>
              </w:rPr>
              <w:t>In thousands of CHF</w:t>
            </w:r>
          </w:p>
        </w:tc>
        <w:tc>
          <w:tcPr>
            <w:tcW w:w="1483" w:type="dxa"/>
          </w:tcPr>
          <w:p w:rsidR="009F3607" w:rsidRPr="0070318B" w:rsidRDefault="009F3607" w:rsidP="00524570">
            <w:pPr>
              <w:pStyle w:val="enumlev1"/>
              <w:tabs>
                <w:tab w:val="clear" w:pos="567"/>
                <w:tab w:val="left" w:pos="0"/>
              </w:tabs>
              <w:ind w:left="0" w:firstLine="0"/>
              <w:jc w:val="center"/>
              <w:rPr>
                <w:b/>
                <w:bCs/>
                <w:sz w:val="20"/>
                <w:szCs w:val="20"/>
                <w:lang w:val="en-US"/>
              </w:rPr>
            </w:pPr>
            <w:r w:rsidRPr="0070318B">
              <w:rPr>
                <w:b/>
                <w:bCs/>
                <w:sz w:val="20"/>
                <w:szCs w:val="20"/>
                <w:lang w:val="en-US"/>
              </w:rPr>
              <w:t>Weighted average interest rate</w:t>
            </w:r>
          </w:p>
        </w:tc>
        <w:tc>
          <w:tcPr>
            <w:tcW w:w="1536" w:type="dxa"/>
          </w:tcPr>
          <w:p w:rsidR="009F3607" w:rsidRPr="0070318B" w:rsidRDefault="009F3607" w:rsidP="00524570">
            <w:pPr>
              <w:pStyle w:val="enumlev1"/>
              <w:tabs>
                <w:tab w:val="clear" w:pos="567"/>
                <w:tab w:val="left" w:pos="0"/>
              </w:tabs>
              <w:ind w:left="0" w:firstLine="0"/>
              <w:jc w:val="center"/>
              <w:rPr>
                <w:b/>
                <w:bCs/>
                <w:sz w:val="20"/>
                <w:szCs w:val="20"/>
                <w:lang w:val="en-US"/>
              </w:rPr>
            </w:pPr>
            <w:r w:rsidRPr="0070318B">
              <w:rPr>
                <w:b/>
                <w:bCs/>
                <w:sz w:val="20"/>
                <w:szCs w:val="20"/>
                <w:lang w:val="en-US"/>
              </w:rPr>
              <w:t>1 year or less</w:t>
            </w:r>
          </w:p>
        </w:tc>
        <w:tc>
          <w:tcPr>
            <w:tcW w:w="1426" w:type="dxa"/>
          </w:tcPr>
          <w:p w:rsidR="009F3607" w:rsidRPr="0070318B" w:rsidRDefault="009F3607" w:rsidP="00524570">
            <w:pPr>
              <w:pStyle w:val="enumlev1"/>
              <w:tabs>
                <w:tab w:val="clear" w:pos="567"/>
                <w:tab w:val="left" w:pos="0"/>
              </w:tabs>
              <w:jc w:val="center"/>
              <w:rPr>
                <w:b/>
                <w:bCs/>
                <w:sz w:val="20"/>
                <w:szCs w:val="20"/>
                <w:lang w:val="en-US"/>
              </w:rPr>
            </w:pPr>
            <w:r w:rsidRPr="0070318B">
              <w:rPr>
                <w:b/>
                <w:bCs/>
                <w:sz w:val="20"/>
                <w:szCs w:val="20"/>
                <w:lang w:val="en-US"/>
              </w:rPr>
              <w:t>&lt;10 years</w:t>
            </w:r>
          </w:p>
        </w:tc>
        <w:tc>
          <w:tcPr>
            <w:tcW w:w="1277" w:type="dxa"/>
          </w:tcPr>
          <w:p w:rsidR="009F3607" w:rsidRPr="0070318B" w:rsidRDefault="009F3607" w:rsidP="00524570">
            <w:pPr>
              <w:pStyle w:val="enumlev1"/>
              <w:tabs>
                <w:tab w:val="clear" w:pos="567"/>
                <w:tab w:val="left" w:pos="0"/>
              </w:tabs>
              <w:ind w:left="0" w:firstLine="0"/>
              <w:jc w:val="center"/>
              <w:rPr>
                <w:b/>
                <w:bCs/>
                <w:sz w:val="20"/>
                <w:szCs w:val="20"/>
                <w:lang w:val="en-US"/>
              </w:rPr>
            </w:pPr>
            <w:r w:rsidRPr="0070318B">
              <w:rPr>
                <w:b/>
                <w:bCs/>
                <w:sz w:val="20"/>
                <w:szCs w:val="20"/>
                <w:lang w:val="en-US"/>
              </w:rPr>
              <w:t>&gt;10 years</w:t>
            </w:r>
          </w:p>
        </w:tc>
        <w:tc>
          <w:tcPr>
            <w:tcW w:w="1274" w:type="dxa"/>
          </w:tcPr>
          <w:p w:rsidR="009F3607" w:rsidRPr="0070318B" w:rsidRDefault="009F3607" w:rsidP="00524570">
            <w:pPr>
              <w:pStyle w:val="enumlev1"/>
              <w:tabs>
                <w:tab w:val="clear" w:pos="567"/>
                <w:tab w:val="left" w:pos="0"/>
              </w:tabs>
              <w:ind w:left="0" w:firstLine="0"/>
              <w:jc w:val="center"/>
              <w:rPr>
                <w:b/>
                <w:bCs/>
                <w:sz w:val="20"/>
                <w:szCs w:val="20"/>
                <w:lang w:val="en-US"/>
              </w:rPr>
            </w:pPr>
            <w:r w:rsidRPr="0070318B">
              <w:rPr>
                <w:b/>
                <w:bCs/>
                <w:sz w:val="20"/>
                <w:szCs w:val="20"/>
                <w:lang w:val="en-US"/>
              </w:rPr>
              <w:t>Total</w:t>
            </w:r>
          </w:p>
        </w:tc>
      </w:tr>
      <w:tr w:rsidR="009F3607" w:rsidRPr="00E51001" w:rsidTr="00DF77D5">
        <w:tc>
          <w:tcPr>
            <w:tcW w:w="2326" w:type="dxa"/>
          </w:tcPr>
          <w:p w:rsidR="009F3607" w:rsidRPr="0070318B" w:rsidRDefault="009F3607" w:rsidP="00D073A3">
            <w:pPr>
              <w:pStyle w:val="enumlev1"/>
              <w:tabs>
                <w:tab w:val="clear" w:pos="567"/>
                <w:tab w:val="left" w:pos="0"/>
              </w:tabs>
              <w:ind w:left="0" w:firstLine="0"/>
              <w:rPr>
                <w:b/>
                <w:bCs/>
                <w:sz w:val="20"/>
                <w:szCs w:val="20"/>
                <w:lang w:val="en-US"/>
              </w:rPr>
            </w:pPr>
            <w:r w:rsidRPr="0070318B">
              <w:rPr>
                <w:b/>
                <w:bCs/>
                <w:sz w:val="20"/>
                <w:szCs w:val="20"/>
                <w:lang w:val="en-US"/>
              </w:rPr>
              <w:t>Financial assets</w:t>
            </w:r>
          </w:p>
        </w:tc>
        <w:tc>
          <w:tcPr>
            <w:tcW w:w="1483" w:type="dxa"/>
          </w:tcPr>
          <w:p w:rsidR="009F3607" w:rsidRPr="0070318B" w:rsidRDefault="009F3607" w:rsidP="003200DC">
            <w:pPr>
              <w:pStyle w:val="enumlev1"/>
              <w:tabs>
                <w:tab w:val="clear" w:pos="567"/>
                <w:tab w:val="left" w:pos="0"/>
              </w:tabs>
              <w:ind w:left="0" w:firstLine="0"/>
              <w:jc w:val="right"/>
              <w:rPr>
                <w:sz w:val="20"/>
                <w:szCs w:val="20"/>
                <w:lang w:val="en-US"/>
              </w:rPr>
            </w:pPr>
          </w:p>
        </w:tc>
        <w:tc>
          <w:tcPr>
            <w:tcW w:w="1536" w:type="dxa"/>
          </w:tcPr>
          <w:p w:rsidR="009F3607" w:rsidRPr="0070318B" w:rsidRDefault="009F3607" w:rsidP="003200DC">
            <w:pPr>
              <w:pStyle w:val="enumlev1"/>
              <w:tabs>
                <w:tab w:val="clear" w:pos="567"/>
                <w:tab w:val="left" w:pos="0"/>
              </w:tabs>
              <w:ind w:left="0" w:firstLine="0"/>
              <w:jc w:val="right"/>
              <w:rPr>
                <w:sz w:val="20"/>
                <w:szCs w:val="20"/>
                <w:lang w:val="en-US"/>
              </w:rPr>
            </w:pPr>
          </w:p>
        </w:tc>
        <w:tc>
          <w:tcPr>
            <w:tcW w:w="1426" w:type="dxa"/>
          </w:tcPr>
          <w:p w:rsidR="009F3607" w:rsidRPr="0070318B" w:rsidRDefault="009F3607" w:rsidP="003200DC">
            <w:pPr>
              <w:pStyle w:val="enumlev1"/>
              <w:tabs>
                <w:tab w:val="clear" w:pos="567"/>
                <w:tab w:val="left" w:pos="0"/>
              </w:tabs>
              <w:ind w:left="0" w:firstLine="0"/>
              <w:jc w:val="right"/>
              <w:rPr>
                <w:sz w:val="20"/>
                <w:szCs w:val="20"/>
                <w:lang w:val="en-US"/>
              </w:rPr>
            </w:pPr>
          </w:p>
        </w:tc>
        <w:tc>
          <w:tcPr>
            <w:tcW w:w="1277" w:type="dxa"/>
          </w:tcPr>
          <w:p w:rsidR="009F3607" w:rsidRPr="0070318B" w:rsidRDefault="009F3607" w:rsidP="003200DC">
            <w:pPr>
              <w:pStyle w:val="enumlev1"/>
              <w:tabs>
                <w:tab w:val="clear" w:pos="567"/>
                <w:tab w:val="left" w:pos="0"/>
              </w:tabs>
              <w:ind w:left="0" w:firstLine="0"/>
              <w:jc w:val="right"/>
              <w:rPr>
                <w:sz w:val="20"/>
                <w:szCs w:val="20"/>
                <w:lang w:val="en-US"/>
              </w:rPr>
            </w:pPr>
          </w:p>
        </w:tc>
        <w:tc>
          <w:tcPr>
            <w:tcW w:w="1274" w:type="dxa"/>
          </w:tcPr>
          <w:p w:rsidR="009F3607" w:rsidRPr="0070318B" w:rsidRDefault="009F3607" w:rsidP="003200DC">
            <w:pPr>
              <w:pStyle w:val="enumlev1"/>
              <w:tabs>
                <w:tab w:val="clear" w:pos="567"/>
                <w:tab w:val="left" w:pos="0"/>
              </w:tabs>
              <w:ind w:left="0" w:firstLine="0"/>
              <w:jc w:val="right"/>
              <w:rPr>
                <w:sz w:val="20"/>
                <w:szCs w:val="20"/>
                <w:lang w:val="en-US"/>
              </w:rPr>
            </w:pPr>
          </w:p>
        </w:tc>
      </w:tr>
      <w:tr w:rsidR="001F0354" w:rsidRPr="00E51001" w:rsidTr="00DF77D5">
        <w:tc>
          <w:tcPr>
            <w:tcW w:w="2326" w:type="dxa"/>
          </w:tcPr>
          <w:p w:rsidR="001F0354" w:rsidRPr="0070318B" w:rsidRDefault="001F0354" w:rsidP="001F0354">
            <w:pPr>
              <w:pStyle w:val="enumlev1"/>
              <w:tabs>
                <w:tab w:val="clear" w:pos="567"/>
                <w:tab w:val="left" w:pos="0"/>
              </w:tabs>
              <w:ind w:left="0" w:firstLine="0"/>
              <w:rPr>
                <w:sz w:val="20"/>
                <w:szCs w:val="20"/>
                <w:lang w:val="en-US"/>
              </w:rPr>
            </w:pPr>
            <w:r w:rsidRPr="0070318B">
              <w:rPr>
                <w:sz w:val="20"/>
                <w:szCs w:val="20"/>
                <w:lang w:val="en-US"/>
              </w:rPr>
              <w:t>Investments</w:t>
            </w:r>
          </w:p>
        </w:tc>
        <w:tc>
          <w:tcPr>
            <w:tcW w:w="1483" w:type="dxa"/>
          </w:tcPr>
          <w:p w:rsidR="001F0354" w:rsidRPr="0070318B" w:rsidRDefault="001F0354" w:rsidP="001F0354">
            <w:pPr>
              <w:pStyle w:val="enumlev1"/>
              <w:tabs>
                <w:tab w:val="clear" w:pos="567"/>
                <w:tab w:val="left" w:pos="0"/>
              </w:tabs>
              <w:ind w:left="0" w:firstLine="0"/>
              <w:jc w:val="right"/>
              <w:rPr>
                <w:sz w:val="20"/>
                <w:szCs w:val="20"/>
                <w:highlight w:val="yellow"/>
                <w:lang w:val="en-US"/>
              </w:rPr>
            </w:pPr>
          </w:p>
        </w:tc>
        <w:tc>
          <w:tcPr>
            <w:tcW w:w="1536" w:type="dxa"/>
          </w:tcPr>
          <w:p w:rsidR="001F0354" w:rsidRPr="0070318B" w:rsidRDefault="001F0354" w:rsidP="001F0354">
            <w:pPr>
              <w:pStyle w:val="enumlev1"/>
              <w:tabs>
                <w:tab w:val="clear" w:pos="567"/>
                <w:tab w:val="left" w:pos="0"/>
              </w:tabs>
              <w:ind w:left="0" w:firstLine="0"/>
              <w:jc w:val="right"/>
              <w:rPr>
                <w:sz w:val="20"/>
                <w:szCs w:val="20"/>
                <w:lang w:val="en-US"/>
              </w:rPr>
            </w:pPr>
            <w:r>
              <w:rPr>
                <w:sz w:val="20"/>
                <w:szCs w:val="20"/>
                <w:lang w:val="en-US"/>
              </w:rPr>
              <w:t>31</w:t>
            </w:r>
            <w:r w:rsidRPr="0070318B">
              <w:rPr>
                <w:sz w:val="20"/>
                <w:szCs w:val="20"/>
                <w:lang w:val="en-US"/>
              </w:rPr>
              <w:t>’</w:t>
            </w:r>
            <w:r>
              <w:rPr>
                <w:sz w:val="20"/>
                <w:szCs w:val="20"/>
                <w:lang w:val="en-US"/>
              </w:rPr>
              <w:t>363</w:t>
            </w:r>
          </w:p>
        </w:tc>
        <w:tc>
          <w:tcPr>
            <w:tcW w:w="1426" w:type="dxa"/>
          </w:tcPr>
          <w:p w:rsidR="001F0354" w:rsidRPr="0070318B" w:rsidRDefault="001F0354" w:rsidP="001F0354">
            <w:pPr>
              <w:pStyle w:val="enumlev1"/>
              <w:tabs>
                <w:tab w:val="clear" w:pos="567"/>
                <w:tab w:val="left" w:pos="0"/>
              </w:tabs>
              <w:ind w:left="0" w:firstLine="0"/>
              <w:jc w:val="right"/>
              <w:rPr>
                <w:sz w:val="20"/>
                <w:szCs w:val="20"/>
                <w:lang w:val="en-US"/>
              </w:rPr>
            </w:pPr>
            <w:r w:rsidRPr="0070318B">
              <w:rPr>
                <w:sz w:val="20"/>
                <w:szCs w:val="20"/>
                <w:lang w:val="en-US"/>
              </w:rPr>
              <w:t>0</w:t>
            </w:r>
          </w:p>
        </w:tc>
        <w:tc>
          <w:tcPr>
            <w:tcW w:w="1277" w:type="dxa"/>
          </w:tcPr>
          <w:p w:rsidR="001F0354" w:rsidRPr="0070318B" w:rsidRDefault="001F0354" w:rsidP="001F0354">
            <w:pPr>
              <w:pStyle w:val="enumlev1"/>
              <w:tabs>
                <w:tab w:val="clear" w:pos="567"/>
                <w:tab w:val="left" w:pos="0"/>
              </w:tabs>
              <w:ind w:left="0" w:firstLine="0"/>
              <w:jc w:val="right"/>
              <w:rPr>
                <w:sz w:val="20"/>
                <w:szCs w:val="20"/>
                <w:lang w:val="en-US"/>
              </w:rPr>
            </w:pPr>
            <w:r w:rsidRPr="0070318B">
              <w:rPr>
                <w:sz w:val="20"/>
                <w:szCs w:val="20"/>
                <w:lang w:val="en-US"/>
              </w:rPr>
              <w:t>0</w:t>
            </w:r>
          </w:p>
        </w:tc>
        <w:tc>
          <w:tcPr>
            <w:tcW w:w="1274" w:type="dxa"/>
          </w:tcPr>
          <w:p w:rsidR="001F0354" w:rsidRPr="0070318B" w:rsidRDefault="001F0354" w:rsidP="001F0354">
            <w:pPr>
              <w:pStyle w:val="enumlev1"/>
              <w:tabs>
                <w:tab w:val="clear" w:pos="567"/>
                <w:tab w:val="left" w:pos="0"/>
              </w:tabs>
              <w:ind w:left="0" w:firstLine="0"/>
              <w:jc w:val="right"/>
              <w:rPr>
                <w:sz w:val="20"/>
                <w:szCs w:val="20"/>
                <w:lang w:val="en-US"/>
              </w:rPr>
            </w:pPr>
            <w:r>
              <w:rPr>
                <w:sz w:val="20"/>
                <w:szCs w:val="20"/>
                <w:lang w:val="en-US"/>
              </w:rPr>
              <w:t>31</w:t>
            </w:r>
            <w:r w:rsidRPr="0070318B">
              <w:rPr>
                <w:sz w:val="20"/>
                <w:szCs w:val="20"/>
                <w:lang w:val="en-US"/>
              </w:rPr>
              <w:t>’</w:t>
            </w:r>
            <w:r>
              <w:rPr>
                <w:sz w:val="20"/>
                <w:szCs w:val="20"/>
                <w:lang w:val="en-US"/>
              </w:rPr>
              <w:t>363</w:t>
            </w:r>
          </w:p>
        </w:tc>
      </w:tr>
      <w:tr w:rsidR="001F0354" w:rsidRPr="00E51001" w:rsidTr="00DF77D5">
        <w:tc>
          <w:tcPr>
            <w:tcW w:w="2326" w:type="dxa"/>
          </w:tcPr>
          <w:p w:rsidR="001F0354" w:rsidRPr="0070318B" w:rsidRDefault="001F0354" w:rsidP="001F0354">
            <w:pPr>
              <w:pStyle w:val="enumlev1"/>
              <w:tabs>
                <w:tab w:val="clear" w:pos="567"/>
                <w:tab w:val="left" w:pos="0"/>
              </w:tabs>
              <w:ind w:left="0" w:firstLine="0"/>
              <w:rPr>
                <w:sz w:val="20"/>
                <w:szCs w:val="20"/>
                <w:lang w:val="en-US"/>
              </w:rPr>
            </w:pPr>
            <w:r w:rsidRPr="0070318B">
              <w:rPr>
                <w:sz w:val="20"/>
                <w:szCs w:val="20"/>
                <w:lang w:val="en-US"/>
              </w:rPr>
              <w:t>Cash and cash equivalent</w:t>
            </w:r>
          </w:p>
        </w:tc>
        <w:tc>
          <w:tcPr>
            <w:tcW w:w="1483" w:type="dxa"/>
          </w:tcPr>
          <w:p w:rsidR="001F0354" w:rsidRPr="0070318B" w:rsidRDefault="001F0354" w:rsidP="001F0354">
            <w:pPr>
              <w:pStyle w:val="enumlev1"/>
              <w:tabs>
                <w:tab w:val="clear" w:pos="567"/>
                <w:tab w:val="left" w:pos="0"/>
              </w:tabs>
              <w:ind w:left="0" w:firstLine="0"/>
              <w:jc w:val="right"/>
              <w:rPr>
                <w:sz w:val="20"/>
                <w:szCs w:val="20"/>
                <w:highlight w:val="yellow"/>
                <w:lang w:val="en-US"/>
              </w:rPr>
            </w:pPr>
          </w:p>
        </w:tc>
        <w:tc>
          <w:tcPr>
            <w:tcW w:w="1536" w:type="dxa"/>
          </w:tcPr>
          <w:p w:rsidR="001F0354" w:rsidRPr="0070318B" w:rsidRDefault="001F0354" w:rsidP="001F0354">
            <w:pPr>
              <w:pStyle w:val="enumlev1"/>
              <w:tabs>
                <w:tab w:val="clear" w:pos="567"/>
                <w:tab w:val="left" w:pos="0"/>
              </w:tabs>
              <w:ind w:left="0" w:firstLine="0"/>
              <w:jc w:val="right"/>
              <w:rPr>
                <w:sz w:val="20"/>
                <w:szCs w:val="20"/>
                <w:lang w:val="en-US"/>
              </w:rPr>
            </w:pPr>
            <w:r>
              <w:rPr>
                <w:sz w:val="20"/>
                <w:szCs w:val="20"/>
                <w:lang w:val="en-US"/>
              </w:rPr>
              <w:t>135</w:t>
            </w:r>
            <w:r w:rsidRPr="0070318B">
              <w:rPr>
                <w:sz w:val="20"/>
                <w:szCs w:val="20"/>
                <w:lang w:val="en-US"/>
              </w:rPr>
              <w:t>’</w:t>
            </w:r>
            <w:r>
              <w:rPr>
                <w:sz w:val="20"/>
                <w:szCs w:val="20"/>
                <w:lang w:val="en-US"/>
              </w:rPr>
              <w:t>297</w:t>
            </w:r>
          </w:p>
        </w:tc>
        <w:tc>
          <w:tcPr>
            <w:tcW w:w="1426" w:type="dxa"/>
          </w:tcPr>
          <w:p w:rsidR="001F0354" w:rsidRPr="0070318B" w:rsidRDefault="001F0354" w:rsidP="001F0354">
            <w:pPr>
              <w:pStyle w:val="enumlev1"/>
              <w:tabs>
                <w:tab w:val="clear" w:pos="567"/>
                <w:tab w:val="left" w:pos="0"/>
              </w:tabs>
              <w:ind w:left="0" w:firstLine="0"/>
              <w:jc w:val="right"/>
              <w:rPr>
                <w:sz w:val="20"/>
                <w:szCs w:val="20"/>
                <w:lang w:val="en-US"/>
              </w:rPr>
            </w:pPr>
            <w:r w:rsidRPr="0070318B">
              <w:rPr>
                <w:sz w:val="20"/>
                <w:szCs w:val="20"/>
                <w:lang w:val="en-US"/>
              </w:rPr>
              <w:t>0</w:t>
            </w:r>
          </w:p>
        </w:tc>
        <w:tc>
          <w:tcPr>
            <w:tcW w:w="1277" w:type="dxa"/>
          </w:tcPr>
          <w:p w:rsidR="001F0354" w:rsidRPr="0070318B" w:rsidRDefault="001F0354" w:rsidP="001F0354">
            <w:pPr>
              <w:pStyle w:val="enumlev1"/>
              <w:tabs>
                <w:tab w:val="clear" w:pos="567"/>
                <w:tab w:val="left" w:pos="0"/>
              </w:tabs>
              <w:ind w:left="0" w:firstLine="0"/>
              <w:jc w:val="right"/>
              <w:rPr>
                <w:sz w:val="20"/>
                <w:szCs w:val="20"/>
                <w:lang w:val="en-US"/>
              </w:rPr>
            </w:pPr>
            <w:r w:rsidRPr="0070318B">
              <w:rPr>
                <w:sz w:val="20"/>
                <w:szCs w:val="20"/>
                <w:lang w:val="en-US"/>
              </w:rPr>
              <w:t>0</w:t>
            </w:r>
          </w:p>
        </w:tc>
        <w:tc>
          <w:tcPr>
            <w:tcW w:w="1274" w:type="dxa"/>
          </w:tcPr>
          <w:p w:rsidR="001F0354" w:rsidRPr="0070318B" w:rsidRDefault="001F0354" w:rsidP="001F0354">
            <w:pPr>
              <w:pStyle w:val="enumlev1"/>
              <w:tabs>
                <w:tab w:val="clear" w:pos="567"/>
                <w:tab w:val="left" w:pos="0"/>
              </w:tabs>
              <w:ind w:left="0" w:firstLine="0"/>
              <w:jc w:val="right"/>
              <w:rPr>
                <w:sz w:val="20"/>
                <w:szCs w:val="20"/>
                <w:lang w:val="en-US"/>
              </w:rPr>
            </w:pPr>
            <w:r>
              <w:rPr>
                <w:sz w:val="20"/>
                <w:szCs w:val="20"/>
                <w:lang w:val="en-US"/>
              </w:rPr>
              <w:t>135</w:t>
            </w:r>
            <w:r w:rsidRPr="0070318B">
              <w:rPr>
                <w:sz w:val="20"/>
                <w:szCs w:val="20"/>
                <w:lang w:val="en-US"/>
              </w:rPr>
              <w:t>’</w:t>
            </w:r>
            <w:r>
              <w:rPr>
                <w:sz w:val="20"/>
                <w:szCs w:val="20"/>
                <w:lang w:val="en-US"/>
              </w:rPr>
              <w:t>297</w:t>
            </w:r>
          </w:p>
        </w:tc>
      </w:tr>
      <w:tr w:rsidR="001F0354" w:rsidRPr="00E51001" w:rsidTr="00DF77D5">
        <w:tc>
          <w:tcPr>
            <w:tcW w:w="2326" w:type="dxa"/>
          </w:tcPr>
          <w:p w:rsidR="001F0354" w:rsidRPr="0070318B" w:rsidRDefault="001F0354" w:rsidP="001F0354">
            <w:pPr>
              <w:pStyle w:val="enumlev1"/>
              <w:tabs>
                <w:tab w:val="clear" w:pos="567"/>
                <w:tab w:val="left" w:pos="0"/>
              </w:tabs>
              <w:ind w:left="0" w:firstLine="0"/>
              <w:rPr>
                <w:b/>
                <w:bCs/>
                <w:sz w:val="20"/>
                <w:szCs w:val="20"/>
                <w:lang w:val="en-US"/>
              </w:rPr>
            </w:pPr>
            <w:r w:rsidRPr="0070318B">
              <w:rPr>
                <w:b/>
                <w:bCs/>
                <w:sz w:val="20"/>
                <w:szCs w:val="20"/>
                <w:lang w:val="en-US"/>
              </w:rPr>
              <w:t>Total financial assets</w:t>
            </w:r>
          </w:p>
        </w:tc>
        <w:tc>
          <w:tcPr>
            <w:tcW w:w="1483" w:type="dxa"/>
          </w:tcPr>
          <w:p w:rsidR="001F0354" w:rsidRPr="0070318B" w:rsidRDefault="001F0354" w:rsidP="001F0354">
            <w:pPr>
              <w:pStyle w:val="enumlev1"/>
              <w:tabs>
                <w:tab w:val="clear" w:pos="567"/>
                <w:tab w:val="left" w:pos="0"/>
              </w:tabs>
              <w:ind w:left="0" w:firstLine="0"/>
              <w:jc w:val="right"/>
              <w:rPr>
                <w:sz w:val="20"/>
                <w:szCs w:val="20"/>
                <w:highlight w:val="yellow"/>
                <w:lang w:val="en-US"/>
              </w:rPr>
            </w:pPr>
          </w:p>
        </w:tc>
        <w:tc>
          <w:tcPr>
            <w:tcW w:w="1536" w:type="dxa"/>
          </w:tcPr>
          <w:p w:rsidR="001F0354" w:rsidRPr="0070318B" w:rsidRDefault="001F0354" w:rsidP="001F0354">
            <w:pPr>
              <w:pStyle w:val="enumlev1"/>
              <w:tabs>
                <w:tab w:val="clear" w:pos="567"/>
                <w:tab w:val="left" w:pos="0"/>
              </w:tabs>
              <w:ind w:left="0" w:firstLine="0"/>
              <w:jc w:val="right"/>
              <w:rPr>
                <w:sz w:val="20"/>
                <w:szCs w:val="20"/>
                <w:lang w:val="en-US"/>
              </w:rPr>
            </w:pPr>
            <w:r w:rsidRPr="0070318B">
              <w:rPr>
                <w:sz w:val="20"/>
                <w:szCs w:val="20"/>
                <w:lang w:val="en-US"/>
              </w:rPr>
              <w:t>1</w:t>
            </w:r>
            <w:r>
              <w:rPr>
                <w:sz w:val="20"/>
                <w:szCs w:val="20"/>
                <w:lang w:val="en-US"/>
              </w:rPr>
              <w:t>66</w:t>
            </w:r>
            <w:r w:rsidRPr="0070318B">
              <w:rPr>
                <w:sz w:val="20"/>
                <w:szCs w:val="20"/>
                <w:lang w:val="en-US"/>
              </w:rPr>
              <w:t>’</w:t>
            </w:r>
            <w:r>
              <w:rPr>
                <w:sz w:val="20"/>
                <w:szCs w:val="20"/>
                <w:lang w:val="en-US"/>
              </w:rPr>
              <w:t>660</w:t>
            </w:r>
          </w:p>
        </w:tc>
        <w:tc>
          <w:tcPr>
            <w:tcW w:w="1426" w:type="dxa"/>
          </w:tcPr>
          <w:p w:rsidR="001F0354" w:rsidRPr="0070318B" w:rsidRDefault="001F0354" w:rsidP="001F0354">
            <w:pPr>
              <w:pStyle w:val="enumlev1"/>
              <w:tabs>
                <w:tab w:val="clear" w:pos="567"/>
                <w:tab w:val="left" w:pos="0"/>
              </w:tabs>
              <w:ind w:left="0" w:firstLine="0"/>
              <w:jc w:val="right"/>
              <w:rPr>
                <w:sz w:val="20"/>
                <w:szCs w:val="20"/>
                <w:lang w:val="en-US"/>
              </w:rPr>
            </w:pPr>
            <w:r w:rsidRPr="0070318B">
              <w:rPr>
                <w:sz w:val="20"/>
                <w:szCs w:val="20"/>
                <w:lang w:val="en-US"/>
              </w:rPr>
              <w:t>0</w:t>
            </w:r>
          </w:p>
        </w:tc>
        <w:tc>
          <w:tcPr>
            <w:tcW w:w="1277" w:type="dxa"/>
          </w:tcPr>
          <w:p w:rsidR="001F0354" w:rsidRPr="0070318B" w:rsidRDefault="001F0354" w:rsidP="001F0354">
            <w:pPr>
              <w:pStyle w:val="enumlev1"/>
              <w:tabs>
                <w:tab w:val="clear" w:pos="567"/>
                <w:tab w:val="left" w:pos="0"/>
              </w:tabs>
              <w:ind w:left="0" w:firstLine="0"/>
              <w:jc w:val="right"/>
              <w:rPr>
                <w:sz w:val="20"/>
                <w:szCs w:val="20"/>
                <w:lang w:val="en-US"/>
              </w:rPr>
            </w:pPr>
            <w:r w:rsidRPr="0070318B">
              <w:rPr>
                <w:sz w:val="20"/>
                <w:szCs w:val="20"/>
                <w:lang w:val="en-US"/>
              </w:rPr>
              <w:t>0</w:t>
            </w:r>
          </w:p>
        </w:tc>
        <w:tc>
          <w:tcPr>
            <w:tcW w:w="1274" w:type="dxa"/>
          </w:tcPr>
          <w:p w:rsidR="001F0354" w:rsidRPr="0070318B" w:rsidRDefault="001F0354" w:rsidP="001F0354">
            <w:pPr>
              <w:pStyle w:val="enumlev1"/>
              <w:tabs>
                <w:tab w:val="clear" w:pos="567"/>
                <w:tab w:val="left" w:pos="0"/>
              </w:tabs>
              <w:ind w:left="0" w:firstLine="0"/>
              <w:jc w:val="right"/>
              <w:rPr>
                <w:sz w:val="20"/>
                <w:szCs w:val="20"/>
                <w:lang w:val="en-US"/>
              </w:rPr>
            </w:pPr>
            <w:r w:rsidRPr="0070318B">
              <w:rPr>
                <w:sz w:val="20"/>
                <w:szCs w:val="20"/>
                <w:lang w:val="en-US"/>
              </w:rPr>
              <w:t>1</w:t>
            </w:r>
            <w:r>
              <w:rPr>
                <w:sz w:val="20"/>
                <w:szCs w:val="20"/>
                <w:lang w:val="en-US"/>
              </w:rPr>
              <w:t>66</w:t>
            </w:r>
            <w:r w:rsidRPr="0070318B">
              <w:rPr>
                <w:sz w:val="20"/>
                <w:szCs w:val="20"/>
                <w:lang w:val="en-US"/>
              </w:rPr>
              <w:t>’</w:t>
            </w:r>
            <w:r>
              <w:rPr>
                <w:sz w:val="20"/>
                <w:szCs w:val="20"/>
                <w:lang w:val="en-US"/>
              </w:rPr>
              <w:t>660</w:t>
            </w:r>
          </w:p>
        </w:tc>
      </w:tr>
      <w:tr w:rsidR="009F3607" w:rsidRPr="00E51001" w:rsidTr="00DF77D5">
        <w:tc>
          <w:tcPr>
            <w:tcW w:w="2326" w:type="dxa"/>
          </w:tcPr>
          <w:p w:rsidR="009F3607" w:rsidRPr="0070318B" w:rsidRDefault="009F3607" w:rsidP="00D073A3">
            <w:pPr>
              <w:pStyle w:val="enumlev1"/>
              <w:tabs>
                <w:tab w:val="clear" w:pos="567"/>
                <w:tab w:val="left" w:pos="0"/>
              </w:tabs>
              <w:ind w:left="0" w:firstLine="0"/>
              <w:rPr>
                <w:b/>
                <w:bCs/>
                <w:sz w:val="20"/>
                <w:szCs w:val="20"/>
                <w:lang w:val="en-US"/>
              </w:rPr>
            </w:pPr>
            <w:r w:rsidRPr="0070318B">
              <w:rPr>
                <w:b/>
                <w:bCs/>
                <w:sz w:val="20"/>
                <w:szCs w:val="20"/>
                <w:lang w:val="en-US"/>
              </w:rPr>
              <w:t>Financial liabilities</w:t>
            </w:r>
          </w:p>
        </w:tc>
        <w:tc>
          <w:tcPr>
            <w:tcW w:w="1483" w:type="dxa"/>
          </w:tcPr>
          <w:p w:rsidR="009F3607" w:rsidRPr="0070318B" w:rsidRDefault="009F3607" w:rsidP="003200DC">
            <w:pPr>
              <w:pStyle w:val="enumlev1"/>
              <w:tabs>
                <w:tab w:val="clear" w:pos="567"/>
                <w:tab w:val="left" w:pos="0"/>
              </w:tabs>
              <w:ind w:left="0" w:firstLine="0"/>
              <w:jc w:val="right"/>
              <w:rPr>
                <w:sz w:val="20"/>
                <w:szCs w:val="20"/>
                <w:highlight w:val="yellow"/>
                <w:lang w:val="en-US"/>
              </w:rPr>
            </w:pPr>
          </w:p>
        </w:tc>
        <w:tc>
          <w:tcPr>
            <w:tcW w:w="1536" w:type="dxa"/>
          </w:tcPr>
          <w:p w:rsidR="009F3607" w:rsidRPr="0070318B" w:rsidRDefault="009F3607" w:rsidP="003200DC">
            <w:pPr>
              <w:pStyle w:val="enumlev1"/>
              <w:tabs>
                <w:tab w:val="clear" w:pos="567"/>
                <w:tab w:val="left" w:pos="0"/>
              </w:tabs>
              <w:ind w:left="0" w:firstLine="0"/>
              <w:jc w:val="right"/>
              <w:rPr>
                <w:sz w:val="20"/>
                <w:szCs w:val="20"/>
                <w:lang w:val="en-US"/>
              </w:rPr>
            </w:pPr>
          </w:p>
        </w:tc>
        <w:tc>
          <w:tcPr>
            <w:tcW w:w="1426" w:type="dxa"/>
          </w:tcPr>
          <w:p w:rsidR="009F3607" w:rsidRPr="0070318B" w:rsidRDefault="009F3607" w:rsidP="003200DC">
            <w:pPr>
              <w:pStyle w:val="enumlev1"/>
              <w:tabs>
                <w:tab w:val="clear" w:pos="567"/>
                <w:tab w:val="left" w:pos="0"/>
              </w:tabs>
              <w:ind w:left="0" w:firstLine="0"/>
              <w:jc w:val="right"/>
              <w:rPr>
                <w:sz w:val="20"/>
                <w:szCs w:val="20"/>
                <w:lang w:val="en-US"/>
              </w:rPr>
            </w:pPr>
          </w:p>
        </w:tc>
        <w:tc>
          <w:tcPr>
            <w:tcW w:w="1277" w:type="dxa"/>
          </w:tcPr>
          <w:p w:rsidR="009F3607" w:rsidRPr="0070318B" w:rsidRDefault="009F3607" w:rsidP="003200DC">
            <w:pPr>
              <w:pStyle w:val="enumlev1"/>
              <w:tabs>
                <w:tab w:val="clear" w:pos="567"/>
                <w:tab w:val="left" w:pos="0"/>
              </w:tabs>
              <w:ind w:left="0" w:firstLine="0"/>
              <w:jc w:val="right"/>
              <w:rPr>
                <w:sz w:val="20"/>
                <w:szCs w:val="20"/>
                <w:lang w:val="en-US"/>
              </w:rPr>
            </w:pPr>
          </w:p>
        </w:tc>
        <w:tc>
          <w:tcPr>
            <w:tcW w:w="1274" w:type="dxa"/>
          </w:tcPr>
          <w:p w:rsidR="009F3607" w:rsidRPr="0070318B" w:rsidRDefault="009F3607" w:rsidP="003200DC">
            <w:pPr>
              <w:pStyle w:val="enumlev1"/>
              <w:tabs>
                <w:tab w:val="clear" w:pos="567"/>
                <w:tab w:val="left" w:pos="0"/>
              </w:tabs>
              <w:ind w:left="0" w:firstLine="0"/>
              <w:jc w:val="right"/>
              <w:rPr>
                <w:sz w:val="20"/>
                <w:szCs w:val="20"/>
                <w:lang w:val="en-US"/>
              </w:rPr>
            </w:pPr>
          </w:p>
        </w:tc>
      </w:tr>
      <w:tr w:rsidR="009E3B74" w:rsidRPr="00E51001" w:rsidTr="00DF77D5">
        <w:tc>
          <w:tcPr>
            <w:tcW w:w="2326" w:type="dxa"/>
          </w:tcPr>
          <w:p w:rsidR="009E3B74" w:rsidRPr="0070318B" w:rsidRDefault="009E3B74" w:rsidP="00D073A3">
            <w:pPr>
              <w:pStyle w:val="enumlev1"/>
              <w:tabs>
                <w:tab w:val="clear" w:pos="567"/>
                <w:tab w:val="left" w:pos="0"/>
              </w:tabs>
              <w:ind w:left="0" w:firstLine="0"/>
              <w:rPr>
                <w:sz w:val="20"/>
                <w:szCs w:val="20"/>
                <w:lang w:val="en-US"/>
              </w:rPr>
            </w:pPr>
            <w:r w:rsidRPr="0070318B">
              <w:rPr>
                <w:sz w:val="20"/>
                <w:szCs w:val="20"/>
                <w:lang w:val="en-US"/>
              </w:rPr>
              <w:t>Borrowings</w:t>
            </w:r>
          </w:p>
        </w:tc>
        <w:tc>
          <w:tcPr>
            <w:tcW w:w="1483" w:type="dxa"/>
          </w:tcPr>
          <w:p w:rsidR="009E3B74" w:rsidRPr="0070318B" w:rsidRDefault="00BB0F0D" w:rsidP="003200DC">
            <w:pPr>
              <w:pStyle w:val="enumlev1"/>
              <w:tabs>
                <w:tab w:val="clear" w:pos="567"/>
                <w:tab w:val="left" w:pos="0"/>
              </w:tabs>
              <w:ind w:left="0" w:firstLine="0"/>
              <w:jc w:val="right"/>
              <w:rPr>
                <w:sz w:val="20"/>
                <w:szCs w:val="20"/>
                <w:lang w:val="en-US"/>
              </w:rPr>
            </w:pPr>
            <w:r w:rsidRPr="0070318B">
              <w:rPr>
                <w:sz w:val="20"/>
                <w:szCs w:val="20"/>
                <w:lang w:val="en-US"/>
              </w:rPr>
              <w:t>0%</w:t>
            </w:r>
          </w:p>
        </w:tc>
        <w:tc>
          <w:tcPr>
            <w:tcW w:w="1536" w:type="dxa"/>
          </w:tcPr>
          <w:p w:rsidR="009E3B74" w:rsidRPr="0070318B" w:rsidRDefault="009E3B74" w:rsidP="003200DC">
            <w:pPr>
              <w:pStyle w:val="enumlev1"/>
              <w:tabs>
                <w:tab w:val="clear" w:pos="567"/>
                <w:tab w:val="left" w:pos="0"/>
              </w:tabs>
              <w:ind w:left="0" w:firstLine="0"/>
              <w:jc w:val="right"/>
              <w:rPr>
                <w:sz w:val="20"/>
                <w:szCs w:val="20"/>
                <w:lang w:val="en-US"/>
              </w:rPr>
            </w:pPr>
            <w:r w:rsidRPr="0070318B">
              <w:rPr>
                <w:sz w:val="20"/>
                <w:szCs w:val="20"/>
                <w:lang w:val="en-US"/>
              </w:rPr>
              <w:t>1’493</w:t>
            </w:r>
          </w:p>
        </w:tc>
        <w:tc>
          <w:tcPr>
            <w:tcW w:w="1426" w:type="dxa"/>
          </w:tcPr>
          <w:p w:rsidR="009E3B74" w:rsidRPr="0070318B" w:rsidRDefault="00BB0F0D" w:rsidP="00F71A5B">
            <w:pPr>
              <w:pStyle w:val="enumlev1"/>
              <w:tabs>
                <w:tab w:val="clear" w:pos="567"/>
                <w:tab w:val="left" w:pos="0"/>
              </w:tabs>
              <w:ind w:left="0" w:firstLine="0"/>
              <w:jc w:val="right"/>
              <w:rPr>
                <w:sz w:val="20"/>
                <w:szCs w:val="20"/>
                <w:lang w:val="en-US"/>
              </w:rPr>
            </w:pPr>
            <w:r w:rsidRPr="0070318B">
              <w:rPr>
                <w:sz w:val="20"/>
                <w:szCs w:val="20"/>
                <w:lang w:val="en-US"/>
              </w:rPr>
              <w:t>1</w:t>
            </w:r>
            <w:r w:rsidR="00F71A5B">
              <w:rPr>
                <w:sz w:val="20"/>
                <w:szCs w:val="20"/>
                <w:lang w:val="en-US"/>
              </w:rPr>
              <w:t>4</w:t>
            </w:r>
            <w:r w:rsidRPr="0070318B">
              <w:rPr>
                <w:sz w:val="20"/>
                <w:szCs w:val="20"/>
                <w:lang w:val="en-US"/>
              </w:rPr>
              <w:t>’</w:t>
            </w:r>
            <w:r w:rsidR="003C2DE9">
              <w:rPr>
                <w:sz w:val="20"/>
                <w:szCs w:val="20"/>
                <w:lang w:val="en-US"/>
              </w:rPr>
              <w:t>219</w:t>
            </w:r>
          </w:p>
        </w:tc>
        <w:tc>
          <w:tcPr>
            <w:tcW w:w="1277" w:type="dxa"/>
          </w:tcPr>
          <w:p w:rsidR="009E3B74" w:rsidRPr="0070318B" w:rsidRDefault="00F71A5B" w:rsidP="003C2DE9">
            <w:pPr>
              <w:pStyle w:val="enumlev1"/>
              <w:tabs>
                <w:tab w:val="clear" w:pos="567"/>
                <w:tab w:val="left" w:pos="0"/>
              </w:tabs>
              <w:ind w:left="0" w:firstLine="0"/>
              <w:jc w:val="right"/>
              <w:rPr>
                <w:sz w:val="20"/>
                <w:szCs w:val="20"/>
                <w:lang w:val="en-US"/>
              </w:rPr>
            </w:pPr>
            <w:r>
              <w:rPr>
                <w:sz w:val="20"/>
                <w:szCs w:val="20"/>
                <w:lang w:val="en-US"/>
              </w:rPr>
              <w:t>2</w:t>
            </w:r>
            <w:r w:rsidR="003C2DE9">
              <w:rPr>
                <w:sz w:val="20"/>
                <w:szCs w:val="20"/>
                <w:lang w:val="en-US"/>
              </w:rPr>
              <w:t>7</w:t>
            </w:r>
            <w:r w:rsidR="00BB0F0D" w:rsidRPr="0070318B">
              <w:rPr>
                <w:sz w:val="20"/>
                <w:szCs w:val="20"/>
                <w:lang w:val="en-US"/>
              </w:rPr>
              <w:t>’</w:t>
            </w:r>
            <w:r w:rsidR="003C2DE9">
              <w:rPr>
                <w:sz w:val="20"/>
                <w:szCs w:val="20"/>
                <w:lang w:val="en-US"/>
              </w:rPr>
              <w:t>307</w:t>
            </w:r>
          </w:p>
        </w:tc>
        <w:tc>
          <w:tcPr>
            <w:tcW w:w="1274" w:type="dxa"/>
          </w:tcPr>
          <w:p w:rsidR="009E3B74" w:rsidRPr="0070318B" w:rsidRDefault="00BB0F0D" w:rsidP="003C2DE9">
            <w:pPr>
              <w:pStyle w:val="enumlev1"/>
              <w:tabs>
                <w:tab w:val="clear" w:pos="567"/>
                <w:tab w:val="left" w:pos="0"/>
              </w:tabs>
              <w:ind w:left="0" w:firstLine="0"/>
              <w:jc w:val="right"/>
              <w:rPr>
                <w:sz w:val="20"/>
                <w:szCs w:val="20"/>
                <w:lang w:val="en-US"/>
              </w:rPr>
            </w:pPr>
            <w:r w:rsidRPr="0070318B">
              <w:rPr>
                <w:sz w:val="20"/>
                <w:szCs w:val="20"/>
                <w:lang w:val="en-US"/>
              </w:rPr>
              <w:t>4</w:t>
            </w:r>
            <w:r w:rsidR="00F71A5B">
              <w:rPr>
                <w:sz w:val="20"/>
                <w:szCs w:val="20"/>
                <w:lang w:val="en-US"/>
              </w:rPr>
              <w:t>3</w:t>
            </w:r>
            <w:r w:rsidRPr="0070318B">
              <w:rPr>
                <w:sz w:val="20"/>
                <w:szCs w:val="20"/>
                <w:lang w:val="en-US"/>
              </w:rPr>
              <w:t>’</w:t>
            </w:r>
            <w:r w:rsidR="003C2DE9">
              <w:rPr>
                <w:sz w:val="20"/>
                <w:szCs w:val="20"/>
                <w:lang w:val="en-US"/>
              </w:rPr>
              <w:t>019</w:t>
            </w:r>
          </w:p>
        </w:tc>
      </w:tr>
      <w:tr w:rsidR="009E3B74" w:rsidRPr="00E51001" w:rsidTr="00DF77D5">
        <w:tc>
          <w:tcPr>
            <w:tcW w:w="2326" w:type="dxa"/>
          </w:tcPr>
          <w:p w:rsidR="009E3B74" w:rsidRPr="0070318B" w:rsidRDefault="009E3B74" w:rsidP="00D073A3">
            <w:pPr>
              <w:pStyle w:val="enumlev1"/>
              <w:tabs>
                <w:tab w:val="clear" w:pos="567"/>
                <w:tab w:val="left" w:pos="0"/>
              </w:tabs>
              <w:ind w:left="0" w:firstLine="0"/>
              <w:rPr>
                <w:b/>
                <w:bCs/>
                <w:sz w:val="20"/>
                <w:szCs w:val="20"/>
                <w:lang w:val="en-US"/>
              </w:rPr>
            </w:pPr>
            <w:r w:rsidRPr="0070318B">
              <w:rPr>
                <w:b/>
                <w:bCs/>
                <w:sz w:val="20"/>
                <w:szCs w:val="20"/>
                <w:lang w:val="en-US"/>
              </w:rPr>
              <w:t>Total liabilities</w:t>
            </w:r>
          </w:p>
        </w:tc>
        <w:tc>
          <w:tcPr>
            <w:tcW w:w="1483" w:type="dxa"/>
          </w:tcPr>
          <w:p w:rsidR="009E3B74" w:rsidRPr="0070318B" w:rsidRDefault="009E3B74" w:rsidP="003200DC">
            <w:pPr>
              <w:pStyle w:val="enumlev1"/>
              <w:tabs>
                <w:tab w:val="clear" w:pos="567"/>
                <w:tab w:val="left" w:pos="0"/>
              </w:tabs>
              <w:ind w:left="0" w:firstLine="0"/>
              <w:jc w:val="right"/>
              <w:rPr>
                <w:sz w:val="20"/>
                <w:szCs w:val="20"/>
                <w:highlight w:val="yellow"/>
                <w:lang w:val="en-US"/>
              </w:rPr>
            </w:pPr>
          </w:p>
        </w:tc>
        <w:tc>
          <w:tcPr>
            <w:tcW w:w="1536" w:type="dxa"/>
          </w:tcPr>
          <w:p w:rsidR="009E3B74" w:rsidRPr="0070318B" w:rsidRDefault="009E3B74" w:rsidP="003200DC">
            <w:pPr>
              <w:pStyle w:val="enumlev1"/>
              <w:tabs>
                <w:tab w:val="clear" w:pos="567"/>
                <w:tab w:val="left" w:pos="0"/>
              </w:tabs>
              <w:ind w:left="0" w:firstLine="0"/>
              <w:jc w:val="right"/>
              <w:rPr>
                <w:sz w:val="20"/>
                <w:szCs w:val="20"/>
                <w:lang w:val="en-US"/>
              </w:rPr>
            </w:pPr>
            <w:r w:rsidRPr="0070318B">
              <w:rPr>
                <w:sz w:val="20"/>
                <w:szCs w:val="20"/>
                <w:lang w:val="en-US"/>
              </w:rPr>
              <w:t>1’493</w:t>
            </w:r>
          </w:p>
        </w:tc>
        <w:tc>
          <w:tcPr>
            <w:tcW w:w="1426" w:type="dxa"/>
          </w:tcPr>
          <w:p w:rsidR="009E3B74" w:rsidRPr="0070318B" w:rsidRDefault="00BB0F0D" w:rsidP="003C2DE9">
            <w:pPr>
              <w:pStyle w:val="enumlev1"/>
              <w:tabs>
                <w:tab w:val="clear" w:pos="567"/>
                <w:tab w:val="left" w:pos="0"/>
              </w:tabs>
              <w:ind w:left="0" w:firstLine="0"/>
              <w:jc w:val="right"/>
              <w:rPr>
                <w:sz w:val="20"/>
                <w:szCs w:val="20"/>
                <w:lang w:val="en-US"/>
              </w:rPr>
            </w:pPr>
            <w:r w:rsidRPr="0070318B">
              <w:rPr>
                <w:sz w:val="20"/>
                <w:szCs w:val="20"/>
                <w:lang w:val="en-US"/>
              </w:rPr>
              <w:t>1</w:t>
            </w:r>
            <w:r w:rsidR="00F71A5B">
              <w:rPr>
                <w:sz w:val="20"/>
                <w:szCs w:val="20"/>
                <w:lang w:val="en-US"/>
              </w:rPr>
              <w:t>4</w:t>
            </w:r>
            <w:r w:rsidRPr="0070318B">
              <w:rPr>
                <w:sz w:val="20"/>
                <w:szCs w:val="20"/>
                <w:lang w:val="en-US"/>
              </w:rPr>
              <w:t>’</w:t>
            </w:r>
            <w:r w:rsidR="003C2DE9">
              <w:rPr>
                <w:sz w:val="20"/>
                <w:szCs w:val="20"/>
                <w:lang w:val="en-US"/>
              </w:rPr>
              <w:t>219</w:t>
            </w:r>
          </w:p>
        </w:tc>
        <w:tc>
          <w:tcPr>
            <w:tcW w:w="1277" w:type="dxa"/>
          </w:tcPr>
          <w:p w:rsidR="009E3B74" w:rsidRPr="0070318B" w:rsidRDefault="00F71A5B" w:rsidP="003C2DE9">
            <w:pPr>
              <w:pStyle w:val="enumlev1"/>
              <w:tabs>
                <w:tab w:val="clear" w:pos="567"/>
                <w:tab w:val="left" w:pos="0"/>
              </w:tabs>
              <w:ind w:left="0" w:firstLine="0"/>
              <w:jc w:val="right"/>
              <w:rPr>
                <w:sz w:val="20"/>
                <w:szCs w:val="20"/>
                <w:lang w:val="en-US"/>
              </w:rPr>
            </w:pPr>
            <w:r>
              <w:rPr>
                <w:sz w:val="20"/>
                <w:szCs w:val="20"/>
                <w:lang w:val="en-US"/>
              </w:rPr>
              <w:t>2</w:t>
            </w:r>
            <w:r w:rsidR="003C2DE9">
              <w:rPr>
                <w:sz w:val="20"/>
                <w:szCs w:val="20"/>
                <w:lang w:val="en-US"/>
              </w:rPr>
              <w:t>7</w:t>
            </w:r>
            <w:r w:rsidR="00BB0F0D" w:rsidRPr="0070318B">
              <w:rPr>
                <w:sz w:val="20"/>
                <w:szCs w:val="20"/>
                <w:lang w:val="en-US"/>
              </w:rPr>
              <w:t>’</w:t>
            </w:r>
            <w:r w:rsidR="003C2DE9">
              <w:rPr>
                <w:sz w:val="20"/>
                <w:szCs w:val="20"/>
                <w:lang w:val="en-US"/>
              </w:rPr>
              <w:t>307</w:t>
            </w:r>
          </w:p>
        </w:tc>
        <w:tc>
          <w:tcPr>
            <w:tcW w:w="1274" w:type="dxa"/>
          </w:tcPr>
          <w:p w:rsidR="009E3B74" w:rsidRPr="0070318B" w:rsidRDefault="00BB0F0D" w:rsidP="003C2DE9">
            <w:pPr>
              <w:pStyle w:val="enumlev1"/>
              <w:tabs>
                <w:tab w:val="clear" w:pos="567"/>
                <w:tab w:val="left" w:pos="0"/>
              </w:tabs>
              <w:ind w:left="0" w:firstLine="0"/>
              <w:jc w:val="right"/>
              <w:rPr>
                <w:sz w:val="20"/>
                <w:szCs w:val="20"/>
                <w:lang w:val="en-US"/>
              </w:rPr>
            </w:pPr>
            <w:r w:rsidRPr="0070318B">
              <w:rPr>
                <w:sz w:val="20"/>
                <w:szCs w:val="20"/>
                <w:lang w:val="en-US"/>
              </w:rPr>
              <w:t>4</w:t>
            </w:r>
            <w:r w:rsidR="00F71A5B">
              <w:rPr>
                <w:sz w:val="20"/>
                <w:szCs w:val="20"/>
                <w:lang w:val="en-US"/>
              </w:rPr>
              <w:t>3’</w:t>
            </w:r>
            <w:r w:rsidR="003C2DE9">
              <w:rPr>
                <w:sz w:val="20"/>
                <w:szCs w:val="20"/>
                <w:lang w:val="en-US"/>
              </w:rPr>
              <w:t>019</w:t>
            </w:r>
          </w:p>
        </w:tc>
      </w:tr>
    </w:tbl>
    <w:p w:rsidR="00EE259B" w:rsidRPr="00EE259B" w:rsidRDefault="0022373A" w:rsidP="006A440E">
      <w:pPr>
        <w:pStyle w:val="Heading5"/>
        <w:jc w:val="both"/>
        <w:rPr>
          <w:lang w:val="en-US"/>
        </w:rPr>
      </w:pPr>
      <w:bookmarkStart w:id="67" w:name="_Toc305764079"/>
      <w:bookmarkStart w:id="68" w:name="_Toc329011630"/>
      <w:r w:rsidRPr="001C2A98">
        <w:rPr>
          <w:lang w:val="en-US"/>
        </w:rPr>
        <w:t xml:space="preserve">Note </w:t>
      </w:r>
      <w:r w:rsidR="006A440E">
        <w:rPr>
          <w:lang w:val="en-US"/>
        </w:rPr>
        <w:t>5</w:t>
      </w:r>
      <w:r w:rsidRPr="001C2A98">
        <w:rPr>
          <w:lang w:val="en-US"/>
        </w:rPr>
        <w:tab/>
        <w:t>Judgment and accounting estimates</w:t>
      </w:r>
      <w:bookmarkEnd w:id="67"/>
      <w:bookmarkEnd w:id="68"/>
    </w:p>
    <w:p w:rsidR="006E41FC" w:rsidRDefault="0022373A" w:rsidP="00BE3C2E">
      <w:pPr>
        <w:jc w:val="both"/>
        <w:rPr>
          <w:lang w:val="en-US"/>
        </w:rPr>
      </w:pPr>
      <w:r w:rsidRPr="001C2A98">
        <w:rPr>
          <w:lang w:val="en-US"/>
        </w:rPr>
        <w:t>Preparation of the financial statements under IPSAS calls for the use of estimates and/or assumptions having a bearing, on the one hand, on the amounts of the assets and liabilities disclosed and the disclosure of contingent assets and obligations at the date of the balance sheet and, on the other hand, on the amount of the revenues and expenses for the accounting period. Although the estimates are based on past experience and on various other factors deemed reasonable in the prevailing circumstances, the results actually obtained may differ from those foreseen when the estimates were made.</w:t>
      </w:r>
    </w:p>
    <w:p w:rsidR="0022373A" w:rsidRPr="001C2A98" w:rsidRDefault="0022373A" w:rsidP="005C41A5">
      <w:pPr>
        <w:jc w:val="both"/>
        <w:rPr>
          <w:lang w:val="en-US"/>
        </w:rPr>
      </w:pPr>
      <w:r w:rsidRPr="001C2A98">
        <w:rPr>
          <w:lang w:val="en-US"/>
        </w:rPr>
        <w:t>Areas entailing a high degree of judgment and complexity or in which assumptions and estimates have a negative impact on the establishment of the financial statements are:</w:t>
      </w:r>
    </w:p>
    <w:p w:rsidR="0022373A" w:rsidRPr="001C2A98" w:rsidRDefault="0022373A" w:rsidP="005C41A5">
      <w:pPr>
        <w:pStyle w:val="enumlev1"/>
        <w:jc w:val="both"/>
        <w:rPr>
          <w:lang w:val="en-US"/>
        </w:rPr>
      </w:pPr>
      <w:r w:rsidRPr="001C2A98">
        <w:rPr>
          <w:lang w:val="en-US"/>
        </w:rPr>
        <w:t>•</w:t>
      </w:r>
      <w:r w:rsidRPr="001C2A98">
        <w:rPr>
          <w:lang w:val="en-US"/>
        </w:rPr>
        <w:tab/>
      </w:r>
      <w:proofErr w:type="gramStart"/>
      <w:r w:rsidRPr="001C2A98">
        <w:rPr>
          <w:lang w:val="en-US"/>
        </w:rPr>
        <w:t>post-employment</w:t>
      </w:r>
      <w:proofErr w:type="gramEnd"/>
      <w:r w:rsidRPr="001C2A98">
        <w:rPr>
          <w:lang w:val="en-US"/>
        </w:rPr>
        <w:t xml:space="preserve"> benefits, particularly where the ASHI plan is concerned</w:t>
      </w:r>
      <w:r w:rsidR="00BF3DB3">
        <w:rPr>
          <w:lang w:val="en-US"/>
        </w:rPr>
        <w:t>;</w:t>
      </w:r>
    </w:p>
    <w:p w:rsidR="0022373A" w:rsidRPr="001C2A98" w:rsidRDefault="0022373A" w:rsidP="005C41A5">
      <w:pPr>
        <w:pStyle w:val="enumlev1"/>
        <w:jc w:val="both"/>
        <w:rPr>
          <w:lang w:val="en-US"/>
        </w:rPr>
      </w:pPr>
      <w:r w:rsidRPr="001C2A98">
        <w:rPr>
          <w:lang w:val="en-US"/>
        </w:rPr>
        <w:t>•</w:t>
      </w:r>
      <w:r w:rsidRPr="001C2A98">
        <w:rPr>
          <w:lang w:val="en-US"/>
        </w:rPr>
        <w:tab/>
      </w:r>
      <w:proofErr w:type="gramStart"/>
      <w:r w:rsidRPr="001C2A98">
        <w:rPr>
          <w:lang w:val="en-US"/>
        </w:rPr>
        <w:t>useful</w:t>
      </w:r>
      <w:proofErr w:type="gramEnd"/>
      <w:r w:rsidRPr="001C2A98">
        <w:rPr>
          <w:lang w:val="en-US"/>
        </w:rPr>
        <w:t xml:space="preserve"> lives of fixed assets and their possible impairment</w:t>
      </w:r>
      <w:r w:rsidR="00BF3DB3">
        <w:rPr>
          <w:lang w:val="en-US"/>
        </w:rPr>
        <w:t>;</w:t>
      </w:r>
    </w:p>
    <w:p w:rsidR="0022373A" w:rsidRPr="001C2A98" w:rsidRDefault="0022373A" w:rsidP="005C41A5">
      <w:pPr>
        <w:pStyle w:val="enumlev1"/>
        <w:jc w:val="both"/>
        <w:rPr>
          <w:lang w:val="en-US"/>
        </w:rPr>
      </w:pPr>
      <w:r w:rsidRPr="001C2A98">
        <w:rPr>
          <w:lang w:val="en-US"/>
        </w:rPr>
        <w:t>•</w:t>
      </w:r>
      <w:r w:rsidRPr="001C2A98">
        <w:rPr>
          <w:lang w:val="en-US"/>
        </w:rPr>
        <w:tab/>
      </w:r>
      <w:proofErr w:type="gramStart"/>
      <w:r w:rsidRPr="001C2A98">
        <w:rPr>
          <w:lang w:val="en-US"/>
        </w:rPr>
        <w:t>provisions</w:t>
      </w:r>
      <w:proofErr w:type="gramEnd"/>
      <w:r w:rsidRPr="001C2A98">
        <w:rPr>
          <w:lang w:val="en-US"/>
        </w:rPr>
        <w:t xml:space="preserve"> for receivables</w:t>
      </w:r>
      <w:r w:rsidR="00BF3DB3">
        <w:rPr>
          <w:lang w:val="en-US"/>
        </w:rPr>
        <w:t>;</w:t>
      </w:r>
      <w:r w:rsidRPr="001C2A98">
        <w:rPr>
          <w:lang w:val="en-US"/>
        </w:rPr>
        <w:t xml:space="preserve"> </w:t>
      </w:r>
    </w:p>
    <w:p w:rsidR="0022373A" w:rsidRPr="001C2A98" w:rsidRDefault="0022373A" w:rsidP="005C41A5">
      <w:pPr>
        <w:pStyle w:val="enumlev1"/>
        <w:jc w:val="both"/>
        <w:rPr>
          <w:lang w:val="en-US"/>
        </w:rPr>
      </w:pPr>
      <w:r w:rsidRPr="001C2A98">
        <w:rPr>
          <w:lang w:val="en-US"/>
        </w:rPr>
        <w:t>•</w:t>
      </w:r>
      <w:r w:rsidRPr="001C2A98">
        <w:rPr>
          <w:lang w:val="en-US"/>
        </w:rPr>
        <w:tab/>
      </w:r>
      <w:proofErr w:type="gramStart"/>
      <w:r w:rsidRPr="001C2A98">
        <w:rPr>
          <w:lang w:val="en-US"/>
        </w:rPr>
        <w:t>probability</w:t>
      </w:r>
      <w:proofErr w:type="gramEnd"/>
      <w:r w:rsidRPr="001C2A98">
        <w:rPr>
          <w:lang w:val="en-US"/>
        </w:rPr>
        <w:t xml:space="preserve"> of sale in stocks of publications</w:t>
      </w:r>
      <w:r w:rsidR="00BF3DB3">
        <w:rPr>
          <w:lang w:val="en-US"/>
        </w:rPr>
        <w:t>;</w:t>
      </w:r>
    </w:p>
    <w:p w:rsidR="0022373A" w:rsidRDefault="0022373A" w:rsidP="005C41A5">
      <w:pPr>
        <w:pStyle w:val="enumlev1"/>
        <w:jc w:val="both"/>
        <w:rPr>
          <w:lang w:val="en-US"/>
        </w:rPr>
      </w:pPr>
      <w:r w:rsidRPr="001C2A98">
        <w:rPr>
          <w:lang w:val="en-US"/>
        </w:rPr>
        <w:t>•</w:t>
      </w:r>
      <w:r w:rsidRPr="001C2A98">
        <w:rPr>
          <w:lang w:val="en-US"/>
        </w:rPr>
        <w:tab/>
        <w:t>deferred revenue from satellite network filings.</w:t>
      </w:r>
    </w:p>
    <w:p w:rsidR="0022373A" w:rsidRDefault="0022373A" w:rsidP="00E47170">
      <w:pPr>
        <w:pStyle w:val="Heading5"/>
        <w:spacing w:before="120" w:after="120"/>
        <w:jc w:val="both"/>
        <w:rPr>
          <w:lang w:val="en-US"/>
        </w:rPr>
      </w:pPr>
      <w:bookmarkStart w:id="69" w:name="_Toc305764081"/>
      <w:bookmarkStart w:id="70" w:name="_Toc329011631"/>
      <w:r w:rsidRPr="001C2A98">
        <w:rPr>
          <w:lang w:val="en-US"/>
        </w:rPr>
        <w:t xml:space="preserve">Note </w:t>
      </w:r>
      <w:r w:rsidR="006A440E">
        <w:rPr>
          <w:lang w:val="en-US"/>
        </w:rPr>
        <w:t>6</w:t>
      </w:r>
      <w:r w:rsidRPr="001C2A98">
        <w:rPr>
          <w:lang w:val="en-US"/>
        </w:rPr>
        <w:t xml:space="preserve"> </w:t>
      </w:r>
      <w:r w:rsidRPr="001C2A98">
        <w:rPr>
          <w:lang w:val="en-US"/>
        </w:rPr>
        <w:tab/>
      </w:r>
      <w:r w:rsidRPr="00ED0279">
        <w:rPr>
          <w:lang w:val="en-US"/>
        </w:rPr>
        <w:t>Cash and cash equivalents</w:t>
      </w:r>
      <w:bookmarkEnd w:id="69"/>
      <w:bookmarkEnd w:id="70"/>
    </w:p>
    <w:tbl>
      <w:tblPr>
        <w:tblW w:w="8140" w:type="dxa"/>
        <w:tblLook w:val="04A0" w:firstRow="1" w:lastRow="0" w:firstColumn="1" w:lastColumn="0" w:noHBand="0" w:noVBand="1"/>
      </w:tblPr>
      <w:tblGrid>
        <w:gridCol w:w="4860"/>
        <w:gridCol w:w="1640"/>
        <w:gridCol w:w="1640"/>
      </w:tblGrid>
      <w:tr w:rsidR="00110E1F" w:rsidRPr="00110E1F" w:rsidTr="00110E1F">
        <w:trPr>
          <w:trHeight w:val="499"/>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0E1F" w:rsidRPr="00110E1F" w:rsidRDefault="00110E1F" w:rsidP="00110E1F">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110E1F">
              <w:rPr>
                <w:rFonts w:ascii="Arial" w:hAnsi="Arial" w:cs="Arial"/>
                <w:color w:val="000000"/>
                <w:sz w:val="20"/>
                <w:lang w:val="en-US" w:eastAsia="zh-CN"/>
              </w:rPr>
              <w:t xml:space="preserve">In thousands of CHF </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rsidR="00110E1F" w:rsidRPr="00110E1F" w:rsidRDefault="00110E1F" w:rsidP="00110E1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110E1F">
              <w:rPr>
                <w:rFonts w:ascii="Arial" w:hAnsi="Arial" w:cs="Arial"/>
                <w:b/>
                <w:bCs/>
                <w:color w:val="000000"/>
                <w:sz w:val="20"/>
                <w:lang w:val="en-US" w:eastAsia="zh-CN"/>
              </w:rPr>
              <w:t>31.12.2017</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rsidR="00110E1F" w:rsidRPr="00110E1F" w:rsidRDefault="00110E1F" w:rsidP="00110E1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110E1F">
              <w:rPr>
                <w:rFonts w:ascii="Arial" w:hAnsi="Arial" w:cs="Arial"/>
                <w:b/>
                <w:bCs/>
                <w:color w:val="000000"/>
                <w:sz w:val="20"/>
                <w:lang w:val="en-US" w:eastAsia="zh-CN"/>
              </w:rPr>
              <w:t>31.12.2016</w:t>
            </w:r>
          </w:p>
        </w:tc>
      </w:tr>
      <w:tr w:rsidR="00110E1F" w:rsidRPr="00110E1F" w:rsidTr="00110E1F">
        <w:trPr>
          <w:trHeight w:val="255"/>
        </w:trPr>
        <w:tc>
          <w:tcPr>
            <w:tcW w:w="4860" w:type="dxa"/>
            <w:tcBorders>
              <w:top w:val="nil"/>
              <w:left w:val="single" w:sz="4" w:space="0" w:color="auto"/>
              <w:bottom w:val="nil"/>
              <w:right w:val="single" w:sz="4" w:space="0" w:color="auto"/>
            </w:tcBorders>
            <w:shd w:val="clear" w:color="auto" w:fill="auto"/>
            <w:noWrap/>
            <w:vAlign w:val="bottom"/>
            <w:hideMark/>
          </w:tcPr>
          <w:p w:rsidR="00110E1F" w:rsidRPr="00110E1F" w:rsidRDefault="00110E1F" w:rsidP="00110E1F">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110E1F">
              <w:rPr>
                <w:rFonts w:ascii="Arial" w:hAnsi="Arial" w:cs="Arial"/>
                <w:color w:val="000000"/>
                <w:sz w:val="20"/>
                <w:lang w:val="en-US" w:eastAsia="zh-CN"/>
              </w:rPr>
              <w:t> </w:t>
            </w:r>
          </w:p>
        </w:tc>
        <w:tc>
          <w:tcPr>
            <w:tcW w:w="1640" w:type="dxa"/>
            <w:tcBorders>
              <w:top w:val="nil"/>
              <w:left w:val="nil"/>
              <w:bottom w:val="nil"/>
              <w:right w:val="single" w:sz="4" w:space="0" w:color="auto"/>
            </w:tcBorders>
            <w:shd w:val="clear" w:color="auto" w:fill="auto"/>
            <w:noWrap/>
            <w:vAlign w:val="bottom"/>
            <w:hideMark/>
          </w:tcPr>
          <w:p w:rsidR="00110E1F" w:rsidRPr="00110E1F" w:rsidRDefault="00110E1F" w:rsidP="00110E1F">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110E1F">
              <w:rPr>
                <w:rFonts w:ascii="Arial" w:hAnsi="Arial" w:cs="Arial"/>
                <w:color w:val="000000"/>
                <w:sz w:val="20"/>
                <w:lang w:val="en-US" w:eastAsia="zh-CN"/>
              </w:rPr>
              <w:t> </w:t>
            </w:r>
          </w:p>
        </w:tc>
        <w:tc>
          <w:tcPr>
            <w:tcW w:w="1640" w:type="dxa"/>
            <w:tcBorders>
              <w:top w:val="single" w:sz="4" w:space="0" w:color="auto"/>
              <w:left w:val="nil"/>
              <w:bottom w:val="nil"/>
              <w:right w:val="single" w:sz="4" w:space="0" w:color="auto"/>
            </w:tcBorders>
            <w:shd w:val="clear" w:color="auto" w:fill="auto"/>
            <w:noWrap/>
            <w:vAlign w:val="bottom"/>
            <w:hideMark/>
          </w:tcPr>
          <w:p w:rsidR="00110E1F" w:rsidRPr="00110E1F" w:rsidRDefault="00110E1F" w:rsidP="00110E1F">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20"/>
                <w:lang w:val="en-US" w:eastAsia="zh-CN"/>
              </w:rPr>
            </w:pPr>
            <w:r w:rsidRPr="00110E1F">
              <w:rPr>
                <w:rFonts w:ascii="Arial" w:hAnsi="Arial" w:cs="Arial"/>
                <w:color w:val="000000"/>
                <w:sz w:val="20"/>
                <w:lang w:val="en-US" w:eastAsia="zh-CN"/>
              </w:rPr>
              <w:t> </w:t>
            </w:r>
          </w:p>
        </w:tc>
      </w:tr>
      <w:tr w:rsidR="00110E1F" w:rsidRPr="00110E1F" w:rsidTr="00110E1F">
        <w:trPr>
          <w:trHeight w:val="255"/>
        </w:trPr>
        <w:tc>
          <w:tcPr>
            <w:tcW w:w="4860" w:type="dxa"/>
            <w:tcBorders>
              <w:top w:val="nil"/>
              <w:left w:val="single" w:sz="4" w:space="0" w:color="auto"/>
              <w:bottom w:val="nil"/>
              <w:right w:val="single" w:sz="4" w:space="0" w:color="auto"/>
            </w:tcBorders>
            <w:shd w:val="clear" w:color="auto" w:fill="auto"/>
            <w:noWrap/>
            <w:vAlign w:val="bottom"/>
            <w:hideMark/>
          </w:tcPr>
          <w:p w:rsidR="00110E1F" w:rsidRPr="00110E1F" w:rsidRDefault="00110E1F" w:rsidP="00110E1F">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110E1F">
              <w:rPr>
                <w:rFonts w:ascii="Arial" w:hAnsi="Arial" w:cs="Arial"/>
                <w:color w:val="000000"/>
                <w:sz w:val="20"/>
                <w:lang w:val="en-US" w:eastAsia="zh-CN"/>
              </w:rPr>
              <w:t>Cash in CHF</w:t>
            </w:r>
          </w:p>
        </w:tc>
        <w:tc>
          <w:tcPr>
            <w:tcW w:w="1640" w:type="dxa"/>
            <w:tcBorders>
              <w:top w:val="nil"/>
              <w:left w:val="nil"/>
              <w:bottom w:val="nil"/>
              <w:right w:val="single" w:sz="4" w:space="0" w:color="auto"/>
            </w:tcBorders>
            <w:shd w:val="clear" w:color="auto" w:fill="auto"/>
            <w:noWrap/>
            <w:vAlign w:val="bottom"/>
            <w:hideMark/>
          </w:tcPr>
          <w:p w:rsidR="00110E1F" w:rsidRPr="00110E1F" w:rsidRDefault="00110E1F" w:rsidP="00110E1F">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110E1F">
              <w:rPr>
                <w:rFonts w:ascii="Arial" w:hAnsi="Arial" w:cs="Arial"/>
                <w:color w:val="000000"/>
                <w:sz w:val="20"/>
                <w:lang w:val="en-US" w:eastAsia="zh-CN"/>
              </w:rPr>
              <w:t xml:space="preserve">                     19 </w:t>
            </w:r>
          </w:p>
        </w:tc>
        <w:tc>
          <w:tcPr>
            <w:tcW w:w="1640" w:type="dxa"/>
            <w:tcBorders>
              <w:top w:val="nil"/>
              <w:left w:val="nil"/>
              <w:bottom w:val="nil"/>
              <w:right w:val="single" w:sz="4" w:space="0" w:color="auto"/>
            </w:tcBorders>
            <w:shd w:val="clear" w:color="auto" w:fill="auto"/>
            <w:noWrap/>
            <w:vAlign w:val="bottom"/>
            <w:hideMark/>
          </w:tcPr>
          <w:p w:rsidR="00110E1F" w:rsidRPr="00110E1F" w:rsidRDefault="00110E1F" w:rsidP="00110E1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110E1F">
              <w:rPr>
                <w:rFonts w:ascii="Arial" w:hAnsi="Arial" w:cs="Arial"/>
                <w:color w:val="000000"/>
                <w:sz w:val="20"/>
                <w:lang w:val="en-US" w:eastAsia="zh-CN"/>
              </w:rPr>
              <w:t>12</w:t>
            </w:r>
          </w:p>
        </w:tc>
      </w:tr>
      <w:tr w:rsidR="00110E1F" w:rsidRPr="00110E1F" w:rsidTr="00110E1F">
        <w:trPr>
          <w:trHeight w:val="255"/>
        </w:trPr>
        <w:tc>
          <w:tcPr>
            <w:tcW w:w="4860" w:type="dxa"/>
            <w:tcBorders>
              <w:top w:val="nil"/>
              <w:left w:val="single" w:sz="4" w:space="0" w:color="auto"/>
              <w:bottom w:val="nil"/>
              <w:right w:val="single" w:sz="4" w:space="0" w:color="auto"/>
            </w:tcBorders>
            <w:shd w:val="clear" w:color="auto" w:fill="auto"/>
            <w:noWrap/>
            <w:vAlign w:val="bottom"/>
            <w:hideMark/>
          </w:tcPr>
          <w:p w:rsidR="00110E1F" w:rsidRPr="00110E1F" w:rsidRDefault="00110E1F" w:rsidP="00110E1F">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110E1F">
              <w:rPr>
                <w:rFonts w:ascii="Arial" w:hAnsi="Arial" w:cs="Arial"/>
                <w:color w:val="000000"/>
                <w:sz w:val="20"/>
                <w:lang w:val="en-US" w:eastAsia="zh-CN"/>
              </w:rPr>
              <w:t>Cash in foreign currency</w:t>
            </w:r>
          </w:p>
        </w:tc>
        <w:tc>
          <w:tcPr>
            <w:tcW w:w="1640" w:type="dxa"/>
            <w:tcBorders>
              <w:top w:val="nil"/>
              <w:left w:val="nil"/>
              <w:bottom w:val="nil"/>
              <w:right w:val="single" w:sz="4" w:space="0" w:color="auto"/>
            </w:tcBorders>
            <w:shd w:val="clear" w:color="auto" w:fill="auto"/>
            <w:noWrap/>
            <w:vAlign w:val="bottom"/>
            <w:hideMark/>
          </w:tcPr>
          <w:p w:rsidR="00110E1F" w:rsidRPr="00110E1F" w:rsidRDefault="00110E1F" w:rsidP="00110E1F">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110E1F">
              <w:rPr>
                <w:rFonts w:ascii="Arial" w:hAnsi="Arial" w:cs="Arial"/>
                <w:color w:val="000000"/>
                <w:sz w:val="20"/>
                <w:lang w:val="en-US" w:eastAsia="zh-CN"/>
              </w:rPr>
              <w:t xml:space="preserve">                   129 </w:t>
            </w:r>
          </w:p>
        </w:tc>
        <w:tc>
          <w:tcPr>
            <w:tcW w:w="1640" w:type="dxa"/>
            <w:tcBorders>
              <w:top w:val="nil"/>
              <w:left w:val="nil"/>
              <w:bottom w:val="nil"/>
              <w:right w:val="single" w:sz="4" w:space="0" w:color="auto"/>
            </w:tcBorders>
            <w:shd w:val="clear" w:color="auto" w:fill="auto"/>
            <w:noWrap/>
            <w:vAlign w:val="bottom"/>
            <w:hideMark/>
          </w:tcPr>
          <w:p w:rsidR="00110E1F" w:rsidRPr="00110E1F" w:rsidRDefault="00110E1F" w:rsidP="00110E1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110E1F">
              <w:rPr>
                <w:rFonts w:ascii="Arial" w:hAnsi="Arial" w:cs="Arial"/>
                <w:color w:val="000000"/>
                <w:sz w:val="20"/>
                <w:lang w:val="en-US" w:eastAsia="zh-CN"/>
              </w:rPr>
              <w:t>130</w:t>
            </w:r>
          </w:p>
        </w:tc>
      </w:tr>
      <w:tr w:rsidR="00110E1F" w:rsidRPr="00110E1F" w:rsidTr="00110E1F">
        <w:trPr>
          <w:trHeight w:val="255"/>
        </w:trPr>
        <w:tc>
          <w:tcPr>
            <w:tcW w:w="4860" w:type="dxa"/>
            <w:tcBorders>
              <w:top w:val="nil"/>
              <w:left w:val="single" w:sz="4" w:space="0" w:color="auto"/>
              <w:bottom w:val="nil"/>
              <w:right w:val="single" w:sz="4" w:space="0" w:color="auto"/>
            </w:tcBorders>
            <w:shd w:val="clear" w:color="auto" w:fill="auto"/>
            <w:noWrap/>
            <w:vAlign w:val="bottom"/>
            <w:hideMark/>
          </w:tcPr>
          <w:p w:rsidR="00110E1F" w:rsidRPr="00110E1F" w:rsidRDefault="00110E1F" w:rsidP="00110E1F">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110E1F">
              <w:rPr>
                <w:rFonts w:ascii="Arial" w:hAnsi="Arial" w:cs="Arial"/>
                <w:color w:val="000000"/>
                <w:sz w:val="20"/>
                <w:lang w:val="en-US" w:eastAsia="zh-CN"/>
              </w:rPr>
              <w:t xml:space="preserve">Postal accounts in CHF </w:t>
            </w:r>
          </w:p>
        </w:tc>
        <w:tc>
          <w:tcPr>
            <w:tcW w:w="1640" w:type="dxa"/>
            <w:tcBorders>
              <w:top w:val="nil"/>
              <w:left w:val="nil"/>
              <w:bottom w:val="nil"/>
              <w:right w:val="single" w:sz="4" w:space="0" w:color="auto"/>
            </w:tcBorders>
            <w:shd w:val="clear" w:color="auto" w:fill="auto"/>
            <w:noWrap/>
            <w:vAlign w:val="bottom"/>
            <w:hideMark/>
          </w:tcPr>
          <w:p w:rsidR="00110E1F" w:rsidRPr="00110E1F" w:rsidRDefault="00110E1F" w:rsidP="00110E1F">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110E1F">
              <w:rPr>
                <w:rFonts w:ascii="Arial" w:hAnsi="Arial" w:cs="Arial"/>
                <w:color w:val="000000"/>
                <w:sz w:val="20"/>
                <w:lang w:val="en-US" w:eastAsia="zh-CN"/>
              </w:rPr>
              <w:t xml:space="preserve">                   818 </w:t>
            </w:r>
          </w:p>
        </w:tc>
        <w:tc>
          <w:tcPr>
            <w:tcW w:w="1640" w:type="dxa"/>
            <w:tcBorders>
              <w:top w:val="nil"/>
              <w:left w:val="nil"/>
              <w:bottom w:val="nil"/>
              <w:right w:val="single" w:sz="4" w:space="0" w:color="auto"/>
            </w:tcBorders>
            <w:shd w:val="clear" w:color="auto" w:fill="auto"/>
            <w:noWrap/>
            <w:vAlign w:val="bottom"/>
            <w:hideMark/>
          </w:tcPr>
          <w:p w:rsidR="00110E1F" w:rsidRPr="00110E1F" w:rsidRDefault="00110E1F" w:rsidP="00110E1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110E1F">
              <w:rPr>
                <w:rFonts w:ascii="Arial" w:hAnsi="Arial" w:cs="Arial"/>
                <w:color w:val="000000"/>
                <w:sz w:val="20"/>
                <w:lang w:val="en-US" w:eastAsia="zh-CN"/>
              </w:rPr>
              <w:t>848</w:t>
            </w:r>
          </w:p>
        </w:tc>
      </w:tr>
      <w:tr w:rsidR="00110E1F" w:rsidRPr="00110E1F" w:rsidTr="00110E1F">
        <w:trPr>
          <w:trHeight w:val="255"/>
        </w:trPr>
        <w:tc>
          <w:tcPr>
            <w:tcW w:w="4860" w:type="dxa"/>
            <w:tcBorders>
              <w:top w:val="nil"/>
              <w:left w:val="single" w:sz="4" w:space="0" w:color="auto"/>
              <w:bottom w:val="nil"/>
              <w:right w:val="single" w:sz="4" w:space="0" w:color="auto"/>
            </w:tcBorders>
            <w:shd w:val="clear" w:color="auto" w:fill="auto"/>
            <w:noWrap/>
            <w:vAlign w:val="bottom"/>
            <w:hideMark/>
          </w:tcPr>
          <w:p w:rsidR="00110E1F" w:rsidRPr="00110E1F" w:rsidRDefault="00110E1F" w:rsidP="00110E1F">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110E1F">
              <w:rPr>
                <w:rFonts w:ascii="Arial" w:hAnsi="Arial" w:cs="Arial"/>
                <w:color w:val="000000"/>
                <w:sz w:val="20"/>
                <w:lang w:val="en-US" w:eastAsia="zh-CN"/>
              </w:rPr>
              <w:t>Bank current accounts in CHF</w:t>
            </w:r>
          </w:p>
        </w:tc>
        <w:tc>
          <w:tcPr>
            <w:tcW w:w="1640" w:type="dxa"/>
            <w:tcBorders>
              <w:top w:val="nil"/>
              <w:left w:val="nil"/>
              <w:bottom w:val="nil"/>
              <w:right w:val="single" w:sz="4" w:space="0" w:color="auto"/>
            </w:tcBorders>
            <w:shd w:val="clear" w:color="auto" w:fill="auto"/>
            <w:noWrap/>
            <w:vAlign w:val="bottom"/>
            <w:hideMark/>
          </w:tcPr>
          <w:p w:rsidR="00110E1F" w:rsidRPr="00110E1F" w:rsidRDefault="00110E1F" w:rsidP="00110E1F">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110E1F">
              <w:rPr>
                <w:rFonts w:ascii="Arial" w:hAnsi="Arial" w:cs="Arial"/>
                <w:color w:val="000000"/>
                <w:sz w:val="20"/>
                <w:lang w:val="en-US" w:eastAsia="zh-CN"/>
              </w:rPr>
              <w:t xml:space="preserve">               9,787 </w:t>
            </w:r>
          </w:p>
        </w:tc>
        <w:tc>
          <w:tcPr>
            <w:tcW w:w="1640" w:type="dxa"/>
            <w:tcBorders>
              <w:top w:val="nil"/>
              <w:left w:val="nil"/>
              <w:bottom w:val="nil"/>
              <w:right w:val="single" w:sz="4" w:space="0" w:color="auto"/>
            </w:tcBorders>
            <w:shd w:val="clear" w:color="auto" w:fill="auto"/>
            <w:noWrap/>
            <w:vAlign w:val="bottom"/>
            <w:hideMark/>
          </w:tcPr>
          <w:p w:rsidR="00110E1F" w:rsidRPr="00110E1F" w:rsidRDefault="00110E1F" w:rsidP="00110E1F">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110E1F">
              <w:rPr>
                <w:rFonts w:ascii="Arial" w:hAnsi="Arial" w:cs="Arial"/>
                <w:color w:val="000000"/>
                <w:sz w:val="20"/>
                <w:lang w:val="en-US" w:eastAsia="zh-CN"/>
              </w:rPr>
              <w:t xml:space="preserve">              74,982 </w:t>
            </w:r>
          </w:p>
        </w:tc>
      </w:tr>
      <w:tr w:rsidR="00110E1F" w:rsidRPr="00110E1F" w:rsidTr="00110E1F">
        <w:trPr>
          <w:trHeight w:val="255"/>
        </w:trPr>
        <w:tc>
          <w:tcPr>
            <w:tcW w:w="4860" w:type="dxa"/>
            <w:tcBorders>
              <w:top w:val="nil"/>
              <w:left w:val="single" w:sz="4" w:space="0" w:color="auto"/>
              <w:bottom w:val="nil"/>
              <w:right w:val="single" w:sz="4" w:space="0" w:color="auto"/>
            </w:tcBorders>
            <w:shd w:val="clear" w:color="auto" w:fill="auto"/>
            <w:noWrap/>
            <w:vAlign w:val="bottom"/>
            <w:hideMark/>
          </w:tcPr>
          <w:p w:rsidR="00110E1F" w:rsidRPr="00110E1F" w:rsidRDefault="00110E1F" w:rsidP="00110E1F">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110E1F">
              <w:rPr>
                <w:rFonts w:ascii="Arial" w:hAnsi="Arial" w:cs="Arial"/>
                <w:color w:val="000000"/>
                <w:sz w:val="20"/>
                <w:lang w:val="en-US" w:eastAsia="zh-CN"/>
              </w:rPr>
              <w:t>Bank current accounts in foreign currency</w:t>
            </w:r>
          </w:p>
        </w:tc>
        <w:tc>
          <w:tcPr>
            <w:tcW w:w="1640" w:type="dxa"/>
            <w:tcBorders>
              <w:top w:val="nil"/>
              <w:left w:val="nil"/>
              <w:bottom w:val="nil"/>
              <w:right w:val="single" w:sz="4" w:space="0" w:color="auto"/>
            </w:tcBorders>
            <w:shd w:val="clear" w:color="auto" w:fill="auto"/>
            <w:noWrap/>
            <w:vAlign w:val="bottom"/>
            <w:hideMark/>
          </w:tcPr>
          <w:p w:rsidR="00110E1F" w:rsidRPr="00110E1F" w:rsidRDefault="00110E1F" w:rsidP="00110E1F">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110E1F">
              <w:rPr>
                <w:rFonts w:ascii="Arial" w:hAnsi="Arial" w:cs="Arial"/>
                <w:color w:val="000000"/>
                <w:sz w:val="20"/>
                <w:lang w:val="en-US" w:eastAsia="zh-CN"/>
              </w:rPr>
              <w:t xml:space="preserve">               5,758 </w:t>
            </w:r>
          </w:p>
        </w:tc>
        <w:tc>
          <w:tcPr>
            <w:tcW w:w="1640" w:type="dxa"/>
            <w:tcBorders>
              <w:top w:val="nil"/>
              <w:left w:val="nil"/>
              <w:bottom w:val="nil"/>
              <w:right w:val="single" w:sz="4" w:space="0" w:color="auto"/>
            </w:tcBorders>
            <w:shd w:val="clear" w:color="auto" w:fill="auto"/>
            <w:noWrap/>
            <w:vAlign w:val="bottom"/>
            <w:hideMark/>
          </w:tcPr>
          <w:p w:rsidR="00110E1F" w:rsidRPr="00110E1F" w:rsidRDefault="00110E1F" w:rsidP="00110E1F">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110E1F">
              <w:rPr>
                <w:rFonts w:ascii="Arial" w:hAnsi="Arial" w:cs="Arial"/>
                <w:color w:val="000000"/>
                <w:sz w:val="20"/>
                <w:lang w:val="en-US" w:eastAsia="zh-CN"/>
              </w:rPr>
              <w:t xml:space="preserve">              25,912 </w:t>
            </w:r>
          </w:p>
        </w:tc>
      </w:tr>
      <w:tr w:rsidR="00110E1F" w:rsidRPr="00110E1F" w:rsidTr="00110E1F">
        <w:trPr>
          <w:trHeight w:val="255"/>
        </w:trPr>
        <w:tc>
          <w:tcPr>
            <w:tcW w:w="4860" w:type="dxa"/>
            <w:tcBorders>
              <w:top w:val="nil"/>
              <w:left w:val="single" w:sz="4" w:space="0" w:color="auto"/>
              <w:bottom w:val="nil"/>
              <w:right w:val="single" w:sz="4" w:space="0" w:color="auto"/>
            </w:tcBorders>
            <w:shd w:val="clear" w:color="auto" w:fill="auto"/>
            <w:noWrap/>
            <w:vAlign w:val="bottom"/>
            <w:hideMark/>
          </w:tcPr>
          <w:p w:rsidR="00110E1F" w:rsidRPr="00110E1F" w:rsidRDefault="00110E1F" w:rsidP="00110E1F">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110E1F">
              <w:rPr>
                <w:rFonts w:ascii="Arial" w:hAnsi="Arial" w:cs="Arial"/>
                <w:color w:val="000000"/>
                <w:sz w:val="20"/>
                <w:lang w:val="en-US" w:eastAsia="zh-CN"/>
              </w:rPr>
              <w:t xml:space="preserve">Sight accounts in CHF </w:t>
            </w:r>
          </w:p>
        </w:tc>
        <w:tc>
          <w:tcPr>
            <w:tcW w:w="1640" w:type="dxa"/>
            <w:tcBorders>
              <w:top w:val="nil"/>
              <w:left w:val="nil"/>
              <w:bottom w:val="nil"/>
              <w:right w:val="single" w:sz="4" w:space="0" w:color="auto"/>
            </w:tcBorders>
            <w:shd w:val="clear" w:color="auto" w:fill="auto"/>
            <w:noWrap/>
            <w:vAlign w:val="bottom"/>
            <w:hideMark/>
          </w:tcPr>
          <w:p w:rsidR="00110E1F" w:rsidRPr="00110E1F" w:rsidRDefault="00110E1F" w:rsidP="00110E1F">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110E1F">
              <w:rPr>
                <w:rFonts w:ascii="Arial" w:hAnsi="Arial" w:cs="Arial"/>
                <w:color w:val="000000"/>
                <w:sz w:val="20"/>
                <w:lang w:val="en-US" w:eastAsia="zh-CN"/>
              </w:rPr>
              <w:t xml:space="preserve">               8,785 </w:t>
            </w:r>
          </w:p>
        </w:tc>
        <w:tc>
          <w:tcPr>
            <w:tcW w:w="1640" w:type="dxa"/>
            <w:tcBorders>
              <w:top w:val="nil"/>
              <w:left w:val="nil"/>
              <w:bottom w:val="nil"/>
              <w:right w:val="single" w:sz="4" w:space="0" w:color="auto"/>
            </w:tcBorders>
            <w:shd w:val="clear" w:color="auto" w:fill="auto"/>
            <w:noWrap/>
            <w:vAlign w:val="bottom"/>
            <w:hideMark/>
          </w:tcPr>
          <w:p w:rsidR="00110E1F" w:rsidRPr="00110E1F" w:rsidRDefault="00110E1F" w:rsidP="00110E1F">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110E1F">
              <w:rPr>
                <w:rFonts w:ascii="Arial" w:hAnsi="Arial" w:cs="Arial"/>
                <w:color w:val="000000"/>
                <w:sz w:val="20"/>
                <w:lang w:val="en-US" w:eastAsia="zh-CN"/>
              </w:rPr>
              <w:t xml:space="preserve">                6,551 </w:t>
            </w:r>
          </w:p>
        </w:tc>
      </w:tr>
      <w:tr w:rsidR="00110E1F" w:rsidRPr="00110E1F" w:rsidTr="00110E1F">
        <w:trPr>
          <w:trHeight w:val="255"/>
        </w:trPr>
        <w:tc>
          <w:tcPr>
            <w:tcW w:w="4860" w:type="dxa"/>
            <w:tcBorders>
              <w:top w:val="nil"/>
              <w:left w:val="single" w:sz="4" w:space="0" w:color="auto"/>
              <w:bottom w:val="nil"/>
              <w:right w:val="single" w:sz="4" w:space="0" w:color="auto"/>
            </w:tcBorders>
            <w:shd w:val="clear" w:color="auto" w:fill="auto"/>
            <w:noWrap/>
            <w:vAlign w:val="bottom"/>
            <w:hideMark/>
          </w:tcPr>
          <w:p w:rsidR="00110E1F" w:rsidRPr="00110E1F" w:rsidRDefault="00110E1F" w:rsidP="00110E1F">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110E1F">
              <w:rPr>
                <w:rFonts w:ascii="Arial" w:hAnsi="Arial" w:cs="Arial"/>
                <w:color w:val="000000"/>
                <w:sz w:val="20"/>
                <w:lang w:val="en-US" w:eastAsia="zh-CN"/>
              </w:rPr>
              <w:t> </w:t>
            </w:r>
          </w:p>
        </w:tc>
        <w:tc>
          <w:tcPr>
            <w:tcW w:w="1640" w:type="dxa"/>
            <w:tcBorders>
              <w:top w:val="nil"/>
              <w:left w:val="nil"/>
              <w:bottom w:val="nil"/>
              <w:right w:val="single" w:sz="4" w:space="0" w:color="auto"/>
            </w:tcBorders>
            <w:shd w:val="clear" w:color="auto" w:fill="auto"/>
            <w:noWrap/>
            <w:vAlign w:val="bottom"/>
            <w:hideMark/>
          </w:tcPr>
          <w:p w:rsidR="00110E1F" w:rsidRPr="00110E1F" w:rsidRDefault="00110E1F" w:rsidP="00110E1F">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110E1F">
              <w:rPr>
                <w:rFonts w:ascii="Arial" w:hAnsi="Arial" w:cs="Arial"/>
                <w:color w:val="000000"/>
                <w:sz w:val="20"/>
                <w:lang w:val="en-US" w:eastAsia="zh-CN"/>
              </w:rPr>
              <w:t> </w:t>
            </w:r>
          </w:p>
        </w:tc>
        <w:tc>
          <w:tcPr>
            <w:tcW w:w="1640" w:type="dxa"/>
            <w:tcBorders>
              <w:top w:val="nil"/>
              <w:left w:val="nil"/>
              <w:bottom w:val="nil"/>
              <w:right w:val="single" w:sz="4" w:space="0" w:color="auto"/>
            </w:tcBorders>
            <w:shd w:val="clear" w:color="auto" w:fill="auto"/>
            <w:noWrap/>
            <w:vAlign w:val="bottom"/>
            <w:hideMark/>
          </w:tcPr>
          <w:p w:rsidR="00110E1F" w:rsidRPr="00110E1F" w:rsidRDefault="00110E1F" w:rsidP="00110E1F">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110E1F">
              <w:rPr>
                <w:rFonts w:ascii="Arial" w:hAnsi="Arial" w:cs="Arial"/>
                <w:color w:val="000000"/>
                <w:sz w:val="20"/>
                <w:lang w:val="en-US" w:eastAsia="zh-CN"/>
              </w:rPr>
              <w:t> </w:t>
            </w:r>
          </w:p>
        </w:tc>
      </w:tr>
      <w:tr w:rsidR="00110E1F" w:rsidRPr="00110E1F" w:rsidTr="00110E1F">
        <w:trPr>
          <w:trHeight w:val="499"/>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0E1F" w:rsidRPr="00110E1F" w:rsidRDefault="00110E1F" w:rsidP="00110E1F">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20"/>
                <w:lang w:val="en-US" w:eastAsia="zh-CN"/>
              </w:rPr>
            </w:pPr>
            <w:r w:rsidRPr="00110E1F">
              <w:rPr>
                <w:rFonts w:ascii="Arial" w:hAnsi="Arial" w:cs="Arial"/>
                <w:b/>
                <w:bCs/>
                <w:color w:val="000000"/>
                <w:sz w:val="20"/>
                <w:lang w:val="en-US" w:eastAsia="zh-CN"/>
              </w:rPr>
              <w:t>Cash and cash equivalents</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rsidR="00110E1F" w:rsidRPr="00110E1F" w:rsidRDefault="00110E1F" w:rsidP="00110E1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110E1F">
              <w:rPr>
                <w:rFonts w:ascii="Arial" w:hAnsi="Arial" w:cs="Arial"/>
                <w:b/>
                <w:bCs/>
                <w:color w:val="000000"/>
                <w:sz w:val="20"/>
                <w:lang w:val="en-US" w:eastAsia="zh-CN"/>
              </w:rPr>
              <w:t xml:space="preserve">            135,297 </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rsidR="00110E1F" w:rsidRPr="00110E1F" w:rsidRDefault="00110E1F" w:rsidP="00110E1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110E1F">
              <w:rPr>
                <w:rFonts w:ascii="Arial" w:hAnsi="Arial" w:cs="Arial"/>
                <w:b/>
                <w:bCs/>
                <w:color w:val="000000"/>
                <w:sz w:val="20"/>
                <w:lang w:val="en-US" w:eastAsia="zh-CN"/>
              </w:rPr>
              <w:t xml:space="preserve">            108,435 </w:t>
            </w:r>
          </w:p>
        </w:tc>
      </w:tr>
    </w:tbl>
    <w:p w:rsidR="0022373A" w:rsidRDefault="00CB5C3B" w:rsidP="008F1464">
      <w:pPr>
        <w:spacing w:before="240"/>
        <w:rPr>
          <w:lang w:val="en-US"/>
        </w:rPr>
      </w:pPr>
      <w:r>
        <w:rPr>
          <w:lang w:val="en-US"/>
        </w:rPr>
        <w:t xml:space="preserve">Cash deposits are held in </w:t>
      </w:r>
      <w:r w:rsidR="0022373A" w:rsidRPr="00BB58CE">
        <w:rPr>
          <w:lang w:val="en-US"/>
        </w:rPr>
        <w:t xml:space="preserve">bank and postal accounts </w:t>
      </w:r>
      <w:r>
        <w:rPr>
          <w:lang w:val="en-US"/>
        </w:rPr>
        <w:t>and</w:t>
      </w:r>
      <w:r w:rsidR="0022373A" w:rsidRPr="00BB58CE">
        <w:rPr>
          <w:lang w:val="en-US"/>
        </w:rPr>
        <w:t xml:space="preserve"> remunerated at the market ra</w:t>
      </w:r>
      <w:r>
        <w:rPr>
          <w:lang w:val="en-US"/>
        </w:rPr>
        <w:t>tes. The fair value of the cash deposits</w:t>
      </w:r>
      <w:r w:rsidR="0022373A" w:rsidRPr="00BB58CE">
        <w:rPr>
          <w:lang w:val="en-US"/>
        </w:rPr>
        <w:t xml:space="preserve"> is equivalent to the carrying amount.</w:t>
      </w:r>
    </w:p>
    <w:p w:rsidR="0022373A" w:rsidRPr="00643AD9" w:rsidRDefault="00643AD9" w:rsidP="001B7091">
      <w:pPr>
        <w:tabs>
          <w:tab w:val="clear" w:pos="567"/>
          <w:tab w:val="clear" w:pos="1134"/>
          <w:tab w:val="clear" w:pos="1701"/>
          <w:tab w:val="clear" w:pos="2268"/>
          <w:tab w:val="clear" w:pos="2835"/>
        </w:tabs>
        <w:overflowPunct/>
        <w:autoSpaceDE/>
        <w:autoSpaceDN/>
        <w:adjustRightInd/>
        <w:jc w:val="both"/>
        <w:textAlignment w:val="auto"/>
        <w:rPr>
          <w:lang w:val="en-US"/>
        </w:rPr>
      </w:pPr>
      <w:r w:rsidRPr="00643AD9">
        <w:rPr>
          <w:lang w:val="en-US"/>
        </w:rPr>
        <w:t xml:space="preserve">At 31 December </w:t>
      </w:r>
      <w:r w:rsidR="00111BDD">
        <w:rPr>
          <w:lang w:val="en-US"/>
        </w:rPr>
        <w:t>201</w:t>
      </w:r>
      <w:r w:rsidR="001B7091">
        <w:rPr>
          <w:lang w:val="en-US"/>
        </w:rPr>
        <w:t>7</w:t>
      </w:r>
      <w:r w:rsidR="0022373A" w:rsidRPr="00A014BC">
        <w:rPr>
          <w:lang w:val="en-US"/>
        </w:rPr>
        <w:t xml:space="preserve">, ITU has no credit line. The </w:t>
      </w:r>
      <w:r w:rsidR="00781AF1" w:rsidRPr="00A014BC">
        <w:rPr>
          <w:lang w:val="en-US"/>
        </w:rPr>
        <w:t>available</w:t>
      </w:r>
      <w:r w:rsidR="0022373A" w:rsidRPr="00643AD9">
        <w:rPr>
          <w:lang w:val="en-US"/>
        </w:rPr>
        <w:t xml:space="preserve"> cash is subject to the following restrictions: </w:t>
      </w:r>
    </w:p>
    <w:p w:rsidR="00F949D0" w:rsidRPr="008F1464" w:rsidRDefault="0022373A" w:rsidP="00ED0279">
      <w:pPr>
        <w:pStyle w:val="enumlev1"/>
        <w:jc w:val="both"/>
        <w:rPr>
          <w:highlight w:val="yellow"/>
          <w:lang w:val="en-US"/>
        </w:rPr>
      </w:pPr>
      <w:r w:rsidRPr="00643AD9">
        <w:rPr>
          <w:lang w:val="en-US"/>
        </w:rPr>
        <w:t>–</w:t>
      </w:r>
      <w:r w:rsidRPr="00643AD9">
        <w:rPr>
          <w:lang w:val="en-US"/>
        </w:rPr>
        <w:tab/>
      </w:r>
      <w:r w:rsidRPr="00B70047">
        <w:rPr>
          <w:lang w:val="en-US"/>
        </w:rPr>
        <w:t xml:space="preserve">Sight accounts in </w:t>
      </w:r>
      <w:r w:rsidR="00BB58CE" w:rsidRPr="00B70047">
        <w:rPr>
          <w:lang w:val="en-US"/>
        </w:rPr>
        <w:t>favor</w:t>
      </w:r>
      <w:r w:rsidRPr="00B70047">
        <w:rPr>
          <w:lang w:val="en-US"/>
        </w:rPr>
        <w:t xml:space="preserve"> of beneficiaries of the ITU pension funds which have been operating as closed funds since the organization</w:t>
      </w:r>
      <w:r w:rsidR="007A552E" w:rsidRPr="00B70047">
        <w:rPr>
          <w:lang w:val="en-US"/>
        </w:rPr>
        <w:t>’</w:t>
      </w:r>
      <w:r w:rsidRPr="00B70047">
        <w:rPr>
          <w:lang w:val="en-US"/>
        </w:rPr>
        <w:t>s affiliation to UNJSPF and the Staff Health Insurance Fund</w:t>
      </w:r>
      <w:r w:rsidR="00A5229F" w:rsidRPr="00B70047">
        <w:rPr>
          <w:lang w:val="en-US"/>
        </w:rPr>
        <w:t>, in the amount of CHF </w:t>
      </w:r>
      <w:r w:rsidR="00FC1A76">
        <w:rPr>
          <w:lang w:val="en-US"/>
        </w:rPr>
        <w:t>6</w:t>
      </w:r>
      <w:r w:rsidR="000B6C0A" w:rsidRPr="00B70047">
        <w:rPr>
          <w:lang w:val="en-US"/>
        </w:rPr>
        <w:t>.</w:t>
      </w:r>
      <w:r w:rsidR="00ED0279">
        <w:rPr>
          <w:lang w:val="en-US"/>
        </w:rPr>
        <w:t>2</w:t>
      </w:r>
      <w:r w:rsidR="008F4145">
        <w:rPr>
          <w:lang w:val="en-US"/>
        </w:rPr>
        <w:t xml:space="preserve"> million</w:t>
      </w:r>
      <w:r w:rsidR="001B7091">
        <w:rPr>
          <w:lang w:val="en-US"/>
        </w:rPr>
        <w:t>.</w:t>
      </w:r>
    </w:p>
    <w:p w:rsidR="0022373A" w:rsidRPr="001C2A98" w:rsidRDefault="0022373A" w:rsidP="00E47170">
      <w:pPr>
        <w:pStyle w:val="Heading5"/>
        <w:spacing w:before="120"/>
        <w:jc w:val="both"/>
        <w:rPr>
          <w:lang w:val="en-US"/>
        </w:rPr>
      </w:pPr>
      <w:bookmarkStart w:id="71" w:name="_Toc305764082"/>
      <w:bookmarkStart w:id="72" w:name="_Toc329011632"/>
      <w:r w:rsidRPr="001C2A98">
        <w:rPr>
          <w:lang w:val="en-US"/>
        </w:rPr>
        <w:t xml:space="preserve">Note </w:t>
      </w:r>
      <w:r w:rsidR="009A0DC5">
        <w:rPr>
          <w:lang w:val="en-US"/>
        </w:rPr>
        <w:t>7</w:t>
      </w:r>
      <w:r w:rsidRPr="001C2A98">
        <w:rPr>
          <w:lang w:val="en-US"/>
        </w:rPr>
        <w:tab/>
      </w:r>
      <w:r w:rsidRPr="00ED0279">
        <w:rPr>
          <w:lang w:val="en-US"/>
        </w:rPr>
        <w:t>Investments</w:t>
      </w:r>
      <w:bookmarkEnd w:id="71"/>
      <w:bookmarkEnd w:id="72"/>
    </w:p>
    <w:p w:rsidR="00ED0279" w:rsidRDefault="0022373A" w:rsidP="00BC2788">
      <w:pPr>
        <w:snapToGrid w:val="0"/>
        <w:spacing w:after="120"/>
        <w:jc w:val="both"/>
        <w:rPr>
          <w:lang w:val="en-US"/>
        </w:rPr>
      </w:pPr>
      <w:r w:rsidRPr="001C2A98">
        <w:rPr>
          <w:lang w:val="en-US"/>
        </w:rPr>
        <w:t>Fixed-term investments are remunerated at market rates</w:t>
      </w:r>
      <w:r w:rsidR="00D87FEE">
        <w:rPr>
          <w:lang w:val="en-US"/>
        </w:rPr>
        <w:t xml:space="preserve"> and </w:t>
      </w:r>
      <w:r w:rsidR="00D87FEE" w:rsidRPr="00FA0E3D">
        <w:rPr>
          <w:lang w:val="en-US"/>
        </w:rPr>
        <w:t>classified as financial instruments at fair value through surplus/deficit</w:t>
      </w:r>
      <w:r w:rsidRPr="00FA0E3D">
        <w:rPr>
          <w:lang w:val="en-US"/>
        </w:rPr>
        <w:t>.</w:t>
      </w:r>
      <w:r w:rsidR="00D87FEE" w:rsidRPr="00FA0E3D">
        <w:rPr>
          <w:lang w:val="en-US"/>
        </w:rPr>
        <w:t xml:space="preserve"> The fair value of the cash deposits is equivalent to the carrying amount.</w:t>
      </w:r>
    </w:p>
    <w:tbl>
      <w:tblPr>
        <w:tblW w:w="8820" w:type="dxa"/>
        <w:tblLook w:val="04A0" w:firstRow="1" w:lastRow="0" w:firstColumn="1" w:lastColumn="0" w:noHBand="0" w:noVBand="1"/>
      </w:tblPr>
      <w:tblGrid>
        <w:gridCol w:w="5660"/>
        <w:gridCol w:w="1580"/>
        <w:gridCol w:w="1580"/>
      </w:tblGrid>
      <w:tr w:rsidR="001B7091" w:rsidRPr="001B7091" w:rsidTr="001B7091">
        <w:trPr>
          <w:trHeight w:val="499"/>
        </w:trPr>
        <w:tc>
          <w:tcPr>
            <w:tcW w:w="5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7091" w:rsidRPr="001B7091" w:rsidRDefault="001B7091" w:rsidP="001B7091">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sz w:val="20"/>
                <w:lang w:val="en-US" w:eastAsia="zh-CN"/>
              </w:rPr>
            </w:pPr>
            <w:r w:rsidRPr="001B7091">
              <w:rPr>
                <w:rFonts w:ascii="Arial" w:hAnsi="Arial" w:cs="Arial"/>
                <w:sz w:val="20"/>
                <w:lang w:val="en-US" w:eastAsia="zh-CN"/>
              </w:rPr>
              <w:t xml:space="preserve">In thousands of CHF </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1B7091" w:rsidRPr="001B7091" w:rsidRDefault="001B7091" w:rsidP="001B709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1B7091">
              <w:rPr>
                <w:rFonts w:ascii="Arial" w:hAnsi="Arial" w:cs="Arial"/>
                <w:b/>
                <w:bCs/>
                <w:color w:val="000000"/>
                <w:sz w:val="20"/>
                <w:lang w:val="en-US" w:eastAsia="zh-CN"/>
              </w:rPr>
              <w:t>31.12.2017</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1B7091" w:rsidRPr="001B7091" w:rsidRDefault="001B7091" w:rsidP="001B709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1B7091">
              <w:rPr>
                <w:rFonts w:ascii="Arial" w:hAnsi="Arial" w:cs="Arial"/>
                <w:b/>
                <w:bCs/>
                <w:color w:val="000000"/>
                <w:sz w:val="20"/>
                <w:lang w:val="en-US" w:eastAsia="zh-CN"/>
              </w:rPr>
              <w:t>31.12.2016</w:t>
            </w:r>
          </w:p>
        </w:tc>
      </w:tr>
      <w:tr w:rsidR="001B7091" w:rsidRPr="001B7091" w:rsidTr="001B7091">
        <w:trPr>
          <w:trHeight w:val="255"/>
        </w:trPr>
        <w:tc>
          <w:tcPr>
            <w:tcW w:w="5660" w:type="dxa"/>
            <w:tcBorders>
              <w:top w:val="nil"/>
              <w:left w:val="single" w:sz="4" w:space="0" w:color="auto"/>
              <w:bottom w:val="nil"/>
              <w:right w:val="single" w:sz="4" w:space="0" w:color="auto"/>
            </w:tcBorders>
            <w:shd w:val="clear" w:color="auto" w:fill="auto"/>
            <w:noWrap/>
            <w:vAlign w:val="bottom"/>
            <w:hideMark/>
          </w:tcPr>
          <w:p w:rsidR="001B7091" w:rsidRPr="001B7091" w:rsidRDefault="001B7091" w:rsidP="001B7091">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1B7091">
              <w:rPr>
                <w:rFonts w:ascii="Arial" w:hAnsi="Arial" w:cs="Arial"/>
                <w:color w:val="000000"/>
                <w:sz w:val="20"/>
                <w:lang w:val="en-US" w:eastAsia="zh-CN"/>
              </w:rPr>
              <w:t>Fixed-term investments</w:t>
            </w:r>
          </w:p>
        </w:tc>
        <w:tc>
          <w:tcPr>
            <w:tcW w:w="1580" w:type="dxa"/>
            <w:tcBorders>
              <w:top w:val="nil"/>
              <w:left w:val="nil"/>
              <w:bottom w:val="nil"/>
              <w:right w:val="single" w:sz="4" w:space="0" w:color="auto"/>
            </w:tcBorders>
            <w:shd w:val="clear" w:color="auto" w:fill="auto"/>
            <w:noWrap/>
            <w:vAlign w:val="bottom"/>
            <w:hideMark/>
          </w:tcPr>
          <w:p w:rsidR="001B7091" w:rsidRPr="001B7091" w:rsidRDefault="001B7091" w:rsidP="001B709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1B7091">
              <w:rPr>
                <w:rFonts w:ascii="Arial" w:hAnsi="Arial" w:cs="Arial"/>
                <w:color w:val="000000"/>
                <w:sz w:val="20"/>
                <w:lang w:val="en-US" w:eastAsia="zh-CN"/>
              </w:rPr>
              <w:t xml:space="preserve">              31,363 </w:t>
            </w:r>
          </w:p>
        </w:tc>
        <w:tc>
          <w:tcPr>
            <w:tcW w:w="1580" w:type="dxa"/>
            <w:tcBorders>
              <w:top w:val="nil"/>
              <w:left w:val="nil"/>
              <w:bottom w:val="nil"/>
              <w:right w:val="single" w:sz="4" w:space="0" w:color="auto"/>
            </w:tcBorders>
            <w:shd w:val="clear" w:color="auto" w:fill="auto"/>
            <w:noWrap/>
            <w:vAlign w:val="bottom"/>
            <w:hideMark/>
          </w:tcPr>
          <w:p w:rsidR="001B7091" w:rsidRPr="001B7091" w:rsidRDefault="001B7091" w:rsidP="001B709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1B7091">
              <w:rPr>
                <w:rFonts w:ascii="Arial" w:hAnsi="Arial" w:cs="Arial"/>
                <w:color w:val="000000"/>
                <w:sz w:val="20"/>
                <w:lang w:val="en-US" w:eastAsia="zh-CN"/>
              </w:rPr>
              <w:t xml:space="preserve">              64,980 </w:t>
            </w:r>
          </w:p>
        </w:tc>
      </w:tr>
      <w:tr w:rsidR="001B7091" w:rsidRPr="001B7091" w:rsidTr="001B7091">
        <w:trPr>
          <w:trHeight w:val="255"/>
        </w:trPr>
        <w:tc>
          <w:tcPr>
            <w:tcW w:w="5660" w:type="dxa"/>
            <w:tcBorders>
              <w:top w:val="nil"/>
              <w:left w:val="single" w:sz="4" w:space="0" w:color="auto"/>
              <w:bottom w:val="nil"/>
              <w:right w:val="single" w:sz="4" w:space="0" w:color="auto"/>
            </w:tcBorders>
            <w:shd w:val="clear" w:color="auto" w:fill="auto"/>
            <w:noWrap/>
            <w:vAlign w:val="bottom"/>
            <w:hideMark/>
          </w:tcPr>
          <w:p w:rsidR="001B7091" w:rsidRPr="001B7091" w:rsidRDefault="001B7091" w:rsidP="001B7091">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1B7091">
              <w:rPr>
                <w:rFonts w:ascii="Arial" w:hAnsi="Arial" w:cs="Arial"/>
                <w:color w:val="000000"/>
                <w:sz w:val="20"/>
                <w:lang w:val="en-US" w:eastAsia="zh-CN"/>
              </w:rPr>
              <w:t> </w:t>
            </w:r>
          </w:p>
        </w:tc>
        <w:tc>
          <w:tcPr>
            <w:tcW w:w="1580" w:type="dxa"/>
            <w:tcBorders>
              <w:top w:val="nil"/>
              <w:left w:val="nil"/>
              <w:bottom w:val="nil"/>
              <w:right w:val="single" w:sz="4" w:space="0" w:color="auto"/>
            </w:tcBorders>
            <w:shd w:val="clear" w:color="auto" w:fill="auto"/>
            <w:noWrap/>
            <w:vAlign w:val="bottom"/>
            <w:hideMark/>
          </w:tcPr>
          <w:p w:rsidR="001B7091" w:rsidRPr="001B7091" w:rsidRDefault="001B7091" w:rsidP="001B7091">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1B7091">
              <w:rPr>
                <w:rFonts w:ascii="Arial" w:hAnsi="Arial" w:cs="Arial"/>
                <w:color w:val="000000"/>
                <w:sz w:val="20"/>
                <w:lang w:val="en-US" w:eastAsia="zh-CN"/>
              </w:rPr>
              <w:t> </w:t>
            </w:r>
          </w:p>
        </w:tc>
        <w:tc>
          <w:tcPr>
            <w:tcW w:w="1580" w:type="dxa"/>
            <w:tcBorders>
              <w:top w:val="nil"/>
              <w:left w:val="nil"/>
              <w:bottom w:val="nil"/>
              <w:right w:val="single" w:sz="4" w:space="0" w:color="auto"/>
            </w:tcBorders>
            <w:shd w:val="clear" w:color="auto" w:fill="auto"/>
            <w:noWrap/>
            <w:vAlign w:val="bottom"/>
            <w:hideMark/>
          </w:tcPr>
          <w:p w:rsidR="001B7091" w:rsidRPr="001B7091" w:rsidRDefault="001B7091" w:rsidP="001B7091">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1B7091">
              <w:rPr>
                <w:rFonts w:ascii="Arial" w:hAnsi="Arial" w:cs="Arial"/>
                <w:color w:val="000000"/>
                <w:sz w:val="20"/>
                <w:lang w:val="en-US" w:eastAsia="zh-CN"/>
              </w:rPr>
              <w:t> </w:t>
            </w:r>
          </w:p>
        </w:tc>
      </w:tr>
      <w:tr w:rsidR="001B7091" w:rsidRPr="001B7091" w:rsidTr="001B7091">
        <w:trPr>
          <w:trHeight w:val="499"/>
        </w:trPr>
        <w:tc>
          <w:tcPr>
            <w:tcW w:w="5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7091" w:rsidRPr="001B7091" w:rsidRDefault="001B7091" w:rsidP="001B7091">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20"/>
                <w:lang w:val="en-US" w:eastAsia="zh-CN"/>
              </w:rPr>
            </w:pPr>
            <w:r w:rsidRPr="001B7091">
              <w:rPr>
                <w:rFonts w:ascii="Arial" w:hAnsi="Arial" w:cs="Arial"/>
                <w:b/>
                <w:bCs/>
                <w:color w:val="000000"/>
                <w:sz w:val="20"/>
                <w:lang w:val="en-US" w:eastAsia="zh-CN"/>
              </w:rPr>
              <w:t>Investments</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1B7091" w:rsidRPr="001B7091" w:rsidRDefault="001B7091" w:rsidP="001B709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1B7091">
              <w:rPr>
                <w:rFonts w:ascii="Arial" w:hAnsi="Arial" w:cs="Arial"/>
                <w:b/>
                <w:bCs/>
                <w:color w:val="000000"/>
                <w:sz w:val="20"/>
                <w:lang w:val="en-US" w:eastAsia="zh-CN"/>
              </w:rPr>
              <w:t xml:space="preserve">             31,363 </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1B7091" w:rsidRPr="001B7091" w:rsidRDefault="001B7091" w:rsidP="006A5037">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1B7091">
              <w:rPr>
                <w:rFonts w:ascii="Arial" w:hAnsi="Arial" w:cs="Arial"/>
                <w:b/>
                <w:bCs/>
                <w:color w:val="000000"/>
                <w:sz w:val="20"/>
                <w:lang w:val="en-US" w:eastAsia="zh-CN"/>
              </w:rPr>
              <w:t xml:space="preserve">             </w:t>
            </w:r>
            <w:r w:rsidR="008F4145">
              <w:rPr>
                <w:rFonts w:ascii="Arial" w:hAnsi="Arial" w:cs="Arial"/>
                <w:b/>
                <w:bCs/>
                <w:color w:val="000000"/>
                <w:sz w:val="20"/>
                <w:lang w:val="en-US" w:eastAsia="zh-CN"/>
              </w:rPr>
              <w:t>64,980</w:t>
            </w:r>
            <w:r w:rsidRPr="001B7091">
              <w:rPr>
                <w:rFonts w:ascii="Arial" w:hAnsi="Arial" w:cs="Arial"/>
                <w:b/>
                <w:bCs/>
                <w:color w:val="000000"/>
                <w:sz w:val="20"/>
                <w:lang w:val="en-US" w:eastAsia="zh-CN"/>
              </w:rPr>
              <w:t xml:space="preserve"> </w:t>
            </w:r>
          </w:p>
        </w:tc>
      </w:tr>
    </w:tbl>
    <w:p w:rsidR="00ED0279" w:rsidRDefault="00ED0279" w:rsidP="00BD4C15">
      <w:pPr>
        <w:tabs>
          <w:tab w:val="clear" w:pos="567"/>
          <w:tab w:val="clear" w:pos="1134"/>
          <w:tab w:val="clear" w:pos="1701"/>
          <w:tab w:val="clear" w:pos="2268"/>
          <w:tab w:val="clear" w:pos="2835"/>
        </w:tabs>
        <w:overflowPunct/>
        <w:autoSpaceDE/>
        <w:autoSpaceDN/>
        <w:adjustRightInd/>
        <w:spacing w:before="0"/>
        <w:textAlignment w:val="auto"/>
        <w:rPr>
          <w:rFonts w:cs="Arial"/>
          <w:szCs w:val="24"/>
          <w:lang w:val="en-US" w:eastAsia="fr-FR"/>
        </w:rPr>
      </w:pPr>
    </w:p>
    <w:p w:rsidR="00C700DF" w:rsidRDefault="0022373A" w:rsidP="00BD4C15">
      <w:pPr>
        <w:tabs>
          <w:tab w:val="clear" w:pos="567"/>
          <w:tab w:val="clear" w:pos="1134"/>
          <w:tab w:val="clear" w:pos="1701"/>
          <w:tab w:val="clear" w:pos="2268"/>
          <w:tab w:val="clear" w:pos="2835"/>
        </w:tabs>
        <w:overflowPunct/>
        <w:autoSpaceDE/>
        <w:autoSpaceDN/>
        <w:adjustRightInd/>
        <w:spacing w:before="0"/>
        <w:textAlignment w:val="auto"/>
        <w:rPr>
          <w:rFonts w:cs="Arial"/>
          <w:szCs w:val="24"/>
          <w:lang w:val="en-US" w:eastAsia="fr-FR"/>
        </w:rPr>
      </w:pPr>
      <w:r w:rsidRPr="001C2A98">
        <w:rPr>
          <w:rFonts w:cs="Arial"/>
          <w:szCs w:val="24"/>
          <w:lang w:val="en-US" w:eastAsia="fr-FR"/>
        </w:rPr>
        <w:t xml:space="preserve">A breakdown of fixed-term investments by date of maturity (period remaining) and by currency is shown below: </w:t>
      </w:r>
    </w:p>
    <w:p w:rsidR="00C470E2" w:rsidRDefault="00C470E2" w:rsidP="00BD4C15">
      <w:pPr>
        <w:tabs>
          <w:tab w:val="clear" w:pos="567"/>
          <w:tab w:val="clear" w:pos="1134"/>
          <w:tab w:val="clear" w:pos="1701"/>
          <w:tab w:val="clear" w:pos="2268"/>
          <w:tab w:val="clear" w:pos="2835"/>
        </w:tabs>
        <w:overflowPunct/>
        <w:autoSpaceDE/>
        <w:autoSpaceDN/>
        <w:adjustRightInd/>
        <w:spacing w:before="0"/>
        <w:textAlignment w:val="auto"/>
        <w:rPr>
          <w:rFonts w:cs="Arial"/>
          <w:szCs w:val="24"/>
          <w:lang w:val="en-US" w:eastAsia="fr-FR"/>
        </w:rPr>
      </w:pPr>
    </w:p>
    <w:tbl>
      <w:tblPr>
        <w:tblW w:w="5000" w:type="pct"/>
        <w:tblLook w:val="04A0" w:firstRow="1" w:lastRow="0" w:firstColumn="1" w:lastColumn="0" w:noHBand="0" w:noVBand="1"/>
      </w:tblPr>
      <w:tblGrid>
        <w:gridCol w:w="2682"/>
        <w:gridCol w:w="221"/>
        <w:gridCol w:w="1137"/>
        <w:gridCol w:w="1091"/>
        <w:gridCol w:w="1137"/>
        <w:gridCol w:w="1183"/>
        <w:gridCol w:w="1183"/>
        <w:gridCol w:w="1137"/>
      </w:tblGrid>
      <w:tr w:rsidR="00C470E2" w:rsidRPr="001B7091" w:rsidTr="0077556E">
        <w:trPr>
          <w:trHeight w:val="499"/>
        </w:trPr>
        <w:tc>
          <w:tcPr>
            <w:tcW w:w="1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70E2" w:rsidRPr="001B7091" w:rsidRDefault="00C470E2" w:rsidP="001B7091">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20"/>
                <w:lang w:val="en-US" w:eastAsia="zh-CN"/>
              </w:rPr>
            </w:pPr>
            <w:r w:rsidRPr="001B7091">
              <w:rPr>
                <w:rFonts w:ascii="Arial" w:hAnsi="Arial" w:cs="Arial"/>
                <w:b/>
                <w:bCs/>
                <w:color w:val="000000"/>
                <w:sz w:val="20"/>
                <w:lang w:val="en-US" w:eastAsia="zh-CN"/>
              </w:rPr>
              <w:t>In thousands for each currency</w:t>
            </w:r>
          </w:p>
        </w:tc>
        <w:tc>
          <w:tcPr>
            <w:tcW w:w="113" w:type="pct"/>
            <w:tcBorders>
              <w:top w:val="single" w:sz="4" w:space="0" w:color="auto"/>
              <w:left w:val="nil"/>
              <w:bottom w:val="single" w:sz="4" w:space="0" w:color="auto"/>
              <w:right w:val="nil"/>
            </w:tcBorders>
          </w:tcPr>
          <w:p w:rsidR="00C470E2" w:rsidRPr="001B7091" w:rsidRDefault="00C470E2" w:rsidP="001B709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20"/>
                <w:lang w:val="en-US" w:eastAsia="zh-CN"/>
              </w:rPr>
            </w:pPr>
          </w:p>
        </w:tc>
        <w:tc>
          <w:tcPr>
            <w:tcW w:w="1722" w:type="pct"/>
            <w:gridSpan w:val="3"/>
            <w:tcBorders>
              <w:top w:val="single" w:sz="4" w:space="0" w:color="auto"/>
              <w:left w:val="nil"/>
              <w:bottom w:val="single" w:sz="4" w:space="0" w:color="auto"/>
              <w:right w:val="single" w:sz="4" w:space="0" w:color="000000"/>
            </w:tcBorders>
            <w:shd w:val="clear" w:color="auto" w:fill="auto"/>
            <w:noWrap/>
            <w:vAlign w:val="center"/>
            <w:hideMark/>
          </w:tcPr>
          <w:p w:rsidR="00C470E2" w:rsidRPr="001B7091" w:rsidRDefault="00C470E2" w:rsidP="001B709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20"/>
                <w:lang w:val="en-US" w:eastAsia="zh-CN"/>
              </w:rPr>
            </w:pPr>
            <w:r w:rsidRPr="001B7091">
              <w:rPr>
                <w:rFonts w:ascii="Arial" w:hAnsi="Arial" w:cs="Arial"/>
                <w:b/>
                <w:bCs/>
                <w:color w:val="000000"/>
                <w:sz w:val="20"/>
                <w:lang w:val="en-US" w:eastAsia="zh-CN"/>
              </w:rPr>
              <w:t>31.12.2017</w:t>
            </w:r>
          </w:p>
        </w:tc>
        <w:tc>
          <w:tcPr>
            <w:tcW w:w="1793" w:type="pct"/>
            <w:gridSpan w:val="3"/>
            <w:tcBorders>
              <w:top w:val="single" w:sz="4" w:space="0" w:color="auto"/>
              <w:left w:val="nil"/>
              <w:bottom w:val="single" w:sz="4" w:space="0" w:color="auto"/>
              <w:right w:val="single" w:sz="4" w:space="0" w:color="000000"/>
            </w:tcBorders>
            <w:shd w:val="clear" w:color="auto" w:fill="auto"/>
            <w:noWrap/>
            <w:vAlign w:val="center"/>
            <w:hideMark/>
          </w:tcPr>
          <w:p w:rsidR="00C470E2" w:rsidRPr="001B7091" w:rsidRDefault="00C470E2" w:rsidP="001B709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20"/>
                <w:lang w:val="en-US" w:eastAsia="zh-CN"/>
              </w:rPr>
            </w:pPr>
            <w:r w:rsidRPr="001B7091">
              <w:rPr>
                <w:rFonts w:ascii="Arial" w:hAnsi="Arial" w:cs="Arial"/>
                <w:b/>
                <w:bCs/>
                <w:color w:val="000000"/>
                <w:sz w:val="20"/>
                <w:lang w:val="en-US" w:eastAsia="zh-CN"/>
              </w:rPr>
              <w:t>31.12.2016</w:t>
            </w:r>
          </w:p>
        </w:tc>
      </w:tr>
      <w:tr w:rsidR="00C470E2" w:rsidRPr="001B7091" w:rsidTr="0077556E">
        <w:trPr>
          <w:trHeight w:val="255"/>
        </w:trPr>
        <w:tc>
          <w:tcPr>
            <w:tcW w:w="1372" w:type="pct"/>
            <w:tcBorders>
              <w:top w:val="nil"/>
              <w:left w:val="single" w:sz="4" w:space="0" w:color="auto"/>
              <w:bottom w:val="nil"/>
              <w:right w:val="single" w:sz="4" w:space="0" w:color="auto"/>
            </w:tcBorders>
            <w:shd w:val="clear" w:color="auto" w:fill="auto"/>
            <w:noWrap/>
            <w:vAlign w:val="bottom"/>
            <w:hideMark/>
          </w:tcPr>
          <w:p w:rsidR="00C470E2" w:rsidRPr="001B7091" w:rsidRDefault="00C470E2" w:rsidP="001B7091">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1B7091">
              <w:rPr>
                <w:rFonts w:ascii="Arial" w:hAnsi="Arial" w:cs="Arial"/>
                <w:color w:val="000000"/>
                <w:sz w:val="20"/>
                <w:lang w:val="en-US" w:eastAsia="zh-CN"/>
              </w:rPr>
              <w:t> </w:t>
            </w:r>
          </w:p>
        </w:tc>
        <w:tc>
          <w:tcPr>
            <w:tcW w:w="113" w:type="pct"/>
            <w:tcBorders>
              <w:top w:val="nil"/>
              <w:left w:val="nil"/>
              <w:bottom w:val="nil"/>
              <w:right w:val="nil"/>
            </w:tcBorders>
          </w:tcPr>
          <w:p w:rsidR="00C470E2" w:rsidRPr="001B7091" w:rsidRDefault="00C470E2" w:rsidP="001B709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20"/>
                <w:lang w:val="en-US" w:eastAsia="zh-CN"/>
              </w:rPr>
            </w:pPr>
          </w:p>
        </w:tc>
        <w:tc>
          <w:tcPr>
            <w:tcW w:w="582" w:type="pct"/>
            <w:tcBorders>
              <w:top w:val="nil"/>
              <w:left w:val="nil"/>
              <w:bottom w:val="nil"/>
              <w:right w:val="single" w:sz="4" w:space="0" w:color="auto"/>
            </w:tcBorders>
            <w:shd w:val="clear" w:color="auto" w:fill="auto"/>
            <w:noWrap/>
            <w:vAlign w:val="bottom"/>
            <w:hideMark/>
          </w:tcPr>
          <w:p w:rsidR="00C470E2" w:rsidRPr="001B7091" w:rsidRDefault="00C470E2" w:rsidP="001B709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20"/>
                <w:lang w:val="en-US" w:eastAsia="zh-CN"/>
              </w:rPr>
            </w:pPr>
            <w:r w:rsidRPr="001B7091">
              <w:rPr>
                <w:rFonts w:ascii="Arial" w:hAnsi="Arial" w:cs="Arial"/>
                <w:color w:val="000000"/>
                <w:sz w:val="20"/>
                <w:lang w:val="en-US" w:eastAsia="zh-CN"/>
              </w:rPr>
              <w:t xml:space="preserve"> CHF </w:t>
            </w:r>
          </w:p>
        </w:tc>
        <w:tc>
          <w:tcPr>
            <w:tcW w:w="558" w:type="pct"/>
            <w:tcBorders>
              <w:top w:val="nil"/>
              <w:left w:val="nil"/>
              <w:bottom w:val="nil"/>
              <w:right w:val="single" w:sz="4" w:space="0" w:color="auto"/>
            </w:tcBorders>
            <w:shd w:val="clear" w:color="auto" w:fill="auto"/>
            <w:noWrap/>
            <w:vAlign w:val="bottom"/>
            <w:hideMark/>
          </w:tcPr>
          <w:p w:rsidR="00C470E2" w:rsidRPr="001B7091" w:rsidRDefault="00C470E2" w:rsidP="001B709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20"/>
                <w:lang w:val="en-US" w:eastAsia="zh-CN"/>
              </w:rPr>
            </w:pPr>
            <w:r w:rsidRPr="001B7091">
              <w:rPr>
                <w:rFonts w:ascii="Arial" w:hAnsi="Arial" w:cs="Arial"/>
                <w:color w:val="000000"/>
                <w:sz w:val="20"/>
                <w:lang w:val="en-US" w:eastAsia="zh-CN"/>
              </w:rPr>
              <w:t xml:space="preserve"> USD </w:t>
            </w:r>
          </w:p>
        </w:tc>
        <w:tc>
          <w:tcPr>
            <w:tcW w:w="582" w:type="pct"/>
            <w:tcBorders>
              <w:top w:val="nil"/>
              <w:left w:val="nil"/>
              <w:bottom w:val="nil"/>
              <w:right w:val="single" w:sz="4" w:space="0" w:color="auto"/>
            </w:tcBorders>
            <w:shd w:val="clear" w:color="auto" w:fill="auto"/>
            <w:noWrap/>
            <w:vAlign w:val="bottom"/>
            <w:hideMark/>
          </w:tcPr>
          <w:p w:rsidR="00C470E2" w:rsidRPr="001B7091" w:rsidRDefault="00C470E2" w:rsidP="001B709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20"/>
                <w:lang w:val="en-US" w:eastAsia="zh-CN"/>
              </w:rPr>
            </w:pPr>
            <w:r w:rsidRPr="001B7091">
              <w:rPr>
                <w:rFonts w:ascii="Arial" w:hAnsi="Arial" w:cs="Arial"/>
                <w:color w:val="000000"/>
                <w:sz w:val="20"/>
                <w:lang w:val="en-US" w:eastAsia="zh-CN"/>
              </w:rPr>
              <w:t xml:space="preserve"> EUR </w:t>
            </w:r>
          </w:p>
        </w:tc>
        <w:tc>
          <w:tcPr>
            <w:tcW w:w="605" w:type="pct"/>
            <w:tcBorders>
              <w:top w:val="nil"/>
              <w:left w:val="nil"/>
              <w:bottom w:val="nil"/>
              <w:right w:val="single" w:sz="4" w:space="0" w:color="auto"/>
            </w:tcBorders>
            <w:shd w:val="clear" w:color="auto" w:fill="auto"/>
            <w:noWrap/>
            <w:vAlign w:val="bottom"/>
            <w:hideMark/>
          </w:tcPr>
          <w:p w:rsidR="00C470E2" w:rsidRPr="001B7091" w:rsidRDefault="00C470E2" w:rsidP="001B709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20"/>
                <w:lang w:val="en-US" w:eastAsia="zh-CN"/>
              </w:rPr>
            </w:pPr>
            <w:r w:rsidRPr="001B7091">
              <w:rPr>
                <w:rFonts w:ascii="Arial" w:hAnsi="Arial" w:cs="Arial"/>
                <w:color w:val="000000"/>
                <w:sz w:val="20"/>
                <w:lang w:val="en-US" w:eastAsia="zh-CN"/>
              </w:rPr>
              <w:t xml:space="preserve"> CHF </w:t>
            </w:r>
          </w:p>
        </w:tc>
        <w:tc>
          <w:tcPr>
            <w:tcW w:w="605" w:type="pct"/>
            <w:tcBorders>
              <w:top w:val="nil"/>
              <w:left w:val="nil"/>
              <w:bottom w:val="nil"/>
              <w:right w:val="single" w:sz="4" w:space="0" w:color="auto"/>
            </w:tcBorders>
            <w:shd w:val="clear" w:color="auto" w:fill="auto"/>
            <w:noWrap/>
            <w:vAlign w:val="bottom"/>
            <w:hideMark/>
          </w:tcPr>
          <w:p w:rsidR="00C470E2" w:rsidRPr="001B7091" w:rsidRDefault="00C470E2" w:rsidP="001B709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20"/>
                <w:lang w:val="en-US" w:eastAsia="zh-CN"/>
              </w:rPr>
            </w:pPr>
            <w:r w:rsidRPr="001B7091">
              <w:rPr>
                <w:rFonts w:ascii="Arial" w:hAnsi="Arial" w:cs="Arial"/>
                <w:color w:val="000000"/>
                <w:sz w:val="20"/>
                <w:lang w:val="en-US" w:eastAsia="zh-CN"/>
              </w:rPr>
              <w:t xml:space="preserve"> USD </w:t>
            </w:r>
          </w:p>
        </w:tc>
        <w:tc>
          <w:tcPr>
            <w:tcW w:w="582" w:type="pct"/>
            <w:tcBorders>
              <w:top w:val="nil"/>
              <w:left w:val="nil"/>
              <w:bottom w:val="nil"/>
              <w:right w:val="single" w:sz="4" w:space="0" w:color="auto"/>
            </w:tcBorders>
            <w:shd w:val="clear" w:color="auto" w:fill="auto"/>
            <w:noWrap/>
            <w:vAlign w:val="bottom"/>
            <w:hideMark/>
          </w:tcPr>
          <w:p w:rsidR="00C470E2" w:rsidRPr="001B7091" w:rsidRDefault="00C470E2" w:rsidP="001B709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20"/>
                <w:lang w:val="en-US" w:eastAsia="zh-CN"/>
              </w:rPr>
            </w:pPr>
            <w:r w:rsidRPr="001B7091">
              <w:rPr>
                <w:rFonts w:ascii="Arial" w:hAnsi="Arial" w:cs="Arial"/>
                <w:color w:val="000000"/>
                <w:sz w:val="20"/>
                <w:lang w:val="en-US" w:eastAsia="zh-CN"/>
              </w:rPr>
              <w:t xml:space="preserve"> EUR </w:t>
            </w:r>
          </w:p>
        </w:tc>
      </w:tr>
      <w:tr w:rsidR="00C470E2" w:rsidRPr="001B7091" w:rsidTr="0077556E">
        <w:trPr>
          <w:trHeight w:val="255"/>
        </w:trPr>
        <w:tc>
          <w:tcPr>
            <w:tcW w:w="1372" w:type="pct"/>
            <w:tcBorders>
              <w:top w:val="nil"/>
              <w:left w:val="single" w:sz="4" w:space="0" w:color="auto"/>
              <w:bottom w:val="nil"/>
              <w:right w:val="single" w:sz="4" w:space="0" w:color="auto"/>
            </w:tcBorders>
            <w:shd w:val="clear" w:color="auto" w:fill="auto"/>
            <w:noWrap/>
            <w:vAlign w:val="bottom"/>
            <w:hideMark/>
          </w:tcPr>
          <w:p w:rsidR="00C470E2" w:rsidRPr="001B7091" w:rsidRDefault="00C470E2" w:rsidP="001B7091">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1B7091">
              <w:rPr>
                <w:rFonts w:ascii="Arial" w:hAnsi="Arial" w:cs="Arial"/>
                <w:color w:val="000000"/>
                <w:sz w:val="20"/>
                <w:lang w:val="en-US" w:eastAsia="zh-CN"/>
              </w:rPr>
              <w:t>Maturity</w:t>
            </w:r>
          </w:p>
        </w:tc>
        <w:tc>
          <w:tcPr>
            <w:tcW w:w="113" w:type="pct"/>
            <w:tcBorders>
              <w:top w:val="nil"/>
              <w:left w:val="nil"/>
              <w:bottom w:val="nil"/>
              <w:right w:val="nil"/>
            </w:tcBorders>
          </w:tcPr>
          <w:p w:rsidR="00C470E2" w:rsidRPr="001B7091" w:rsidRDefault="00C470E2" w:rsidP="001B709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20"/>
                <w:lang w:val="en-US" w:eastAsia="zh-CN"/>
              </w:rPr>
            </w:pPr>
          </w:p>
        </w:tc>
        <w:tc>
          <w:tcPr>
            <w:tcW w:w="582" w:type="pct"/>
            <w:tcBorders>
              <w:top w:val="nil"/>
              <w:left w:val="nil"/>
              <w:bottom w:val="nil"/>
              <w:right w:val="single" w:sz="4" w:space="0" w:color="auto"/>
            </w:tcBorders>
            <w:shd w:val="clear" w:color="auto" w:fill="auto"/>
            <w:noWrap/>
            <w:vAlign w:val="bottom"/>
            <w:hideMark/>
          </w:tcPr>
          <w:p w:rsidR="00C470E2" w:rsidRPr="001B7091" w:rsidRDefault="00C470E2" w:rsidP="001B709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20"/>
                <w:lang w:val="en-US" w:eastAsia="zh-CN"/>
              </w:rPr>
            </w:pPr>
            <w:r w:rsidRPr="001B7091">
              <w:rPr>
                <w:rFonts w:ascii="Arial" w:hAnsi="Arial" w:cs="Arial"/>
                <w:color w:val="000000"/>
                <w:sz w:val="20"/>
                <w:lang w:val="en-US" w:eastAsia="zh-CN"/>
              </w:rPr>
              <w:t> </w:t>
            </w:r>
          </w:p>
        </w:tc>
        <w:tc>
          <w:tcPr>
            <w:tcW w:w="558" w:type="pct"/>
            <w:tcBorders>
              <w:top w:val="nil"/>
              <w:left w:val="nil"/>
              <w:bottom w:val="nil"/>
              <w:right w:val="single" w:sz="4" w:space="0" w:color="auto"/>
            </w:tcBorders>
            <w:shd w:val="clear" w:color="auto" w:fill="auto"/>
            <w:noWrap/>
            <w:vAlign w:val="bottom"/>
            <w:hideMark/>
          </w:tcPr>
          <w:p w:rsidR="00C470E2" w:rsidRPr="001B7091" w:rsidRDefault="00C470E2" w:rsidP="001B709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20"/>
                <w:lang w:val="en-US" w:eastAsia="zh-CN"/>
              </w:rPr>
            </w:pPr>
            <w:r w:rsidRPr="001B7091">
              <w:rPr>
                <w:rFonts w:ascii="Arial" w:hAnsi="Arial" w:cs="Arial"/>
                <w:color w:val="000000"/>
                <w:sz w:val="20"/>
                <w:lang w:val="en-US" w:eastAsia="zh-CN"/>
              </w:rPr>
              <w:t> </w:t>
            </w:r>
          </w:p>
        </w:tc>
        <w:tc>
          <w:tcPr>
            <w:tcW w:w="582" w:type="pct"/>
            <w:tcBorders>
              <w:top w:val="nil"/>
              <w:left w:val="nil"/>
              <w:bottom w:val="nil"/>
              <w:right w:val="single" w:sz="4" w:space="0" w:color="auto"/>
            </w:tcBorders>
            <w:shd w:val="clear" w:color="auto" w:fill="auto"/>
            <w:noWrap/>
            <w:vAlign w:val="bottom"/>
            <w:hideMark/>
          </w:tcPr>
          <w:p w:rsidR="00C470E2" w:rsidRPr="001B7091" w:rsidRDefault="00C470E2" w:rsidP="001B709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20"/>
                <w:lang w:val="en-US" w:eastAsia="zh-CN"/>
              </w:rPr>
            </w:pPr>
            <w:r w:rsidRPr="001B7091">
              <w:rPr>
                <w:rFonts w:ascii="Arial" w:hAnsi="Arial" w:cs="Arial"/>
                <w:color w:val="000000"/>
                <w:sz w:val="20"/>
                <w:lang w:val="en-US" w:eastAsia="zh-CN"/>
              </w:rPr>
              <w:t> </w:t>
            </w:r>
          </w:p>
        </w:tc>
        <w:tc>
          <w:tcPr>
            <w:tcW w:w="605" w:type="pct"/>
            <w:tcBorders>
              <w:top w:val="nil"/>
              <w:left w:val="nil"/>
              <w:bottom w:val="nil"/>
              <w:right w:val="single" w:sz="4" w:space="0" w:color="auto"/>
            </w:tcBorders>
            <w:shd w:val="clear" w:color="auto" w:fill="auto"/>
            <w:noWrap/>
            <w:vAlign w:val="bottom"/>
            <w:hideMark/>
          </w:tcPr>
          <w:p w:rsidR="00C470E2" w:rsidRPr="001B7091" w:rsidRDefault="00C470E2" w:rsidP="001B709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20"/>
                <w:lang w:val="en-US" w:eastAsia="zh-CN"/>
              </w:rPr>
            </w:pPr>
            <w:r w:rsidRPr="001B7091">
              <w:rPr>
                <w:rFonts w:ascii="Arial" w:hAnsi="Arial" w:cs="Arial"/>
                <w:color w:val="000000"/>
                <w:sz w:val="20"/>
                <w:lang w:val="en-US" w:eastAsia="zh-CN"/>
              </w:rPr>
              <w:t> </w:t>
            </w:r>
          </w:p>
        </w:tc>
        <w:tc>
          <w:tcPr>
            <w:tcW w:w="605" w:type="pct"/>
            <w:tcBorders>
              <w:top w:val="nil"/>
              <w:left w:val="nil"/>
              <w:bottom w:val="nil"/>
              <w:right w:val="single" w:sz="4" w:space="0" w:color="auto"/>
            </w:tcBorders>
            <w:shd w:val="clear" w:color="auto" w:fill="auto"/>
            <w:noWrap/>
            <w:vAlign w:val="bottom"/>
            <w:hideMark/>
          </w:tcPr>
          <w:p w:rsidR="00C470E2" w:rsidRPr="001B7091" w:rsidRDefault="00C470E2" w:rsidP="001B709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20"/>
                <w:lang w:val="en-US" w:eastAsia="zh-CN"/>
              </w:rPr>
            </w:pPr>
            <w:r w:rsidRPr="001B7091">
              <w:rPr>
                <w:rFonts w:ascii="Arial" w:hAnsi="Arial" w:cs="Arial"/>
                <w:color w:val="000000"/>
                <w:sz w:val="20"/>
                <w:lang w:val="en-US" w:eastAsia="zh-CN"/>
              </w:rPr>
              <w:t> </w:t>
            </w:r>
          </w:p>
        </w:tc>
        <w:tc>
          <w:tcPr>
            <w:tcW w:w="582" w:type="pct"/>
            <w:tcBorders>
              <w:top w:val="nil"/>
              <w:left w:val="nil"/>
              <w:bottom w:val="nil"/>
              <w:right w:val="single" w:sz="4" w:space="0" w:color="auto"/>
            </w:tcBorders>
            <w:shd w:val="clear" w:color="auto" w:fill="auto"/>
            <w:noWrap/>
            <w:vAlign w:val="bottom"/>
            <w:hideMark/>
          </w:tcPr>
          <w:p w:rsidR="00C470E2" w:rsidRPr="001B7091" w:rsidRDefault="00C470E2" w:rsidP="001B709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20"/>
                <w:lang w:val="en-US" w:eastAsia="zh-CN"/>
              </w:rPr>
            </w:pPr>
            <w:r w:rsidRPr="001B7091">
              <w:rPr>
                <w:rFonts w:ascii="Arial" w:hAnsi="Arial" w:cs="Arial"/>
                <w:color w:val="000000"/>
                <w:sz w:val="20"/>
                <w:lang w:val="en-US" w:eastAsia="zh-CN"/>
              </w:rPr>
              <w:t> </w:t>
            </w:r>
          </w:p>
        </w:tc>
      </w:tr>
      <w:tr w:rsidR="00C470E2" w:rsidRPr="001B7091" w:rsidTr="0077556E">
        <w:trPr>
          <w:trHeight w:val="255"/>
        </w:trPr>
        <w:tc>
          <w:tcPr>
            <w:tcW w:w="1372" w:type="pct"/>
            <w:tcBorders>
              <w:top w:val="nil"/>
              <w:left w:val="single" w:sz="4" w:space="0" w:color="auto"/>
              <w:bottom w:val="nil"/>
              <w:right w:val="single" w:sz="4" w:space="0" w:color="auto"/>
            </w:tcBorders>
            <w:shd w:val="clear" w:color="auto" w:fill="auto"/>
            <w:noWrap/>
            <w:vAlign w:val="bottom"/>
            <w:hideMark/>
          </w:tcPr>
          <w:p w:rsidR="00C470E2" w:rsidRPr="001B7091" w:rsidRDefault="00C470E2" w:rsidP="001B7091">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1B7091">
              <w:rPr>
                <w:rFonts w:ascii="Arial" w:hAnsi="Arial" w:cs="Arial"/>
                <w:color w:val="000000"/>
                <w:sz w:val="20"/>
                <w:lang w:val="en-US" w:eastAsia="zh-CN"/>
              </w:rPr>
              <w:t xml:space="preserve">0 - 3 months </w:t>
            </w:r>
          </w:p>
        </w:tc>
        <w:tc>
          <w:tcPr>
            <w:tcW w:w="113" w:type="pct"/>
            <w:tcBorders>
              <w:top w:val="nil"/>
              <w:left w:val="nil"/>
              <w:bottom w:val="nil"/>
              <w:right w:val="nil"/>
            </w:tcBorders>
          </w:tcPr>
          <w:p w:rsidR="00C470E2" w:rsidRPr="001B7091" w:rsidRDefault="00C470E2" w:rsidP="001E4C2D">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p>
        </w:tc>
        <w:tc>
          <w:tcPr>
            <w:tcW w:w="582" w:type="pct"/>
            <w:tcBorders>
              <w:top w:val="nil"/>
              <w:left w:val="nil"/>
              <w:bottom w:val="nil"/>
              <w:right w:val="single" w:sz="4" w:space="0" w:color="auto"/>
            </w:tcBorders>
            <w:shd w:val="clear" w:color="auto" w:fill="auto"/>
            <w:noWrap/>
            <w:vAlign w:val="bottom"/>
            <w:hideMark/>
          </w:tcPr>
          <w:p w:rsidR="00C470E2" w:rsidRPr="001B7091" w:rsidRDefault="00C470E2" w:rsidP="001E4C2D">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1B7091">
              <w:rPr>
                <w:rFonts w:ascii="Arial" w:hAnsi="Arial" w:cs="Arial"/>
                <w:color w:val="000000"/>
                <w:sz w:val="20"/>
                <w:lang w:val="en-US" w:eastAsia="zh-CN"/>
              </w:rPr>
              <w:t xml:space="preserve">                11 </w:t>
            </w:r>
          </w:p>
        </w:tc>
        <w:tc>
          <w:tcPr>
            <w:tcW w:w="558" w:type="pct"/>
            <w:tcBorders>
              <w:top w:val="nil"/>
              <w:left w:val="nil"/>
              <w:bottom w:val="nil"/>
              <w:right w:val="single" w:sz="4" w:space="0" w:color="auto"/>
            </w:tcBorders>
            <w:shd w:val="clear" w:color="auto" w:fill="auto"/>
            <w:noWrap/>
            <w:vAlign w:val="bottom"/>
            <w:hideMark/>
          </w:tcPr>
          <w:p w:rsidR="00C470E2" w:rsidRPr="001B7091" w:rsidRDefault="00C470E2" w:rsidP="001E4C2D">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1B7091">
              <w:rPr>
                <w:rFonts w:ascii="Arial" w:hAnsi="Arial" w:cs="Arial"/>
                <w:color w:val="000000"/>
                <w:sz w:val="20"/>
                <w:lang w:val="en-US" w:eastAsia="zh-CN"/>
              </w:rPr>
              <w:t xml:space="preserve">          7,512 </w:t>
            </w:r>
          </w:p>
        </w:tc>
        <w:tc>
          <w:tcPr>
            <w:tcW w:w="582" w:type="pct"/>
            <w:tcBorders>
              <w:top w:val="nil"/>
              <w:left w:val="nil"/>
              <w:bottom w:val="nil"/>
              <w:right w:val="single" w:sz="4" w:space="0" w:color="auto"/>
            </w:tcBorders>
            <w:shd w:val="clear" w:color="auto" w:fill="auto"/>
            <w:noWrap/>
            <w:vAlign w:val="bottom"/>
            <w:hideMark/>
          </w:tcPr>
          <w:p w:rsidR="00C470E2" w:rsidRPr="001B7091" w:rsidRDefault="00C470E2" w:rsidP="001E4C2D">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1B7091">
              <w:rPr>
                <w:rFonts w:ascii="Arial" w:hAnsi="Arial" w:cs="Arial"/>
                <w:color w:val="000000"/>
                <w:sz w:val="20"/>
                <w:lang w:val="en-US" w:eastAsia="zh-CN"/>
              </w:rPr>
              <w:t xml:space="preserve">                  4 </w:t>
            </w:r>
          </w:p>
        </w:tc>
        <w:tc>
          <w:tcPr>
            <w:tcW w:w="605" w:type="pct"/>
            <w:tcBorders>
              <w:top w:val="nil"/>
              <w:left w:val="nil"/>
              <w:bottom w:val="nil"/>
              <w:right w:val="single" w:sz="4" w:space="0" w:color="auto"/>
            </w:tcBorders>
            <w:shd w:val="clear" w:color="auto" w:fill="auto"/>
            <w:noWrap/>
            <w:vAlign w:val="bottom"/>
            <w:hideMark/>
          </w:tcPr>
          <w:p w:rsidR="00C470E2" w:rsidRPr="001B7091" w:rsidRDefault="00C470E2" w:rsidP="001E4C2D">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1B7091">
              <w:rPr>
                <w:rFonts w:ascii="Arial" w:hAnsi="Arial" w:cs="Arial"/>
                <w:color w:val="000000"/>
                <w:sz w:val="20"/>
                <w:lang w:val="en-US" w:eastAsia="zh-CN"/>
              </w:rPr>
              <w:t xml:space="preserve">          56,902 </w:t>
            </w:r>
          </w:p>
        </w:tc>
        <w:tc>
          <w:tcPr>
            <w:tcW w:w="605" w:type="pct"/>
            <w:tcBorders>
              <w:top w:val="nil"/>
              <w:left w:val="nil"/>
              <w:bottom w:val="nil"/>
              <w:right w:val="single" w:sz="4" w:space="0" w:color="auto"/>
            </w:tcBorders>
            <w:shd w:val="clear" w:color="auto" w:fill="auto"/>
            <w:noWrap/>
            <w:vAlign w:val="bottom"/>
            <w:hideMark/>
          </w:tcPr>
          <w:p w:rsidR="00C470E2" w:rsidRPr="001B7091" w:rsidRDefault="00C470E2" w:rsidP="001E4C2D">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1B7091">
              <w:rPr>
                <w:rFonts w:ascii="Arial" w:hAnsi="Arial" w:cs="Arial"/>
                <w:color w:val="000000"/>
                <w:sz w:val="20"/>
                <w:lang w:val="en-US" w:eastAsia="zh-CN"/>
              </w:rPr>
              <w:t xml:space="preserve">            1,083 </w:t>
            </w:r>
          </w:p>
        </w:tc>
        <w:tc>
          <w:tcPr>
            <w:tcW w:w="582" w:type="pct"/>
            <w:tcBorders>
              <w:top w:val="nil"/>
              <w:left w:val="nil"/>
              <w:bottom w:val="nil"/>
              <w:right w:val="single" w:sz="4" w:space="0" w:color="auto"/>
            </w:tcBorders>
            <w:shd w:val="clear" w:color="auto" w:fill="auto"/>
            <w:noWrap/>
            <w:vAlign w:val="bottom"/>
            <w:hideMark/>
          </w:tcPr>
          <w:p w:rsidR="00C470E2" w:rsidRPr="001B7091" w:rsidRDefault="00C470E2" w:rsidP="001E4C2D">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1B7091">
              <w:rPr>
                <w:rFonts w:ascii="Arial" w:hAnsi="Arial" w:cs="Arial"/>
                <w:color w:val="000000"/>
                <w:sz w:val="20"/>
                <w:lang w:val="en-US" w:eastAsia="zh-CN"/>
              </w:rPr>
              <w:t xml:space="preserve">                  4 </w:t>
            </w:r>
          </w:p>
        </w:tc>
      </w:tr>
      <w:tr w:rsidR="00C470E2" w:rsidRPr="001B7091" w:rsidTr="0077556E">
        <w:trPr>
          <w:trHeight w:val="255"/>
        </w:trPr>
        <w:tc>
          <w:tcPr>
            <w:tcW w:w="1372" w:type="pct"/>
            <w:tcBorders>
              <w:top w:val="nil"/>
              <w:left w:val="single" w:sz="4" w:space="0" w:color="auto"/>
              <w:bottom w:val="nil"/>
              <w:right w:val="single" w:sz="4" w:space="0" w:color="auto"/>
            </w:tcBorders>
            <w:shd w:val="clear" w:color="auto" w:fill="auto"/>
            <w:noWrap/>
            <w:vAlign w:val="bottom"/>
            <w:hideMark/>
          </w:tcPr>
          <w:p w:rsidR="00C470E2" w:rsidRPr="001B7091" w:rsidRDefault="00C470E2" w:rsidP="001B7091">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1B7091">
              <w:rPr>
                <w:rFonts w:ascii="Arial" w:hAnsi="Arial" w:cs="Arial"/>
                <w:color w:val="000000"/>
                <w:sz w:val="20"/>
                <w:lang w:val="en-US" w:eastAsia="zh-CN"/>
              </w:rPr>
              <w:t xml:space="preserve">4 - 6 months </w:t>
            </w:r>
          </w:p>
        </w:tc>
        <w:tc>
          <w:tcPr>
            <w:tcW w:w="113" w:type="pct"/>
            <w:tcBorders>
              <w:top w:val="nil"/>
              <w:left w:val="nil"/>
              <w:bottom w:val="nil"/>
              <w:right w:val="nil"/>
            </w:tcBorders>
          </w:tcPr>
          <w:p w:rsidR="00C470E2" w:rsidRPr="001B7091" w:rsidRDefault="00C470E2" w:rsidP="001E4C2D">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p>
        </w:tc>
        <w:tc>
          <w:tcPr>
            <w:tcW w:w="582" w:type="pct"/>
            <w:tcBorders>
              <w:top w:val="nil"/>
              <w:left w:val="nil"/>
              <w:bottom w:val="nil"/>
              <w:right w:val="single" w:sz="4" w:space="0" w:color="auto"/>
            </w:tcBorders>
            <w:shd w:val="clear" w:color="auto" w:fill="auto"/>
            <w:noWrap/>
            <w:vAlign w:val="bottom"/>
            <w:hideMark/>
          </w:tcPr>
          <w:p w:rsidR="00C470E2" w:rsidRPr="001B7091" w:rsidRDefault="00C470E2" w:rsidP="001E4C2D">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1B7091">
              <w:rPr>
                <w:rFonts w:ascii="Arial" w:hAnsi="Arial" w:cs="Arial"/>
                <w:color w:val="000000"/>
                <w:sz w:val="20"/>
                <w:lang w:val="en-US" w:eastAsia="zh-CN"/>
              </w:rPr>
              <w:t> </w:t>
            </w:r>
          </w:p>
        </w:tc>
        <w:tc>
          <w:tcPr>
            <w:tcW w:w="558" w:type="pct"/>
            <w:tcBorders>
              <w:top w:val="nil"/>
              <w:left w:val="nil"/>
              <w:bottom w:val="nil"/>
              <w:right w:val="single" w:sz="4" w:space="0" w:color="auto"/>
            </w:tcBorders>
            <w:shd w:val="clear" w:color="auto" w:fill="auto"/>
            <w:noWrap/>
            <w:vAlign w:val="bottom"/>
            <w:hideMark/>
          </w:tcPr>
          <w:p w:rsidR="00C470E2" w:rsidRPr="001B7091" w:rsidRDefault="00C470E2" w:rsidP="001E4C2D">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1B7091">
              <w:rPr>
                <w:rFonts w:ascii="Arial" w:hAnsi="Arial" w:cs="Arial"/>
                <w:color w:val="000000"/>
                <w:sz w:val="20"/>
                <w:lang w:val="en-US" w:eastAsia="zh-CN"/>
              </w:rPr>
              <w:t xml:space="preserve">    16,000 </w:t>
            </w:r>
          </w:p>
        </w:tc>
        <w:tc>
          <w:tcPr>
            <w:tcW w:w="582" w:type="pct"/>
            <w:tcBorders>
              <w:top w:val="nil"/>
              <w:left w:val="nil"/>
              <w:bottom w:val="nil"/>
              <w:right w:val="single" w:sz="4" w:space="0" w:color="auto"/>
            </w:tcBorders>
            <w:shd w:val="clear" w:color="auto" w:fill="auto"/>
            <w:noWrap/>
            <w:vAlign w:val="bottom"/>
            <w:hideMark/>
          </w:tcPr>
          <w:p w:rsidR="00C470E2" w:rsidRPr="001B7091" w:rsidRDefault="00C470E2" w:rsidP="001E4C2D">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1B7091">
              <w:rPr>
                <w:rFonts w:ascii="Arial" w:hAnsi="Arial" w:cs="Arial"/>
                <w:color w:val="000000"/>
                <w:sz w:val="20"/>
                <w:lang w:val="en-US" w:eastAsia="zh-CN"/>
              </w:rPr>
              <w:t> </w:t>
            </w:r>
          </w:p>
        </w:tc>
        <w:tc>
          <w:tcPr>
            <w:tcW w:w="605" w:type="pct"/>
            <w:tcBorders>
              <w:top w:val="nil"/>
              <w:left w:val="nil"/>
              <w:bottom w:val="nil"/>
              <w:right w:val="single" w:sz="4" w:space="0" w:color="auto"/>
            </w:tcBorders>
            <w:shd w:val="clear" w:color="auto" w:fill="auto"/>
            <w:noWrap/>
            <w:vAlign w:val="bottom"/>
            <w:hideMark/>
          </w:tcPr>
          <w:p w:rsidR="00C470E2" w:rsidRPr="001B7091" w:rsidRDefault="00C470E2" w:rsidP="001E4C2D">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1B7091">
              <w:rPr>
                <w:rFonts w:ascii="Arial" w:hAnsi="Arial" w:cs="Arial"/>
                <w:color w:val="000000"/>
                <w:sz w:val="20"/>
                <w:lang w:val="en-US" w:eastAsia="zh-CN"/>
              </w:rPr>
              <w:t> </w:t>
            </w:r>
          </w:p>
        </w:tc>
        <w:tc>
          <w:tcPr>
            <w:tcW w:w="605" w:type="pct"/>
            <w:tcBorders>
              <w:top w:val="nil"/>
              <w:left w:val="nil"/>
              <w:bottom w:val="nil"/>
              <w:right w:val="single" w:sz="4" w:space="0" w:color="auto"/>
            </w:tcBorders>
            <w:shd w:val="clear" w:color="auto" w:fill="auto"/>
            <w:noWrap/>
            <w:vAlign w:val="bottom"/>
            <w:hideMark/>
          </w:tcPr>
          <w:p w:rsidR="00C470E2" w:rsidRPr="001B7091" w:rsidRDefault="00C470E2" w:rsidP="001E4C2D">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1B7091">
              <w:rPr>
                <w:rFonts w:ascii="Arial" w:hAnsi="Arial" w:cs="Arial"/>
                <w:color w:val="000000"/>
                <w:sz w:val="20"/>
                <w:lang w:val="en-US" w:eastAsia="zh-CN"/>
              </w:rPr>
              <w:t xml:space="preserve">       6,500 </w:t>
            </w:r>
          </w:p>
        </w:tc>
        <w:tc>
          <w:tcPr>
            <w:tcW w:w="582" w:type="pct"/>
            <w:tcBorders>
              <w:top w:val="nil"/>
              <w:left w:val="nil"/>
              <w:bottom w:val="nil"/>
              <w:right w:val="single" w:sz="4" w:space="0" w:color="auto"/>
            </w:tcBorders>
            <w:shd w:val="clear" w:color="auto" w:fill="auto"/>
            <w:noWrap/>
            <w:vAlign w:val="bottom"/>
            <w:hideMark/>
          </w:tcPr>
          <w:p w:rsidR="00C470E2" w:rsidRPr="001B7091" w:rsidRDefault="00C470E2" w:rsidP="001E4C2D">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1B7091">
              <w:rPr>
                <w:rFonts w:ascii="Arial" w:hAnsi="Arial" w:cs="Arial"/>
                <w:color w:val="000000"/>
                <w:sz w:val="20"/>
                <w:lang w:val="en-US" w:eastAsia="zh-CN"/>
              </w:rPr>
              <w:t> </w:t>
            </w:r>
          </w:p>
        </w:tc>
      </w:tr>
      <w:tr w:rsidR="00C470E2" w:rsidRPr="001B7091" w:rsidTr="0077556E">
        <w:trPr>
          <w:trHeight w:val="255"/>
        </w:trPr>
        <w:tc>
          <w:tcPr>
            <w:tcW w:w="1372" w:type="pct"/>
            <w:tcBorders>
              <w:top w:val="nil"/>
              <w:left w:val="single" w:sz="4" w:space="0" w:color="auto"/>
              <w:bottom w:val="nil"/>
              <w:right w:val="single" w:sz="4" w:space="0" w:color="auto"/>
            </w:tcBorders>
            <w:shd w:val="clear" w:color="auto" w:fill="auto"/>
            <w:noWrap/>
            <w:vAlign w:val="bottom"/>
            <w:hideMark/>
          </w:tcPr>
          <w:p w:rsidR="00C470E2" w:rsidRPr="001B7091" w:rsidRDefault="00C470E2" w:rsidP="001B7091">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1B7091">
              <w:rPr>
                <w:rFonts w:ascii="Arial" w:hAnsi="Arial" w:cs="Arial"/>
                <w:color w:val="000000"/>
                <w:sz w:val="20"/>
                <w:lang w:val="en-US" w:eastAsia="zh-CN"/>
              </w:rPr>
              <w:t>7 - 9 months</w:t>
            </w:r>
          </w:p>
        </w:tc>
        <w:tc>
          <w:tcPr>
            <w:tcW w:w="113" w:type="pct"/>
            <w:tcBorders>
              <w:top w:val="nil"/>
              <w:left w:val="nil"/>
              <w:bottom w:val="nil"/>
              <w:right w:val="nil"/>
            </w:tcBorders>
          </w:tcPr>
          <w:p w:rsidR="00C470E2" w:rsidRPr="001B7091" w:rsidRDefault="00C470E2" w:rsidP="001E4C2D">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p>
        </w:tc>
        <w:tc>
          <w:tcPr>
            <w:tcW w:w="582" w:type="pct"/>
            <w:tcBorders>
              <w:top w:val="nil"/>
              <w:left w:val="nil"/>
              <w:bottom w:val="nil"/>
              <w:right w:val="single" w:sz="4" w:space="0" w:color="auto"/>
            </w:tcBorders>
            <w:shd w:val="clear" w:color="auto" w:fill="auto"/>
            <w:noWrap/>
            <w:vAlign w:val="bottom"/>
            <w:hideMark/>
          </w:tcPr>
          <w:p w:rsidR="00C470E2" w:rsidRPr="001B7091" w:rsidRDefault="00C470E2" w:rsidP="001E4C2D">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1B7091">
              <w:rPr>
                <w:rFonts w:ascii="Arial" w:hAnsi="Arial" w:cs="Arial"/>
                <w:color w:val="000000"/>
                <w:sz w:val="20"/>
                <w:lang w:val="en-US" w:eastAsia="zh-CN"/>
              </w:rPr>
              <w:t> </w:t>
            </w:r>
          </w:p>
        </w:tc>
        <w:tc>
          <w:tcPr>
            <w:tcW w:w="558" w:type="pct"/>
            <w:tcBorders>
              <w:top w:val="nil"/>
              <w:left w:val="nil"/>
              <w:bottom w:val="nil"/>
              <w:right w:val="single" w:sz="4" w:space="0" w:color="auto"/>
            </w:tcBorders>
            <w:shd w:val="clear" w:color="auto" w:fill="auto"/>
            <w:noWrap/>
            <w:vAlign w:val="bottom"/>
            <w:hideMark/>
          </w:tcPr>
          <w:p w:rsidR="00C470E2" w:rsidRPr="001B7091" w:rsidRDefault="00C470E2" w:rsidP="001E4C2D">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1B7091">
              <w:rPr>
                <w:rFonts w:ascii="Arial" w:hAnsi="Arial" w:cs="Arial"/>
                <w:color w:val="000000"/>
                <w:sz w:val="20"/>
                <w:lang w:val="en-US" w:eastAsia="zh-CN"/>
              </w:rPr>
              <w:t xml:space="preserve">      8,000 </w:t>
            </w:r>
          </w:p>
        </w:tc>
        <w:tc>
          <w:tcPr>
            <w:tcW w:w="582" w:type="pct"/>
            <w:tcBorders>
              <w:top w:val="nil"/>
              <w:left w:val="nil"/>
              <w:bottom w:val="nil"/>
              <w:right w:val="single" w:sz="4" w:space="0" w:color="auto"/>
            </w:tcBorders>
            <w:shd w:val="clear" w:color="auto" w:fill="auto"/>
            <w:noWrap/>
            <w:vAlign w:val="bottom"/>
            <w:hideMark/>
          </w:tcPr>
          <w:p w:rsidR="00C470E2" w:rsidRPr="001B7091" w:rsidRDefault="00C470E2" w:rsidP="001E4C2D">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1B7091">
              <w:rPr>
                <w:rFonts w:ascii="Arial" w:hAnsi="Arial" w:cs="Arial"/>
                <w:color w:val="000000"/>
                <w:sz w:val="20"/>
                <w:lang w:val="en-US" w:eastAsia="zh-CN"/>
              </w:rPr>
              <w:t> </w:t>
            </w:r>
          </w:p>
        </w:tc>
        <w:tc>
          <w:tcPr>
            <w:tcW w:w="605" w:type="pct"/>
            <w:tcBorders>
              <w:top w:val="nil"/>
              <w:left w:val="nil"/>
              <w:bottom w:val="nil"/>
              <w:right w:val="single" w:sz="4" w:space="0" w:color="auto"/>
            </w:tcBorders>
            <w:shd w:val="clear" w:color="auto" w:fill="auto"/>
            <w:noWrap/>
            <w:vAlign w:val="bottom"/>
            <w:hideMark/>
          </w:tcPr>
          <w:p w:rsidR="00C470E2" w:rsidRPr="001B7091" w:rsidRDefault="00C470E2" w:rsidP="001E4C2D">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1B7091">
              <w:rPr>
                <w:rFonts w:ascii="Arial" w:hAnsi="Arial" w:cs="Arial"/>
                <w:color w:val="000000"/>
                <w:sz w:val="20"/>
                <w:lang w:val="en-US" w:eastAsia="zh-CN"/>
              </w:rPr>
              <w:t> </w:t>
            </w:r>
          </w:p>
        </w:tc>
        <w:tc>
          <w:tcPr>
            <w:tcW w:w="605" w:type="pct"/>
            <w:tcBorders>
              <w:top w:val="nil"/>
              <w:left w:val="nil"/>
              <w:bottom w:val="nil"/>
              <w:right w:val="single" w:sz="4" w:space="0" w:color="auto"/>
            </w:tcBorders>
            <w:shd w:val="clear" w:color="auto" w:fill="auto"/>
            <w:noWrap/>
            <w:vAlign w:val="bottom"/>
            <w:hideMark/>
          </w:tcPr>
          <w:p w:rsidR="00C470E2" w:rsidRPr="001B7091" w:rsidRDefault="00C470E2" w:rsidP="001E4C2D">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1B7091">
              <w:rPr>
                <w:rFonts w:ascii="Arial" w:hAnsi="Arial" w:cs="Arial"/>
                <w:color w:val="000000"/>
                <w:sz w:val="20"/>
                <w:lang w:val="en-US" w:eastAsia="zh-CN"/>
              </w:rPr>
              <w:t> </w:t>
            </w:r>
          </w:p>
        </w:tc>
        <w:tc>
          <w:tcPr>
            <w:tcW w:w="582" w:type="pct"/>
            <w:tcBorders>
              <w:top w:val="nil"/>
              <w:left w:val="nil"/>
              <w:bottom w:val="nil"/>
              <w:right w:val="single" w:sz="4" w:space="0" w:color="auto"/>
            </w:tcBorders>
            <w:shd w:val="clear" w:color="auto" w:fill="auto"/>
            <w:noWrap/>
            <w:vAlign w:val="bottom"/>
            <w:hideMark/>
          </w:tcPr>
          <w:p w:rsidR="00C470E2" w:rsidRPr="001B7091" w:rsidRDefault="00C470E2" w:rsidP="001E4C2D">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1B7091">
              <w:rPr>
                <w:rFonts w:ascii="Arial" w:hAnsi="Arial" w:cs="Arial"/>
                <w:color w:val="000000"/>
                <w:sz w:val="20"/>
                <w:lang w:val="en-US" w:eastAsia="zh-CN"/>
              </w:rPr>
              <w:t> </w:t>
            </w:r>
          </w:p>
        </w:tc>
      </w:tr>
      <w:tr w:rsidR="00C470E2" w:rsidRPr="001B7091" w:rsidTr="0077556E">
        <w:trPr>
          <w:trHeight w:val="255"/>
        </w:trPr>
        <w:tc>
          <w:tcPr>
            <w:tcW w:w="1372" w:type="pct"/>
            <w:tcBorders>
              <w:top w:val="nil"/>
              <w:left w:val="single" w:sz="4" w:space="0" w:color="auto"/>
              <w:bottom w:val="nil"/>
              <w:right w:val="single" w:sz="4" w:space="0" w:color="auto"/>
            </w:tcBorders>
            <w:shd w:val="clear" w:color="auto" w:fill="auto"/>
            <w:noWrap/>
            <w:vAlign w:val="bottom"/>
            <w:hideMark/>
          </w:tcPr>
          <w:p w:rsidR="00C470E2" w:rsidRPr="001B7091" w:rsidRDefault="00C470E2" w:rsidP="001B7091">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1B7091">
              <w:rPr>
                <w:rFonts w:ascii="Arial" w:hAnsi="Arial" w:cs="Arial"/>
                <w:color w:val="000000"/>
                <w:sz w:val="20"/>
                <w:lang w:val="en-US" w:eastAsia="zh-CN"/>
              </w:rPr>
              <w:t>over 9 months</w:t>
            </w:r>
          </w:p>
        </w:tc>
        <w:tc>
          <w:tcPr>
            <w:tcW w:w="113" w:type="pct"/>
            <w:tcBorders>
              <w:top w:val="nil"/>
              <w:left w:val="nil"/>
              <w:bottom w:val="nil"/>
              <w:right w:val="nil"/>
            </w:tcBorders>
          </w:tcPr>
          <w:p w:rsidR="00C470E2" w:rsidRPr="001B7091" w:rsidRDefault="00C470E2" w:rsidP="001E4C2D">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p>
        </w:tc>
        <w:tc>
          <w:tcPr>
            <w:tcW w:w="582" w:type="pct"/>
            <w:tcBorders>
              <w:top w:val="nil"/>
              <w:left w:val="nil"/>
              <w:bottom w:val="nil"/>
              <w:right w:val="single" w:sz="4" w:space="0" w:color="auto"/>
            </w:tcBorders>
            <w:shd w:val="clear" w:color="auto" w:fill="auto"/>
            <w:noWrap/>
            <w:vAlign w:val="bottom"/>
            <w:hideMark/>
          </w:tcPr>
          <w:p w:rsidR="00C470E2" w:rsidRPr="001B7091" w:rsidRDefault="00C470E2" w:rsidP="001E4C2D">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1B7091">
              <w:rPr>
                <w:rFonts w:ascii="Arial" w:hAnsi="Arial" w:cs="Arial"/>
                <w:color w:val="000000"/>
                <w:sz w:val="20"/>
                <w:lang w:val="en-US" w:eastAsia="zh-CN"/>
              </w:rPr>
              <w:t> </w:t>
            </w:r>
          </w:p>
        </w:tc>
        <w:tc>
          <w:tcPr>
            <w:tcW w:w="558" w:type="pct"/>
            <w:tcBorders>
              <w:top w:val="nil"/>
              <w:left w:val="nil"/>
              <w:bottom w:val="nil"/>
              <w:right w:val="single" w:sz="4" w:space="0" w:color="auto"/>
            </w:tcBorders>
            <w:shd w:val="clear" w:color="auto" w:fill="auto"/>
            <w:noWrap/>
            <w:vAlign w:val="bottom"/>
            <w:hideMark/>
          </w:tcPr>
          <w:p w:rsidR="00C470E2" w:rsidRPr="001B7091" w:rsidRDefault="00C470E2" w:rsidP="001E4C2D">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1B7091">
              <w:rPr>
                <w:rFonts w:ascii="Arial" w:hAnsi="Arial" w:cs="Arial"/>
                <w:color w:val="000000"/>
                <w:sz w:val="20"/>
                <w:lang w:val="en-US" w:eastAsia="zh-CN"/>
              </w:rPr>
              <w:t> </w:t>
            </w:r>
          </w:p>
        </w:tc>
        <w:tc>
          <w:tcPr>
            <w:tcW w:w="582" w:type="pct"/>
            <w:tcBorders>
              <w:top w:val="nil"/>
              <w:left w:val="nil"/>
              <w:bottom w:val="nil"/>
              <w:right w:val="single" w:sz="4" w:space="0" w:color="auto"/>
            </w:tcBorders>
            <w:shd w:val="clear" w:color="auto" w:fill="auto"/>
            <w:noWrap/>
            <w:vAlign w:val="bottom"/>
            <w:hideMark/>
          </w:tcPr>
          <w:p w:rsidR="00C470E2" w:rsidRPr="001B7091" w:rsidRDefault="00C470E2" w:rsidP="001E4C2D">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1B7091">
              <w:rPr>
                <w:rFonts w:ascii="Arial" w:hAnsi="Arial" w:cs="Arial"/>
                <w:color w:val="000000"/>
                <w:sz w:val="20"/>
                <w:lang w:val="en-US" w:eastAsia="zh-CN"/>
              </w:rPr>
              <w:t> </w:t>
            </w:r>
          </w:p>
        </w:tc>
        <w:tc>
          <w:tcPr>
            <w:tcW w:w="605" w:type="pct"/>
            <w:tcBorders>
              <w:top w:val="nil"/>
              <w:left w:val="nil"/>
              <w:bottom w:val="nil"/>
              <w:right w:val="single" w:sz="4" w:space="0" w:color="auto"/>
            </w:tcBorders>
            <w:shd w:val="clear" w:color="auto" w:fill="auto"/>
            <w:noWrap/>
            <w:vAlign w:val="bottom"/>
            <w:hideMark/>
          </w:tcPr>
          <w:p w:rsidR="00C470E2" w:rsidRPr="001B7091" w:rsidRDefault="00C470E2" w:rsidP="001E4C2D">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1B7091">
              <w:rPr>
                <w:rFonts w:ascii="Arial" w:hAnsi="Arial" w:cs="Arial"/>
                <w:color w:val="000000"/>
                <w:sz w:val="20"/>
                <w:lang w:val="en-US" w:eastAsia="zh-CN"/>
              </w:rPr>
              <w:t> </w:t>
            </w:r>
          </w:p>
        </w:tc>
        <w:tc>
          <w:tcPr>
            <w:tcW w:w="605" w:type="pct"/>
            <w:tcBorders>
              <w:top w:val="nil"/>
              <w:left w:val="nil"/>
              <w:bottom w:val="nil"/>
              <w:right w:val="single" w:sz="4" w:space="0" w:color="auto"/>
            </w:tcBorders>
            <w:shd w:val="clear" w:color="auto" w:fill="auto"/>
            <w:noWrap/>
            <w:vAlign w:val="bottom"/>
            <w:hideMark/>
          </w:tcPr>
          <w:p w:rsidR="00C470E2" w:rsidRPr="001B7091" w:rsidRDefault="00C470E2" w:rsidP="001E4C2D">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1B7091">
              <w:rPr>
                <w:rFonts w:ascii="Arial" w:hAnsi="Arial" w:cs="Arial"/>
                <w:color w:val="000000"/>
                <w:sz w:val="20"/>
                <w:lang w:val="en-US" w:eastAsia="zh-CN"/>
              </w:rPr>
              <w:t> </w:t>
            </w:r>
          </w:p>
        </w:tc>
        <w:tc>
          <w:tcPr>
            <w:tcW w:w="582" w:type="pct"/>
            <w:tcBorders>
              <w:top w:val="nil"/>
              <w:left w:val="nil"/>
              <w:bottom w:val="nil"/>
              <w:right w:val="single" w:sz="4" w:space="0" w:color="auto"/>
            </w:tcBorders>
            <w:shd w:val="clear" w:color="auto" w:fill="auto"/>
            <w:noWrap/>
            <w:vAlign w:val="bottom"/>
            <w:hideMark/>
          </w:tcPr>
          <w:p w:rsidR="00C470E2" w:rsidRPr="001B7091" w:rsidRDefault="00C470E2" w:rsidP="001E4C2D">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1B7091">
              <w:rPr>
                <w:rFonts w:ascii="Arial" w:hAnsi="Arial" w:cs="Arial"/>
                <w:color w:val="000000"/>
                <w:sz w:val="20"/>
                <w:lang w:val="en-US" w:eastAsia="zh-CN"/>
              </w:rPr>
              <w:t> </w:t>
            </w:r>
          </w:p>
        </w:tc>
      </w:tr>
      <w:tr w:rsidR="00C470E2" w:rsidRPr="001B7091" w:rsidTr="0077556E">
        <w:trPr>
          <w:trHeight w:val="499"/>
        </w:trPr>
        <w:tc>
          <w:tcPr>
            <w:tcW w:w="1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70E2" w:rsidRPr="001B7091" w:rsidRDefault="00C470E2" w:rsidP="001B7091">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20"/>
                <w:lang w:val="en-US" w:eastAsia="zh-CN"/>
              </w:rPr>
            </w:pPr>
            <w:r w:rsidRPr="001B7091">
              <w:rPr>
                <w:rFonts w:ascii="Arial" w:hAnsi="Arial" w:cs="Arial"/>
                <w:b/>
                <w:bCs/>
                <w:color w:val="000000"/>
                <w:sz w:val="20"/>
                <w:lang w:val="en-US" w:eastAsia="zh-CN"/>
              </w:rPr>
              <w:t>Investments</w:t>
            </w:r>
          </w:p>
        </w:tc>
        <w:tc>
          <w:tcPr>
            <w:tcW w:w="113" w:type="pct"/>
            <w:tcBorders>
              <w:top w:val="single" w:sz="4" w:space="0" w:color="auto"/>
              <w:left w:val="nil"/>
              <w:bottom w:val="single" w:sz="4" w:space="0" w:color="auto"/>
              <w:right w:val="nil"/>
            </w:tcBorders>
          </w:tcPr>
          <w:p w:rsidR="00C470E2" w:rsidRPr="001B7091" w:rsidRDefault="00C470E2" w:rsidP="001E4C2D">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p>
        </w:tc>
        <w:tc>
          <w:tcPr>
            <w:tcW w:w="582" w:type="pct"/>
            <w:tcBorders>
              <w:top w:val="single" w:sz="4" w:space="0" w:color="auto"/>
              <w:left w:val="nil"/>
              <w:bottom w:val="single" w:sz="4" w:space="0" w:color="auto"/>
              <w:right w:val="single" w:sz="4" w:space="0" w:color="auto"/>
            </w:tcBorders>
            <w:shd w:val="clear" w:color="auto" w:fill="auto"/>
            <w:noWrap/>
            <w:vAlign w:val="center"/>
            <w:hideMark/>
          </w:tcPr>
          <w:p w:rsidR="00C470E2" w:rsidRPr="001B7091" w:rsidRDefault="00C470E2" w:rsidP="001E4C2D">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1B7091">
              <w:rPr>
                <w:rFonts w:ascii="Arial" w:hAnsi="Arial" w:cs="Arial"/>
                <w:b/>
                <w:bCs/>
                <w:color w:val="000000"/>
                <w:sz w:val="20"/>
                <w:lang w:val="en-US" w:eastAsia="zh-CN"/>
              </w:rPr>
              <w:t xml:space="preserve">         11 </w:t>
            </w:r>
          </w:p>
        </w:tc>
        <w:tc>
          <w:tcPr>
            <w:tcW w:w="558" w:type="pct"/>
            <w:tcBorders>
              <w:top w:val="single" w:sz="4" w:space="0" w:color="auto"/>
              <w:left w:val="nil"/>
              <w:bottom w:val="single" w:sz="4" w:space="0" w:color="auto"/>
              <w:right w:val="single" w:sz="4" w:space="0" w:color="auto"/>
            </w:tcBorders>
            <w:shd w:val="clear" w:color="auto" w:fill="auto"/>
            <w:noWrap/>
            <w:vAlign w:val="center"/>
            <w:hideMark/>
          </w:tcPr>
          <w:p w:rsidR="00C470E2" w:rsidRPr="001B7091" w:rsidRDefault="00C470E2" w:rsidP="001E4C2D">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1B7091">
              <w:rPr>
                <w:rFonts w:ascii="Arial" w:hAnsi="Arial" w:cs="Arial"/>
                <w:b/>
                <w:bCs/>
                <w:color w:val="000000"/>
                <w:sz w:val="20"/>
                <w:lang w:val="en-US" w:eastAsia="zh-CN"/>
              </w:rPr>
              <w:t xml:space="preserve">    31,512 </w:t>
            </w:r>
          </w:p>
        </w:tc>
        <w:tc>
          <w:tcPr>
            <w:tcW w:w="582" w:type="pct"/>
            <w:tcBorders>
              <w:top w:val="single" w:sz="4" w:space="0" w:color="auto"/>
              <w:left w:val="nil"/>
              <w:bottom w:val="single" w:sz="4" w:space="0" w:color="auto"/>
              <w:right w:val="single" w:sz="4" w:space="0" w:color="auto"/>
            </w:tcBorders>
            <w:shd w:val="clear" w:color="auto" w:fill="auto"/>
            <w:noWrap/>
            <w:vAlign w:val="center"/>
            <w:hideMark/>
          </w:tcPr>
          <w:p w:rsidR="00C470E2" w:rsidRPr="001B7091" w:rsidRDefault="00C470E2" w:rsidP="001E4C2D">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1B7091">
              <w:rPr>
                <w:rFonts w:ascii="Arial" w:hAnsi="Arial" w:cs="Arial"/>
                <w:b/>
                <w:bCs/>
                <w:color w:val="000000"/>
                <w:sz w:val="20"/>
                <w:lang w:val="en-US" w:eastAsia="zh-CN"/>
              </w:rPr>
              <w:t xml:space="preserve">              4 </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C470E2" w:rsidRPr="001B7091" w:rsidRDefault="00C470E2" w:rsidP="001E4C2D">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1B7091">
              <w:rPr>
                <w:rFonts w:ascii="Arial" w:hAnsi="Arial" w:cs="Arial"/>
                <w:b/>
                <w:bCs/>
                <w:color w:val="000000"/>
                <w:sz w:val="20"/>
                <w:lang w:val="en-US" w:eastAsia="zh-CN"/>
              </w:rPr>
              <w:t xml:space="preserve">      56,902 </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C470E2" w:rsidRPr="001B7091" w:rsidRDefault="00C470E2" w:rsidP="001E4C2D">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1B7091">
              <w:rPr>
                <w:rFonts w:ascii="Arial" w:hAnsi="Arial" w:cs="Arial"/>
                <w:b/>
                <w:bCs/>
                <w:color w:val="000000"/>
                <w:sz w:val="20"/>
                <w:lang w:val="en-US" w:eastAsia="zh-CN"/>
              </w:rPr>
              <w:t xml:space="preserve">       7,583 </w:t>
            </w:r>
          </w:p>
        </w:tc>
        <w:tc>
          <w:tcPr>
            <w:tcW w:w="582" w:type="pct"/>
            <w:tcBorders>
              <w:top w:val="single" w:sz="4" w:space="0" w:color="auto"/>
              <w:left w:val="nil"/>
              <w:bottom w:val="single" w:sz="4" w:space="0" w:color="auto"/>
              <w:right w:val="single" w:sz="4" w:space="0" w:color="auto"/>
            </w:tcBorders>
            <w:shd w:val="clear" w:color="auto" w:fill="auto"/>
            <w:noWrap/>
            <w:vAlign w:val="center"/>
            <w:hideMark/>
          </w:tcPr>
          <w:p w:rsidR="00C470E2" w:rsidRPr="001B7091" w:rsidRDefault="00C470E2" w:rsidP="001E4C2D">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1B7091">
              <w:rPr>
                <w:rFonts w:ascii="Arial" w:hAnsi="Arial" w:cs="Arial"/>
                <w:b/>
                <w:bCs/>
                <w:color w:val="000000"/>
                <w:sz w:val="20"/>
                <w:lang w:val="en-US" w:eastAsia="zh-CN"/>
              </w:rPr>
              <w:t xml:space="preserve">              4 </w:t>
            </w:r>
          </w:p>
        </w:tc>
      </w:tr>
    </w:tbl>
    <w:p w:rsidR="0070318B" w:rsidRDefault="0070318B" w:rsidP="00224A06">
      <w:pPr>
        <w:tabs>
          <w:tab w:val="clear" w:pos="567"/>
          <w:tab w:val="clear" w:pos="1134"/>
          <w:tab w:val="clear" w:pos="1701"/>
          <w:tab w:val="clear" w:pos="2268"/>
          <w:tab w:val="clear" w:pos="2835"/>
        </w:tabs>
        <w:overflowPunct/>
        <w:autoSpaceDE/>
        <w:autoSpaceDN/>
        <w:snapToGrid w:val="0"/>
        <w:spacing w:before="0"/>
        <w:textAlignment w:val="auto"/>
        <w:rPr>
          <w:rFonts w:cs="Arial"/>
          <w:szCs w:val="24"/>
          <w:lang w:val="en-US" w:eastAsia="fr-FR"/>
        </w:rPr>
      </w:pPr>
    </w:p>
    <w:p w:rsidR="00A33FF0" w:rsidRDefault="007E643E" w:rsidP="00224A06">
      <w:pPr>
        <w:snapToGrid w:val="0"/>
        <w:spacing w:before="0"/>
        <w:jc w:val="both"/>
        <w:rPr>
          <w:lang w:val="en-US" w:eastAsia="fr-FR"/>
        </w:rPr>
      </w:pPr>
      <w:r w:rsidRPr="007E643E">
        <w:rPr>
          <w:lang w:val="en-US" w:eastAsia="fr-FR"/>
        </w:rPr>
        <w:t>The</w:t>
      </w:r>
      <w:r w:rsidR="00C700DF">
        <w:rPr>
          <w:lang w:val="en-US" w:eastAsia="fr-FR"/>
        </w:rPr>
        <w:t xml:space="preserve"> decrease </w:t>
      </w:r>
      <w:r w:rsidRPr="007E643E">
        <w:rPr>
          <w:lang w:val="en-US" w:eastAsia="fr-FR"/>
        </w:rPr>
        <w:t>in the investment</w:t>
      </w:r>
      <w:r w:rsidR="00F17E65">
        <w:rPr>
          <w:lang w:val="en-US" w:eastAsia="fr-FR"/>
        </w:rPr>
        <w:t>s</w:t>
      </w:r>
      <w:r w:rsidRPr="007E643E">
        <w:rPr>
          <w:lang w:val="en-US" w:eastAsia="fr-FR"/>
        </w:rPr>
        <w:t xml:space="preserve"> is mainly due to the introduction o</w:t>
      </w:r>
      <w:r w:rsidR="00287591">
        <w:rPr>
          <w:lang w:val="en-US" w:eastAsia="fr-FR"/>
        </w:rPr>
        <w:t>f</w:t>
      </w:r>
      <w:r w:rsidRPr="007E643E">
        <w:rPr>
          <w:lang w:val="en-US" w:eastAsia="fr-FR"/>
        </w:rPr>
        <w:t xml:space="preserve"> the negative interest on </w:t>
      </w:r>
      <w:r w:rsidR="00F17E65">
        <w:rPr>
          <w:lang w:val="en-US" w:eastAsia="fr-FR"/>
        </w:rPr>
        <w:t xml:space="preserve">the </w:t>
      </w:r>
      <w:r w:rsidR="004D4886">
        <w:rPr>
          <w:lang w:val="en-US" w:eastAsia="fr-FR"/>
        </w:rPr>
        <w:t>cash account</w:t>
      </w:r>
      <w:r w:rsidR="0034182F">
        <w:rPr>
          <w:lang w:val="en-US" w:eastAsia="fr-FR"/>
        </w:rPr>
        <w:t>s</w:t>
      </w:r>
      <w:r w:rsidR="004D4886">
        <w:rPr>
          <w:lang w:val="en-US" w:eastAsia="fr-FR"/>
        </w:rPr>
        <w:t xml:space="preserve"> in Swiss francs </w:t>
      </w:r>
      <w:r w:rsidR="00505975">
        <w:rPr>
          <w:lang w:val="en-US" w:eastAsia="fr-FR"/>
        </w:rPr>
        <w:t>and the policy of diversification put in place in 2015</w:t>
      </w:r>
      <w:r w:rsidRPr="007E643E">
        <w:rPr>
          <w:lang w:val="en-US" w:eastAsia="fr-FR"/>
        </w:rPr>
        <w:t>.</w:t>
      </w:r>
    </w:p>
    <w:p w:rsidR="00224A06" w:rsidRDefault="00224A06" w:rsidP="00224A06">
      <w:pPr>
        <w:snapToGrid w:val="0"/>
        <w:spacing w:before="0"/>
        <w:jc w:val="both"/>
        <w:rPr>
          <w:lang w:val="en-US" w:eastAsia="fr-FR"/>
        </w:rPr>
      </w:pPr>
    </w:p>
    <w:p w:rsidR="0022373A" w:rsidRDefault="00C700DF" w:rsidP="00224A06">
      <w:pPr>
        <w:snapToGrid w:val="0"/>
        <w:spacing w:before="0"/>
        <w:jc w:val="both"/>
        <w:rPr>
          <w:lang w:val="en-US" w:eastAsia="fr-FR"/>
        </w:rPr>
      </w:pPr>
      <w:r>
        <w:rPr>
          <w:lang w:val="en-US" w:eastAsia="fr-FR"/>
        </w:rPr>
        <w:t>In 201</w:t>
      </w:r>
      <w:r w:rsidR="00ED0279">
        <w:rPr>
          <w:lang w:val="en-US" w:eastAsia="fr-FR"/>
        </w:rPr>
        <w:t>7</w:t>
      </w:r>
      <w:r w:rsidR="004D4886">
        <w:rPr>
          <w:lang w:val="en-US" w:eastAsia="fr-FR"/>
        </w:rPr>
        <w:t>,</w:t>
      </w:r>
      <w:r>
        <w:rPr>
          <w:lang w:val="en-US" w:eastAsia="fr-FR"/>
        </w:rPr>
        <w:t xml:space="preserve"> the threshold granted by our financial partner</w:t>
      </w:r>
      <w:r w:rsidR="004D4886">
        <w:rPr>
          <w:lang w:val="en-US" w:eastAsia="fr-FR"/>
        </w:rPr>
        <w:t>s</w:t>
      </w:r>
      <w:r>
        <w:rPr>
          <w:lang w:val="en-US" w:eastAsia="fr-FR"/>
        </w:rPr>
        <w:t xml:space="preserve"> ha</w:t>
      </w:r>
      <w:r w:rsidR="00147CC2">
        <w:rPr>
          <w:lang w:val="en-US" w:eastAsia="fr-FR"/>
        </w:rPr>
        <w:t>d</w:t>
      </w:r>
      <w:r>
        <w:rPr>
          <w:lang w:val="en-US" w:eastAsia="fr-FR"/>
        </w:rPr>
        <w:t xml:space="preserve"> decreased </w:t>
      </w:r>
      <w:r w:rsidR="0034182F">
        <w:rPr>
          <w:lang w:val="en-US" w:eastAsia="fr-FR"/>
        </w:rPr>
        <w:t xml:space="preserve">and therefore, </w:t>
      </w:r>
      <w:r w:rsidR="002C0314">
        <w:rPr>
          <w:lang w:val="en-US" w:eastAsia="fr-FR"/>
        </w:rPr>
        <w:t xml:space="preserve">some deposit accounts were closed in order to </w:t>
      </w:r>
      <w:r>
        <w:rPr>
          <w:lang w:val="en-US" w:eastAsia="fr-FR"/>
        </w:rPr>
        <w:t>use new cash account</w:t>
      </w:r>
      <w:r w:rsidR="004D4886">
        <w:rPr>
          <w:lang w:val="en-US" w:eastAsia="fr-FR"/>
        </w:rPr>
        <w:t>s</w:t>
      </w:r>
      <w:r>
        <w:rPr>
          <w:lang w:val="en-US" w:eastAsia="fr-FR"/>
        </w:rPr>
        <w:t xml:space="preserve"> with some </w:t>
      </w:r>
      <w:r w:rsidR="004D4886">
        <w:rPr>
          <w:lang w:val="en-US" w:eastAsia="fr-FR"/>
        </w:rPr>
        <w:t xml:space="preserve">negotiated </w:t>
      </w:r>
      <w:r>
        <w:rPr>
          <w:lang w:val="en-US" w:eastAsia="fr-FR"/>
        </w:rPr>
        <w:t>positive interests.</w:t>
      </w:r>
    </w:p>
    <w:p w:rsidR="0022373A" w:rsidRPr="001C2A98" w:rsidRDefault="0022373A" w:rsidP="00C700DF">
      <w:pPr>
        <w:pStyle w:val="Heading5"/>
        <w:jc w:val="both"/>
        <w:rPr>
          <w:lang w:val="en-US"/>
        </w:rPr>
      </w:pPr>
      <w:bookmarkStart w:id="73" w:name="_Toc305764083"/>
      <w:bookmarkStart w:id="74" w:name="_Toc329011633"/>
      <w:r w:rsidRPr="001C2A98">
        <w:rPr>
          <w:lang w:val="en-US"/>
        </w:rPr>
        <w:t xml:space="preserve">Note </w:t>
      </w:r>
      <w:r w:rsidR="00C700DF">
        <w:rPr>
          <w:lang w:val="en-US"/>
        </w:rPr>
        <w:t>8</w:t>
      </w:r>
      <w:r w:rsidRPr="001C2A98">
        <w:rPr>
          <w:lang w:val="en-US"/>
        </w:rPr>
        <w:tab/>
        <w:t>Receivables</w:t>
      </w:r>
      <w:bookmarkEnd w:id="73"/>
      <w:bookmarkEnd w:id="74"/>
    </w:p>
    <w:p w:rsidR="00C700DF" w:rsidRDefault="0022373A" w:rsidP="00224A06">
      <w:pPr>
        <w:jc w:val="both"/>
        <w:rPr>
          <w:lang w:val="en-US"/>
        </w:rPr>
      </w:pPr>
      <w:r w:rsidRPr="00B367D2">
        <w:rPr>
          <w:lang w:val="en-US"/>
        </w:rPr>
        <w:t xml:space="preserve">Receivables represent as yet uncollected revenue that Member States, Sector Members and Associates have committed to pay to ITU in respect of annual contributions, purchase of publications, satellite network filings or other invoices. Amounts due on contributions bear interest from the beginning of the fourth month of each financial year of the Union at </w:t>
      </w:r>
      <w:r w:rsidR="00031055">
        <w:rPr>
          <w:lang w:val="en-US"/>
        </w:rPr>
        <w:t>three</w:t>
      </w:r>
      <w:r w:rsidRPr="00B367D2">
        <w:rPr>
          <w:lang w:val="en-US"/>
        </w:rPr>
        <w:t xml:space="preserve"> per cent per annum during the following three months, and at </w:t>
      </w:r>
      <w:r w:rsidR="00031055">
        <w:rPr>
          <w:lang w:val="en-US"/>
        </w:rPr>
        <w:t>six</w:t>
      </w:r>
      <w:r w:rsidRPr="00B367D2">
        <w:rPr>
          <w:lang w:val="en-US"/>
        </w:rPr>
        <w:t xml:space="preserve"> per cent per annum as from the beginning of the seventh month.</w:t>
      </w:r>
    </w:p>
    <w:p w:rsidR="0022373A" w:rsidRPr="00B367D2" w:rsidRDefault="0022373A" w:rsidP="00C700DF">
      <w:pPr>
        <w:jc w:val="both"/>
        <w:rPr>
          <w:lang w:val="en-US"/>
        </w:rPr>
      </w:pPr>
      <w:r w:rsidRPr="00B367D2">
        <w:rPr>
          <w:lang w:val="en-US"/>
        </w:rPr>
        <w:t>Non-current, non-exchange receivables represent receivables from the debt repayment schedules applicable to members having undertaken to repay such debts under an agreement spanning several financial periods.</w:t>
      </w:r>
    </w:p>
    <w:p w:rsidR="00BD4C15" w:rsidRDefault="0022373A" w:rsidP="00C700DF">
      <w:pPr>
        <w:snapToGrid w:val="0"/>
        <w:jc w:val="both"/>
        <w:rPr>
          <w:lang w:val="en-US"/>
        </w:rPr>
      </w:pPr>
      <w:r w:rsidRPr="00B367D2">
        <w:rPr>
          <w:lang w:val="en-US"/>
        </w:rPr>
        <w:t>Other receivables represent uncollected revenue for services associated with TELECOM and voluntary contributions.</w:t>
      </w:r>
    </w:p>
    <w:p w:rsidR="00EE259B" w:rsidRDefault="00BD4C15" w:rsidP="008A4001">
      <w:pPr>
        <w:pStyle w:val="ListParagraph"/>
        <w:adjustRightInd w:val="0"/>
        <w:snapToGrid w:val="0"/>
        <w:spacing w:before="120"/>
        <w:ind w:left="0"/>
        <w:contextualSpacing w:val="0"/>
        <w:jc w:val="both"/>
      </w:pPr>
      <w:r w:rsidRPr="009A6474">
        <w:rPr>
          <w:rFonts w:ascii="Calibri" w:eastAsia="Times New Roman" w:hAnsi="Calibri"/>
          <w:lang w:eastAsia="en-US"/>
        </w:rPr>
        <w:t xml:space="preserve">It is worth emphasizing that, since the implementation of IPSAS, a provision of 100 per cent has been recognized for all arrears, special arrears accounts and cancelled special arrears accounts. </w:t>
      </w:r>
      <w:r w:rsidR="009A6474" w:rsidRPr="009A6474">
        <w:rPr>
          <w:rFonts w:ascii="Calibri" w:eastAsia="Times New Roman" w:hAnsi="Calibri"/>
          <w:lang w:eastAsia="en-US"/>
        </w:rPr>
        <w:t xml:space="preserve"> </w:t>
      </w:r>
      <w:r w:rsidR="00B75C1F" w:rsidRPr="009A6474">
        <w:rPr>
          <w:rFonts w:ascii="Calibri" w:eastAsia="Times New Roman" w:hAnsi="Calibri"/>
          <w:lang w:eastAsia="en-US"/>
        </w:rPr>
        <w:t xml:space="preserve">The main indicators show the Union’s immediate financial situation to be healthy, despite a level of debtors with 12 months or more overdue payments (arrears, special arrears accounts and cancelled special arrears accounts) totaling </w:t>
      </w:r>
      <w:r w:rsidR="00B75C1F" w:rsidRPr="00ED0279">
        <w:rPr>
          <w:rFonts w:ascii="Calibri" w:eastAsia="Times New Roman" w:hAnsi="Calibri"/>
          <w:lang w:eastAsia="en-US"/>
        </w:rPr>
        <w:t>CHF 4</w:t>
      </w:r>
      <w:r w:rsidR="00ED0279" w:rsidRPr="00ED0279">
        <w:rPr>
          <w:rFonts w:ascii="Calibri" w:eastAsia="Times New Roman" w:hAnsi="Calibri"/>
          <w:lang w:eastAsia="en-US"/>
        </w:rPr>
        <w:t>5.2</w:t>
      </w:r>
      <w:r w:rsidR="00B75C1F" w:rsidRPr="00ED0279">
        <w:rPr>
          <w:rFonts w:ascii="Calibri" w:eastAsia="Times New Roman" w:hAnsi="Calibri"/>
          <w:lang w:eastAsia="en-US"/>
        </w:rPr>
        <w:t xml:space="preserve"> million at 31 December </w:t>
      </w:r>
      <w:r w:rsidR="00B75C1F" w:rsidRPr="009A6474">
        <w:rPr>
          <w:rFonts w:ascii="Calibri" w:eastAsia="Times New Roman" w:hAnsi="Calibri"/>
          <w:lang w:eastAsia="en-US"/>
        </w:rPr>
        <w:t xml:space="preserve"> (CHF </w:t>
      </w:r>
      <w:r w:rsidR="003F2DED">
        <w:rPr>
          <w:rFonts w:ascii="Calibri" w:eastAsia="Times New Roman" w:hAnsi="Calibri"/>
          <w:lang w:eastAsia="en-US"/>
        </w:rPr>
        <w:t>46</w:t>
      </w:r>
      <w:r w:rsidR="00B75C1F" w:rsidRPr="009A6474">
        <w:rPr>
          <w:rFonts w:ascii="Calibri" w:eastAsia="Times New Roman" w:hAnsi="Calibri"/>
          <w:lang w:eastAsia="en-US"/>
        </w:rPr>
        <w:t>.</w:t>
      </w:r>
      <w:r w:rsidR="003F2DED">
        <w:rPr>
          <w:rFonts w:ascii="Calibri" w:eastAsia="Times New Roman" w:hAnsi="Calibri"/>
          <w:lang w:eastAsia="en-US"/>
        </w:rPr>
        <w:t>7</w:t>
      </w:r>
      <w:r w:rsidR="00B75C1F" w:rsidRPr="009A6474">
        <w:rPr>
          <w:rFonts w:ascii="Calibri" w:eastAsia="Times New Roman" w:hAnsi="Calibri"/>
          <w:lang w:eastAsia="en-US"/>
        </w:rPr>
        <w:t xml:space="preserve"> million at 31</w:t>
      </w:r>
      <w:r w:rsidR="009A6474" w:rsidRPr="009A6474">
        <w:rPr>
          <w:rFonts w:ascii="Calibri" w:eastAsia="Times New Roman" w:hAnsi="Calibri"/>
          <w:lang w:eastAsia="en-US"/>
        </w:rPr>
        <w:t> </w:t>
      </w:r>
      <w:r w:rsidR="00B75C1F" w:rsidRPr="009A6474">
        <w:rPr>
          <w:rFonts w:ascii="Calibri" w:eastAsia="Times New Roman" w:hAnsi="Calibri"/>
          <w:lang w:eastAsia="en-US"/>
        </w:rPr>
        <w:t>December</w:t>
      </w:r>
      <w:r w:rsidR="00FD1E76">
        <w:rPr>
          <w:rFonts w:ascii="Calibri" w:eastAsia="Times New Roman" w:hAnsi="Calibri"/>
          <w:lang w:eastAsia="en-US"/>
        </w:rPr>
        <w:t> </w:t>
      </w:r>
      <w:r w:rsidR="00B75C1F" w:rsidRPr="009A6474">
        <w:rPr>
          <w:rFonts w:ascii="Calibri" w:eastAsia="Times New Roman" w:hAnsi="Calibri"/>
          <w:lang w:eastAsia="en-US"/>
        </w:rPr>
        <w:t>201</w:t>
      </w:r>
      <w:r w:rsidR="003F2DED">
        <w:rPr>
          <w:rFonts w:ascii="Calibri" w:eastAsia="Times New Roman" w:hAnsi="Calibri"/>
          <w:lang w:eastAsia="en-US"/>
        </w:rPr>
        <w:t>6</w:t>
      </w:r>
      <w:r w:rsidR="00B75C1F" w:rsidRPr="009A6474">
        <w:rPr>
          <w:rFonts w:ascii="Calibri" w:eastAsia="Times New Roman" w:hAnsi="Calibri"/>
          <w:lang w:eastAsia="en-US"/>
        </w:rPr>
        <w:t>).</w:t>
      </w:r>
      <w:r w:rsidR="009A6474" w:rsidRPr="009A6474">
        <w:rPr>
          <w:rFonts w:ascii="Calibri" w:eastAsia="Times New Roman" w:hAnsi="Calibri"/>
          <w:lang w:eastAsia="en-US"/>
        </w:rPr>
        <w:t xml:space="preserve">  </w:t>
      </w:r>
      <w:r w:rsidR="00B75C1F" w:rsidRPr="009A6474">
        <w:rPr>
          <w:rFonts w:ascii="Calibri" w:eastAsia="Times New Roman" w:hAnsi="Calibri"/>
          <w:lang w:eastAsia="en-US"/>
        </w:rPr>
        <w:t>The situation with respect to arrears in the Union’s regular budget at 31</w:t>
      </w:r>
      <w:r w:rsidR="009A6474" w:rsidRPr="009A6474">
        <w:rPr>
          <w:rFonts w:ascii="Calibri" w:eastAsia="Times New Roman" w:hAnsi="Calibri"/>
          <w:lang w:eastAsia="en-US"/>
        </w:rPr>
        <w:t> </w:t>
      </w:r>
      <w:r w:rsidR="00B75C1F" w:rsidRPr="009A6474">
        <w:rPr>
          <w:rFonts w:ascii="Calibri" w:eastAsia="Times New Roman" w:hAnsi="Calibri"/>
          <w:lang w:eastAsia="en-US"/>
        </w:rPr>
        <w:t>December 201</w:t>
      </w:r>
      <w:r w:rsidR="003F2DED">
        <w:rPr>
          <w:rFonts w:ascii="Calibri" w:eastAsia="Times New Roman" w:hAnsi="Calibri"/>
          <w:lang w:eastAsia="en-US"/>
        </w:rPr>
        <w:t>7</w:t>
      </w:r>
      <w:r w:rsidR="00B75C1F" w:rsidRPr="009A6474">
        <w:rPr>
          <w:rFonts w:ascii="Calibri" w:eastAsia="Times New Roman" w:hAnsi="Calibri"/>
          <w:lang w:eastAsia="en-US"/>
        </w:rPr>
        <w:t xml:space="preserve"> is set out in </w:t>
      </w:r>
      <w:r w:rsidR="00B75C1F" w:rsidRPr="00BE3C2E">
        <w:rPr>
          <w:rFonts w:ascii="Calibri" w:eastAsia="Times New Roman" w:hAnsi="Calibri"/>
          <w:lang w:eastAsia="en-US"/>
        </w:rPr>
        <w:t xml:space="preserve">Annex </w:t>
      </w:r>
      <w:r w:rsidR="00BE3C2E" w:rsidRPr="00BE3C2E">
        <w:rPr>
          <w:rFonts w:ascii="Calibri" w:eastAsia="Times New Roman" w:hAnsi="Calibri"/>
          <w:lang w:eastAsia="en-US"/>
        </w:rPr>
        <w:t>B</w:t>
      </w:r>
      <w:r w:rsidR="009A6474">
        <w:rPr>
          <w:rFonts w:ascii="Calibri" w:eastAsia="Times New Roman" w:hAnsi="Calibri"/>
          <w:lang w:eastAsia="en-US"/>
        </w:rPr>
        <w:t xml:space="preserve"> </w:t>
      </w:r>
      <w:r w:rsidR="00B75C1F" w:rsidRPr="009A6474">
        <w:rPr>
          <w:rFonts w:ascii="Calibri" w:eastAsia="Times New Roman" w:hAnsi="Calibri"/>
          <w:lang w:eastAsia="en-US"/>
        </w:rPr>
        <w:t>hereto.</w:t>
      </w:r>
    </w:p>
    <w:p w:rsidR="003F2DED" w:rsidRDefault="003F2DED" w:rsidP="00DD43BB">
      <w:pPr>
        <w:pStyle w:val="Heading5"/>
        <w:tabs>
          <w:tab w:val="clear" w:pos="1134"/>
          <w:tab w:val="left" w:pos="0"/>
          <w:tab w:val="left" w:pos="993"/>
        </w:tabs>
        <w:snapToGrid w:val="0"/>
        <w:spacing w:before="0"/>
        <w:ind w:left="0" w:firstLine="0"/>
        <w:rPr>
          <w:lang w:val="en-US"/>
        </w:rPr>
      </w:pPr>
      <w:bookmarkStart w:id="75" w:name="_Toc305764084"/>
      <w:bookmarkStart w:id="76" w:name="_Toc329011634"/>
    </w:p>
    <w:tbl>
      <w:tblPr>
        <w:tblW w:w="10140" w:type="dxa"/>
        <w:tblLook w:val="04A0" w:firstRow="1" w:lastRow="0" w:firstColumn="1" w:lastColumn="0" w:noHBand="0" w:noVBand="1"/>
      </w:tblPr>
      <w:tblGrid>
        <w:gridCol w:w="6820"/>
        <w:gridCol w:w="1660"/>
        <w:gridCol w:w="1660"/>
      </w:tblGrid>
      <w:tr w:rsidR="003F2DED" w:rsidRPr="003F2DED" w:rsidTr="003F2DED">
        <w:trPr>
          <w:trHeight w:val="499"/>
        </w:trPr>
        <w:tc>
          <w:tcPr>
            <w:tcW w:w="6820" w:type="dxa"/>
            <w:tcBorders>
              <w:top w:val="single" w:sz="4" w:space="0" w:color="auto"/>
              <w:left w:val="single" w:sz="4" w:space="0" w:color="auto"/>
              <w:bottom w:val="single" w:sz="4" w:space="0" w:color="auto"/>
              <w:right w:val="nil"/>
            </w:tcBorders>
            <w:shd w:val="clear" w:color="auto" w:fill="auto"/>
            <w:noWrap/>
            <w:vAlign w:val="center"/>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20"/>
                <w:lang w:val="en-US" w:eastAsia="zh-CN"/>
              </w:rPr>
            </w:pPr>
            <w:r w:rsidRPr="003F2DED">
              <w:rPr>
                <w:rFonts w:ascii="Arial" w:hAnsi="Arial" w:cs="Arial"/>
                <w:b/>
                <w:bCs/>
                <w:color w:val="000000"/>
                <w:sz w:val="20"/>
                <w:lang w:val="en-US" w:eastAsia="zh-CN"/>
              </w:rPr>
              <w:t xml:space="preserve">In thousands of CHF </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20"/>
                <w:lang w:val="en-US" w:eastAsia="zh-CN"/>
              </w:rPr>
            </w:pPr>
            <w:r w:rsidRPr="003F2DED">
              <w:rPr>
                <w:rFonts w:ascii="Arial" w:hAnsi="Arial" w:cs="Arial"/>
                <w:b/>
                <w:bCs/>
                <w:color w:val="000000"/>
                <w:sz w:val="20"/>
                <w:lang w:val="en-US" w:eastAsia="zh-CN"/>
              </w:rPr>
              <w:t>31.12.2017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20"/>
                <w:lang w:val="en-US" w:eastAsia="zh-CN"/>
              </w:rPr>
            </w:pPr>
            <w:r w:rsidRPr="003F2DED">
              <w:rPr>
                <w:rFonts w:ascii="Arial" w:hAnsi="Arial" w:cs="Arial"/>
                <w:b/>
                <w:bCs/>
                <w:color w:val="000000"/>
                <w:sz w:val="20"/>
                <w:lang w:val="en-US" w:eastAsia="zh-CN"/>
              </w:rPr>
              <w:t>31.12.2016</w:t>
            </w:r>
          </w:p>
        </w:tc>
      </w:tr>
      <w:tr w:rsidR="003F2DED" w:rsidRPr="003F2DED" w:rsidTr="003F2DED">
        <w:trPr>
          <w:trHeight w:val="255"/>
        </w:trPr>
        <w:tc>
          <w:tcPr>
            <w:tcW w:w="6820" w:type="dxa"/>
            <w:tcBorders>
              <w:top w:val="nil"/>
              <w:left w:val="single" w:sz="4" w:space="0" w:color="auto"/>
              <w:bottom w:val="nil"/>
              <w:right w:val="nil"/>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3F2DED">
              <w:rPr>
                <w:rFonts w:ascii="Arial" w:hAnsi="Arial" w:cs="Arial"/>
                <w:color w:val="000000"/>
                <w:sz w:val="20"/>
                <w:lang w:val="en-US" w:eastAsia="zh-CN"/>
              </w:rPr>
              <w:t> </w:t>
            </w:r>
          </w:p>
        </w:tc>
        <w:tc>
          <w:tcPr>
            <w:tcW w:w="1660" w:type="dxa"/>
            <w:tcBorders>
              <w:top w:val="nil"/>
              <w:left w:val="single" w:sz="4" w:space="0" w:color="auto"/>
              <w:bottom w:val="nil"/>
              <w:right w:val="single" w:sz="4" w:space="0" w:color="auto"/>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3F2DED">
              <w:rPr>
                <w:rFonts w:ascii="Arial" w:hAnsi="Arial" w:cs="Arial"/>
                <w:color w:val="000000"/>
                <w:sz w:val="20"/>
                <w:lang w:val="en-US" w:eastAsia="zh-CN"/>
              </w:rPr>
              <w:t> </w:t>
            </w:r>
          </w:p>
        </w:tc>
        <w:tc>
          <w:tcPr>
            <w:tcW w:w="1660" w:type="dxa"/>
            <w:tcBorders>
              <w:top w:val="nil"/>
              <w:left w:val="nil"/>
              <w:bottom w:val="nil"/>
              <w:right w:val="single" w:sz="4" w:space="0" w:color="auto"/>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20"/>
                <w:lang w:val="en-US" w:eastAsia="zh-CN"/>
              </w:rPr>
            </w:pPr>
            <w:r w:rsidRPr="003F2DED">
              <w:rPr>
                <w:rFonts w:ascii="Arial" w:hAnsi="Arial" w:cs="Arial"/>
                <w:color w:val="000000"/>
                <w:sz w:val="20"/>
                <w:lang w:val="en-US" w:eastAsia="zh-CN"/>
              </w:rPr>
              <w:t> </w:t>
            </w:r>
          </w:p>
        </w:tc>
      </w:tr>
      <w:tr w:rsidR="003F2DED" w:rsidRPr="003F2DED" w:rsidTr="003F2DED">
        <w:trPr>
          <w:trHeight w:val="255"/>
        </w:trPr>
        <w:tc>
          <w:tcPr>
            <w:tcW w:w="6820" w:type="dxa"/>
            <w:tcBorders>
              <w:top w:val="nil"/>
              <w:left w:val="single" w:sz="4" w:space="0" w:color="auto"/>
              <w:bottom w:val="nil"/>
              <w:right w:val="nil"/>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3F2DED">
              <w:rPr>
                <w:rFonts w:ascii="Arial" w:hAnsi="Arial" w:cs="Arial"/>
                <w:color w:val="000000"/>
                <w:sz w:val="20"/>
                <w:lang w:val="en-US" w:eastAsia="zh-CN"/>
              </w:rPr>
              <w:t>Current receivables – exchange transactions</w:t>
            </w:r>
          </w:p>
        </w:tc>
        <w:tc>
          <w:tcPr>
            <w:tcW w:w="1660" w:type="dxa"/>
            <w:tcBorders>
              <w:top w:val="nil"/>
              <w:left w:val="single" w:sz="4" w:space="0" w:color="auto"/>
              <w:bottom w:val="nil"/>
              <w:right w:val="single" w:sz="4" w:space="0" w:color="auto"/>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3F2DED">
              <w:rPr>
                <w:rFonts w:ascii="Arial" w:hAnsi="Arial" w:cs="Arial"/>
                <w:color w:val="000000"/>
                <w:sz w:val="20"/>
                <w:lang w:val="en-US" w:eastAsia="zh-CN"/>
              </w:rPr>
              <w:t xml:space="preserve">              10,229 </w:t>
            </w:r>
          </w:p>
        </w:tc>
        <w:tc>
          <w:tcPr>
            <w:tcW w:w="1660" w:type="dxa"/>
            <w:tcBorders>
              <w:top w:val="nil"/>
              <w:left w:val="nil"/>
              <w:bottom w:val="nil"/>
              <w:right w:val="single" w:sz="4" w:space="0" w:color="auto"/>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3F2DED">
              <w:rPr>
                <w:rFonts w:ascii="Arial" w:hAnsi="Arial" w:cs="Arial"/>
                <w:color w:val="000000"/>
                <w:sz w:val="20"/>
                <w:lang w:val="en-US" w:eastAsia="zh-CN"/>
              </w:rPr>
              <w:t xml:space="preserve">              10,100 </w:t>
            </w:r>
          </w:p>
        </w:tc>
      </w:tr>
      <w:tr w:rsidR="003F2DED" w:rsidRPr="003F2DED" w:rsidTr="003F2DED">
        <w:trPr>
          <w:trHeight w:val="255"/>
        </w:trPr>
        <w:tc>
          <w:tcPr>
            <w:tcW w:w="6820" w:type="dxa"/>
            <w:tcBorders>
              <w:top w:val="nil"/>
              <w:left w:val="single" w:sz="4" w:space="0" w:color="auto"/>
              <w:bottom w:val="nil"/>
              <w:right w:val="nil"/>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3F2DED">
              <w:rPr>
                <w:rFonts w:ascii="Arial" w:hAnsi="Arial" w:cs="Arial"/>
                <w:color w:val="000000"/>
                <w:sz w:val="20"/>
                <w:lang w:val="en-US" w:eastAsia="zh-CN"/>
              </w:rPr>
              <w:t>Provision for losses on current receivables – exchange transactions</w:t>
            </w:r>
          </w:p>
        </w:tc>
        <w:tc>
          <w:tcPr>
            <w:tcW w:w="1660" w:type="dxa"/>
            <w:tcBorders>
              <w:top w:val="nil"/>
              <w:left w:val="single" w:sz="4" w:space="0" w:color="auto"/>
              <w:bottom w:val="nil"/>
              <w:right w:val="single" w:sz="4" w:space="0" w:color="auto"/>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3F2DED">
              <w:rPr>
                <w:rFonts w:ascii="Arial" w:hAnsi="Arial" w:cs="Arial"/>
                <w:color w:val="000000"/>
                <w:sz w:val="20"/>
                <w:lang w:val="en-US" w:eastAsia="zh-CN"/>
              </w:rPr>
              <w:t xml:space="preserve">               -1,296 </w:t>
            </w:r>
          </w:p>
        </w:tc>
        <w:tc>
          <w:tcPr>
            <w:tcW w:w="1660" w:type="dxa"/>
            <w:tcBorders>
              <w:top w:val="nil"/>
              <w:left w:val="nil"/>
              <w:bottom w:val="nil"/>
              <w:right w:val="single" w:sz="4" w:space="0" w:color="auto"/>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3F2DED">
              <w:rPr>
                <w:rFonts w:ascii="Arial" w:hAnsi="Arial" w:cs="Arial"/>
                <w:color w:val="000000"/>
                <w:sz w:val="20"/>
                <w:lang w:val="en-US" w:eastAsia="zh-CN"/>
              </w:rPr>
              <w:t xml:space="preserve">               -1,067 </w:t>
            </w:r>
          </w:p>
        </w:tc>
      </w:tr>
      <w:tr w:rsidR="003F2DED" w:rsidRPr="003F2DED" w:rsidTr="003F2DED">
        <w:trPr>
          <w:trHeight w:val="255"/>
        </w:trPr>
        <w:tc>
          <w:tcPr>
            <w:tcW w:w="6820" w:type="dxa"/>
            <w:tcBorders>
              <w:top w:val="nil"/>
              <w:left w:val="single" w:sz="4" w:space="0" w:color="auto"/>
              <w:bottom w:val="single" w:sz="4" w:space="0" w:color="auto"/>
              <w:right w:val="nil"/>
            </w:tcBorders>
            <w:shd w:val="clear" w:color="auto" w:fill="auto"/>
            <w:noWrap/>
            <w:vAlign w:val="center"/>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20"/>
                <w:lang w:val="en-US" w:eastAsia="zh-CN"/>
              </w:rPr>
            </w:pPr>
            <w:r w:rsidRPr="003F2DED">
              <w:rPr>
                <w:rFonts w:ascii="Arial" w:hAnsi="Arial" w:cs="Arial"/>
                <w:b/>
                <w:bCs/>
                <w:color w:val="000000"/>
                <w:sz w:val="20"/>
                <w:lang w:val="en-US" w:eastAsia="zh-CN"/>
              </w:rPr>
              <w:t> </w:t>
            </w:r>
          </w:p>
        </w:tc>
        <w:tc>
          <w:tcPr>
            <w:tcW w:w="1660" w:type="dxa"/>
            <w:tcBorders>
              <w:top w:val="nil"/>
              <w:left w:val="single" w:sz="4" w:space="0" w:color="auto"/>
              <w:bottom w:val="nil"/>
              <w:right w:val="single" w:sz="4" w:space="0" w:color="auto"/>
            </w:tcBorders>
            <w:shd w:val="clear" w:color="auto" w:fill="auto"/>
            <w:noWrap/>
            <w:vAlign w:val="center"/>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20"/>
                <w:lang w:val="en-US" w:eastAsia="zh-CN"/>
              </w:rPr>
            </w:pPr>
            <w:r w:rsidRPr="003F2DED">
              <w:rPr>
                <w:rFonts w:ascii="Arial" w:hAnsi="Arial" w:cs="Arial"/>
                <w:b/>
                <w:bCs/>
                <w:color w:val="000000"/>
                <w:sz w:val="20"/>
                <w:lang w:val="en-US" w:eastAsia="zh-CN"/>
              </w:rPr>
              <w:t> </w:t>
            </w:r>
          </w:p>
        </w:tc>
        <w:tc>
          <w:tcPr>
            <w:tcW w:w="1660" w:type="dxa"/>
            <w:tcBorders>
              <w:top w:val="nil"/>
              <w:left w:val="nil"/>
              <w:bottom w:val="nil"/>
              <w:right w:val="single" w:sz="4" w:space="0" w:color="auto"/>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20"/>
                <w:lang w:val="en-US" w:eastAsia="zh-CN"/>
              </w:rPr>
            </w:pPr>
            <w:r w:rsidRPr="003F2DED">
              <w:rPr>
                <w:rFonts w:ascii="Arial" w:hAnsi="Arial" w:cs="Arial"/>
                <w:color w:val="000000"/>
                <w:sz w:val="20"/>
                <w:lang w:val="en-US" w:eastAsia="zh-CN"/>
              </w:rPr>
              <w:t> </w:t>
            </w:r>
          </w:p>
        </w:tc>
      </w:tr>
      <w:tr w:rsidR="003F2DED" w:rsidRPr="003F2DED" w:rsidTr="003F2DED">
        <w:trPr>
          <w:trHeight w:val="499"/>
        </w:trPr>
        <w:tc>
          <w:tcPr>
            <w:tcW w:w="6820" w:type="dxa"/>
            <w:tcBorders>
              <w:top w:val="nil"/>
              <w:left w:val="single" w:sz="4" w:space="0" w:color="auto"/>
              <w:bottom w:val="single" w:sz="4" w:space="0" w:color="auto"/>
              <w:right w:val="nil"/>
            </w:tcBorders>
            <w:shd w:val="clear" w:color="auto" w:fill="auto"/>
            <w:noWrap/>
            <w:vAlign w:val="center"/>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20"/>
                <w:lang w:val="en-US" w:eastAsia="zh-CN"/>
              </w:rPr>
            </w:pPr>
            <w:r w:rsidRPr="003F2DED">
              <w:rPr>
                <w:rFonts w:ascii="Arial" w:hAnsi="Arial" w:cs="Arial"/>
                <w:b/>
                <w:bCs/>
                <w:color w:val="000000"/>
                <w:sz w:val="20"/>
                <w:lang w:val="en-US" w:eastAsia="zh-CN"/>
              </w:rPr>
              <w:t>Current receivables – exchange transactions: net value</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3F2DED">
              <w:rPr>
                <w:rFonts w:ascii="Arial" w:hAnsi="Arial" w:cs="Arial"/>
                <w:b/>
                <w:bCs/>
                <w:color w:val="000000"/>
                <w:sz w:val="20"/>
                <w:lang w:val="en-US" w:eastAsia="zh-CN"/>
              </w:rPr>
              <w:t xml:space="preserve">                8,934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3F2DED">
              <w:rPr>
                <w:rFonts w:ascii="Arial" w:hAnsi="Arial" w:cs="Arial"/>
                <w:b/>
                <w:bCs/>
                <w:color w:val="000000"/>
                <w:sz w:val="20"/>
                <w:lang w:val="en-US" w:eastAsia="zh-CN"/>
              </w:rPr>
              <w:t xml:space="preserve">                9,033 </w:t>
            </w:r>
          </w:p>
        </w:tc>
      </w:tr>
      <w:tr w:rsidR="003F2DED" w:rsidRPr="003F2DED" w:rsidTr="003F2DED">
        <w:trPr>
          <w:trHeight w:val="255"/>
        </w:trPr>
        <w:tc>
          <w:tcPr>
            <w:tcW w:w="6820" w:type="dxa"/>
            <w:tcBorders>
              <w:top w:val="nil"/>
              <w:left w:val="single" w:sz="4" w:space="0" w:color="auto"/>
              <w:bottom w:val="nil"/>
              <w:right w:val="nil"/>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3F2DED">
              <w:rPr>
                <w:rFonts w:ascii="Arial" w:hAnsi="Arial" w:cs="Arial"/>
                <w:color w:val="000000"/>
                <w:sz w:val="20"/>
                <w:lang w:val="en-US" w:eastAsia="zh-CN"/>
              </w:rPr>
              <w:t> </w:t>
            </w:r>
          </w:p>
        </w:tc>
        <w:tc>
          <w:tcPr>
            <w:tcW w:w="1660" w:type="dxa"/>
            <w:tcBorders>
              <w:top w:val="nil"/>
              <w:left w:val="single" w:sz="4" w:space="0" w:color="auto"/>
              <w:bottom w:val="nil"/>
              <w:right w:val="single" w:sz="4" w:space="0" w:color="auto"/>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3F2DED">
              <w:rPr>
                <w:rFonts w:ascii="Arial" w:hAnsi="Arial" w:cs="Arial"/>
                <w:color w:val="000000"/>
                <w:sz w:val="20"/>
                <w:lang w:val="en-US" w:eastAsia="zh-CN"/>
              </w:rPr>
              <w:t> </w:t>
            </w:r>
          </w:p>
        </w:tc>
        <w:tc>
          <w:tcPr>
            <w:tcW w:w="1660" w:type="dxa"/>
            <w:tcBorders>
              <w:top w:val="nil"/>
              <w:left w:val="nil"/>
              <w:bottom w:val="nil"/>
              <w:right w:val="single" w:sz="4" w:space="0" w:color="auto"/>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20"/>
                <w:lang w:val="en-US" w:eastAsia="zh-CN"/>
              </w:rPr>
            </w:pPr>
            <w:r w:rsidRPr="003F2DED">
              <w:rPr>
                <w:rFonts w:ascii="Arial" w:hAnsi="Arial" w:cs="Arial"/>
                <w:color w:val="000000"/>
                <w:sz w:val="20"/>
                <w:lang w:val="en-US" w:eastAsia="zh-CN"/>
              </w:rPr>
              <w:t> </w:t>
            </w:r>
          </w:p>
        </w:tc>
      </w:tr>
      <w:tr w:rsidR="003F2DED" w:rsidRPr="003F2DED" w:rsidTr="003F2DED">
        <w:trPr>
          <w:trHeight w:val="255"/>
        </w:trPr>
        <w:tc>
          <w:tcPr>
            <w:tcW w:w="6820" w:type="dxa"/>
            <w:tcBorders>
              <w:top w:val="nil"/>
              <w:left w:val="single" w:sz="4" w:space="0" w:color="auto"/>
              <w:bottom w:val="nil"/>
              <w:right w:val="nil"/>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fr-CH" w:eastAsia="zh-CN"/>
              </w:rPr>
            </w:pPr>
            <w:proofErr w:type="spellStart"/>
            <w:r w:rsidRPr="003F2DED">
              <w:rPr>
                <w:rFonts w:ascii="Arial" w:hAnsi="Arial" w:cs="Arial"/>
                <w:color w:val="000000"/>
                <w:sz w:val="20"/>
                <w:lang w:val="fr-CH" w:eastAsia="zh-CN"/>
              </w:rPr>
              <w:t>Current</w:t>
            </w:r>
            <w:proofErr w:type="spellEnd"/>
            <w:r w:rsidRPr="003F2DED">
              <w:rPr>
                <w:rFonts w:ascii="Arial" w:hAnsi="Arial" w:cs="Arial"/>
                <w:color w:val="000000"/>
                <w:sz w:val="20"/>
                <w:lang w:val="fr-CH" w:eastAsia="zh-CN"/>
              </w:rPr>
              <w:t xml:space="preserve"> </w:t>
            </w:r>
            <w:proofErr w:type="spellStart"/>
            <w:r w:rsidRPr="003F2DED">
              <w:rPr>
                <w:rFonts w:ascii="Arial" w:hAnsi="Arial" w:cs="Arial"/>
                <w:color w:val="000000"/>
                <w:sz w:val="20"/>
                <w:lang w:val="fr-CH" w:eastAsia="zh-CN"/>
              </w:rPr>
              <w:t>receivables</w:t>
            </w:r>
            <w:proofErr w:type="spellEnd"/>
            <w:r w:rsidRPr="003F2DED">
              <w:rPr>
                <w:rFonts w:ascii="Arial" w:hAnsi="Arial" w:cs="Arial"/>
                <w:color w:val="000000"/>
                <w:sz w:val="20"/>
                <w:lang w:val="fr-CH" w:eastAsia="zh-CN"/>
              </w:rPr>
              <w:t xml:space="preserve"> – non-exchange transactions</w:t>
            </w:r>
          </w:p>
        </w:tc>
        <w:tc>
          <w:tcPr>
            <w:tcW w:w="1660" w:type="dxa"/>
            <w:tcBorders>
              <w:top w:val="nil"/>
              <w:left w:val="single" w:sz="4" w:space="0" w:color="auto"/>
              <w:bottom w:val="nil"/>
              <w:right w:val="single" w:sz="4" w:space="0" w:color="auto"/>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3F2DED">
              <w:rPr>
                <w:rFonts w:ascii="Arial" w:hAnsi="Arial" w:cs="Arial"/>
                <w:color w:val="000000"/>
                <w:sz w:val="20"/>
                <w:lang w:val="fr-CH" w:eastAsia="zh-CN"/>
              </w:rPr>
              <w:t xml:space="preserve">            </w:t>
            </w:r>
            <w:r w:rsidRPr="003F2DED">
              <w:rPr>
                <w:rFonts w:ascii="Arial" w:hAnsi="Arial" w:cs="Arial"/>
                <w:color w:val="000000"/>
                <w:sz w:val="20"/>
                <w:lang w:val="en-US" w:eastAsia="zh-CN"/>
              </w:rPr>
              <w:t xml:space="preserve">134,253 </w:t>
            </w:r>
          </w:p>
        </w:tc>
        <w:tc>
          <w:tcPr>
            <w:tcW w:w="1660" w:type="dxa"/>
            <w:tcBorders>
              <w:top w:val="nil"/>
              <w:left w:val="nil"/>
              <w:bottom w:val="nil"/>
              <w:right w:val="single" w:sz="4" w:space="0" w:color="auto"/>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3F2DED">
              <w:rPr>
                <w:rFonts w:ascii="Arial" w:hAnsi="Arial" w:cs="Arial"/>
                <w:color w:val="000000"/>
                <w:sz w:val="20"/>
                <w:lang w:val="en-US" w:eastAsia="zh-CN"/>
              </w:rPr>
              <w:t xml:space="preserve">            116,814 </w:t>
            </w:r>
          </w:p>
        </w:tc>
      </w:tr>
      <w:tr w:rsidR="003F2DED" w:rsidRPr="003F2DED" w:rsidTr="003F2DED">
        <w:trPr>
          <w:trHeight w:val="255"/>
        </w:trPr>
        <w:tc>
          <w:tcPr>
            <w:tcW w:w="6820" w:type="dxa"/>
            <w:tcBorders>
              <w:top w:val="nil"/>
              <w:left w:val="single" w:sz="4" w:space="0" w:color="auto"/>
              <w:bottom w:val="nil"/>
              <w:right w:val="nil"/>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3F2DED">
              <w:rPr>
                <w:rFonts w:ascii="Arial" w:hAnsi="Arial" w:cs="Arial"/>
                <w:color w:val="000000"/>
                <w:sz w:val="20"/>
                <w:lang w:val="en-US" w:eastAsia="zh-CN"/>
              </w:rPr>
              <w:t>Provision for losses on current receivables – non-exchange transactions</w:t>
            </w:r>
          </w:p>
        </w:tc>
        <w:tc>
          <w:tcPr>
            <w:tcW w:w="1660" w:type="dxa"/>
            <w:tcBorders>
              <w:top w:val="nil"/>
              <w:left w:val="single" w:sz="4" w:space="0" w:color="auto"/>
              <w:bottom w:val="nil"/>
              <w:right w:val="single" w:sz="4" w:space="0" w:color="auto"/>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3F2DED">
              <w:rPr>
                <w:rFonts w:ascii="Arial" w:hAnsi="Arial" w:cs="Arial"/>
                <w:color w:val="000000"/>
                <w:sz w:val="20"/>
                <w:lang w:val="en-US" w:eastAsia="zh-CN"/>
              </w:rPr>
              <w:t xml:space="preserve">             -46,114 </w:t>
            </w:r>
          </w:p>
        </w:tc>
        <w:tc>
          <w:tcPr>
            <w:tcW w:w="1660" w:type="dxa"/>
            <w:tcBorders>
              <w:top w:val="nil"/>
              <w:left w:val="nil"/>
              <w:bottom w:val="nil"/>
              <w:right w:val="single" w:sz="4" w:space="0" w:color="auto"/>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3F2DED">
              <w:rPr>
                <w:rFonts w:ascii="Arial" w:hAnsi="Arial" w:cs="Arial"/>
                <w:color w:val="000000"/>
                <w:sz w:val="20"/>
                <w:lang w:val="en-US" w:eastAsia="zh-CN"/>
              </w:rPr>
              <w:t xml:space="preserve">             -40,345 </w:t>
            </w:r>
          </w:p>
        </w:tc>
      </w:tr>
      <w:tr w:rsidR="003F2DED" w:rsidRPr="003F2DED" w:rsidTr="003F2DED">
        <w:trPr>
          <w:trHeight w:val="255"/>
        </w:trPr>
        <w:tc>
          <w:tcPr>
            <w:tcW w:w="6820" w:type="dxa"/>
            <w:tcBorders>
              <w:top w:val="nil"/>
              <w:left w:val="single" w:sz="4" w:space="0" w:color="auto"/>
              <w:bottom w:val="nil"/>
              <w:right w:val="nil"/>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3F2DED">
              <w:rPr>
                <w:rFonts w:ascii="Arial" w:hAnsi="Arial" w:cs="Arial"/>
                <w:color w:val="000000"/>
                <w:sz w:val="20"/>
                <w:lang w:val="en-US" w:eastAsia="zh-CN"/>
              </w:rPr>
              <w:t> </w:t>
            </w:r>
          </w:p>
        </w:tc>
        <w:tc>
          <w:tcPr>
            <w:tcW w:w="1660" w:type="dxa"/>
            <w:tcBorders>
              <w:top w:val="nil"/>
              <w:left w:val="single" w:sz="4" w:space="0" w:color="auto"/>
              <w:bottom w:val="nil"/>
              <w:right w:val="single" w:sz="4" w:space="0" w:color="auto"/>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3F2DED">
              <w:rPr>
                <w:rFonts w:ascii="Arial" w:hAnsi="Arial" w:cs="Arial"/>
                <w:color w:val="000000"/>
                <w:sz w:val="20"/>
                <w:lang w:val="en-US" w:eastAsia="zh-CN"/>
              </w:rPr>
              <w:t> </w:t>
            </w:r>
          </w:p>
        </w:tc>
        <w:tc>
          <w:tcPr>
            <w:tcW w:w="1660" w:type="dxa"/>
            <w:tcBorders>
              <w:top w:val="nil"/>
              <w:left w:val="nil"/>
              <w:bottom w:val="nil"/>
              <w:right w:val="single" w:sz="4" w:space="0" w:color="auto"/>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20"/>
                <w:lang w:val="en-US" w:eastAsia="zh-CN"/>
              </w:rPr>
            </w:pPr>
            <w:r w:rsidRPr="003F2DED">
              <w:rPr>
                <w:rFonts w:ascii="Arial" w:hAnsi="Arial" w:cs="Arial"/>
                <w:color w:val="000000"/>
                <w:sz w:val="20"/>
                <w:lang w:val="en-US" w:eastAsia="zh-CN"/>
              </w:rPr>
              <w:t> </w:t>
            </w:r>
          </w:p>
        </w:tc>
      </w:tr>
      <w:tr w:rsidR="003F2DED" w:rsidRPr="003F2DED" w:rsidTr="003F2DED">
        <w:trPr>
          <w:trHeight w:val="499"/>
        </w:trPr>
        <w:tc>
          <w:tcPr>
            <w:tcW w:w="6820" w:type="dxa"/>
            <w:tcBorders>
              <w:top w:val="single" w:sz="4" w:space="0" w:color="auto"/>
              <w:left w:val="single" w:sz="4" w:space="0" w:color="auto"/>
              <w:bottom w:val="single" w:sz="4" w:space="0" w:color="auto"/>
              <w:right w:val="nil"/>
            </w:tcBorders>
            <w:shd w:val="clear" w:color="auto" w:fill="auto"/>
            <w:noWrap/>
            <w:vAlign w:val="center"/>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20"/>
                <w:lang w:val="fr-CH" w:eastAsia="zh-CN"/>
              </w:rPr>
            </w:pPr>
            <w:proofErr w:type="spellStart"/>
            <w:r w:rsidRPr="003F2DED">
              <w:rPr>
                <w:rFonts w:ascii="Arial" w:hAnsi="Arial" w:cs="Arial"/>
                <w:b/>
                <w:bCs/>
                <w:color w:val="000000"/>
                <w:sz w:val="20"/>
                <w:lang w:val="fr-CH" w:eastAsia="zh-CN"/>
              </w:rPr>
              <w:t>Current</w:t>
            </w:r>
            <w:proofErr w:type="spellEnd"/>
            <w:r w:rsidRPr="003F2DED">
              <w:rPr>
                <w:rFonts w:ascii="Arial" w:hAnsi="Arial" w:cs="Arial"/>
                <w:b/>
                <w:bCs/>
                <w:color w:val="000000"/>
                <w:sz w:val="20"/>
                <w:lang w:val="fr-CH" w:eastAsia="zh-CN"/>
              </w:rPr>
              <w:t xml:space="preserve"> </w:t>
            </w:r>
            <w:proofErr w:type="spellStart"/>
            <w:r w:rsidRPr="003F2DED">
              <w:rPr>
                <w:rFonts w:ascii="Arial" w:hAnsi="Arial" w:cs="Arial"/>
                <w:b/>
                <w:bCs/>
                <w:color w:val="000000"/>
                <w:sz w:val="20"/>
                <w:lang w:val="fr-CH" w:eastAsia="zh-CN"/>
              </w:rPr>
              <w:t>receivables</w:t>
            </w:r>
            <w:proofErr w:type="spellEnd"/>
            <w:r w:rsidRPr="003F2DED">
              <w:rPr>
                <w:rFonts w:ascii="Arial" w:hAnsi="Arial" w:cs="Arial"/>
                <w:b/>
                <w:bCs/>
                <w:color w:val="000000"/>
                <w:sz w:val="20"/>
                <w:lang w:val="fr-CH" w:eastAsia="zh-CN"/>
              </w:rPr>
              <w:t xml:space="preserve"> – non-exchange transactions: net value</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3F2DED">
              <w:rPr>
                <w:rFonts w:ascii="Arial" w:hAnsi="Arial" w:cs="Arial"/>
                <w:b/>
                <w:bCs/>
                <w:color w:val="000000"/>
                <w:sz w:val="20"/>
                <w:lang w:val="fr-CH" w:eastAsia="zh-CN"/>
              </w:rPr>
              <w:t xml:space="preserve">              </w:t>
            </w:r>
            <w:r w:rsidRPr="003F2DED">
              <w:rPr>
                <w:rFonts w:ascii="Arial" w:hAnsi="Arial" w:cs="Arial"/>
                <w:b/>
                <w:bCs/>
                <w:color w:val="000000"/>
                <w:sz w:val="20"/>
                <w:lang w:val="en-US" w:eastAsia="zh-CN"/>
              </w:rPr>
              <w:t xml:space="preserve">88,139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3F2DED">
              <w:rPr>
                <w:rFonts w:ascii="Arial" w:hAnsi="Arial" w:cs="Arial"/>
                <w:b/>
                <w:bCs/>
                <w:color w:val="000000"/>
                <w:sz w:val="20"/>
                <w:lang w:val="en-US" w:eastAsia="zh-CN"/>
              </w:rPr>
              <w:t xml:space="preserve">              76,469 </w:t>
            </w:r>
          </w:p>
        </w:tc>
      </w:tr>
      <w:tr w:rsidR="003F2DED" w:rsidRPr="003F2DED" w:rsidTr="003F2DED">
        <w:trPr>
          <w:trHeight w:val="255"/>
        </w:trPr>
        <w:tc>
          <w:tcPr>
            <w:tcW w:w="6820" w:type="dxa"/>
            <w:tcBorders>
              <w:top w:val="nil"/>
              <w:left w:val="single" w:sz="4" w:space="0" w:color="auto"/>
              <w:bottom w:val="nil"/>
              <w:right w:val="nil"/>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3F2DED">
              <w:rPr>
                <w:rFonts w:ascii="Arial" w:hAnsi="Arial" w:cs="Arial"/>
                <w:color w:val="000000"/>
                <w:sz w:val="20"/>
                <w:lang w:val="en-US" w:eastAsia="zh-CN"/>
              </w:rPr>
              <w:t> </w:t>
            </w:r>
          </w:p>
        </w:tc>
        <w:tc>
          <w:tcPr>
            <w:tcW w:w="1660" w:type="dxa"/>
            <w:tcBorders>
              <w:top w:val="nil"/>
              <w:left w:val="single" w:sz="4" w:space="0" w:color="auto"/>
              <w:bottom w:val="nil"/>
              <w:right w:val="single" w:sz="4" w:space="0" w:color="auto"/>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3F2DED">
              <w:rPr>
                <w:rFonts w:ascii="Arial" w:hAnsi="Arial" w:cs="Arial"/>
                <w:color w:val="000000"/>
                <w:sz w:val="20"/>
                <w:lang w:val="en-US" w:eastAsia="zh-CN"/>
              </w:rPr>
              <w:t> </w:t>
            </w:r>
          </w:p>
        </w:tc>
        <w:tc>
          <w:tcPr>
            <w:tcW w:w="1660" w:type="dxa"/>
            <w:tcBorders>
              <w:top w:val="nil"/>
              <w:left w:val="nil"/>
              <w:bottom w:val="nil"/>
              <w:right w:val="single" w:sz="4" w:space="0" w:color="auto"/>
            </w:tcBorders>
            <w:shd w:val="clear" w:color="auto" w:fill="auto"/>
            <w:noWrap/>
            <w:vAlign w:val="center"/>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p>
        </w:tc>
      </w:tr>
      <w:tr w:rsidR="003F2DED" w:rsidRPr="003F2DED" w:rsidTr="003F2DED">
        <w:trPr>
          <w:trHeight w:val="255"/>
        </w:trPr>
        <w:tc>
          <w:tcPr>
            <w:tcW w:w="6820" w:type="dxa"/>
            <w:tcBorders>
              <w:top w:val="nil"/>
              <w:left w:val="single" w:sz="4" w:space="0" w:color="auto"/>
              <w:bottom w:val="nil"/>
              <w:right w:val="nil"/>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fr-CH" w:eastAsia="zh-CN"/>
              </w:rPr>
            </w:pPr>
            <w:r w:rsidRPr="003F2DED">
              <w:rPr>
                <w:rFonts w:ascii="Arial" w:hAnsi="Arial" w:cs="Arial"/>
                <w:color w:val="000000"/>
                <w:sz w:val="20"/>
                <w:lang w:val="fr-CH" w:eastAsia="zh-CN"/>
              </w:rPr>
              <w:t>Non-</w:t>
            </w:r>
            <w:proofErr w:type="spellStart"/>
            <w:r w:rsidRPr="003F2DED">
              <w:rPr>
                <w:rFonts w:ascii="Arial" w:hAnsi="Arial" w:cs="Arial"/>
                <w:color w:val="000000"/>
                <w:sz w:val="20"/>
                <w:lang w:val="fr-CH" w:eastAsia="zh-CN"/>
              </w:rPr>
              <w:t>current</w:t>
            </w:r>
            <w:proofErr w:type="spellEnd"/>
            <w:r w:rsidRPr="003F2DED">
              <w:rPr>
                <w:rFonts w:ascii="Arial" w:hAnsi="Arial" w:cs="Arial"/>
                <w:color w:val="000000"/>
                <w:sz w:val="20"/>
                <w:lang w:val="fr-CH" w:eastAsia="zh-CN"/>
              </w:rPr>
              <w:t xml:space="preserve"> </w:t>
            </w:r>
            <w:proofErr w:type="spellStart"/>
            <w:r w:rsidRPr="003F2DED">
              <w:rPr>
                <w:rFonts w:ascii="Arial" w:hAnsi="Arial" w:cs="Arial"/>
                <w:color w:val="000000"/>
                <w:sz w:val="20"/>
                <w:lang w:val="fr-CH" w:eastAsia="zh-CN"/>
              </w:rPr>
              <w:t>receivables</w:t>
            </w:r>
            <w:proofErr w:type="spellEnd"/>
            <w:r w:rsidRPr="003F2DED">
              <w:rPr>
                <w:rFonts w:ascii="Arial" w:hAnsi="Arial" w:cs="Arial"/>
                <w:color w:val="000000"/>
                <w:sz w:val="20"/>
                <w:lang w:val="fr-CH" w:eastAsia="zh-CN"/>
              </w:rPr>
              <w:t xml:space="preserve"> – exchange transactions</w:t>
            </w:r>
          </w:p>
        </w:tc>
        <w:tc>
          <w:tcPr>
            <w:tcW w:w="1660" w:type="dxa"/>
            <w:tcBorders>
              <w:top w:val="nil"/>
              <w:left w:val="single" w:sz="4" w:space="0" w:color="auto"/>
              <w:bottom w:val="nil"/>
              <w:right w:val="single" w:sz="4" w:space="0" w:color="auto"/>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3F2DED">
              <w:rPr>
                <w:rFonts w:ascii="Arial" w:hAnsi="Arial" w:cs="Arial"/>
                <w:color w:val="000000"/>
                <w:sz w:val="20"/>
                <w:lang w:val="fr-CH" w:eastAsia="zh-CN"/>
              </w:rPr>
              <w:t xml:space="preserve">                      </w:t>
            </w:r>
            <w:r w:rsidRPr="003F2DED">
              <w:rPr>
                <w:rFonts w:ascii="Arial" w:hAnsi="Arial" w:cs="Arial"/>
                <w:color w:val="000000"/>
                <w:sz w:val="20"/>
                <w:lang w:val="en-US" w:eastAsia="zh-CN"/>
              </w:rPr>
              <w:t xml:space="preserve">-   </w:t>
            </w:r>
          </w:p>
        </w:tc>
        <w:tc>
          <w:tcPr>
            <w:tcW w:w="1660" w:type="dxa"/>
            <w:tcBorders>
              <w:top w:val="nil"/>
              <w:left w:val="nil"/>
              <w:bottom w:val="nil"/>
              <w:right w:val="single" w:sz="4" w:space="0" w:color="auto"/>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3F2DED">
              <w:rPr>
                <w:rFonts w:ascii="Arial" w:hAnsi="Arial" w:cs="Arial"/>
                <w:color w:val="000000"/>
                <w:sz w:val="20"/>
                <w:lang w:val="en-US" w:eastAsia="zh-CN"/>
              </w:rPr>
              <w:t xml:space="preserve">                </w:t>
            </w:r>
            <w:r>
              <w:rPr>
                <w:rFonts w:ascii="Arial" w:hAnsi="Arial" w:cs="Arial"/>
                <w:color w:val="000000"/>
                <w:sz w:val="20"/>
                <w:lang w:val="en-US" w:eastAsia="zh-CN"/>
              </w:rPr>
              <w:t xml:space="preserve"> </w:t>
            </w:r>
            <w:r w:rsidRPr="003F2DED">
              <w:rPr>
                <w:rFonts w:ascii="Arial" w:hAnsi="Arial" w:cs="Arial"/>
                <w:color w:val="000000"/>
                <w:sz w:val="20"/>
                <w:lang w:val="en-US" w:eastAsia="zh-CN"/>
              </w:rPr>
              <w:t xml:space="preserve">    23 </w:t>
            </w:r>
          </w:p>
        </w:tc>
      </w:tr>
      <w:tr w:rsidR="003F2DED" w:rsidRPr="003F2DED" w:rsidTr="003F2DED">
        <w:trPr>
          <w:trHeight w:val="255"/>
        </w:trPr>
        <w:tc>
          <w:tcPr>
            <w:tcW w:w="6820" w:type="dxa"/>
            <w:tcBorders>
              <w:top w:val="nil"/>
              <w:left w:val="single" w:sz="4" w:space="0" w:color="auto"/>
              <w:bottom w:val="nil"/>
              <w:right w:val="nil"/>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3F2DED">
              <w:rPr>
                <w:rFonts w:ascii="Arial" w:hAnsi="Arial" w:cs="Arial"/>
                <w:color w:val="000000"/>
                <w:sz w:val="20"/>
                <w:lang w:val="en-US" w:eastAsia="zh-CN"/>
              </w:rPr>
              <w:t>Provision for losses on non-current receivables – exchange transactions</w:t>
            </w:r>
          </w:p>
        </w:tc>
        <w:tc>
          <w:tcPr>
            <w:tcW w:w="1660" w:type="dxa"/>
            <w:tcBorders>
              <w:top w:val="nil"/>
              <w:left w:val="single" w:sz="4" w:space="0" w:color="auto"/>
              <w:bottom w:val="nil"/>
              <w:right w:val="single" w:sz="4" w:space="0" w:color="auto"/>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3F2DED">
              <w:rPr>
                <w:rFonts w:ascii="Arial" w:hAnsi="Arial" w:cs="Arial"/>
                <w:color w:val="000000"/>
                <w:sz w:val="20"/>
                <w:lang w:val="en-US" w:eastAsia="zh-CN"/>
              </w:rPr>
              <w:t xml:space="preserve">                      -   </w:t>
            </w:r>
          </w:p>
        </w:tc>
        <w:tc>
          <w:tcPr>
            <w:tcW w:w="1660" w:type="dxa"/>
            <w:tcBorders>
              <w:top w:val="nil"/>
              <w:left w:val="nil"/>
              <w:bottom w:val="nil"/>
              <w:right w:val="single" w:sz="4" w:space="0" w:color="auto"/>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3F2DED">
              <w:rPr>
                <w:rFonts w:ascii="Arial" w:hAnsi="Arial" w:cs="Arial"/>
                <w:color w:val="000000"/>
                <w:sz w:val="20"/>
                <w:lang w:val="en-US" w:eastAsia="zh-CN"/>
              </w:rPr>
              <w:t xml:space="preserve">                    -23 </w:t>
            </w:r>
          </w:p>
        </w:tc>
      </w:tr>
      <w:tr w:rsidR="003F2DED" w:rsidRPr="003F2DED" w:rsidTr="003F2DED">
        <w:trPr>
          <w:trHeight w:val="255"/>
        </w:trPr>
        <w:tc>
          <w:tcPr>
            <w:tcW w:w="6820" w:type="dxa"/>
            <w:tcBorders>
              <w:top w:val="nil"/>
              <w:left w:val="single" w:sz="4" w:space="0" w:color="auto"/>
              <w:bottom w:val="nil"/>
              <w:right w:val="nil"/>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3F2DED">
              <w:rPr>
                <w:rFonts w:ascii="Arial" w:hAnsi="Arial" w:cs="Arial"/>
                <w:color w:val="000000"/>
                <w:sz w:val="20"/>
                <w:lang w:val="en-US" w:eastAsia="zh-CN"/>
              </w:rPr>
              <w:t> </w:t>
            </w:r>
          </w:p>
        </w:tc>
        <w:tc>
          <w:tcPr>
            <w:tcW w:w="1660" w:type="dxa"/>
            <w:tcBorders>
              <w:top w:val="nil"/>
              <w:left w:val="single" w:sz="4" w:space="0" w:color="auto"/>
              <w:bottom w:val="nil"/>
              <w:right w:val="single" w:sz="4" w:space="0" w:color="auto"/>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3F2DED">
              <w:rPr>
                <w:rFonts w:ascii="Arial" w:hAnsi="Arial" w:cs="Arial"/>
                <w:color w:val="000000"/>
                <w:sz w:val="20"/>
                <w:lang w:val="en-US" w:eastAsia="zh-CN"/>
              </w:rPr>
              <w:t> </w:t>
            </w:r>
          </w:p>
        </w:tc>
        <w:tc>
          <w:tcPr>
            <w:tcW w:w="1660" w:type="dxa"/>
            <w:tcBorders>
              <w:top w:val="nil"/>
              <w:left w:val="nil"/>
              <w:bottom w:val="nil"/>
              <w:right w:val="single" w:sz="4" w:space="0" w:color="auto"/>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20"/>
                <w:lang w:val="en-US" w:eastAsia="zh-CN"/>
              </w:rPr>
            </w:pPr>
            <w:r w:rsidRPr="003F2DED">
              <w:rPr>
                <w:rFonts w:ascii="Arial" w:hAnsi="Arial" w:cs="Arial"/>
                <w:color w:val="000000"/>
                <w:sz w:val="20"/>
                <w:lang w:val="en-US" w:eastAsia="zh-CN"/>
              </w:rPr>
              <w:t> </w:t>
            </w:r>
          </w:p>
        </w:tc>
      </w:tr>
      <w:tr w:rsidR="003F2DED" w:rsidRPr="003F2DED" w:rsidTr="003F2DED">
        <w:trPr>
          <w:trHeight w:val="499"/>
        </w:trPr>
        <w:tc>
          <w:tcPr>
            <w:tcW w:w="6820" w:type="dxa"/>
            <w:tcBorders>
              <w:top w:val="single" w:sz="4" w:space="0" w:color="auto"/>
              <w:left w:val="single" w:sz="4" w:space="0" w:color="auto"/>
              <w:bottom w:val="single" w:sz="4" w:space="0" w:color="auto"/>
              <w:right w:val="nil"/>
            </w:tcBorders>
            <w:shd w:val="clear" w:color="auto" w:fill="auto"/>
            <w:noWrap/>
            <w:vAlign w:val="center"/>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20"/>
                <w:lang w:val="fr-CH" w:eastAsia="zh-CN"/>
              </w:rPr>
            </w:pPr>
            <w:r w:rsidRPr="003F2DED">
              <w:rPr>
                <w:rFonts w:ascii="Arial" w:hAnsi="Arial" w:cs="Arial"/>
                <w:b/>
                <w:bCs/>
                <w:color w:val="000000"/>
                <w:sz w:val="20"/>
                <w:lang w:val="fr-CH" w:eastAsia="zh-CN"/>
              </w:rPr>
              <w:t>Non-</w:t>
            </w:r>
            <w:proofErr w:type="spellStart"/>
            <w:r w:rsidRPr="003F2DED">
              <w:rPr>
                <w:rFonts w:ascii="Arial" w:hAnsi="Arial" w:cs="Arial"/>
                <w:b/>
                <w:bCs/>
                <w:color w:val="000000"/>
                <w:sz w:val="20"/>
                <w:lang w:val="fr-CH" w:eastAsia="zh-CN"/>
              </w:rPr>
              <w:t>current</w:t>
            </w:r>
            <w:proofErr w:type="spellEnd"/>
            <w:r w:rsidRPr="003F2DED">
              <w:rPr>
                <w:rFonts w:ascii="Arial" w:hAnsi="Arial" w:cs="Arial"/>
                <w:b/>
                <w:bCs/>
                <w:color w:val="000000"/>
                <w:sz w:val="20"/>
                <w:lang w:val="fr-CH" w:eastAsia="zh-CN"/>
              </w:rPr>
              <w:t xml:space="preserve"> </w:t>
            </w:r>
            <w:proofErr w:type="spellStart"/>
            <w:r w:rsidRPr="003F2DED">
              <w:rPr>
                <w:rFonts w:ascii="Arial" w:hAnsi="Arial" w:cs="Arial"/>
                <w:b/>
                <w:bCs/>
                <w:color w:val="000000"/>
                <w:sz w:val="20"/>
                <w:lang w:val="fr-CH" w:eastAsia="zh-CN"/>
              </w:rPr>
              <w:t>receivables</w:t>
            </w:r>
            <w:proofErr w:type="spellEnd"/>
            <w:r w:rsidRPr="003F2DED">
              <w:rPr>
                <w:rFonts w:ascii="Arial" w:hAnsi="Arial" w:cs="Arial"/>
                <w:b/>
                <w:bCs/>
                <w:color w:val="000000"/>
                <w:sz w:val="20"/>
                <w:lang w:val="fr-CH" w:eastAsia="zh-CN"/>
              </w:rPr>
              <w:t xml:space="preserve"> – exchange transactions: net value</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3F2DED">
              <w:rPr>
                <w:rFonts w:ascii="Arial" w:hAnsi="Arial" w:cs="Arial"/>
                <w:b/>
                <w:bCs/>
                <w:color w:val="000000"/>
                <w:sz w:val="20"/>
                <w:lang w:val="fr-CH" w:eastAsia="zh-CN"/>
              </w:rPr>
              <w:t xml:space="preserve">                      </w:t>
            </w:r>
            <w:r w:rsidRPr="003F2DED">
              <w:rPr>
                <w:rFonts w:ascii="Arial" w:hAnsi="Arial" w:cs="Arial"/>
                <w:b/>
                <w:bCs/>
                <w:color w:val="000000"/>
                <w:sz w:val="20"/>
                <w:lang w:val="en-US" w:eastAsia="zh-CN"/>
              </w:rPr>
              <w:t xml:space="preserve">-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3F2DED">
              <w:rPr>
                <w:rFonts w:ascii="Arial" w:hAnsi="Arial" w:cs="Arial"/>
                <w:b/>
                <w:bCs/>
                <w:color w:val="000000"/>
                <w:sz w:val="20"/>
                <w:lang w:val="en-US" w:eastAsia="zh-CN"/>
              </w:rPr>
              <w:t xml:space="preserve">                      -   </w:t>
            </w:r>
          </w:p>
        </w:tc>
      </w:tr>
      <w:tr w:rsidR="003F2DED" w:rsidRPr="003F2DED" w:rsidTr="003F2DED">
        <w:trPr>
          <w:trHeight w:val="255"/>
        </w:trPr>
        <w:tc>
          <w:tcPr>
            <w:tcW w:w="6820" w:type="dxa"/>
            <w:tcBorders>
              <w:top w:val="nil"/>
              <w:left w:val="single" w:sz="4" w:space="0" w:color="auto"/>
              <w:bottom w:val="nil"/>
              <w:right w:val="nil"/>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3F2DED">
              <w:rPr>
                <w:rFonts w:ascii="Arial" w:hAnsi="Arial" w:cs="Arial"/>
                <w:color w:val="000000"/>
                <w:sz w:val="20"/>
                <w:lang w:val="en-US" w:eastAsia="zh-CN"/>
              </w:rPr>
              <w:t> </w:t>
            </w:r>
          </w:p>
        </w:tc>
        <w:tc>
          <w:tcPr>
            <w:tcW w:w="1660" w:type="dxa"/>
            <w:tcBorders>
              <w:top w:val="nil"/>
              <w:left w:val="single" w:sz="4" w:space="0" w:color="auto"/>
              <w:bottom w:val="nil"/>
              <w:right w:val="single" w:sz="4" w:space="0" w:color="auto"/>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3F2DED">
              <w:rPr>
                <w:rFonts w:ascii="Arial" w:hAnsi="Arial" w:cs="Arial"/>
                <w:color w:val="000000"/>
                <w:sz w:val="20"/>
                <w:lang w:val="en-US" w:eastAsia="zh-CN"/>
              </w:rPr>
              <w:t> </w:t>
            </w:r>
          </w:p>
        </w:tc>
        <w:tc>
          <w:tcPr>
            <w:tcW w:w="1660" w:type="dxa"/>
            <w:tcBorders>
              <w:top w:val="nil"/>
              <w:left w:val="nil"/>
              <w:bottom w:val="nil"/>
              <w:right w:val="single" w:sz="4" w:space="0" w:color="auto"/>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20"/>
                <w:lang w:val="en-US" w:eastAsia="zh-CN"/>
              </w:rPr>
            </w:pPr>
            <w:r w:rsidRPr="003F2DED">
              <w:rPr>
                <w:rFonts w:ascii="Arial" w:hAnsi="Arial" w:cs="Arial"/>
                <w:color w:val="000000"/>
                <w:sz w:val="20"/>
                <w:lang w:val="en-US" w:eastAsia="zh-CN"/>
              </w:rPr>
              <w:t> </w:t>
            </w:r>
          </w:p>
        </w:tc>
      </w:tr>
      <w:tr w:rsidR="003F2DED" w:rsidRPr="003F2DED" w:rsidTr="003F2DED">
        <w:trPr>
          <w:trHeight w:val="255"/>
        </w:trPr>
        <w:tc>
          <w:tcPr>
            <w:tcW w:w="6820" w:type="dxa"/>
            <w:tcBorders>
              <w:top w:val="nil"/>
              <w:left w:val="single" w:sz="4" w:space="0" w:color="auto"/>
              <w:bottom w:val="nil"/>
              <w:right w:val="nil"/>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fr-CH" w:eastAsia="zh-CN"/>
              </w:rPr>
            </w:pPr>
            <w:r w:rsidRPr="003F2DED">
              <w:rPr>
                <w:rFonts w:ascii="Arial" w:hAnsi="Arial" w:cs="Arial"/>
                <w:color w:val="000000"/>
                <w:sz w:val="20"/>
                <w:lang w:val="fr-CH" w:eastAsia="zh-CN"/>
              </w:rPr>
              <w:t>Non-</w:t>
            </w:r>
            <w:proofErr w:type="spellStart"/>
            <w:r w:rsidRPr="003F2DED">
              <w:rPr>
                <w:rFonts w:ascii="Arial" w:hAnsi="Arial" w:cs="Arial"/>
                <w:color w:val="000000"/>
                <w:sz w:val="20"/>
                <w:lang w:val="fr-CH" w:eastAsia="zh-CN"/>
              </w:rPr>
              <w:t>current</w:t>
            </w:r>
            <w:proofErr w:type="spellEnd"/>
            <w:r w:rsidRPr="003F2DED">
              <w:rPr>
                <w:rFonts w:ascii="Arial" w:hAnsi="Arial" w:cs="Arial"/>
                <w:color w:val="000000"/>
                <w:sz w:val="20"/>
                <w:lang w:val="fr-CH" w:eastAsia="zh-CN"/>
              </w:rPr>
              <w:t xml:space="preserve"> </w:t>
            </w:r>
            <w:proofErr w:type="spellStart"/>
            <w:r w:rsidRPr="003F2DED">
              <w:rPr>
                <w:rFonts w:ascii="Arial" w:hAnsi="Arial" w:cs="Arial"/>
                <w:color w:val="000000"/>
                <w:sz w:val="20"/>
                <w:lang w:val="fr-CH" w:eastAsia="zh-CN"/>
              </w:rPr>
              <w:t>receivables</w:t>
            </w:r>
            <w:proofErr w:type="spellEnd"/>
            <w:r w:rsidRPr="003F2DED">
              <w:rPr>
                <w:rFonts w:ascii="Arial" w:hAnsi="Arial" w:cs="Arial"/>
                <w:color w:val="000000"/>
                <w:sz w:val="20"/>
                <w:lang w:val="fr-CH" w:eastAsia="zh-CN"/>
              </w:rPr>
              <w:t xml:space="preserve"> – non-exchange transactions</w:t>
            </w:r>
          </w:p>
        </w:tc>
        <w:tc>
          <w:tcPr>
            <w:tcW w:w="1660" w:type="dxa"/>
            <w:tcBorders>
              <w:top w:val="nil"/>
              <w:left w:val="single" w:sz="4" w:space="0" w:color="auto"/>
              <w:bottom w:val="nil"/>
              <w:right w:val="single" w:sz="4" w:space="0" w:color="auto"/>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3F2DED">
              <w:rPr>
                <w:rFonts w:ascii="Arial" w:hAnsi="Arial" w:cs="Arial"/>
                <w:color w:val="000000"/>
                <w:sz w:val="20"/>
                <w:lang w:val="fr-CH" w:eastAsia="zh-CN"/>
              </w:rPr>
              <w:t xml:space="preserve">                </w:t>
            </w:r>
            <w:r w:rsidRPr="003F2DED">
              <w:rPr>
                <w:rFonts w:ascii="Arial" w:hAnsi="Arial" w:cs="Arial"/>
                <w:color w:val="000000"/>
                <w:sz w:val="20"/>
                <w:lang w:val="en-US" w:eastAsia="zh-CN"/>
              </w:rPr>
              <w:t xml:space="preserve">7,021 </w:t>
            </w:r>
          </w:p>
        </w:tc>
        <w:tc>
          <w:tcPr>
            <w:tcW w:w="1660" w:type="dxa"/>
            <w:tcBorders>
              <w:top w:val="nil"/>
              <w:left w:val="nil"/>
              <w:bottom w:val="nil"/>
              <w:right w:val="single" w:sz="4" w:space="0" w:color="auto"/>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3F2DED">
              <w:rPr>
                <w:rFonts w:ascii="Arial" w:hAnsi="Arial" w:cs="Arial"/>
                <w:color w:val="000000"/>
                <w:sz w:val="20"/>
                <w:lang w:val="en-US" w:eastAsia="zh-CN"/>
              </w:rPr>
              <w:t xml:space="preserve">                7,524 </w:t>
            </w:r>
          </w:p>
        </w:tc>
      </w:tr>
      <w:tr w:rsidR="003F2DED" w:rsidRPr="003F2DED" w:rsidTr="003F2DED">
        <w:trPr>
          <w:trHeight w:val="255"/>
        </w:trPr>
        <w:tc>
          <w:tcPr>
            <w:tcW w:w="6820" w:type="dxa"/>
            <w:tcBorders>
              <w:top w:val="nil"/>
              <w:left w:val="single" w:sz="4" w:space="0" w:color="auto"/>
              <w:bottom w:val="nil"/>
              <w:right w:val="nil"/>
            </w:tcBorders>
            <w:shd w:val="clear" w:color="auto" w:fill="auto"/>
            <w:noWrap/>
            <w:vAlign w:val="bottom"/>
            <w:hideMark/>
          </w:tcPr>
          <w:p w:rsidR="003F2DED" w:rsidRPr="00BA365B" w:rsidRDefault="003F2DED" w:rsidP="003F2DED">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fr-CH" w:eastAsia="zh-CN"/>
              </w:rPr>
            </w:pPr>
            <w:r w:rsidRPr="00BA365B">
              <w:rPr>
                <w:rFonts w:ascii="Arial" w:hAnsi="Arial" w:cs="Arial"/>
                <w:color w:val="000000"/>
                <w:sz w:val="20"/>
                <w:lang w:val="fr-CH" w:eastAsia="zh-CN"/>
              </w:rPr>
              <w:t xml:space="preserve">Provision for </w:t>
            </w:r>
            <w:proofErr w:type="spellStart"/>
            <w:r w:rsidRPr="00BA365B">
              <w:rPr>
                <w:rFonts w:ascii="Arial" w:hAnsi="Arial" w:cs="Arial"/>
                <w:color w:val="000000"/>
                <w:sz w:val="20"/>
                <w:lang w:val="fr-CH" w:eastAsia="zh-CN"/>
              </w:rPr>
              <w:t>losses</w:t>
            </w:r>
            <w:proofErr w:type="spellEnd"/>
            <w:r w:rsidRPr="00BA365B">
              <w:rPr>
                <w:rFonts w:ascii="Arial" w:hAnsi="Arial" w:cs="Arial"/>
                <w:color w:val="000000"/>
                <w:sz w:val="20"/>
                <w:lang w:val="fr-CH" w:eastAsia="zh-CN"/>
              </w:rPr>
              <w:t xml:space="preserve"> on non-</w:t>
            </w:r>
            <w:proofErr w:type="spellStart"/>
            <w:r w:rsidRPr="00BA365B">
              <w:rPr>
                <w:rFonts w:ascii="Arial" w:hAnsi="Arial" w:cs="Arial"/>
                <w:color w:val="000000"/>
                <w:sz w:val="20"/>
                <w:lang w:val="fr-CH" w:eastAsia="zh-CN"/>
              </w:rPr>
              <w:t>current</w:t>
            </w:r>
            <w:proofErr w:type="spellEnd"/>
            <w:r w:rsidRPr="00BA365B">
              <w:rPr>
                <w:rFonts w:ascii="Arial" w:hAnsi="Arial" w:cs="Arial"/>
                <w:color w:val="000000"/>
                <w:sz w:val="20"/>
                <w:lang w:val="fr-CH" w:eastAsia="zh-CN"/>
              </w:rPr>
              <w:t xml:space="preserve"> </w:t>
            </w:r>
            <w:proofErr w:type="spellStart"/>
            <w:r w:rsidRPr="00BA365B">
              <w:rPr>
                <w:rFonts w:ascii="Arial" w:hAnsi="Arial" w:cs="Arial"/>
                <w:color w:val="000000"/>
                <w:sz w:val="20"/>
                <w:lang w:val="fr-CH" w:eastAsia="zh-CN"/>
              </w:rPr>
              <w:t>receivables</w:t>
            </w:r>
            <w:proofErr w:type="spellEnd"/>
            <w:r w:rsidRPr="00BA365B">
              <w:rPr>
                <w:rFonts w:ascii="Arial" w:hAnsi="Arial" w:cs="Arial"/>
                <w:color w:val="000000"/>
                <w:sz w:val="20"/>
                <w:lang w:val="fr-CH" w:eastAsia="zh-CN"/>
              </w:rPr>
              <w:t xml:space="preserve"> – non-exchange transactions</w:t>
            </w:r>
          </w:p>
        </w:tc>
        <w:tc>
          <w:tcPr>
            <w:tcW w:w="1660" w:type="dxa"/>
            <w:tcBorders>
              <w:top w:val="nil"/>
              <w:left w:val="single" w:sz="4" w:space="0" w:color="auto"/>
              <w:bottom w:val="nil"/>
              <w:right w:val="single" w:sz="4" w:space="0" w:color="auto"/>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BA365B">
              <w:rPr>
                <w:rFonts w:ascii="Arial" w:hAnsi="Arial" w:cs="Arial"/>
                <w:color w:val="000000"/>
                <w:sz w:val="20"/>
                <w:lang w:val="fr-CH" w:eastAsia="zh-CN"/>
              </w:rPr>
              <w:t xml:space="preserve">               </w:t>
            </w:r>
            <w:r w:rsidRPr="003F2DED">
              <w:rPr>
                <w:rFonts w:ascii="Arial" w:hAnsi="Arial" w:cs="Arial"/>
                <w:color w:val="000000"/>
                <w:sz w:val="20"/>
                <w:lang w:val="en-US" w:eastAsia="zh-CN"/>
              </w:rPr>
              <w:t xml:space="preserve">-7,021 </w:t>
            </w:r>
          </w:p>
        </w:tc>
        <w:tc>
          <w:tcPr>
            <w:tcW w:w="1660" w:type="dxa"/>
            <w:tcBorders>
              <w:top w:val="nil"/>
              <w:left w:val="nil"/>
              <w:bottom w:val="nil"/>
              <w:right w:val="single" w:sz="4" w:space="0" w:color="auto"/>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3F2DED">
              <w:rPr>
                <w:rFonts w:ascii="Arial" w:hAnsi="Arial" w:cs="Arial"/>
                <w:color w:val="000000"/>
                <w:sz w:val="20"/>
                <w:lang w:val="en-US" w:eastAsia="zh-CN"/>
              </w:rPr>
              <w:t xml:space="preserve">               -7,524 </w:t>
            </w:r>
          </w:p>
        </w:tc>
      </w:tr>
      <w:tr w:rsidR="003F2DED" w:rsidRPr="003F2DED" w:rsidTr="003F2DED">
        <w:trPr>
          <w:trHeight w:val="255"/>
        </w:trPr>
        <w:tc>
          <w:tcPr>
            <w:tcW w:w="6820" w:type="dxa"/>
            <w:tcBorders>
              <w:top w:val="nil"/>
              <w:left w:val="single" w:sz="4" w:space="0" w:color="auto"/>
              <w:bottom w:val="nil"/>
              <w:right w:val="nil"/>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3F2DED">
              <w:rPr>
                <w:rFonts w:ascii="Arial" w:hAnsi="Arial" w:cs="Arial"/>
                <w:color w:val="000000"/>
                <w:sz w:val="20"/>
                <w:lang w:val="en-US" w:eastAsia="zh-CN"/>
              </w:rPr>
              <w:t> </w:t>
            </w:r>
          </w:p>
        </w:tc>
        <w:tc>
          <w:tcPr>
            <w:tcW w:w="1660" w:type="dxa"/>
            <w:tcBorders>
              <w:top w:val="nil"/>
              <w:left w:val="single" w:sz="4" w:space="0" w:color="auto"/>
              <w:bottom w:val="nil"/>
              <w:right w:val="single" w:sz="4" w:space="0" w:color="auto"/>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3F2DED">
              <w:rPr>
                <w:rFonts w:ascii="Arial" w:hAnsi="Arial" w:cs="Arial"/>
                <w:color w:val="000000"/>
                <w:sz w:val="20"/>
                <w:lang w:val="en-US" w:eastAsia="zh-CN"/>
              </w:rPr>
              <w:t> </w:t>
            </w:r>
          </w:p>
        </w:tc>
        <w:tc>
          <w:tcPr>
            <w:tcW w:w="1660" w:type="dxa"/>
            <w:tcBorders>
              <w:top w:val="nil"/>
              <w:left w:val="nil"/>
              <w:bottom w:val="nil"/>
              <w:right w:val="single" w:sz="4" w:space="0" w:color="auto"/>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3F2DED">
              <w:rPr>
                <w:rFonts w:ascii="Arial" w:hAnsi="Arial" w:cs="Arial"/>
                <w:color w:val="000000"/>
                <w:sz w:val="20"/>
                <w:lang w:val="en-US" w:eastAsia="zh-CN"/>
              </w:rPr>
              <w:t> </w:t>
            </w:r>
          </w:p>
        </w:tc>
      </w:tr>
      <w:tr w:rsidR="003F2DED" w:rsidRPr="003F2DED" w:rsidTr="003F2DED">
        <w:trPr>
          <w:trHeight w:val="499"/>
        </w:trPr>
        <w:tc>
          <w:tcPr>
            <w:tcW w:w="6820" w:type="dxa"/>
            <w:tcBorders>
              <w:top w:val="single" w:sz="4" w:space="0" w:color="auto"/>
              <w:left w:val="single" w:sz="4" w:space="0" w:color="auto"/>
              <w:bottom w:val="single" w:sz="4" w:space="0" w:color="auto"/>
              <w:right w:val="nil"/>
            </w:tcBorders>
            <w:shd w:val="clear" w:color="auto" w:fill="auto"/>
            <w:noWrap/>
            <w:vAlign w:val="center"/>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20"/>
                <w:lang w:val="fr-CH" w:eastAsia="zh-CN"/>
              </w:rPr>
            </w:pPr>
            <w:r w:rsidRPr="003F2DED">
              <w:rPr>
                <w:rFonts w:ascii="Arial" w:hAnsi="Arial" w:cs="Arial"/>
                <w:b/>
                <w:bCs/>
                <w:color w:val="000000"/>
                <w:sz w:val="20"/>
                <w:lang w:val="fr-CH" w:eastAsia="zh-CN"/>
              </w:rPr>
              <w:t>Non-</w:t>
            </w:r>
            <w:proofErr w:type="spellStart"/>
            <w:r w:rsidRPr="003F2DED">
              <w:rPr>
                <w:rFonts w:ascii="Arial" w:hAnsi="Arial" w:cs="Arial"/>
                <w:b/>
                <w:bCs/>
                <w:color w:val="000000"/>
                <w:sz w:val="20"/>
                <w:lang w:val="fr-CH" w:eastAsia="zh-CN"/>
              </w:rPr>
              <w:t>current</w:t>
            </w:r>
            <w:proofErr w:type="spellEnd"/>
            <w:r w:rsidRPr="003F2DED">
              <w:rPr>
                <w:rFonts w:ascii="Arial" w:hAnsi="Arial" w:cs="Arial"/>
                <w:b/>
                <w:bCs/>
                <w:color w:val="000000"/>
                <w:sz w:val="20"/>
                <w:lang w:val="fr-CH" w:eastAsia="zh-CN"/>
              </w:rPr>
              <w:t xml:space="preserve"> </w:t>
            </w:r>
            <w:proofErr w:type="spellStart"/>
            <w:r w:rsidRPr="003F2DED">
              <w:rPr>
                <w:rFonts w:ascii="Arial" w:hAnsi="Arial" w:cs="Arial"/>
                <w:b/>
                <w:bCs/>
                <w:color w:val="000000"/>
                <w:sz w:val="20"/>
                <w:lang w:val="fr-CH" w:eastAsia="zh-CN"/>
              </w:rPr>
              <w:t>receivables</w:t>
            </w:r>
            <w:proofErr w:type="spellEnd"/>
            <w:r w:rsidRPr="003F2DED">
              <w:rPr>
                <w:rFonts w:ascii="Arial" w:hAnsi="Arial" w:cs="Arial"/>
                <w:b/>
                <w:bCs/>
                <w:color w:val="000000"/>
                <w:sz w:val="20"/>
                <w:lang w:val="fr-CH" w:eastAsia="zh-CN"/>
              </w:rPr>
              <w:t xml:space="preserve"> – non-exchange transactions: net value</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3F2DED">
              <w:rPr>
                <w:rFonts w:ascii="Arial" w:hAnsi="Arial" w:cs="Arial"/>
                <w:b/>
                <w:bCs/>
                <w:color w:val="000000"/>
                <w:sz w:val="20"/>
                <w:lang w:val="fr-CH" w:eastAsia="zh-CN"/>
              </w:rPr>
              <w:t xml:space="preserve">                      </w:t>
            </w:r>
            <w:r w:rsidRPr="003F2DED">
              <w:rPr>
                <w:rFonts w:ascii="Arial" w:hAnsi="Arial" w:cs="Arial"/>
                <w:b/>
                <w:bCs/>
                <w:color w:val="000000"/>
                <w:sz w:val="20"/>
                <w:lang w:val="en-US" w:eastAsia="zh-CN"/>
              </w:rPr>
              <w:t xml:space="preserve">-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3F2DED">
              <w:rPr>
                <w:rFonts w:ascii="Arial" w:hAnsi="Arial" w:cs="Arial"/>
                <w:b/>
                <w:bCs/>
                <w:color w:val="000000"/>
                <w:sz w:val="20"/>
                <w:lang w:val="en-US" w:eastAsia="zh-CN"/>
              </w:rPr>
              <w:t xml:space="preserve">                      -   </w:t>
            </w:r>
          </w:p>
        </w:tc>
      </w:tr>
    </w:tbl>
    <w:p w:rsidR="0022373A" w:rsidRDefault="0022373A" w:rsidP="00F905D2">
      <w:pPr>
        <w:pStyle w:val="Heading5"/>
        <w:tabs>
          <w:tab w:val="clear" w:pos="1134"/>
          <w:tab w:val="left" w:pos="0"/>
          <w:tab w:val="left" w:pos="993"/>
        </w:tabs>
        <w:snapToGrid w:val="0"/>
        <w:spacing w:before="240" w:after="120"/>
        <w:ind w:left="0" w:firstLine="0"/>
        <w:rPr>
          <w:lang w:val="en-US"/>
        </w:rPr>
      </w:pPr>
      <w:r w:rsidRPr="001C2A98">
        <w:rPr>
          <w:lang w:val="en-US"/>
        </w:rPr>
        <w:t xml:space="preserve">Note </w:t>
      </w:r>
      <w:r w:rsidR="00BD4C15">
        <w:rPr>
          <w:lang w:val="en-US"/>
        </w:rPr>
        <w:t>9</w:t>
      </w:r>
      <w:r w:rsidRPr="001C2A98">
        <w:rPr>
          <w:lang w:val="en-US"/>
        </w:rPr>
        <w:tab/>
      </w:r>
      <w:r w:rsidRPr="00D477D8">
        <w:rPr>
          <w:lang w:val="en-US"/>
        </w:rPr>
        <w:t>Inventories</w:t>
      </w:r>
      <w:bookmarkEnd w:id="75"/>
      <w:bookmarkEnd w:id="76"/>
    </w:p>
    <w:p w:rsidR="00F2562A" w:rsidRDefault="0022373A" w:rsidP="00F905D2">
      <w:pPr>
        <w:jc w:val="both"/>
        <w:rPr>
          <w:lang w:val="en-US"/>
        </w:rPr>
      </w:pPr>
      <w:r w:rsidRPr="00383DBC">
        <w:rPr>
          <w:lang w:val="en-US"/>
        </w:rPr>
        <w:t>Publications include publications for sale and publications distributed free of charge. Supplies include paper to be used for the printing of ITU publications</w:t>
      </w:r>
      <w:r w:rsidR="008E5226">
        <w:rPr>
          <w:lang w:val="en-US"/>
        </w:rPr>
        <w:t xml:space="preserve"> and documents</w:t>
      </w:r>
      <w:r w:rsidRPr="00383DBC">
        <w:rPr>
          <w:lang w:val="en-US"/>
        </w:rPr>
        <w:t>, items handled by the Supplies and Stores Service and various consumables.</w:t>
      </w:r>
    </w:p>
    <w:p w:rsidR="00A33FF0" w:rsidRDefault="00A33FF0" w:rsidP="007111EB">
      <w:pPr>
        <w:snapToGrid w:val="0"/>
        <w:spacing w:before="0"/>
        <w:jc w:val="both"/>
        <w:rPr>
          <w:lang w:val="en-US"/>
        </w:rPr>
      </w:pPr>
    </w:p>
    <w:tbl>
      <w:tblPr>
        <w:tblW w:w="8860" w:type="dxa"/>
        <w:tblLook w:val="04A0" w:firstRow="1" w:lastRow="0" w:firstColumn="1" w:lastColumn="0" w:noHBand="0" w:noVBand="1"/>
      </w:tblPr>
      <w:tblGrid>
        <w:gridCol w:w="5660"/>
        <w:gridCol w:w="1600"/>
        <w:gridCol w:w="1600"/>
      </w:tblGrid>
      <w:tr w:rsidR="003F2DED" w:rsidRPr="003F2DED" w:rsidTr="003F2DED">
        <w:trPr>
          <w:trHeight w:val="765"/>
        </w:trPr>
        <w:tc>
          <w:tcPr>
            <w:tcW w:w="5660" w:type="dxa"/>
            <w:tcBorders>
              <w:top w:val="single" w:sz="4" w:space="0" w:color="auto"/>
              <w:left w:val="single" w:sz="4" w:space="0" w:color="auto"/>
              <w:bottom w:val="single" w:sz="4" w:space="0" w:color="auto"/>
              <w:right w:val="nil"/>
            </w:tcBorders>
            <w:shd w:val="clear" w:color="auto" w:fill="auto"/>
            <w:noWrap/>
            <w:vAlign w:val="center"/>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20"/>
                <w:lang w:val="en-US" w:eastAsia="zh-CN"/>
              </w:rPr>
            </w:pPr>
            <w:r w:rsidRPr="003F2DED">
              <w:rPr>
                <w:rFonts w:ascii="Arial" w:hAnsi="Arial" w:cs="Arial"/>
                <w:b/>
                <w:bCs/>
                <w:color w:val="000000"/>
                <w:sz w:val="20"/>
                <w:lang w:val="en-US" w:eastAsia="zh-CN"/>
              </w:rPr>
              <w:t xml:space="preserve">In thousands of CHF </w:t>
            </w:r>
          </w:p>
        </w:tc>
        <w:tc>
          <w:tcPr>
            <w:tcW w:w="1600" w:type="dxa"/>
            <w:tcBorders>
              <w:top w:val="single" w:sz="4" w:space="0" w:color="auto"/>
              <w:left w:val="single" w:sz="4" w:space="0" w:color="auto"/>
              <w:bottom w:val="single" w:sz="4" w:space="0" w:color="auto"/>
              <w:right w:val="nil"/>
            </w:tcBorders>
            <w:shd w:val="clear" w:color="auto" w:fill="auto"/>
            <w:noWrap/>
            <w:vAlign w:val="center"/>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20"/>
                <w:lang w:val="en-US" w:eastAsia="zh-CN"/>
              </w:rPr>
            </w:pPr>
            <w:r w:rsidRPr="003F2DED">
              <w:rPr>
                <w:rFonts w:ascii="Arial" w:hAnsi="Arial" w:cs="Arial"/>
                <w:b/>
                <w:bCs/>
                <w:color w:val="000000"/>
                <w:sz w:val="20"/>
                <w:lang w:val="en-US" w:eastAsia="zh-CN"/>
              </w:rPr>
              <w:t>31.12.2017</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20"/>
                <w:lang w:val="en-US" w:eastAsia="zh-CN"/>
              </w:rPr>
            </w:pPr>
            <w:r w:rsidRPr="003F2DED">
              <w:rPr>
                <w:rFonts w:ascii="Arial" w:hAnsi="Arial" w:cs="Arial"/>
                <w:b/>
                <w:bCs/>
                <w:color w:val="000000"/>
                <w:sz w:val="20"/>
                <w:lang w:val="en-US" w:eastAsia="zh-CN"/>
              </w:rPr>
              <w:t>31.12.2016</w:t>
            </w:r>
          </w:p>
        </w:tc>
      </w:tr>
      <w:tr w:rsidR="003F2DED" w:rsidRPr="003F2DED" w:rsidTr="003F2DED">
        <w:trPr>
          <w:trHeight w:val="255"/>
        </w:trPr>
        <w:tc>
          <w:tcPr>
            <w:tcW w:w="5660" w:type="dxa"/>
            <w:tcBorders>
              <w:top w:val="nil"/>
              <w:left w:val="single" w:sz="4" w:space="0" w:color="auto"/>
              <w:bottom w:val="nil"/>
              <w:right w:val="nil"/>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3F2DED">
              <w:rPr>
                <w:rFonts w:ascii="Arial" w:hAnsi="Arial" w:cs="Arial"/>
                <w:color w:val="000000"/>
                <w:sz w:val="20"/>
                <w:lang w:val="en-US" w:eastAsia="zh-CN"/>
              </w:rPr>
              <w:t> </w:t>
            </w:r>
          </w:p>
        </w:tc>
        <w:tc>
          <w:tcPr>
            <w:tcW w:w="1600" w:type="dxa"/>
            <w:tcBorders>
              <w:top w:val="nil"/>
              <w:left w:val="single" w:sz="4" w:space="0" w:color="auto"/>
              <w:bottom w:val="nil"/>
              <w:right w:val="nil"/>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3F2DED">
              <w:rPr>
                <w:rFonts w:ascii="Arial" w:hAnsi="Arial" w:cs="Arial"/>
                <w:color w:val="000000"/>
                <w:sz w:val="20"/>
                <w:lang w:val="en-US" w:eastAsia="zh-CN"/>
              </w:rPr>
              <w:t> </w:t>
            </w:r>
          </w:p>
        </w:tc>
        <w:tc>
          <w:tcPr>
            <w:tcW w:w="1600" w:type="dxa"/>
            <w:tcBorders>
              <w:top w:val="nil"/>
              <w:left w:val="single" w:sz="4" w:space="0" w:color="auto"/>
              <w:bottom w:val="nil"/>
              <w:right w:val="single" w:sz="4" w:space="0" w:color="auto"/>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3F2DED">
              <w:rPr>
                <w:rFonts w:ascii="Arial" w:hAnsi="Arial" w:cs="Arial"/>
                <w:color w:val="000000"/>
                <w:sz w:val="20"/>
                <w:lang w:val="en-US" w:eastAsia="zh-CN"/>
              </w:rPr>
              <w:t> </w:t>
            </w:r>
          </w:p>
        </w:tc>
      </w:tr>
      <w:tr w:rsidR="003F2DED" w:rsidRPr="003F2DED" w:rsidTr="003F2DED">
        <w:trPr>
          <w:trHeight w:val="255"/>
        </w:trPr>
        <w:tc>
          <w:tcPr>
            <w:tcW w:w="5660" w:type="dxa"/>
            <w:tcBorders>
              <w:top w:val="nil"/>
              <w:left w:val="single" w:sz="4" w:space="0" w:color="auto"/>
              <w:bottom w:val="nil"/>
              <w:right w:val="nil"/>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3F2DED">
              <w:rPr>
                <w:rFonts w:ascii="Arial" w:hAnsi="Arial" w:cs="Arial"/>
                <w:color w:val="000000"/>
                <w:sz w:val="20"/>
                <w:lang w:val="en-US" w:eastAsia="zh-CN"/>
              </w:rPr>
              <w:t xml:space="preserve">Publications – gross value </w:t>
            </w:r>
          </w:p>
        </w:tc>
        <w:tc>
          <w:tcPr>
            <w:tcW w:w="1600" w:type="dxa"/>
            <w:tcBorders>
              <w:top w:val="nil"/>
              <w:left w:val="single" w:sz="4" w:space="0" w:color="auto"/>
              <w:bottom w:val="nil"/>
              <w:right w:val="nil"/>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3F2DED">
              <w:rPr>
                <w:rFonts w:ascii="Arial" w:hAnsi="Arial" w:cs="Arial"/>
                <w:color w:val="000000"/>
                <w:sz w:val="20"/>
                <w:lang w:val="en-US" w:eastAsia="zh-CN"/>
              </w:rPr>
              <w:t>402</w:t>
            </w:r>
          </w:p>
        </w:tc>
        <w:tc>
          <w:tcPr>
            <w:tcW w:w="1600" w:type="dxa"/>
            <w:tcBorders>
              <w:top w:val="nil"/>
              <w:left w:val="single" w:sz="4" w:space="0" w:color="auto"/>
              <w:bottom w:val="nil"/>
              <w:right w:val="single" w:sz="4" w:space="0" w:color="auto"/>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3F2DED">
              <w:rPr>
                <w:rFonts w:ascii="Arial" w:hAnsi="Arial" w:cs="Arial"/>
                <w:color w:val="000000"/>
                <w:sz w:val="20"/>
                <w:lang w:val="en-US" w:eastAsia="zh-CN"/>
              </w:rPr>
              <w:t>303</w:t>
            </w:r>
          </w:p>
        </w:tc>
      </w:tr>
      <w:tr w:rsidR="003F2DED" w:rsidRPr="003F2DED" w:rsidTr="003F2DED">
        <w:trPr>
          <w:trHeight w:val="270"/>
        </w:trPr>
        <w:tc>
          <w:tcPr>
            <w:tcW w:w="5660" w:type="dxa"/>
            <w:tcBorders>
              <w:top w:val="nil"/>
              <w:left w:val="single" w:sz="4" w:space="0" w:color="auto"/>
              <w:bottom w:val="nil"/>
              <w:right w:val="nil"/>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3F2DED">
              <w:rPr>
                <w:rFonts w:ascii="Arial" w:hAnsi="Arial" w:cs="Arial"/>
                <w:color w:val="000000"/>
                <w:sz w:val="20"/>
                <w:lang w:val="en-US" w:eastAsia="zh-CN"/>
              </w:rPr>
              <w:t xml:space="preserve">  Depreciation</w:t>
            </w:r>
          </w:p>
        </w:tc>
        <w:tc>
          <w:tcPr>
            <w:tcW w:w="1600" w:type="dxa"/>
            <w:tcBorders>
              <w:top w:val="nil"/>
              <w:left w:val="single" w:sz="4" w:space="0" w:color="auto"/>
              <w:bottom w:val="nil"/>
              <w:right w:val="nil"/>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3F2DED">
              <w:rPr>
                <w:rFonts w:ascii="Arial" w:hAnsi="Arial" w:cs="Arial"/>
                <w:color w:val="000000"/>
                <w:sz w:val="20"/>
                <w:lang w:val="en-US" w:eastAsia="zh-CN"/>
              </w:rPr>
              <w:t>-186</w:t>
            </w:r>
          </w:p>
        </w:tc>
        <w:tc>
          <w:tcPr>
            <w:tcW w:w="1600" w:type="dxa"/>
            <w:tcBorders>
              <w:top w:val="nil"/>
              <w:left w:val="single" w:sz="4" w:space="0" w:color="auto"/>
              <w:bottom w:val="nil"/>
              <w:right w:val="single" w:sz="4" w:space="0" w:color="auto"/>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3F2DED">
              <w:rPr>
                <w:rFonts w:ascii="Arial" w:hAnsi="Arial" w:cs="Arial"/>
                <w:color w:val="000000"/>
                <w:sz w:val="20"/>
                <w:lang w:val="en-US" w:eastAsia="zh-CN"/>
              </w:rPr>
              <w:t>-183</w:t>
            </w:r>
          </w:p>
        </w:tc>
      </w:tr>
      <w:tr w:rsidR="003F2DED" w:rsidRPr="003F2DED" w:rsidTr="003F2DED">
        <w:trPr>
          <w:trHeight w:val="270"/>
        </w:trPr>
        <w:tc>
          <w:tcPr>
            <w:tcW w:w="5660" w:type="dxa"/>
            <w:tcBorders>
              <w:top w:val="single" w:sz="8" w:space="0" w:color="auto"/>
              <w:left w:val="single" w:sz="8" w:space="0" w:color="auto"/>
              <w:bottom w:val="single" w:sz="8" w:space="0" w:color="auto"/>
              <w:right w:val="nil"/>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20"/>
                <w:lang w:val="en-US" w:eastAsia="zh-CN"/>
              </w:rPr>
            </w:pPr>
            <w:r w:rsidRPr="003F2DED">
              <w:rPr>
                <w:rFonts w:ascii="Arial" w:hAnsi="Arial" w:cs="Arial"/>
                <w:b/>
                <w:bCs/>
                <w:color w:val="000000"/>
                <w:sz w:val="20"/>
                <w:lang w:val="en-US" w:eastAsia="zh-CN"/>
              </w:rPr>
              <w:t>Publications – net value</w:t>
            </w:r>
          </w:p>
        </w:tc>
        <w:tc>
          <w:tcPr>
            <w:tcW w:w="1600" w:type="dxa"/>
            <w:tcBorders>
              <w:top w:val="single" w:sz="8" w:space="0" w:color="auto"/>
              <w:left w:val="single" w:sz="4" w:space="0" w:color="auto"/>
              <w:bottom w:val="single" w:sz="8" w:space="0" w:color="auto"/>
              <w:right w:val="nil"/>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3F2DED">
              <w:rPr>
                <w:rFonts w:ascii="Arial" w:hAnsi="Arial" w:cs="Arial"/>
                <w:color w:val="000000"/>
                <w:sz w:val="20"/>
                <w:lang w:val="en-US" w:eastAsia="zh-CN"/>
              </w:rPr>
              <w:t>216</w:t>
            </w:r>
          </w:p>
        </w:tc>
        <w:tc>
          <w:tcPr>
            <w:tcW w:w="16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3F2DED">
              <w:rPr>
                <w:rFonts w:ascii="Arial" w:hAnsi="Arial" w:cs="Arial"/>
                <w:color w:val="000000"/>
                <w:sz w:val="20"/>
                <w:lang w:val="en-US" w:eastAsia="zh-CN"/>
              </w:rPr>
              <w:t>120</w:t>
            </w:r>
          </w:p>
        </w:tc>
      </w:tr>
      <w:tr w:rsidR="003F2DED" w:rsidRPr="003F2DED" w:rsidTr="003F2DED">
        <w:trPr>
          <w:trHeight w:val="255"/>
        </w:trPr>
        <w:tc>
          <w:tcPr>
            <w:tcW w:w="5660" w:type="dxa"/>
            <w:tcBorders>
              <w:top w:val="nil"/>
              <w:left w:val="single" w:sz="4" w:space="0" w:color="auto"/>
              <w:bottom w:val="nil"/>
              <w:right w:val="nil"/>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3F2DED">
              <w:rPr>
                <w:rFonts w:ascii="Arial" w:hAnsi="Arial" w:cs="Arial"/>
                <w:color w:val="000000"/>
                <w:sz w:val="20"/>
                <w:lang w:val="en-US" w:eastAsia="zh-CN"/>
              </w:rPr>
              <w:t>Souvenirs – gross value</w:t>
            </w:r>
          </w:p>
        </w:tc>
        <w:tc>
          <w:tcPr>
            <w:tcW w:w="1600" w:type="dxa"/>
            <w:tcBorders>
              <w:top w:val="nil"/>
              <w:left w:val="single" w:sz="4" w:space="0" w:color="auto"/>
              <w:bottom w:val="nil"/>
              <w:right w:val="nil"/>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3F2DED">
              <w:rPr>
                <w:rFonts w:ascii="Arial" w:hAnsi="Arial" w:cs="Arial"/>
                <w:color w:val="000000"/>
                <w:sz w:val="20"/>
                <w:lang w:val="en-US" w:eastAsia="zh-CN"/>
              </w:rPr>
              <w:t>129</w:t>
            </w:r>
          </w:p>
        </w:tc>
        <w:tc>
          <w:tcPr>
            <w:tcW w:w="1600" w:type="dxa"/>
            <w:tcBorders>
              <w:top w:val="nil"/>
              <w:left w:val="single" w:sz="4" w:space="0" w:color="auto"/>
              <w:bottom w:val="nil"/>
              <w:right w:val="single" w:sz="4" w:space="0" w:color="auto"/>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3F2DED">
              <w:rPr>
                <w:rFonts w:ascii="Arial" w:hAnsi="Arial" w:cs="Arial"/>
                <w:color w:val="000000"/>
                <w:sz w:val="20"/>
                <w:lang w:val="en-US" w:eastAsia="zh-CN"/>
              </w:rPr>
              <w:t>122</w:t>
            </w:r>
          </w:p>
        </w:tc>
      </w:tr>
      <w:tr w:rsidR="003F2DED" w:rsidRPr="003F2DED" w:rsidTr="003F2DED">
        <w:trPr>
          <w:trHeight w:val="270"/>
        </w:trPr>
        <w:tc>
          <w:tcPr>
            <w:tcW w:w="5660" w:type="dxa"/>
            <w:tcBorders>
              <w:top w:val="nil"/>
              <w:left w:val="single" w:sz="4" w:space="0" w:color="auto"/>
              <w:bottom w:val="nil"/>
              <w:right w:val="nil"/>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3F2DED">
              <w:rPr>
                <w:rFonts w:ascii="Arial" w:hAnsi="Arial" w:cs="Arial"/>
                <w:color w:val="000000"/>
                <w:sz w:val="20"/>
                <w:lang w:val="en-US" w:eastAsia="zh-CN"/>
              </w:rPr>
              <w:t xml:space="preserve">  Depreciation </w:t>
            </w:r>
          </w:p>
        </w:tc>
        <w:tc>
          <w:tcPr>
            <w:tcW w:w="1600" w:type="dxa"/>
            <w:tcBorders>
              <w:top w:val="nil"/>
              <w:left w:val="single" w:sz="4" w:space="0" w:color="auto"/>
              <w:bottom w:val="nil"/>
              <w:right w:val="nil"/>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3F2DED">
              <w:rPr>
                <w:rFonts w:ascii="Arial" w:hAnsi="Arial" w:cs="Arial"/>
                <w:color w:val="000000"/>
                <w:sz w:val="20"/>
                <w:lang w:val="en-US" w:eastAsia="zh-CN"/>
              </w:rPr>
              <w:t>-86</w:t>
            </w:r>
          </w:p>
        </w:tc>
        <w:tc>
          <w:tcPr>
            <w:tcW w:w="1600" w:type="dxa"/>
            <w:tcBorders>
              <w:top w:val="nil"/>
              <w:left w:val="single" w:sz="4" w:space="0" w:color="auto"/>
              <w:bottom w:val="nil"/>
              <w:right w:val="single" w:sz="4" w:space="0" w:color="auto"/>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3F2DED">
              <w:rPr>
                <w:rFonts w:ascii="Arial" w:hAnsi="Arial" w:cs="Arial"/>
                <w:color w:val="000000"/>
                <w:sz w:val="20"/>
                <w:lang w:val="en-US" w:eastAsia="zh-CN"/>
              </w:rPr>
              <w:t>-92</w:t>
            </w:r>
          </w:p>
        </w:tc>
      </w:tr>
      <w:tr w:rsidR="003F2DED" w:rsidRPr="003F2DED" w:rsidTr="003F2DED">
        <w:trPr>
          <w:trHeight w:val="270"/>
        </w:trPr>
        <w:tc>
          <w:tcPr>
            <w:tcW w:w="5660" w:type="dxa"/>
            <w:tcBorders>
              <w:top w:val="single" w:sz="8" w:space="0" w:color="auto"/>
              <w:left w:val="single" w:sz="8" w:space="0" w:color="auto"/>
              <w:bottom w:val="single" w:sz="8" w:space="0" w:color="auto"/>
              <w:right w:val="nil"/>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20"/>
                <w:lang w:val="en-US" w:eastAsia="zh-CN"/>
              </w:rPr>
            </w:pPr>
            <w:r w:rsidRPr="003F2DED">
              <w:rPr>
                <w:rFonts w:ascii="Arial" w:hAnsi="Arial" w:cs="Arial"/>
                <w:b/>
                <w:bCs/>
                <w:color w:val="000000"/>
                <w:sz w:val="20"/>
                <w:lang w:val="en-US" w:eastAsia="zh-CN"/>
              </w:rPr>
              <w:t>Souvenirs – net value</w:t>
            </w:r>
          </w:p>
        </w:tc>
        <w:tc>
          <w:tcPr>
            <w:tcW w:w="1600" w:type="dxa"/>
            <w:tcBorders>
              <w:top w:val="single" w:sz="8" w:space="0" w:color="auto"/>
              <w:left w:val="single" w:sz="4" w:space="0" w:color="auto"/>
              <w:bottom w:val="single" w:sz="8" w:space="0" w:color="auto"/>
              <w:right w:val="nil"/>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3F2DED">
              <w:rPr>
                <w:rFonts w:ascii="Arial" w:hAnsi="Arial" w:cs="Arial"/>
                <w:color w:val="000000"/>
                <w:sz w:val="20"/>
                <w:lang w:val="en-US" w:eastAsia="zh-CN"/>
              </w:rPr>
              <w:t>43</w:t>
            </w:r>
          </w:p>
        </w:tc>
        <w:tc>
          <w:tcPr>
            <w:tcW w:w="16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3F2DED">
              <w:rPr>
                <w:rFonts w:ascii="Arial" w:hAnsi="Arial" w:cs="Arial"/>
                <w:color w:val="000000"/>
                <w:sz w:val="20"/>
                <w:lang w:val="en-US" w:eastAsia="zh-CN"/>
              </w:rPr>
              <w:t>30</w:t>
            </w:r>
          </w:p>
        </w:tc>
      </w:tr>
      <w:tr w:rsidR="003F2DED" w:rsidRPr="003F2DED" w:rsidTr="003F2DED">
        <w:trPr>
          <w:trHeight w:val="255"/>
        </w:trPr>
        <w:tc>
          <w:tcPr>
            <w:tcW w:w="5660" w:type="dxa"/>
            <w:tcBorders>
              <w:top w:val="nil"/>
              <w:left w:val="single" w:sz="4" w:space="0" w:color="auto"/>
              <w:bottom w:val="nil"/>
              <w:right w:val="nil"/>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3F2DED">
              <w:rPr>
                <w:rFonts w:ascii="Arial" w:hAnsi="Arial" w:cs="Arial"/>
                <w:color w:val="000000"/>
                <w:sz w:val="20"/>
                <w:lang w:val="en-US" w:eastAsia="zh-CN"/>
              </w:rPr>
              <w:t>Supplies – gross value</w:t>
            </w:r>
          </w:p>
        </w:tc>
        <w:tc>
          <w:tcPr>
            <w:tcW w:w="1600" w:type="dxa"/>
            <w:tcBorders>
              <w:top w:val="nil"/>
              <w:left w:val="single" w:sz="4" w:space="0" w:color="auto"/>
              <w:bottom w:val="nil"/>
              <w:right w:val="nil"/>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3F2DED">
              <w:rPr>
                <w:rFonts w:ascii="Arial" w:hAnsi="Arial" w:cs="Arial"/>
                <w:color w:val="000000"/>
                <w:sz w:val="20"/>
                <w:lang w:val="en-US" w:eastAsia="zh-CN"/>
              </w:rPr>
              <w:t>402</w:t>
            </w:r>
          </w:p>
        </w:tc>
        <w:tc>
          <w:tcPr>
            <w:tcW w:w="1600" w:type="dxa"/>
            <w:tcBorders>
              <w:top w:val="nil"/>
              <w:left w:val="single" w:sz="4" w:space="0" w:color="auto"/>
              <w:bottom w:val="nil"/>
              <w:right w:val="single" w:sz="4" w:space="0" w:color="auto"/>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3F2DED">
              <w:rPr>
                <w:rFonts w:ascii="Arial" w:hAnsi="Arial" w:cs="Arial"/>
                <w:color w:val="000000"/>
                <w:sz w:val="20"/>
                <w:lang w:val="en-US" w:eastAsia="zh-CN"/>
              </w:rPr>
              <w:t>395</w:t>
            </w:r>
          </w:p>
        </w:tc>
      </w:tr>
      <w:tr w:rsidR="003F2DED" w:rsidRPr="003F2DED" w:rsidTr="003F2DED">
        <w:trPr>
          <w:trHeight w:val="270"/>
        </w:trPr>
        <w:tc>
          <w:tcPr>
            <w:tcW w:w="5660" w:type="dxa"/>
            <w:tcBorders>
              <w:top w:val="nil"/>
              <w:left w:val="single" w:sz="4" w:space="0" w:color="auto"/>
              <w:bottom w:val="nil"/>
              <w:right w:val="nil"/>
            </w:tcBorders>
            <w:shd w:val="clear" w:color="000000" w:fill="FFFFFF"/>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3F2DED">
              <w:rPr>
                <w:rFonts w:ascii="Arial" w:hAnsi="Arial" w:cs="Arial"/>
                <w:color w:val="000000"/>
                <w:sz w:val="20"/>
                <w:lang w:val="en-US" w:eastAsia="zh-CN"/>
              </w:rPr>
              <w:t>Depreciation</w:t>
            </w:r>
          </w:p>
        </w:tc>
        <w:tc>
          <w:tcPr>
            <w:tcW w:w="1600" w:type="dxa"/>
            <w:tcBorders>
              <w:top w:val="nil"/>
              <w:left w:val="single" w:sz="4" w:space="0" w:color="auto"/>
              <w:bottom w:val="nil"/>
              <w:right w:val="single" w:sz="4" w:space="0" w:color="auto"/>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3F2DED">
              <w:rPr>
                <w:rFonts w:ascii="Arial" w:hAnsi="Arial" w:cs="Arial"/>
                <w:color w:val="000000"/>
                <w:sz w:val="20"/>
                <w:lang w:val="en-US" w:eastAsia="zh-CN"/>
              </w:rPr>
              <w:t xml:space="preserve">                     -   </w:t>
            </w:r>
          </w:p>
        </w:tc>
        <w:tc>
          <w:tcPr>
            <w:tcW w:w="1600" w:type="dxa"/>
            <w:tcBorders>
              <w:top w:val="nil"/>
              <w:left w:val="nil"/>
              <w:bottom w:val="nil"/>
              <w:right w:val="single" w:sz="4" w:space="0" w:color="auto"/>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3F2DED">
              <w:rPr>
                <w:rFonts w:ascii="Arial" w:hAnsi="Arial" w:cs="Arial"/>
                <w:color w:val="000000"/>
                <w:sz w:val="20"/>
                <w:lang w:val="en-US" w:eastAsia="zh-CN"/>
              </w:rPr>
              <w:t xml:space="preserve">                     -   </w:t>
            </w:r>
          </w:p>
        </w:tc>
      </w:tr>
      <w:tr w:rsidR="003F2DED" w:rsidRPr="003F2DED" w:rsidTr="003F2DED">
        <w:trPr>
          <w:trHeight w:val="270"/>
        </w:trPr>
        <w:tc>
          <w:tcPr>
            <w:tcW w:w="5660" w:type="dxa"/>
            <w:tcBorders>
              <w:top w:val="single" w:sz="8" w:space="0" w:color="auto"/>
              <w:left w:val="single" w:sz="8" w:space="0" w:color="auto"/>
              <w:bottom w:val="single" w:sz="8" w:space="0" w:color="auto"/>
              <w:right w:val="nil"/>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20"/>
                <w:lang w:val="en-US" w:eastAsia="zh-CN"/>
              </w:rPr>
            </w:pPr>
            <w:r w:rsidRPr="003F2DED">
              <w:rPr>
                <w:rFonts w:ascii="Arial" w:hAnsi="Arial" w:cs="Arial"/>
                <w:b/>
                <w:bCs/>
                <w:color w:val="000000"/>
                <w:sz w:val="20"/>
                <w:lang w:val="en-US" w:eastAsia="zh-CN"/>
              </w:rPr>
              <w:t>Supplies - net value</w:t>
            </w:r>
          </w:p>
        </w:tc>
        <w:tc>
          <w:tcPr>
            <w:tcW w:w="1600" w:type="dxa"/>
            <w:tcBorders>
              <w:top w:val="single" w:sz="8" w:space="0" w:color="auto"/>
              <w:left w:val="single" w:sz="4" w:space="0" w:color="auto"/>
              <w:bottom w:val="single" w:sz="8" w:space="0" w:color="auto"/>
              <w:right w:val="nil"/>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3F2DED">
              <w:rPr>
                <w:rFonts w:ascii="Arial" w:hAnsi="Arial" w:cs="Arial"/>
                <w:color w:val="000000"/>
                <w:sz w:val="20"/>
                <w:lang w:val="en-US" w:eastAsia="zh-CN"/>
              </w:rPr>
              <w:t xml:space="preserve">                   </w:t>
            </w:r>
            <w:r>
              <w:rPr>
                <w:rFonts w:ascii="Arial" w:hAnsi="Arial" w:cs="Arial"/>
                <w:color w:val="000000"/>
                <w:sz w:val="20"/>
                <w:lang w:val="en-US" w:eastAsia="zh-CN"/>
              </w:rPr>
              <w:t>4</w:t>
            </w:r>
            <w:r w:rsidRPr="003F2DED">
              <w:rPr>
                <w:rFonts w:ascii="Arial" w:hAnsi="Arial" w:cs="Arial"/>
                <w:color w:val="000000"/>
                <w:sz w:val="20"/>
                <w:lang w:val="en-US" w:eastAsia="zh-CN"/>
              </w:rPr>
              <w:t xml:space="preserve">02 </w:t>
            </w:r>
          </w:p>
        </w:tc>
        <w:tc>
          <w:tcPr>
            <w:tcW w:w="16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3F2DED">
              <w:rPr>
                <w:rFonts w:ascii="Arial" w:hAnsi="Arial" w:cs="Arial"/>
                <w:color w:val="000000"/>
                <w:sz w:val="20"/>
                <w:lang w:val="en-US" w:eastAsia="zh-CN"/>
              </w:rPr>
              <w:t xml:space="preserve">                   395 </w:t>
            </w:r>
          </w:p>
        </w:tc>
      </w:tr>
      <w:tr w:rsidR="003F2DED" w:rsidRPr="003F2DED" w:rsidTr="003F2DED">
        <w:trPr>
          <w:trHeight w:val="270"/>
        </w:trPr>
        <w:tc>
          <w:tcPr>
            <w:tcW w:w="5660" w:type="dxa"/>
            <w:tcBorders>
              <w:top w:val="nil"/>
              <w:left w:val="single" w:sz="8" w:space="0" w:color="auto"/>
              <w:bottom w:val="single" w:sz="8" w:space="0" w:color="auto"/>
              <w:right w:val="nil"/>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20"/>
                <w:lang w:val="en-US" w:eastAsia="zh-CN"/>
              </w:rPr>
            </w:pPr>
            <w:r w:rsidRPr="003F2DED">
              <w:rPr>
                <w:rFonts w:ascii="Arial" w:hAnsi="Arial" w:cs="Arial"/>
                <w:b/>
                <w:bCs/>
                <w:color w:val="000000"/>
                <w:sz w:val="20"/>
                <w:lang w:val="en-US" w:eastAsia="zh-CN"/>
              </w:rPr>
              <w:t>Inventories – net value</w:t>
            </w:r>
          </w:p>
        </w:tc>
        <w:tc>
          <w:tcPr>
            <w:tcW w:w="1600" w:type="dxa"/>
            <w:tcBorders>
              <w:top w:val="nil"/>
              <w:left w:val="single" w:sz="4" w:space="0" w:color="auto"/>
              <w:bottom w:val="single" w:sz="4" w:space="0" w:color="auto"/>
              <w:right w:val="nil"/>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3F2DED">
              <w:rPr>
                <w:rFonts w:ascii="Arial" w:hAnsi="Arial" w:cs="Arial"/>
                <w:b/>
                <w:bCs/>
                <w:color w:val="000000"/>
                <w:sz w:val="20"/>
                <w:lang w:val="en-US" w:eastAsia="zh-CN"/>
              </w:rPr>
              <w:t xml:space="preserve">                   661 </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3F2DED">
              <w:rPr>
                <w:rFonts w:ascii="Arial" w:hAnsi="Arial" w:cs="Arial"/>
                <w:b/>
                <w:bCs/>
                <w:color w:val="000000"/>
                <w:sz w:val="20"/>
                <w:lang w:val="en-US" w:eastAsia="zh-CN"/>
              </w:rPr>
              <w:t xml:space="preserve">                   545 </w:t>
            </w:r>
          </w:p>
        </w:tc>
      </w:tr>
    </w:tbl>
    <w:p w:rsidR="00A8162F" w:rsidRDefault="00A8162F">
      <w:pPr>
        <w:tabs>
          <w:tab w:val="clear" w:pos="567"/>
          <w:tab w:val="clear" w:pos="1134"/>
          <w:tab w:val="clear" w:pos="1701"/>
          <w:tab w:val="clear" w:pos="2268"/>
          <w:tab w:val="clear" w:pos="2835"/>
        </w:tabs>
        <w:overflowPunct/>
        <w:autoSpaceDE/>
        <w:autoSpaceDN/>
        <w:adjustRightInd/>
        <w:spacing w:before="0"/>
        <w:textAlignment w:val="auto"/>
        <w:rPr>
          <w:lang w:val="en-US"/>
        </w:rPr>
      </w:pPr>
    </w:p>
    <w:p w:rsidR="0022373A" w:rsidRDefault="0022373A" w:rsidP="00A33FF0">
      <w:pPr>
        <w:pStyle w:val="Heading5"/>
        <w:snapToGrid w:val="0"/>
        <w:spacing w:before="0" w:after="240"/>
        <w:rPr>
          <w:lang w:val="en-US"/>
        </w:rPr>
      </w:pPr>
      <w:bookmarkStart w:id="77" w:name="_Toc305764085"/>
      <w:bookmarkStart w:id="78" w:name="_Toc329011635"/>
      <w:r w:rsidRPr="001C2A98">
        <w:rPr>
          <w:lang w:val="en-US"/>
        </w:rPr>
        <w:t>Note 1</w:t>
      </w:r>
      <w:r w:rsidR="00A33FF0">
        <w:rPr>
          <w:lang w:val="en-US"/>
        </w:rPr>
        <w:t>0</w:t>
      </w:r>
      <w:r w:rsidRPr="001C2A98">
        <w:rPr>
          <w:lang w:val="en-US"/>
        </w:rPr>
        <w:tab/>
      </w:r>
      <w:r w:rsidRPr="00D477D8">
        <w:rPr>
          <w:lang w:val="en-US"/>
        </w:rPr>
        <w:t>Other receivables</w:t>
      </w:r>
      <w:bookmarkEnd w:id="77"/>
      <w:bookmarkEnd w:id="78"/>
    </w:p>
    <w:tbl>
      <w:tblPr>
        <w:tblW w:w="8820" w:type="dxa"/>
        <w:tblLook w:val="04A0" w:firstRow="1" w:lastRow="0" w:firstColumn="1" w:lastColumn="0" w:noHBand="0" w:noVBand="1"/>
      </w:tblPr>
      <w:tblGrid>
        <w:gridCol w:w="5524"/>
        <w:gridCol w:w="1716"/>
        <w:gridCol w:w="1580"/>
      </w:tblGrid>
      <w:tr w:rsidR="003F2DED" w:rsidRPr="003F2DED" w:rsidTr="003F2DED">
        <w:trPr>
          <w:trHeight w:val="499"/>
        </w:trPr>
        <w:tc>
          <w:tcPr>
            <w:tcW w:w="5524" w:type="dxa"/>
            <w:tcBorders>
              <w:top w:val="single" w:sz="4" w:space="0" w:color="auto"/>
              <w:left w:val="single" w:sz="4" w:space="0" w:color="auto"/>
              <w:bottom w:val="single" w:sz="4" w:space="0" w:color="auto"/>
              <w:right w:val="nil"/>
            </w:tcBorders>
            <w:shd w:val="clear" w:color="auto" w:fill="auto"/>
            <w:noWrap/>
            <w:vAlign w:val="center"/>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22"/>
                <w:szCs w:val="22"/>
                <w:lang w:val="en-US" w:eastAsia="zh-CN"/>
              </w:rPr>
            </w:pPr>
            <w:r w:rsidRPr="003F2DED">
              <w:rPr>
                <w:rFonts w:ascii="Arial" w:hAnsi="Arial" w:cs="Arial"/>
                <w:b/>
                <w:bCs/>
                <w:color w:val="000000"/>
                <w:sz w:val="22"/>
                <w:szCs w:val="22"/>
                <w:lang w:val="en-US" w:eastAsia="zh-CN"/>
              </w:rPr>
              <w:t xml:space="preserve">In thousands of CHF </w:t>
            </w:r>
          </w:p>
        </w:tc>
        <w:tc>
          <w:tcPr>
            <w:tcW w:w="1716" w:type="dxa"/>
            <w:tcBorders>
              <w:top w:val="single" w:sz="4" w:space="0" w:color="auto"/>
              <w:left w:val="single" w:sz="4" w:space="0" w:color="auto"/>
              <w:bottom w:val="single" w:sz="4" w:space="0" w:color="auto"/>
              <w:right w:val="nil"/>
            </w:tcBorders>
            <w:shd w:val="clear" w:color="auto" w:fill="auto"/>
            <w:noWrap/>
            <w:vAlign w:val="center"/>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22"/>
                <w:szCs w:val="22"/>
                <w:lang w:val="en-US" w:eastAsia="zh-CN"/>
              </w:rPr>
            </w:pPr>
            <w:r w:rsidRPr="003F2DED">
              <w:rPr>
                <w:rFonts w:ascii="Arial" w:hAnsi="Arial" w:cs="Arial"/>
                <w:b/>
                <w:bCs/>
                <w:color w:val="000000"/>
                <w:sz w:val="22"/>
                <w:szCs w:val="22"/>
                <w:lang w:val="en-US" w:eastAsia="zh-CN"/>
              </w:rPr>
              <w:t>31.12.2017</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22"/>
                <w:szCs w:val="22"/>
                <w:lang w:val="en-US" w:eastAsia="zh-CN"/>
              </w:rPr>
            </w:pPr>
            <w:r w:rsidRPr="003F2DED">
              <w:rPr>
                <w:rFonts w:ascii="Arial" w:hAnsi="Arial" w:cs="Arial"/>
                <w:b/>
                <w:bCs/>
                <w:color w:val="000000"/>
                <w:sz w:val="22"/>
                <w:szCs w:val="22"/>
                <w:lang w:val="en-US" w:eastAsia="zh-CN"/>
              </w:rPr>
              <w:t>31.12.2016</w:t>
            </w:r>
          </w:p>
        </w:tc>
      </w:tr>
      <w:tr w:rsidR="003F2DED" w:rsidRPr="003F2DED" w:rsidTr="003F2DED">
        <w:trPr>
          <w:trHeight w:val="285"/>
        </w:trPr>
        <w:tc>
          <w:tcPr>
            <w:tcW w:w="5524" w:type="dxa"/>
            <w:tcBorders>
              <w:top w:val="nil"/>
              <w:left w:val="single" w:sz="4" w:space="0" w:color="auto"/>
              <w:bottom w:val="nil"/>
              <w:right w:val="nil"/>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2"/>
                <w:szCs w:val="22"/>
                <w:lang w:val="en-US" w:eastAsia="zh-CN"/>
              </w:rPr>
            </w:pPr>
            <w:r w:rsidRPr="003F2DED">
              <w:rPr>
                <w:rFonts w:ascii="Arial" w:hAnsi="Arial" w:cs="Arial"/>
                <w:color w:val="000000"/>
                <w:sz w:val="22"/>
                <w:szCs w:val="22"/>
                <w:lang w:val="en-US" w:eastAsia="zh-CN"/>
              </w:rPr>
              <w:t> </w:t>
            </w:r>
          </w:p>
        </w:tc>
        <w:tc>
          <w:tcPr>
            <w:tcW w:w="1716" w:type="dxa"/>
            <w:tcBorders>
              <w:top w:val="nil"/>
              <w:left w:val="single" w:sz="4" w:space="0" w:color="auto"/>
              <w:bottom w:val="nil"/>
              <w:right w:val="nil"/>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2"/>
                <w:szCs w:val="22"/>
                <w:lang w:val="en-US" w:eastAsia="zh-CN"/>
              </w:rPr>
            </w:pPr>
            <w:r w:rsidRPr="003F2DED">
              <w:rPr>
                <w:rFonts w:ascii="Arial" w:hAnsi="Arial" w:cs="Arial"/>
                <w:color w:val="000000"/>
                <w:sz w:val="22"/>
                <w:szCs w:val="22"/>
                <w:lang w:val="en-US" w:eastAsia="zh-CN"/>
              </w:rPr>
              <w:t> </w:t>
            </w:r>
          </w:p>
        </w:tc>
        <w:tc>
          <w:tcPr>
            <w:tcW w:w="1580" w:type="dxa"/>
            <w:tcBorders>
              <w:top w:val="nil"/>
              <w:left w:val="single" w:sz="4" w:space="0" w:color="auto"/>
              <w:bottom w:val="nil"/>
              <w:right w:val="single" w:sz="4" w:space="0" w:color="auto"/>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22"/>
                <w:szCs w:val="22"/>
                <w:lang w:val="en-US" w:eastAsia="zh-CN"/>
              </w:rPr>
            </w:pPr>
            <w:r w:rsidRPr="003F2DED">
              <w:rPr>
                <w:rFonts w:ascii="Arial" w:hAnsi="Arial" w:cs="Arial"/>
                <w:color w:val="000000"/>
                <w:sz w:val="22"/>
                <w:szCs w:val="22"/>
                <w:lang w:val="en-US" w:eastAsia="zh-CN"/>
              </w:rPr>
              <w:t> </w:t>
            </w:r>
          </w:p>
        </w:tc>
      </w:tr>
      <w:tr w:rsidR="003F2DED" w:rsidRPr="003F2DED" w:rsidTr="003F2DED">
        <w:trPr>
          <w:trHeight w:val="285"/>
        </w:trPr>
        <w:tc>
          <w:tcPr>
            <w:tcW w:w="5524" w:type="dxa"/>
            <w:tcBorders>
              <w:top w:val="nil"/>
              <w:left w:val="single" w:sz="4" w:space="0" w:color="auto"/>
              <w:bottom w:val="nil"/>
              <w:right w:val="nil"/>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2"/>
                <w:szCs w:val="22"/>
                <w:lang w:val="en-US" w:eastAsia="zh-CN"/>
              </w:rPr>
            </w:pPr>
            <w:r w:rsidRPr="003F2DED">
              <w:rPr>
                <w:rFonts w:ascii="Arial" w:hAnsi="Arial" w:cs="Arial"/>
                <w:color w:val="000000"/>
                <w:sz w:val="22"/>
                <w:szCs w:val="22"/>
                <w:lang w:val="en-US" w:eastAsia="zh-CN"/>
              </w:rPr>
              <w:t>Employee advances</w:t>
            </w:r>
          </w:p>
        </w:tc>
        <w:tc>
          <w:tcPr>
            <w:tcW w:w="1716" w:type="dxa"/>
            <w:tcBorders>
              <w:top w:val="nil"/>
              <w:left w:val="single" w:sz="4" w:space="0" w:color="auto"/>
              <w:bottom w:val="nil"/>
              <w:right w:val="nil"/>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2"/>
                <w:szCs w:val="22"/>
                <w:lang w:val="en-US" w:eastAsia="zh-CN"/>
              </w:rPr>
            </w:pPr>
            <w:r w:rsidRPr="003F2DED">
              <w:rPr>
                <w:rFonts w:ascii="Arial" w:hAnsi="Arial" w:cs="Arial"/>
                <w:color w:val="000000"/>
                <w:sz w:val="22"/>
                <w:szCs w:val="22"/>
                <w:lang w:val="en-US" w:eastAsia="zh-CN"/>
              </w:rPr>
              <w:t xml:space="preserve">             1,723 </w:t>
            </w:r>
          </w:p>
        </w:tc>
        <w:tc>
          <w:tcPr>
            <w:tcW w:w="1580" w:type="dxa"/>
            <w:tcBorders>
              <w:top w:val="nil"/>
              <w:left w:val="single" w:sz="4" w:space="0" w:color="auto"/>
              <w:bottom w:val="nil"/>
              <w:right w:val="single" w:sz="4" w:space="0" w:color="auto"/>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2"/>
                <w:szCs w:val="22"/>
                <w:lang w:val="en-US" w:eastAsia="zh-CN"/>
              </w:rPr>
            </w:pPr>
            <w:r w:rsidRPr="003F2DED">
              <w:rPr>
                <w:rFonts w:ascii="Arial" w:hAnsi="Arial" w:cs="Arial"/>
                <w:color w:val="000000"/>
                <w:sz w:val="22"/>
                <w:szCs w:val="22"/>
                <w:lang w:val="en-US" w:eastAsia="zh-CN"/>
              </w:rPr>
              <w:t xml:space="preserve">             2,048 </w:t>
            </w:r>
          </w:p>
        </w:tc>
      </w:tr>
      <w:tr w:rsidR="003F2DED" w:rsidRPr="003F2DED" w:rsidTr="003F2DED">
        <w:trPr>
          <w:trHeight w:val="285"/>
        </w:trPr>
        <w:tc>
          <w:tcPr>
            <w:tcW w:w="5524" w:type="dxa"/>
            <w:tcBorders>
              <w:top w:val="nil"/>
              <w:left w:val="single" w:sz="4" w:space="0" w:color="auto"/>
              <w:bottom w:val="nil"/>
              <w:right w:val="nil"/>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2"/>
                <w:szCs w:val="22"/>
                <w:lang w:val="en-US" w:eastAsia="zh-CN"/>
              </w:rPr>
            </w:pPr>
            <w:r w:rsidRPr="003F2DED">
              <w:rPr>
                <w:rFonts w:ascii="Arial" w:hAnsi="Arial" w:cs="Arial"/>
                <w:color w:val="000000"/>
                <w:sz w:val="22"/>
                <w:szCs w:val="22"/>
                <w:lang w:val="en-US" w:eastAsia="zh-CN"/>
              </w:rPr>
              <w:t>UNDP current account</w:t>
            </w:r>
          </w:p>
        </w:tc>
        <w:tc>
          <w:tcPr>
            <w:tcW w:w="1716" w:type="dxa"/>
            <w:tcBorders>
              <w:top w:val="nil"/>
              <w:left w:val="single" w:sz="4" w:space="0" w:color="auto"/>
              <w:bottom w:val="nil"/>
              <w:right w:val="nil"/>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2"/>
                <w:szCs w:val="22"/>
                <w:lang w:val="en-US" w:eastAsia="zh-CN"/>
              </w:rPr>
            </w:pPr>
            <w:r w:rsidRPr="003F2DED">
              <w:rPr>
                <w:rFonts w:ascii="Arial" w:hAnsi="Arial" w:cs="Arial"/>
                <w:color w:val="000000"/>
                <w:sz w:val="22"/>
                <w:szCs w:val="22"/>
                <w:lang w:val="en-US" w:eastAsia="zh-CN"/>
              </w:rPr>
              <w:t xml:space="preserve">                308 </w:t>
            </w:r>
          </w:p>
        </w:tc>
        <w:tc>
          <w:tcPr>
            <w:tcW w:w="1580" w:type="dxa"/>
            <w:tcBorders>
              <w:top w:val="nil"/>
              <w:left w:val="single" w:sz="4" w:space="0" w:color="auto"/>
              <w:bottom w:val="nil"/>
              <w:right w:val="single" w:sz="4" w:space="0" w:color="auto"/>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2"/>
                <w:szCs w:val="22"/>
                <w:lang w:val="en-US" w:eastAsia="zh-CN"/>
              </w:rPr>
            </w:pPr>
            <w:r w:rsidRPr="003F2DED">
              <w:rPr>
                <w:rFonts w:ascii="Arial" w:hAnsi="Arial" w:cs="Arial"/>
                <w:color w:val="000000"/>
                <w:sz w:val="22"/>
                <w:szCs w:val="22"/>
                <w:lang w:val="en-US" w:eastAsia="zh-CN"/>
              </w:rPr>
              <w:t xml:space="preserve">                434 </w:t>
            </w:r>
          </w:p>
        </w:tc>
      </w:tr>
      <w:tr w:rsidR="003F2DED" w:rsidRPr="003F2DED" w:rsidTr="003F2DED">
        <w:trPr>
          <w:trHeight w:val="285"/>
        </w:trPr>
        <w:tc>
          <w:tcPr>
            <w:tcW w:w="5524" w:type="dxa"/>
            <w:tcBorders>
              <w:top w:val="nil"/>
              <w:left w:val="single" w:sz="4" w:space="0" w:color="auto"/>
              <w:bottom w:val="nil"/>
              <w:right w:val="nil"/>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2"/>
                <w:szCs w:val="22"/>
                <w:lang w:val="en-US" w:eastAsia="zh-CN"/>
              </w:rPr>
            </w:pPr>
            <w:r w:rsidRPr="003F2DED">
              <w:rPr>
                <w:rFonts w:ascii="Arial" w:hAnsi="Arial" w:cs="Arial"/>
                <w:color w:val="000000"/>
                <w:sz w:val="22"/>
                <w:szCs w:val="22"/>
                <w:lang w:val="en-US" w:eastAsia="zh-CN"/>
              </w:rPr>
              <w:t>Yugoslavia</w:t>
            </w:r>
          </w:p>
        </w:tc>
        <w:tc>
          <w:tcPr>
            <w:tcW w:w="1716" w:type="dxa"/>
            <w:tcBorders>
              <w:top w:val="nil"/>
              <w:left w:val="single" w:sz="4" w:space="0" w:color="auto"/>
              <w:bottom w:val="nil"/>
              <w:right w:val="single" w:sz="4" w:space="0" w:color="auto"/>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2"/>
                <w:szCs w:val="22"/>
                <w:lang w:val="en-US" w:eastAsia="zh-CN"/>
              </w:rPr>
            </w:pPr>
            <w:r w:rsidRPr="003F2DED">
              <w:rPr>
                <w:rFonts w:ascii="Arial" w:hAnsi="Arial" w:cs="Arial"/>
                <w:color w:val="000000"/>
                <w:sz w:val="22"/>
                <w:szCs w:val="22"/>
                <w:lang w:val="en-US" w:eastAsia="zh-CN"/>
              </w:rPr>
              <w:t xml:space="preserve">             1,189 </w:t>
            </w:r>
          </w:p>
        </w:tc>
        <w:tc>
          <w:tcPr>
            <w:tcW w:w="1580" w:type="dxa"/>
            <w:tcBorders>
              <w:top w:val="nil"/>
              <w:left w:val="nil"/>
              <w:bottom w:val="nil"/>
              <w:right w:val="single" w:sz="4" w:space="0" w:color="auto"/>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2"/>
                <w:szCs w:val="22"/>
                <w:lang w:val="en-US" w:eastAsia="zh-CN"/>
              </w:rPr>
            </w:pPr>
            <w:r w:rsidRPr="003F2DED">
              <w:rPr>
                <w:rFonts w:ascii="Arial" w:hAnsi="Arial" w:cs="Arial"/>
                <w:color w:val="000000"/>
                <w:sz w:val="22"/>
                <w:szCs w:val="22"/>
                <w:lang w:val="en-US" w:eastAsia="zh-CN"/>
              </w:rPr>
              <w:t xml:space="preserve">             1,189 </w:t>
            </w:r>
          </w:p>
        </w:tc>
      </w:tr>
      <w:tr w:rsidR="003F2DED" w:rsidRPr="003F2DED" w:rsidTr="003F2DED">
        <w:trPr>
          <w:trHeight w:val="285"/>
        </w:trPr>
        <w:tc>
          <w:tcPr>
            <w:tcW w:w="5524" w:type="dxa"/>
            <w:tcBorders>
              <w:top w:val="nil"/>
              <w:left w:val="single" w:sz="4" w:space="0" w:color="auto"/>
              <w:bottom w:val="nil"/>
              <w:right w:val="nil"/>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2"/>
                <w:szCs w:val="22"/>
                <w:lang w:val="en-US" w:eastAsia="zh-CN"/>
              </w:rPr>
            </w:pPr>
            <w:r w:rsidRPr="003F2DED">
              <w:rPr>
                <w:rFonts w:ascii="Arial" w:hAnsi="Arial" w:cs="Arial"/>
                <w:color w:val="000000"/>
                <w:sz w:val="22"/>
                <w:szCs w:val="22"/>
                <w:lang w:val="en-US" w:eastAsia="zh-CN"/>
              </w:rPr>
              <w:t>./. Provision for debt Yugoslavia</w:t>
            </w:r>
          </w:p>
        </w:tc>
        <w:tc>
          <w:tcPr>
            <w:tcW w:w="1716" w:type="dxa"/>
            <w:tcBorders>
              <w:top w:val="nil"/>
              <w:left w:val="single" w:sz="4" w:space="0" w:color="auto"/>
              <w:bottom w:val="nil"/>
              <w:right w:val="single" w:sz="4" w:space="0" w:color="auto"/>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2"/>
                <w:szCs w:val="22"/>
                <w:lang w:val="en-US" w:eastAsia="zh-CN"/>
              </w:rPr>
            </w:pPr>
            <w:r w:rsidRPr="003F2DED">
              <w:rPr>
                <w:rFonts w:ascii="Arial" w:hAnsi="Arial" w:cs="Arial"/>
                <w:color w:val="000000"/>
                <w:sz w:val="22"/>
                <w:szCs w:val="22"/>
                <w:lang w:val="en-US" w:eastAsia="zh-CN"/>
              </w:rPr>
              <w:t xml:space="preserve">            -1,189 </w:t>
            </w:r>
          </w:p>
        </w:tc>
        <w:tc>
          <w:tcPr>
            <w:tcW w:w="1580" w:type="dxa"/>
            <w:tcBorders>
              <w:top w:val="nil"/>
              <w:left w:val="nil"/>
              <w:bottom w:val="nil"/>
              <w:right w:val="single" w:sz="4" w:space="0" w:color="auto"/>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2"/>
                <w:szCs w:val="22"/>
                <w:lang w:val="en-US" w:eastAsia="zh-CN"/>
              </w:rPr>
            </w:pPr>
            <w:r w:rsidRPr="003F2DED">
              <w:rPr>
                <w:rFonts w:ascii="Arial" w:hAnsi="Arial" w:cs="Arial"/>
                <w:color w:val="000000"/>
                <w:sz w:val="22"/>
                <w:szCs w:val="22"/>
                <w:lang w:val="en-US" w:eastAsia="zh-CN"/>
              </w:rPr>
              <w:t xml:space="preserve">            -1,189 </w:t>
            </w:r>
          </w:p>
        </w:tc>
      </w:tr>
      <w:tr w:rsidR="003F2DED" w:rsidRPr="003F2DED" w:rsidTr="003F2DED">
        <w:trPr>
          <w:trHeight w:val="285"/>
        </w:trPr>
        <w:tc>
          <w:tcPr>
            <w:tcW w:w="5524" w:type="dxa"/>
            <w:tcBorders>
              <w:top w:val="nil"/>
              <w:left w:val="single" w:sz="4" w:space="0" w:color="auto"/>
              <w:bottom w:val="nil"/>
              <w:right w:val="nil"/>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2"/>
                <w:szCs w:val="22"/>
                <w:lang w:val="en-US" w:eastAsia="zh-CN"/>
              </w:rPr>
            </w:pPr>
            <w:r w:rsidRPr="003F2DED">
              <w:rPr>
                <w:rFonts w:ascii="Arial" w:hAnsi="Arial" w:cs="Arial"/>
                <w:color w:val="000000"/>
                <w:sz w:val="22"/>
                <w:szCs w:val="22"/>
                <w:lang w:val="en-US" w:eastAsia="zh-CN"/>
              </w:rPr>
              <w:t>Withholding tax</w:t>
            </w:r>
          </w:p>
        </w:tc>
        <w:tc>
          <w:tcPr>
            <w:tcW w:w="1716" w:type="dxa"/>
            <w:tcBorders>
              <w:top w:val="nil"/>
              <w:left w:val="single" w:sz="4" w:space="0" w:color="auto"/>
              <w:bottom w:val="nil"/>
              <w:right w:val="single" w:sz="4" w:space="0" w:color="auto"/>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2"/>
                <w:szCs w:val="22"/>
                <w:lang w:val="en-US" w:eastAsia="zh-CN"/>
              </w:rPr>
            </w:pPr>
            <w:r w:rsidRPr="003F2DED">
              <w:rPr>
                <w:rFonts w:ascii="Arial" w:hAnsi="Arial" w:cs="Arial"/>
                <w:color w:val="000000"/>
                <w:sz w:val="22"/>
                <w:szCs w:val="22"/>
                <w:lang w:val="en-US" w:eastAsia="zh-CN"/>
              </w:rPr>
              <w:t xml:space="preserve">             2,396 </w:t>
            </w:r>
          </w:p>
        </w:tc>
        <w:tc>
          <w:tcPr>
            <w:tcW w:w="1580" w:type="dxa"/>
            <w:tcBorders>
              <w:top w:val="nil"/>
              <w:left w:val="nil"/>
              <w:bottom w:val="nil"/>
              <w:right w:val="single" w:sz="4" w:space="0" w:color="auto"/>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2"/>
                <w:szCs w:val="22"/>
                <w:lang w:val="en-US" w:eastAsia="zh-CN"/>
              </w:rPr>
            </w:pPr>
            <w:r w:rsidRPr="003F2DED">
              <w:rPr>
                <w:rFonts w:ascii="Arial" w:hAnsi="Arial" w:cs="Arial"/>
                <w:color w:val="000000"/>
                <w:sz w:val="22"/>
                <w:szCs w:val="22"/>
                <w:lang w:val="en-US" w:eastAsia="zh-CN"/>
              </w:rPr>
              <w:t xml:space="preserve">             2,215 </w:t>
            </w:r>
          </w:p>
        </w:tc>
      </w:tr>
      <w:tr w:rsidR="003F2DED" w:rsidRPr="003F2DED" w:rsidTr="003F2DED">
        <w:trPr>
          <w:trHeight w:val="285"/>
        </w:trPr>
        <w:tc>
          <w:tcPr>
            <w:tcW w:w="5524" w:type="dxa"/>
            <w:tcBorders>
              <w:top w:val="nil"/>
              <w:left w:val="single" w:sz="4" w:space="0" w:color="auto"/>
              <w:bottom w:val="nil"/>
              <w:right w:val="nil"/>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2"/>
                <w:szCs w:val="22"/>
                <w:lang w:val="en-US" w:eastAsia="zh-CN"/>
              </w:rPr>
            </w:pPr>
            <w:r w:rsidRPr="003F2DED">
              <w:rPr>
                <w:rFonts w:ascii="Arial" w:hAnsi="Arial" w:cs="Arial"/>
                <w:color w:val="000000"/>
                <w:sz w:val="22"/>
                <w:szCs w:val="22"/>
                <w:lang w:val="en-US" w:eastAsia="zh-CN"/>
              </w:rPr>
              <w:t>Pensions</w:t>
            </w:r>
          </w:p>
        </w:tc>
        <w:tc>
          <w:tcPr>
            <w:tcW w:w="1716" w:type="dxa"/>
            <w:tcBorders>
              <w:top w:val="nil"/>
              <w:left w:val="single" w:sz="4" w:space="0" w:color="auto"/>
              <w:bottom w:val="nil"/>
              <w:right w:val="nil"/>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2"/>
                <w:szCs w:val="22"/>
                <w:lang w:val="en-US" w:eastAsia="zh-CN"/>
              </w:rPr>
            </w:pPr>
            <w:r w:rsidRPr="003F2DED">
              <w:rPr>
                <w:rFonts w:ascii="Arial" w:hAnsi="Arial" w:cs="Arial"/>
                <w:color w:val="000000"/>
                <w:sz w:val="22"/>
                <w:szCs w:val="22"/>
                <w:lang w:val="en-US" w:eastAsia="zh-CN"/>
              </w:rPr>
              <w:t xml:space="preserve">                  39 </w:t>
            </w:r>
          </w:p>
        </w:tc>
        <w:tc>
          <w:tcPr>
            <w:tcW w:w="1580" w:type="dxa"/>
            <w:tcBorders>
              <w:top w:val="nil"/>
              <w:left w:val="single" w:sz="4" w:space="0" w:color="auto"/>
              <w:bottom w:val="nil"/>
              <w:right w:val="single" w:sz="4" w:space="0" w:color="auto"/>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2"/>
                <w:szCs w:val="22"/>
                <w:lang w:val="en-US" w:eastAsia="zh-CN"/>
              </w:rPr>
            </w:pPr>
            <w:r w:rsidRPr="003F2DED">
              <w:rPr>
                <w:rFonts w:ascii="Arial" w:hAnsi="Arial" w:cs="Arial"/>
                <w:color w:val="000000"/>
                <w:sz w:val="22"/>
                <w:szCs w:val="22"/>
                <w:lang w:val="en-US" w:eastAsia="zh-CN"/>
              </w:rPr>
              <w:t xml:space="preserve">                247 </w:t>
            </w:r>
          </w:p>
        </w:tc>
      </w:tr>
      <w:tr w:rsidR="003F2DED" w:rsidRPr="003F2DED" w:rsidTr="003F2DED">
        <w:trPr>
          <w:trHeight w:val="285"/>
        </w:trPr>
        <w:tc>
          <w:tcPr>
            <w:tcW w:w="5524" w:type="dxa"/>
            <w:tcBorders>
              <w:top w:val="nil"/>
              <w:left w:val="single" w:sz="4" w:space="0" w:color="auto"/>
              <w:bottom w:val="nil"/>
              <w:right w:val="nil"/>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2"/>
                <w:szCs w:val="22"/>
                <w:lang w:val="en-US" w:eastAsia="zh-CN"/>
              </w:rPr>
            </w:pPr>
            <w:r w:rsidRPr="003F2DED">
              <w:rPr>
                <w:rFonts w:ascii="Arial" w:hAnsi="Arial" w:cs="Arial"/>
                <w:color w:val="000000"/>
                <w:sz w:val="22"/>
                <w:szCs w:val="22"/>
                <w:lang w:val="en-US" w:eastAsia="zh-CN"/>
              </w:rPr>
              <w:t>Accrued interest</w:t>
            </w:r>
          </w:p>
        </w:tc>
        <w:tc>
          <w:tcPr>
            <w:tcW w:w="1716" w:type="dxa"/>
            <w:tcBorders>
              <w:top w:val="nil"/>
              <w:left w:val="single" w:sz="4" w:space="0" w:color="auto"/>
              <w:bottom w:val="nil"/>
              <w:right w:val="nil"/>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2"/>
                <w:szCs w:val="22"/>
                <w:lang w:val="en-US" w:eastAsia="zh-CN"/>
              </w:rPr>
            </w:pPr>
            <w:r w:rsidRPr="003F2DED">
              <w:rPr>
                <w:rFonts w:ascii="Arial" w:hAnsi="Arial" w:cs="Arial"/>
                <w:color w:val="000000"/>
                <w:sz w:val="22"/>
                <w:szCs w:val="22"/>
                <w:lang w:val="en-US" w:eastAsia="zh-CN"/>
              </w:rPr>
              <w:t xml:space="preserve">                127 </w:t>
            </w:r>
          </w:p>
        </w:tc>
        <w:tc>
          <w:tcPr>
            <w:tcW w:w="1580" w:type="dxa"/>
            <w:tcBorders>
              <w:top w:val="nil"/>
              <w:left w:val="single" w:sz="4" w:space="0" w:color="auto"/>
              <w:bottom w:val="nil"/>
              <w:right w:val="single" w:sz="4" w:space="0" w:color="auto"/>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2"/>
                <w:szCs w:val="22"/>
                <w:lang w:val="en-US" w:eastAsia="zh-CN"/>
              </w:rPr>
            </w:pPr>
            <w:r w:rsidRPr="003F2DED">
              <w:rPr>
                <w:rFonts w:ascii="Arial" w:hAnsi="Arial" w:cs="Arial"/>
                <w:color w:val="000000"/>
                <w:sz w:val="22"/>
                <w:szCs w:val="22"/>
                <w:lang w:val="en-US" w:eastAsia="zh-CN"/>
              </w:rPr>
              <w:t xml:space="preserve">                  64 </w:t>
            </w:r>
          </w:p>
        </w:tc>
      </w:tr>
      <w:tr w:rsidR="003F2DED" w:rsidRPr="003F2DED" w:rsidTr="003F2DED">
        <w:trPr>
          <w:trHeight w:val="285"/>
        </w:trPr>
        <w:tc>
          <w:tcPr>
            <w:tcW w:w="5524" w:type="dxa"/>
            <w:tcBorders>
              <w:top w:val="nil"/>
              <w:left w:val="single" w:sz="4" w:space="0" w:color="auto"/>
              <w:bottom w:val="nil"/>
              <w:right w:val="nil"/>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2"/>
                <w:szCs w:val="22"/>
                <w:lang w:val="en-US" w:eastAsia="zh-CN"/>
              </w:rPr>
            </w:pPr>
            <w:r w:rsidRPr="003F2DED">
              <w:rPr>
                <w:rFonts w:ascii="Arial" w:hAnsi="Arial" w:cs="Arial"/>
                <w:color w:val="000000"/>
                <w:sz w:val="22"/>
                <w:szCs w:val="22"/>
                <w:lang w:val="en-US" w:eastAsia="zh-CN"/>
              </w:rPr>
              <w:t>Accounts receivable</w:t>
            </w:r>
          </w:p>
        </w:tc>
        <w:tc>
          <w:tcPr>
            <w:tcW w:w="1716" w:type="dxa"/>
            <w:tcBorders>
              <w:top w:val="nil"/>
              <w:left w:val="single" w:sz="4" w:space="0" w:color="auto"/>
              <w:bottom w:val="nil"/>
              <w:right w:val="nil"/>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2"/>
                <w:szCs w:val="22"/>
                <w:lang w:val="en-US" w:eastAsia="zh-CN"/>
              </w:rPr>
            </w:pPr>
            <w:r w:rsidRPr="003F2DED">
              <w:rPr>
                <w:rFonts w:ascii="Arial" w:hAnsi="Arial" w:cs="Arial"/>
                <w:color w:val="000000"/>
                <w:sz w:val="22"/>
                <w:szCs w:val="22"/>
                <w:lang w:val="en-US" w:eastAsia="zh-CN"/>
              </w:rPr>
              <w:t xml:space="preserve">               </w:t>
            </w:r>
            <w:r>
              <w:rPr>
                <w:rFonts w:ascii="Arial" w:hAnsi="Arial" w:cs="Arial"/>
                <w:color w:val="000000"/>
                <w:sz w:val="22"/>
                <w:szCs w:val="22"/>
                <w:lang w:val="en-US" w:eastAsia="zh-CN"/>
              </w:rPr>
              <w:t>2</w:t>
            </w:r>
            <w:r w:rsidRPr="003F2DED">
              <w:rPr>
                <w:rFonts w:ascii="Arial" w:hAnsi="Arial" w:cs="Arial"/>
                <w:color w:val="000000"/>
                <w:sz w:val="22"/>
                <w:szCs w:val="22"/>
                <w:lang w:val="en-US" w:eastAsia="zh-CN"/>
              </w:rPr>
              <w:t xml:space="preserve">,711 </w:t>
            </w:r>
          </w:p>
        </w:tc>
        <w:tc>
          <w:tcPr>
            <w:tcW w:w="1580" w:type="dxa"/>
            <w:tcBorders>
              <w:top w:val="nil"/>
              <w:left w:val="single" w:sz="4" w:space="0" w:color="auto"/>
              <w:bottom w:val="nil"/>
              <w:right w:val="single" w:sz="4" w:space="0" w:color="auto"/>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2"/>
                <w:szCs w:val="22"/>
                <w:lang w:val="en-US" w:eastAsia="zh-CN"/>
              </w:rPr>
            </w:pPr>
            <w:r w:rsidRPr="003F2DED">
              <w:rPr>
                <w:rFonts w:ascii="Arial" w:hAnsi="Arial" w:cs="Arial"/>
                <w:color w:val="000000"/>
                <w:sz w:val="22"/>
                <w:szCs w:val="22"/>
                <w:lang w:val="en-US" w:eastAsia="zh-CN"/>
              </w:rPr>
              <w:t xml:space="preserve">             4,440 </w:t>
            </w:r>
          </w:p>
        </w:tc>
      </w:tr>
      <w:tr w:rsidR="003F2DED" w:rsidRPr="003F2DED" w:rsidTr="003F2DED">
        <w:trPr>
          <w:trHeight w:val="210"/>
        </w:trPr>
        <w:tc>
          <w:tcPr>
            <w:tcW w:w="5524" w:type="dxa"/>
            <w:tcBorders>
              <w:top w:val="nil"/>
              <w:left w:val="single" w:sz="4" w:space="0" w:color="auto"/>
              <w:bottom w:val="nil"/>
              <w:right w:val="nil"/>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2"/>
                <w:szCs w:val="22"/>
                <w:lang w:val="en-US" w:eastAsia="zh-CN"/>
              </w:rPr>
            </w:pPr>
            <w:r w:rsidRPr="003F2DED">
              <w:rPr>
                <w:rFonts w:ascii="Arial" w:hAnsi="Arial" w:cs="Arial"/>
                <w:color w:val="000000"/>
                <w:sz w:val="22"/>
                <w:szCs w:val="22"/>
                <w:lang w:val="en-US" w:eastAsia="zh-CN"/>
              </w:rPr>
              <w:t> </w:t>
            </w:r>
          </w:p>
        </w:tc>
        <w:tc>
          <w:tcPr>
            <w:tcW w:w="1716" w:type="dxa"/>
            <w:tcBorders>
              <w:top w:val="nil"/>
              <w:left w:val="single" w:sz="4" w:space="0" w:color="auto"/>
              <w:bottom w:val="nil"/>
              <w:right w:val="nil"/>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2"/>
                <w:szCs w:val="22"/>
                <w:lang w:val="en-US" w:eastAsia="zh-CN"/>
              </w:rPr>
            </w:pPr>
            <w:r w:rsidRPr="003F2DED">
              <w:rPr>
                <w:rFonts w:ascii="Arial" w:hAnsi="Arial" w:cs="Arial"/>
                <w:color w:val="000000"/>
                <w:sz w:val="22"/>
                <w:szCs w:val="22"/>
                <w:lang w:val="en-US" w:eastAsia="zh-CN"/>
              </w:rPr>
              <w:t> </w:t>
            </w:r>
          </w:p>
        </w:tc>
        <w:tc>
          <w:tcPr>
            <w:tcW w:w="1580" w:type="dxa"/>
            <w:tcBorders>
              <w:top w:val="nil"/>
              <w:left w:val="single" w:sz="4" w:space="0" w:color="auto"/>
              <w:bottom w:val="nil"/>
              <w:right w:val="single" w:sz="4" w:space="0" w:color="auto"/>
            </w:tcBorders>
            <w:shd w:val="clear" w:color="auto" w:fill="auto"/>
            <w:noWrap/>
            <w:vAlign w:val="bottom"/>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2"/>
                <w:szCs w:val="22"/>
                <w:lang w:val="en-US" w:eastAsia="zh-CN"/>
              </w:rPr>
            </w:pPr>
            <w:r w:rsidRPr="003F2DED">
              <w:rPr>
                <w:rFonts w:ascii="Arial" w:hAnsi="Arial" w:cs="Arial"/>
                <w:color w:val="000000"/>
                <w:sz w:val="22"/>
                <w:szCs w:val="22"/>
                <w:lang w:val="en-US" w:eastAsia="zh-CN"/>
              </w:rPr>
              <w:t> </w:t>
            </w:r>
          </w:p>
        </w:tc>
      </w:tr>
      <w:tr w:rsidR="003F2DED" w:rsidRPr="003F2DED" w:rsidTr="003F2DED">
        <w:trPr>
          <w:trHeight w:val="300"/>
        </w:trPr>
        <w:tc>
          <w:tcPr>
            <w:tcW w:w="5524" w:type="dxa"/>
            <w:tcBorders>
              <w:top w:val="single" w:sz="4" w:space="0" w:color="auto"/>
              <w:left w:val="single" w:sz="4" w:space="0" w:color="auto"/>
              <w:bottom w:val="single" w:sz="4" w:space="0" w:color="auto"/>
              <w:right w:val="nil"/>
            </w:tcBorders>
            <w:shd w:val="clear" w:color="auto" w:fill="auto"/>
            <w:noWrap/>
            <w:vAlign w:val="center"/>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22"/>
                <w:szCs w:val="22"/>
                <w:lang w:val="en-US" w:eastAsia="zh-CN"/>
              </w:rPr>
            </w:pPr>
            <w:r w:rsidRPr="003F2DED">
              <w:rPr>
                <w:rFonts w:ascii="Arial" w:hAnsi="Arial" w:cs="Arial"/>
                <w:b/>
                <w:bCs/>
                <w:color w:val="000000"/>
                <w:sz w:val="22"/>
                <w:szCs w:val="22"/>
                <w:lang w:val="en-US" w:eastAsia="zh-CN"/>
              </w:rPr>
              <w:t>Other receivables</w:t>
            </w:r>
          </w:p>
        </w:tc>
        <w:tc>
          <w:tcPr>
            <w:tcW w:w="1716" w:type="dxa"/>
            <w:tcBorders>
              <w:top w:val="single" w:sz="4" w:space="0" w:color="auto"/>
              <w:left w:val="single" w:sz="4" w:space="0" w:color="auto"/>
              <w:bottom w:val="single" w:sz="4" w:space="0" w:color="auto"/>
              <w:right w:val="nil"/>
            </w:tcBorders>
            <w:shd w:val="clear" w:color="auto" w:fill="auto"/>
            <w:noWrap/>
            <w:vAlign w:val="center"/>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2"/>
                <w:szCs w:val="22"/>
                <w:lang w:val="en-US" w:eastAsia="zh-CN"/>
              </w:rPr>
            </w:pPr>
            <w:r w:rsidRPr="003F2DED">
              <w:rPr>
                <w:rFonts w:ascii="Arial" w:hAnsi="Arial" w:cs="Arial"/>
                <w:b/>
                <w:bCs/>
                <w:color w:val="000000"/>
                <w:sz w:val="22"/>
                <w:szCs w:val="22"/>
                <w:lang w:val="en-US" w:eastAsia="zh-CN"/>
              </w:rPr>
              <w:t xml:space="preserve">               7,505 </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2DED" w:rsidRPr="003F2DED" w:rsidRDefault="003F2DED" w:rsidP="003F2DED">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2"/>
                <w:szCs w:val="22"/>
                <w:lang w:val="en-US" w:eastAsia="zh-CN"/>
              </w:rPr>
            </w:pPr>
            <w:r w:rsidRPr="003F2DED">
              <w:rPr>
                <w:rFonts w:ascii="Arial" w:hAnsi="Arial" w:cs="Arial"/>
                <w:b/>
                <w:bCs/>
                <w:color w:val="000000"/>
                <w:sz w:val="22"/>
                <w:szCs w:val="22"/>
                <w:lang w:val="en-US" w:eastAsia="zh-CN"/>
              </w:rPr>
              <w:t xml:space="preserve">             9,448 </w:t>
            </w:r>
          </w:p>
        </w:tc>
      </w:tr>
    </w:tbl>
    <w:p w:rsidR="0022373A" w:rsidRPr="00D230AA" w:rsidRDefault="0022373A" w:rsidP="00D477D8">
      <w:pPr>
        <w:snapToGrid w:val="0"/>
        <w:spacing w:before="240"/>
        <w:jc w:val="both"/>
        <w:rPr>
          <w:lang w:val="en-US"/>
        </w:rPr>
      </w:pPr>
      <w:r w:rsidRPr="00D230AA">
        <w:rPr>
          <w:lang w:val="en-US"/>
        </w:rPr>
        <w:t>Employee advances mainly comprise</w:t>
      </w:r>
      <w:r w:rsidR="00413613">
        <w:rPr>
          <w:lang w:val="en-US"/>
        </w:rPr>
        <w:t>d</w:t>
      </w:r>
      <w:r w:rsidRPr="00D230AA">
        <w:rPr>
          <w:lang w:val="en-US"/>
        </w:rPr>
        <w:t xml:space="preserve"> the payment of </w:t>
      </w:r>
      <w:r w:rsidR="00D230AA" w:rsidRPr="00D477D8">
        <w:rPr>
          <w:lang w:val="en-US"/>
        </w:rPr>
        <w:t>9</w:t>
      </w:r>
      <w:r w:rsidR="00D477D8" w:rsidRPr="00D477D8">
        <w:rPr>
          <w:lang w:val="en-US"/>
        </w:rPr>
        <w:t>3</w:t>
      </w:r>
      <w:r w:rsidRPr="00D230AA">
        <w:rPr>
          <w:lang w:val="en-US"/>
        </w:rPr>
        <w:t xml:space="preserve"> per cent of education expenses for staff members</w:t>
      </w:r>
      <w:r w:rsidR="007A552E" w:rsidRPr="00D230AA">
        <w:rPr>
          <w:lang w:val="en-US"/>
        </w:rPr>
        <w:t>’</w:t>
      </w:r>
      <w:r w:rsidR="00422870" w:rsidRPr="00D230AA">
        <w:rPr>
          <w:lang w:val="en-US"/>
        </w:rPr>
        <w:t xml:space="preserve"> </w:t>
      </w:r>
      <w:r w:rsidRPr="00D230AA">
        <w:rPr>
          <w:lang w:val="en-US"/>
        </w:rPr>
        <w:t>children.</w:t>
      </w:r>
    </w:p>
    <w:p w:rsidR="0022373A" w:rsidRPr="00D230AA" w:rsidRDefault="0022373A" w:rsidP="00D83679">
      <w:pPr>
        <w:jc w:val="both"/>
        <w:rPr>
          <w:lang w:val="en-US"/>
        </w:rPr>
      </w:pPr>
      <w:r w:rsidRPr="00D230AA">
        <w:rPr>
          <w:lang w:val="en-US"/>
        </w:rPr>
        <w:t>Tax at source comprises the withholding tax that is reimbursable by the Swiss Confederation</w:t>
      </w:r>
      <w:r w:rsidR="007A552E" w:rsidRPr="00D230AA">
        <w:rPr>
          <w:lang w:val="en-US"/>
        </w:rPr>
        <w:t>’</w:t>
      </w:r>
      <w:r w:rsidRPr="00D230AA">
        <w:rPr>
          <w:lang w:val="en-US"/>
        </w:rPr>
        <w:t>s Federal Tax Administration as well as the income tax to be recovered from the Government of the United States of America. The balance to be recovered from that administration stands at CHF </w:t>
      </w:r>
      <w:r w:rsidR="00D230AA" w:rsidRPr="00D230AA">
        <w:rPr>
          <w:lang w:val="en-US"/>
        </w:rPr>
        <w:t>2.</w:t>
      </w:r>
      <w:r w:rsidR="00D83679">
        <w:rPr>
          <w:lang w:val="en-US"/>
        </w:rPr>
        <w:t>3</w:t>
      </w:r>
      <w:r w:rsidR="0000145D" w:rsidRPr="00D230AA">
        <w:rPr>
          <w:lang w:val="en-US"/>
        </w:rPr>
        <w:t> </w:t>
      </w:r>
      <w:r w:rsidR="00422870" w:rsidRPr="00D230AA">
        <w:rPr>
          <w:lang w:val="en-US"/>
        </w:rPr>
        <w:t>million at the end</w:t>
      </w:r>
      <w:r w:rsidR="00717A84" w:rsidRPr="00D230AA">
        <w:rPr>
          <w:lang w:val="en-US"/>
        </w:rPr>
        <w:t xml:space="preserve"> of </w:t>
      </w:r>
      <w:r w:rsidR="00111BDD" w:rsidRPr="00D230AA">
        <w:rPr>
          <w:lang w:val="en-US"/>
        </w:rPr>
        <w:t>201</w:t>
      </w:r>
      <w:r w:rsidR="00D83679">
        <w:rPr>
          <w:lang w:val="en-US"/>
        </w:rPr>
        <w:t>7</w:t>
      </w:r>
      <w:r w:rsidRPr="00D230AA">
        <w:rPr>
          <w:lang w:val="en-US"/>
        </w:rPr>
        <w:t>.</w:t>
      </w:r>
    </w:p>
    <w:p w:rsidR="0022373A" w:rsidRPr="00D230AA" w:rsidRDefault="0022373A" w:rsidP="005C41A5">
      <w:pPr>
        <w:jc w:val="both"/>
        <w:rPr>
          <w:lang w:val="en-US"/>
        </w:rPr>
      </w:pPr>
      <w:r w:rsidRPr="00D230AA">
        <w:rPr>
          <w:lang w:val="en-US"/>
        </w:rPr>
        <w:t>The debt of the former Federal Republic of Yugoslavia has been provisioned at 100 per cent. The amounts due have not yet been settled. The Union is awaiting a decision by the United Nations General Assembly regarding the handling of this debt.</w:t>
      </w:r>
    </w:p>
    <w:p w:rsidR="00D230AA" w:rsidRDefault="0022373A" w:rsidP="00283CD7">
      <w:pPr>
        <w:jc w:val="both"/>
        <w:rPr>
          <w:lang w:val="en-US"/>
        </w:rPr>
      </w:pPr>
      <w:r w:rsidRPr="00D230AA">
        <w:rPr>
          <w:lang w:val="en-US"/>
        </w:rPr>
        <w:t xml:space="preserve">Accounts receivable mainly </w:t>
      </w:r>
      <w:r w:rsidR="009C75F8" w:rsidRPr="00D230AA">
        <w:rPr>
          <w:lang w:val="en-US"/>
        </w:rPr>
        <w:t>represent</w:t>
      </w:r>
      <w:r w:rsidR="00413613">
        <w:rPr>
          <w:lang w:val="en-US"/>
        </w:rPr>
        <w:t>ed</w:t>
      </w:r>
      <w:r w:rsidRPr="00D230AA">
        <w:rPr>
          <w:lang w:val="en-US"/>
        </w:rPr>
        <w:t xml:space="preserve"> </w:t>
      </w:r>
      <w:r w:rsidR="00D230AA" w:rsidRPr="00D230AA">
        <w:rPr>
          <w:lang w:val="en-US"/>
        </w:rPr>
        <w:t xml:space="preserve">the prepaid expenses related to </w:t>
      </w:r>
      <w:r w:rsidR="00283CD7">
        <w:rPr>
          <w:lang w:val="en-US"/>
        </w:rPr>
        <w:t>the budget 2017</w:t>
      </w:r>
      <w:r w:rsidR="00D230AA" w:rsidRPr="00D230AA">
        <w:rPr>
          <w:lang w:val="en-US"/>
        </w:rPr>
        <w:t>.</w:t>
      </w:r>
    </w:p>
    <w:p w:rsidR="00685485" w:rsidRDefault="00685485">
      <w:pPr>
        <w:tabs>
          <w:tab w:val="clear" w:pos="567"/>
          <w:tab w:val="clear" w:pos="1134"/>
          <w:tab w:val="clear" w:pos="1701"/>
          <w:tab w:val="clear" w:pos="2268"/>
          <w:tab w:val="clear" w:pos="2835"/>
        </w:tabs>
        <w:overflowPunct/>
        <w:autoSpaceDE/>
        <w:autoSpaceDN/>
        <w:adjustRightInd/>
        <w:spacing w:before="0"/>
        <w:textAlignment w:val="auto"/>
        <w:rPr>
          <w:b/>
          <w:lang w:val="en-US"/>
        </w:rPr>
      </w:pPr>
      <w:bookmarkStart w:id="79" w:name="_Toc305764086"/>
      <w:bookmarkStart w:id="80" w:name="_Toc329011636"/>
      <w:r>
        <w:rPr>
          <w:lang w:val="en-US"/>
        </w:rPr>
        <w:br w:type="page"/>
      </w:r>
    </w:p>
    <w:p w:rsidR="0022373A" w:rsidRPr="001C2A98" w:rsidRDefault="0022373A" w:rsidP="00AA1577">
      <w:pPr>
        <w:pStyle w:val="Heading5"/>
        <w:spacing w:before="240" w:after="200"/>
        <w:rPr>
          <w:lang w:val="en-US"/>
        </w:rPr>
      </w:pPr>
      <w:r w:rsidRPr="001C2A98">
        <w:rPr>
          <w:lang w:val="en-US"/>
        </w:rPr>
        <w:t>Note 1</w:t>
      </w:r>
      <w:r w:rsidR="00C83CFB">
        <w:rPr>
          <w:lang w:val="en-US"/>
        </w:rPr>
        <w:t>1</w:t>
      </w:r>
      <w:r w:rsidRPr="001C2A98">
        <w:rPr>
          <w:lang w:val="en-US"/>
        </w:rPr>
        <w:tab/>
      </w:r>
      <w:r w:rsidRPr="00B742B2">
        <w:rPr>
          <w:lang w:val="en-US"/>
        </w:rPr>
        <w:t>Property</w:t>
      </w:r>
      <w:r w:rsidR="00C83CFB" w:rsidRPr="00B742B2">
        <w:rPr>
          <w:lang w:val="en-US"/>
        </w:rPr>
        <w:t xml:space="preserve"> </w:t>
      </w:r>
      <w:r w:rsidRPr="00B742B2">
        <w:rPr>
          <w:lang w:val="en-US"/>
        </w:rPr>
        <w:t>and equipment</w:t>
      </w:r>
      <w:bookmarkEnd w:id="79"/>
      <w:bookmarkEnd w:id="80"/>
    </w:p>
    <w:p w:rsidR="0022373A" w:rsidRPr="001C2A98" w:rsidRDefault="0022373A" w:rsidP="005C41A5">
      <w:pPr>
        <w:jc w:val="both"/>
        <w:rPr>
          <w:lang w:val="en-US"/>
        </w:rPr>
      </w:pPr>
      <w:r w:rsidRPr="001C2A98">
        <w:rPr>
          <w:lang w:val="en-US"/>
        </w:rPr>
        <w:t xml:space="preserve">The ITU buildings </w:t>
      </w:r>
      <w:r w:rsidR="007A7D5C">
        <w:rPr>
          <w:lang w:val="en-US"/>
        </w:rPr>
        <w:t>comprise</w:t>
      </w:r>
      <w:r w:rsidRPr="001C2A98">
        <w:rPr>
          <w:lang w:val="en-US"/>
        </w:rPr>
        <w:t xml:space="preserve"> the following: </w:t>
      </w:r>
    </w:p>
    <w:p w:rsidR="0022373A" w:rsidRPr="001C2A98" w:rsidRDefault="0022373A" w:rsidP="005C41A5">
      <w:pPr>
        <w:pStyle w:val="enumlev1"/>
        <w:jc w:val="both"/>
        <w:rPr>
          <w:lang w:val="en-US"/>
        </w:rPr>
      </w:pPr>
      <w:r w:rsidRPr="001C2A98">
        <w:rPr>
          <w:lang w:val="en-US"/>
        </w:rPr>
        <w:t>–</w:t>
      </w:r>
      <w:r w:rsidRPr="001C2A98">
        <w:rPr>
          <w:lang w:val="en-US"/>
        </w:rPr>
        <w:tab/>
        <w:t xml:space="preserve">Tower building, rue de </w:t>
      </w:r>
      <w:proofErr w:type="spellStart"/>
      <w:r w:rsidRPr="001C2A98">
        <w:rPr>
          <w:lang w:val="en-US"/>
        </w:rPr>
        <w:t>Varembé</w:t>
      </w:r>
      <w:proofErr w:type="spellEnd"/>
      <w:r w:rsidRPr="001C2A98">
        <w:rPr>
          <w:lang w:val="en-US"/>
        </w:rPr>
        <w:t>, Geneva</w:t>
      </w:r>
      <w:r w:rsidR="00BF3DB3">
        <w:rPr>
          <w:lang w:val="en-US"/>
        </w:rPr>
        <w:t>;</w:t>
      </w:r>
    </w:p>
    <w:p w:rsidR="0022373A" w:rsidRPr="001C2A98" w:rsidRDefault="0022373A" w:rsidP="005C41A5">
      <w:pPr>
        <w:pStyle w:val="enumlev1"/>
        <w:jc w:val="both"/>
        <w:rPr>
          <w:lang w:val="en-US"/>
        </w:rPr>
      </w:pPr>
      <w:r w:rsidRPr="001C2A98">
        <w:rPr>
          <w:lang w:val="en-US"/>
        </w:rPr>
        <w:t>–</w:t>
      </w:r>
      <w:r w:rsidRPr="001C2A98">
        <w:rPr>
          <w:lang w:val="en-US"/>
        </w:rPr>
        <w:tab/>
      </w:r>
      <w:proofErr w:type="spellStart"/>
      <w:r w:rsidRPr="001C2A98">
        <w:rPr>
          <w:lang w:val="en-US"/>
        </w:rPr>
        <w:t>Varembé</w:t>
      </w:r>
      <w:proofErr w:type="spellEnd"/>
      <w:r w:rsidRPr="001C2A98">
        <w:rPr>
          <w:lang w:val="en-US"/>
        </w:rPr>
        <w:t xml:space="preserve"> building, rue de </w:t>
      </w:r>
      <w:proofErr w:type="spellStart"/>
      <w:r w:rsidRPr="001C2A98">
        <w:rPr>
          <w:lang w:val="en-US"/>
        </w:rPr>
        <w:t>Varembé</w:t>
      </w:r>
      <w:proofErr w:type="spellEnd"/>
      <w:r w:rsidRPr="001C2A98">
        <w:rPr>
          <w:lang w:val="en-US"/>
        </w:rPr>
        <w:t>, Geneva</w:t>
      </w:r>
      <w:r w:rsidR="00BF3DB3">
        <w:rPr>
          <w:lang w:val="en-US"/>
        </w:rPr>
        <w:t>;</w:t>
      </w:r>
    </w:p>
    <w:p w:rsidR="0022373A" w:rsidRPr="001C2A98" w:rsidRDefault="0022373A" w:rsidP="005C41A5">
      <w:pPr>
        <w:pStyle w:val="enumlev1"/>
        <w:jc w:val="both"/>
        <w:rPr>
          <w:lang w:val="en-US"/>
        </w:rPr>
      </w:pPr>
      <w:r w:rsidRPr="001C2A98">
        <w:rPr>
          <w:lang w:val="en-US"/>
        </w:rPr>
        <w:t>–</w:t>
      </w:r>
      <w:r w:rsidRPr="001C2A98">
        <w:rPr>
          <w:lang w:val="en-US"/>
        </w:rPr>
        <w:tab/>
        <w:t xml:space="preserve">Extension C and Cafeteria, rue de </w:t>
      </w:r>
      <w:proofErr w:type="spellStart"/>
      <w:r w:rsidRPr="001C2A98">
        <w:rPr>
          <w:lang w:val="en-US"/>
        </w:rPr>
        <w:t>Varembé</w:t>
      </w:r>
      <w:proofErr w:type="spellEnd"/>
      <w:r w:rsidRPr="001C2A98">
        <w:rPr>
          <w:lang w:val="en-US"/>
        </w:rPr>
        <w:t>, Geneva</w:t>
      </w:r>
      <w:r w:rsidR="00BF3DB3">
        <w:rPr>
          <w:lang w:val="en-US"/>
        </w:rPr>
        <w:t>;</w:t>
      </w:r>
    </w:p>
    <w:p w:rsidR="003A694A" w:rsidRDefault="0022373A" w:rsidP="005C41A5">
      <w:pPr>
        <w:pStyle w:val="enumlev1"/>
        <w:jc w:val="both"/>
        <w:rPr>
          <w:lang w:val="en-US"/>
        </w:rPr>
      </w:pPr>
      <w:r w:rsidRPr="001C2A98">
        <w:rPr>
          <w:lang w:val="en-US"/>
        </w:rPr>
        <w:t>–</w:t>
      </w:r>
      <w:r w:rsidRPr="001C2A98">
        <w:rPr>
          <w:lang w:val="en-US"/>
        </w:rPr>
        <w:tab/>
      </w:r>
      <w:proofErr w:type="spellStart"/>
      <w:r w:rsidRPr="001C2A98">
        <w:rPr>
          <w:lang w:val="en-US"/>
        </w:rPr>
        <w:t>Montbrillant</w:t>
      </w:r>
      <w:proofErr w:type="spellEnd"/>
      <w:r w:rsidRPr="001C2A98">
        <w:rPr>
          <w:lang w:val="en-US"/>
        </w:rPr>
        <w:t xml:space="preserve"> building, rue de </w:t>
      </w:r>
      <w:proofErr w:type="spellStart"/>
      <w:r w:rsidRPr="001C2A98">
        <w:rPr>
          <w:lang w:val="en-US"/>
        </w:rPr>
        <w:t>Varembé</w:t>
      </w:r>
      <w:proofErr w:type="spellEnd"/>
      <w:r w:rsidRPr="001C2A98">
        <w:rPr>
          <w:lang w:val="en-US"/>
        </w:rPr>
        <w:t>, Geneva.</w:t>
      </w:r>
    </w:p>
    <w:p w:rsidR="0022373A" w:rsidRPr="00BC07FF" w:rsidRDefault="007A7D5C" w:rsidP="00A4540F">
      <w:pPr>
        <w:pStyle w:val="enumlev1"/>
        <w:snapToGrid w:val="0"/>
        <w:spacing w:before="120"/>
        <w:ind w:left="0" w:firstLine="0"/>
        <w:jc w:val="both"/>
        <w:rPr>
          <w:lang w:val="en-US"/>
        </w:rPr>
      </w:pPr>
      <w:r w:rsidRPr="00BC07FF">
        <w:rPr>
          <w:lang w:val="en-US"/>
        </w:rPr>
        <w:t xml:space="preserve">These buildings were valued at an amount determined independently by external consultants for the IPSAS first financial statements in 2010. This value represented the estimated value of the buildings </w:t>
      </w:r>
      <w:r w:rsidR="008D0674" w:rsidRPr="00BC07FF">
        <w:rPr>
          <w:lang w:val="en-US"/>
        </w:rPr>
        <w:t>at their completion</w:t>
      </w:r>
      <w:r w:rsidRPr="00BC07FF">
        <w:rPr>
          <w:lang w:val="en-US"/>
        </w:rPr>
        <w:t xml:space="preserve"> </w:t>
      </w:r>
      <w:r w:rsidR="008D0674" w:rsidRPr="00BC07FF">
        <w:rPr>
          <w:lang w:val="en-US"/>
        </w:rPr>
        <w:t xml:space="preserve">as well as </w:t>
      </w:r>
      <w:r w:rsidRPr="00BC07FF">
        <w:rPr>
          <w:lang w:val="en-US"/>
        </w:rPr>
        <w:t xml:space="preserve">the estimated value of renovations and repairs </w:t>
      </w:r>
      <w:r w:rsidR="008D0674" w:rsidRPr="00BC07FF">
        <w:rPr>
          <w:lang w:val="en-US"/>
        </w:rPr>
        <w:t>accomplished</w:t>
      </w:r>
      <w:r w:rsidRPr="00BC07FF">
        <w:rPr>
          <w:lang w:val="en-US"/>
        </w:rPr>
        <w:t xml:space="preserve"> since </w:t>
      </w:r>
      <w:r w:rsidR="008D0674" w:rsidRPr="00BC07FF">
        <w:rPr>
          <w:lang w:val="en-US"/>
        </w:rPr>
        <w:t>the occupation of the buildings, after deduction of</w:t>
      </w:r>
      <w:r w:rsidRPr="00BC07FF">
        <w:rPr>
          <w:lang w:val="en-US"/>
        </w:rPr>
        <w:t xml:space="preserve"> accumulated depreciation.</w:t>
      </w:r>
    </w:p>
    <w:p w:rsidR="0022373A" w:rsidRPr="00BC07FF" w:rsidRDefault="0022373A" w:rsidP="00D83679">
      <w:pPr>
        <w:snapToGrid w:val="0"/>
        <w:jc w:val="both"/>
        <w:rPr>
          <w:lang w:val="en-US"/>
        </w:rPr>
      </w:pPr>
      <w:r w:rsidRPr="00BC07FF">
        <w:rPr>
          <w:lang w:val="en-US"/>
        </w:rPr>
        <w:t>The changes in the net carrying amount of property, and e</w:t>
      </w:r>
      <w:r w:rsidR="00950C99" w:rsidRPr="00BC07FF">
        <w:rPr>
          <w:lang w:val="en-US"/>
        </w:rPr>
        <w:t xml:space="preserve">quipment, including low value assets, </w:t>
      </w:r>
      <w:r w:rsidR="00794B42" w:rsidRPr="00BC07FF">
        <w:rPr>
          <w:lang w:val="en-US"/>
        </w:rPr>
        <w:t xml:space="preserve">during the </w:t>
      </w:r>
      <w:r w:rsidR="00111BDD" w:rsidRPr="00BC07FF">
        <w:rPr>
          <w:lang w:val="en-US"/>
        </w:rPr>
        <w:t>201</w:t>
      </w:r>
      <w:r w:rsidR="00D83679">
        <w:rPr>
          <w:lang w:val="en-US"/>
        </w:rPr>
        <w:t>7</w:t>
      </w:r>
      <w:r w:rsidR="00781AF1" w:rsidRPr="00BC07FF">
        <w:rPr>
          <w:lang w:val="en-US"/>
        </w:rPr>
        <w:t xml:space="preserve"> period </w:t>
      </w:r>
      <w:r w:rsidRPr="00BC07FF">
        <w:rPr>
          <w:lang w:val="en-US"/>
        </w:rPr>
        <w:t>are explained below.</w:t>
      </w:r>
    </w:p>
    <w:p w:rsidR="008F1584" w:rsidRDefault="003966D7" w:rsidP="00D83679">
      <w:pPr>
        <w:snapToGrid w:val="0"/>
        <w:jc w:val="both"/>
        <w:rPr>
          <w:lang w:val="en-US"/>
        </w:rPr>
      </w:pPr>
      <w:r w:rsidRPr="00BC07FF">
        <w:rPr>
          <w:lang w:val="en-US"/>
        </w:rPr>
        <w:t xml:space="preserve">As of </w:t>
      </w:r>
      <w:r w:rsidR="00794B42" w:rsidRPr="00BC07FF">
        <w:rPr>
          <w:lang w:val="en-US"/>
        </w:rPr>
        <w:t xml:space="preserve">December </w:t>
      </w:r>
      <w:r w:rsidR="00111BDD" w:rsidRPr="00BC07FF">
        <w:rPr>
          <w:lang w:val="en-US"/>
        </w:rPr>
        <w:t>201</w:t>
      </w:r>
      <w:r w:rsidR="00D83679">
        <w:rPr>
          <w:lang w:val="en-US"/>
        </w:rPr>
        <w:t>7</w:t>
      </w:r>
      <w:r w:rsidR="0022373A" w:rsidRPr="00BC07FF">
        <w:rPr>
          <w:lang w:val="en-US"/>
        </w:rPr>
        <w:t>, no property, or equipment had been pledged as security for debt.</w:t>
      </w:r>
    </w:p>
    <w:p w:rsidR="00C63AC8" w:rsidRDefault="008F1584" w:rsidP="00E96BCB">
      <w:pPr>
        <w:snapToGrid w:val="0"/>
        <w:jc w:val="both"/>
        <w:rPr>
          <w:lang w:val="en-US"/>
        </w:rPr>
      </w:pPr>
      <w:r w:rsidRPr="00E96BCB">
        <w:rPr>
          <w:lang w:val="en-US"/>
        </w:rPr>
        <w:t>At the end of 201</w:t>
      </w:r>
      <w:r w:rsidR="00D83679" w:rsidRPr="00E96BCB">
        <w:rPr>
          <w:lang w:val="en-US"/>
        </w:rPr>
        <w:t>7</w:t>
      </w:r>
      <w:r w:rsidRPr="00E96BCB">
        <w:rPr>
          <w:lang w:val="en-US"/>
        </w:rPr>
        <w:t>, the value of the items not present in the physical stock amounted to CHF</w:t>
      </w:r>
      <w:r w:rsidR="00D05A7B" w:rsidRPr="00E96BCB">
        <w:rPr>
          <w:lang w:val="en-US"/>
        </w:rPr>
        <w:t> </w:t>
      </w:r>
      <w:r w:rsidR="00CB54FB" w:rsidRPr="00E96BCB">
        <w:rPr>
          <w:lang w:val="en-US"/>
        </w:rPr>
        <w:t>2</w:t>
      </w:r>
      <w:r w:rsidR="00E96BCB" w:rsidRPr="00E96BCB">
        <w:rPr>
          <w:lang w:val="en-US"/>
        </w:rPr>
        <w:t>9</w:t>
      </w:r>
      <w:r w:rsidR="00CB54FB" w:rsidRPr="00E96BCB">
        <w:rPr>
          <w:lang w:val="en-US"/>
        </w:rPr>
        <w:t>.</w:t>
      </w:r>
      <w:r w:rsidR="00E96BCB" w:rsidRPr="00E96BCB">
        <w:rPr>
          <w:lang w:val="en-US"/>
        </w:rPr>
        <w:t>971</w:t>
      </w:r>
      <w:r w:rsidRPr="00E96BCB">
        <w:rPr>
          <w:lang w:val="en-US"/>
        </w:rPr>
        <w:t xml:space="preserve"> compared to CHF</w:t>
      </w:r>
      <w:r w:rsidR="00D05A7B" w:rsidRPr="00E96BCB">
        <w:rPr>
          <w:lang w:val="en-US"/>
        </w:rPr>
        <w:t> </w:t>
      </w:r>
      <w:r w:rsidR="00D83679" w:rsidRPr="00E96BCB">
        <w:rPr>
          <w:lang w:val="en-US"/>
        </w:rPr>
        <w:t>22.023</w:t>
      </w:r>
      <w:r w:rsidRPr="00E96BCB">
        <w:rPr>
          <w:lang w:val="en-US"/>
        </w:rPr>
        <w:t xml:space="preserve"> in 201</w:t>
      </w:r>
      <w:r w:rsidR="00D83679" w:rsidRPr="00E96BCB">
        <w:rPr>
          <w:lang w:val="en-US"/>
        </w:rPr>
        <w:t>6</w:t>
      </w:r>
      <w:r w:rsidR="00CB54FB" w:rsidRPr="00E96BCB">
        <w:rPr>
          <w:lang w:val="en-US"/>
        </w:rPr>
        <w:t>.</w:t>
      </w:r>
    </w:p>
    <w:p w:rsidR="00DF0BAD" w:rsidRDefault="00DF0BAD" w:rsidP="00FF2EDE">
      <w:pPr>
        <w:snapToGrid w:val="0"/>
        <w:spacing w:before="0"/>
        <w:jc w:val="both"/>
        <w:rPr>
          <w:lang w:val="en-US"/>
        </w:rPr>
      </w:pPr>
    </w:p>
    <w:tbl>
      <w:tblPr>
        <w:tblW w:w="10280" w:type="dxa"/>
        <w:tblInd w:w="-5" w:type="dxa"/>
        <w:tblLook w:val="04A0" w:firstRow="1" w:lastRow="0" w:firstColumn="1" w:lastColumn="0" w:noHBand="0" w:noVBand="1"/>
      </w:tblPr>
      <w:tblGrid>
        <w:gridCol w:w="3084"/>
        <w:gridCol w:w="1036"/>
        <w:gridCol w:w="1000"/>
        <w:gridCol w:w="1006"/>
        <w:gridCol w:w="1127"/>
        <w:gridCol w:w="947"/>
        <w:gridCol w:w="960"/>
        <w:gridCol w:w="1120"/>
      </w:tblGrid>
      <w:tr w:rsidR="00D477D8" w:rsidRPr="00D477D8" w:rsidTr="00D477D8">
        <w:trPr>
          <w:trHeight w:val="720"/>
        </w:trPr>
        <w:tc>
          <w:tcPr>
            <w:tcW w:w="3084" w:type="dxa"/>
            <w:tcBorders>
              <w:top w:val="single" w:sz="4" w:space="0" w:color="auto"/>
              <w:left w:val="single" w:sz="4" w:space="0" w:color="auto"/>
              <w:bottom w:val="nil"/>
              <w:right w:val="nil"/>
            </w:tcBorders>
            <w:shd w:val="clear" w:color="auto" w:fill="auto"/>
            <w:hideMark/>
          </w:tcPr>
          <w:p w:rsidR="00D477D8" w:rsidRPr="00D477D8" w:rsidRDefault="00D477D8" w:rsidP="00D477D8">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Categories of asset</w:t>
            </w:r>
          </w:p>
        </w:tc>
        <w:tc>
          <w:tcPr>
            <w:tcW w:w="1036" w:type="dxa"/>
            <w:tcBorders>
              <w:top w:val="single" w:sz="4" w:space="0" w:color="auto"/>
              <w:left w:val="nil"/>
              <w:bottom w:val="nil"/>
              <w:right w:val="nil"/>
            </w:tcBorders>
            <w:shd w:val="clear" w:color="auto" w:fill="auto"/>
            <w:hideMark/>
          </w:tcPr>
          <w:p w:rsidR="00D477D8" w:rsidRPr="00D477D8" w:rsidRDefault="00D477D8" w:rsidP="00D477D8">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Buildings</w:t>
            </w:r>
          </w:p>
        </w:tc>
        <w:tc>
          <w:tcPr>
            <w:tcW w:w="1000" w:type="dxa"/>
            <w:tcBorders>
              <w:top w:val="single" w:sz="4" w:space="0" w:color="auto"/>
              <w:left w:val="nil"/>
              <w:bottom w:val="nil"/>
              <w:right w:val="nil"/>
            </w:tcBorders>
            <w:shd w:val="clear" w:color="auto" w:fill="auto"/>
            <w:hideMark/>
          </w:tcPr>
          <w:p w:rsidR="00D477D8" w:rsidRPr="00D477D8" w:rsidRDefault="00D477D8" w:rsidP="00D477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Mach. &amp; equip.</w:t>
            </w:r>
          </w:p>
        </w:tc>
        <w:tc>
          <w:tcPr>
            <w:tcW w:w="1006" w:type="dxa"/>
            <w:tcBorders>
              <w:top w:val="single" w:sz="4" w:space="0" w:color="auto"/>
              <w:left w:val="nil"/>
              <w:bottom w:val="nil"/>
              <w:right w:val="nil"/>
            </w:tcBorders>
            <w:shd w:val="clear" w:color="auto" w:fill="auto"/>
            <w:hideMark/>
          </w:tcPr>
          <w:p w:rsidR="00D477D8" w:rsidRPr="00D477D8" w:rsidRDefault="00D477D8" w:rsidP="00D477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Furniture &amp; fixtures</w:t>
            </w:r>
          </w:p>
        </w:tc>
        <w:tc>
          <w:tcPr>
            <w:tcW w:w="1127" w:type="dxa"/>
            <w:tcBorders>
              <w:top w:val="single" w:sz="4" w:space="0" w:color="auto"/>
              <w:left w:val="nil"/>
              <w:bottom w:val="nil"/>
              <w:right w:val="nil"/>
            </w:tcBorders>
            <w:shd w:val="clear" w:color="auto" w:fill="auto"/>
            <w:hideMark/>
          </w:tcPr>
          <w:p w:rsidR="00D477D8" w:rsidRPr="00D477D8" w:rsidRDefault="00D477D8" w:rsidP="00D477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Computer equipment</w:t>
            </w:r>
          </w:p>
        </w:tc>
        <w:tc>
          <w:tcPr>
            <w:tcW w:w="947" w:type="dxa"/>
            <w:tcBorders>
              <w:top w:val="single" w:sz="4" w:space="0" w:color="auto"/>
              <w:left w:val="nil"/>
              <w:bottom w:val="nil"/>
              <w:right w:val="nil"/>
            </w:tcBorders>
            <w:shd w:val="clear" w:color="auto" w:fill="auto"/>
            <w:hideMark/>
          </w:tcPr>
          <w:p w:rsidR="00D477D8" w:rsidRPr="00D477D8" w:rsidRDefault="00D477D8" w:rsidP="00D477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Vehicles</w:t>
            </w:r>
          </w:p>
        </w:tc>
        <w:tc>
          <w:tcPr>
            <w:tcW w:w="960" w:type="dxa"/>
            <w:tcBorders>
              <w:top w:val="single" w:sz="4" w:space="0" w:color="auto"/>
              <w:left w:val="nil"/>
              <w:bottom w:val="nil"/>
              <w:right w:val="nil"/>
            </w:tcBorders>
            <w:shd w:val="clear" w:color="auto" w:fill="auto"/>
            <w:hideMark/>
          </w:tcPr>
          <w:p w:rsidR="00D477D8" w:rsidRPr="00D477D8" w:rsidRDefault="00D477D8" w:rsidP="00D477D8">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Low value asset</w:t>
            </w:r>
          </w:p>
        </w:tc>
        <w:tc>
          <w:tcPr>
            <w:tcW w:w="1120" w:type="dxa"/>
            <w:tcBorders>
              <w:top w:val="single" w:sz="4" w:space="0" w:color="auto"/>
              <w:left w:val="nil"/>
              <w:bottom w:val="nil"/>
              <w:right w:val="single" w:sz="4" w:space="0" w:color="auto"/>
            </w:tcBorders>
            <w:shd w:val="clear" w:color="auto" w:fill="auto"/>
            <w:hideMark/>
          </w:tcPr>
          <w:p w:rsidR="00D477D8" w:rsidRPr="00D477D8" w:rsidRDefault="00D477D8" w:rsidP="00D477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 xml:space="preserve">Total </w:t>
            </w:r>
          </w:p>
        </w:tc>
      </w:tr>
      <w:tr w:rsidR="00D477D8" w:rsidRPr="00D477D8" w:rsidTr="00D477D8">
        <w:trPr>
          <w:trHeight w:val="255"/>
        </w:trPr>
        <w:tc>
          <w:tcPr>
            <w:tcW w:w="3084" w:type="dxa"/>
            <w:tcBorders>
              <w:top w:val="single" w:sz="4" w:space="0" w:color="auto"/>
              <w:left w:val="single" w:sz="4" w:space="0" w:color="auto"/>
              <w:bottom w:val="single" w:sz="4" w:space="0" w:color="auto"/>
              <w:right w:val="nil"/>
            </w:tcBorders>
            <w:shd w:val="clear" w:color="auto" w:fill="auto"/>
            <w:vAlign w:val="center"/>
            <w:hideMark/>
          </w:tcPr>
          <w:p w:rsidR="00D477D8" w:rsidRPr="00D477D8" w:rsidRDefault="00D477D8" w:rsidP="00D477D8">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Cost at 1 January</w:t>
            </w:r>
          </w:p>
        </w:tc>
        <w:tc>
          <w:tcPr>
            <w:tcW w:w="1036" w:type="dxa"/>
            <w:tcBorders>
              <w:top w:val="single" w:sz="4" w:space="0" w:color="auto"/>
              <w:left w:val="nil"/>
              <w:bottom w:val="single" w:sz="4" w:space="0" w:color="auto"/>
              <w:right w:val="nil"/>
            </w:tcBorders>
            <w:shd w:val="clear" w:color="auto" w:fill="auto"/>
            <w:vAlign w:val="center"/>
            <w:hideMark/>
          </w:tcPr>
          <w:p w:rsidR="00D477D8" w:rsidRPr="00D477D8" w:rsidRDefault="00D477D8" w:rsidP="00D477D8">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 xml:space="preserve">   124,625 </w:t>
            </w:r>
          </w:p>
        </w:tc>
        <w:tc>
          <w:tcPr>
            <w:tcW w:w="1000" w:type="dxa"/>
            <w:tcBorders>
              <w:top w:val="single" w:sz="4" w:space="0" w:color="auto"/>
              <w:left w:val="nil"/>
              <w:bottom w:val="single" w:sz="4" w:space="0" w:color="auto"/>
              <w:right w:val="nil"/>
            </w:tcBorders>
            <w:shd w:val="clear" w:color="000000" w:fill="FFFFFF"/>
            <w:vAlign w:val="center"/>
            <w:hideMark/>
          </w:tcPr>
          <w:p w:rsidR="00D477D8" w:rsidRPr="00D477D8" w:rsidRDefault="00D477D8" w:rsidP="00D477D8">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 xml:space="preserve">      2,156 </w:t>
            </w:r>
          </w:p>
        </w:tc>
        <w:tc>
          <w:tcPr>
            <w:tcW w:w="1006" w:type="dxa"/>
            <w:tcBorders>
              <w:top w:val="single" w:sz="4" w:space="0" w:color="auto"/>
              <w:left w:val="nil"/>
              <w:bottom w:val="single" w:sz="4" w:space="0" w:color="auto"/>
              <w:right w:val="nil"/>
            </w:tcBorders>
            <w:shd w:val="clear" w:color="auto" w:fill="auto"/>
            <w:vAlign w:val="center"/>
            <w:hideMark/>
          </w:tcPr>
          <w:p w:rsidR="00D477D8" w:rsidRPr="00D477D8" w:rsidRDefault="00D477D8" w:rsidP="00D477D8">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 xml:space="preserve">      1,592 </w:t>
            </w:r>
          </w:p>
        </w:tc>
        <w:tc>
          <w:tcPr>
            <w:tcW w:w="1127" w:type="dxa"/>
            <w:tcBorders>
              <w:top w:val="single" w:sz="4" w:space="0" w:color="auto"/>
              <w:left w:val="nil"/>
              <w:bottom w:val="single" w:sz="4" w:space="0" w:color="auto"/>
              <w:right w:val="nil"/>
            </w:tcBorders>
            <w:shd w:val="clear" w:color="000000" w:fill="FFFFFF"/>
            <w:vAlign w:val="center"/>
            <w:hideMark/>
          </w:tcPr>
          <w:p w:rsidR="00D477D8" w:rsidRPr="00D477D8" w:rsidRDefault="00D477D8" w:rsidP="00D477D8">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 xml:space="preserve">         8,535 </w:t>
            </w:r>
          </w:p>
        </w:tc>
        <w:tc>
          <w:tcPr>
            <w:tcW w:w="947" w:type="dxa"/>
            <w:tcBorders>
              <w:top w:val="single" w:sz="4" w:space="0" w:color="auto"/>
              <w:left w:val="nil"/>
              <w:bottom w:val="single" w:sz="4" w:space="0" w:color="auto"/>
              <w:right w:val="nil"/>
            </w:tcBorders>
            <w:shd w:val="clear" w:color="auto" w:fill="auto"/>
            <w:noWrap/>
            <w:vAlign w:val="center"/>
            <w:hideMark/>
          </w:tcPr>
          <w:p w:rsidR="00D477D8" w:rsidRPr="00D477D8" w:rsidRDefault="00D477D8" w:rsidP="00D477D8">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 xml:space="preserve">        384 </w:t>
            </w:r>
          </w:p>
        </w:tc>
        <w:tc>
          <w:tcPr>
            <w:tcW w:w="960" w:type="dxa"/>
            <w:tcBorders>
              <w:top w:val="single" w:sz="4" w:space="0" w:color="auto"/>
              <w:left w:val="nil"/>
              <w:bottom w:val="single" w:sz="4" w:space="0" w:color="auto"/>
              <w:right w:val="nil"/>
            </w:tcBorders>
            <w:shd w:val="clear" w:color="auto" w:fill="auto"/>
            <w:noWrap/>
            <w:vAlign w:val="center"/>
            <w:hideMark/>
          </w:tcPr>
          <w:p w:rsidR="00D477D8" w:rsidRPr="00D477D8" w:rsidRDefault="00D477D8" w:rsidP="00D477D8">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 xml:space="preserve">   14,930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D477D8" w:rsidRPr="00D477D8" w:rsidRDefault="00D477D8" w:rsidP="00D477D8">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 xml:space="preserve">     152,222 </w:t>
            </w:r>
          </w:p>
        </w:tc>
      </w:tr>
      <w:tr w:rsidR="00D477D8" w:rsidRPr="00D477D8" w:rsidTr="00D477D8">
        <w:trPr>
          <w:trHeight w:val="255"/>
        </w:trPr>
        <w:tc>
          <w:tcPr>
            <w:tcW w:w="3084" w:type="dxa"/>
            <w:tcBorders>
              <w:top w:val="nil"/>
              <w:left w:val="single" w:sz="4" w:space="0" w:color="auto"/>
              <w:bottom w:val="nil"/>
              <w:right w:val="nil"/>
            </w:tcBorders>
            <w:shd w:val="clear" w:color="auto" w:fill="auto"/>
            <w:hideMark/>
          </w:tcPr>
          <w:p w:rsidR="00D477D8" w:rsidRPr="00D477D8" w:rsidRDefault="00D477D8" w:rsidP="00D477D8">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8"/>
                <w:szCs w:val="18"/>
                <w:lang w:val="en-US" w:eastAsia="zh-CN"/>
              </w:rPr>
            </w:pPr>
            <w:r w:rsidRPr="00D477D8">
              <w:rPr>
                <w:rFonts w:ascii="Arial" w:hAnsi="Arial" w:cs="Arial"/>
                <w:color w:val="000000"/>
                <w:sz w:val="18"/>
                <w:szCs w:val="18"/>
                <w:lang w:val="en-US" w:eastAsia="zh-CN"/>
              </w:rPr>
              <w:t>Additions</w:t>
            </w:r>
          </w:p>
        </w:tc>
        <w:tc>
          <w:tcPr>
            <w:tcW w:w="1036" w:type="dxa"/>
            <w:tcBorders>
              <w:top w:val="nil"/>
              <w:left w:val="nil"/>
              <w:bottom w:val="nil"/>
              <w:right w:val="nil"/>
            </w:tcBorders>
            <w:shd w:val="clear" w:color="auto" w:fill="auto"/>
            <w:hideMark/>
          </w:tcPr>
          <w:p w:rsidR="00D477D8" w:rsidRPr="00D477D8" w:rsidRDefault="00D477D8" w:rsidP="00D477D8">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D477D8">
              <w:rPr>
                <w:rFonts w:ascii="Arial" w:hAnsi="Arial" w:cs="Arial"/>
                <w:color w:val="000000"/>
                <w:sz w:val="18"/>
                <w:szCs w:val="18"/>
                <w:lang w:val="en-US" w:eastAsia="zh-CN"/>
              </w:rPr>
              <w:t xml:space="preserve">          251 </w:t>
            </w:r>
          </w:p>
        </w:tc>
        <w:tc>
          <w:tcPr>
            <w:tcW w:w="1000" w:type="dxa"/>
            <w:tcBorders>
              <w:top w:val="nil"/>
              <w:left w:val="nil"/>
              <w:bottom w:val="nil"/>
              <w:right w:val="nil"/>
            </w:tcBorders>
            <w:shd w:val="clear" w:color="auto" w:fill="auto"/>
            <w:hideMark/>
          </w:tcPr>
          <w:p w:rsidR="00D477D8" w:rsidRPr="00D477D8" w:rsidRDefault="00D477D8" w:rsidP="00D477D8">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D477D8">
              <w:rPr>
                <w:rFonts w:ascii="Arial" w:hAnsi="Arial" w:cs="Arial"/>
                <w:color w:val="000000"/>
                <w:sz w:val="18"/>
                <w:szCs w:val="18"/>
                <w:lang w:val="en-US" w:eastAsia="zh-CN"/>
              </w:rPr>
              <w:t xml:space="preserve">           30 </w:t>
            </w:r>
          </w:p>
        </w:tc>
        <w:tc>
          <w:tcPr>
            <w:tcW w:w="1006" w:type="dxa"/>
            <w:tcBorders>
              <w:top w:val="nil"/>
              <w:left w:val="nil"/>
              <w:bottom w:val="nil"/>
              <w:right w:val="nil"/>
            </w:tcBorders>
            <w:shd w:val="clear" w:color="auto" w:fill="auto"/>
            <w:hideMark/>
          </w:tcPr>
          <w:p w:rsidR="00D477D8" w:rsidRPr="00D477D8" w:rsidRDefault="00D477D8" w:rsidP="00D477D8">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D477D8">
              <w:rPr>
                <w:rFonts w:ascii="Arial" w:hAnsi="Arial" w:cs="Arial"/>
                <w:color w:val="000000"/>
                <w:sz w:val="18"/>
                <w:szCs w:val="18"/>
                <w:lang w:val="en-US" w:eastAsia="zh-CN"/>
              </w:rPr>
              <w:t xml:space="preserve">           49 </w:t>
            </w:r>
          </w:p>
        </w:tc>
        <w:tc>
          <w:tcPr>
            <w:tcW w:w="1127" w:type="dxa"/>
            <w:tcBorders>
              <w:top w:val="nil"/>
              <w:left w:val="nil"/>
              <w:bottom w:val="nil"/>
              <w:right w:val="nil"/>
            </w:tcBorders>
            <w:shd w:val="clear" w:color="auto" w:fill="auto"/>
            <w:hideMark/>
          </w:tcPr>
          <w:p w:rsidR="00D477D8" w:rsidRPr="00D477D8" w:rsidRDefault="00D477D8" w:rsidP="00D477D8">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D477D8">
              <w:rPr>
                <w:rFonts w:ascii="Arial" w:hAnsi="Arial" w:cs="Arial"/>
                <w:color w:val="000000"/>
                <w:sz w:val="18"/>
                <w:szCs w:val="18"/>
                <w:lang w:val="en-US" w:eastAsia="zh-CN"/>
              </w:rPr>
              <w:t xml:space="preserve">            770 </w:t>
            </w:r>
          </w:p>
        </w:tc>
        <w:tc>
          <w:tcPr>
            <w:tcW w:w="947" w:type="dxa"/>
            <w:tcBorders>
              <w:top w:val="nil"/>
              <w:left w:val="nil"/>
              <w:bottom w:val="nil"/>
              <w:right w:val="nil"/>
            </w:tcBorders>
            <w:shd w:val="clear" w:color="auto" w:fill="auto"/>
            <w:noWrap/>
            <w:vAlign w:val="bottom"/>
            <w:hideMark/>
          </w:tcPr>
          <w:p w:rsidR="00D477D8" w:rsidRPr="00D477D8" w:rsidRDefault="00D477D8" w:rsidP="00D477D8">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D477D8">
              <w:rPr>
                <w:rFonts w:ascii="Arial" w:hAnsi="Arial" w:cs="Arial"/>
                <w:color w:val="000000"/>
                <w:sz w:val="18"/>
                <w:szCs w:val="18"/>
                <w:lang w:val="en-US" w:eastAsia="zh-CN"/>
              </w:rPr>
              <w:t xml:space="preserve">            -   </w:t>
            </w:r>
          </w:p>
        </w:tc>
        <w:tc>
          <w:tcPr>
            <w:tcW w:w="960" w:type="dxa"/>
            <w:tcBorders>
              <w:top w:val="nil"/>
              <w:left w:val="nil"/>
              <w:bottom w:val="nil"/>
              <w:right w:val="nil"/>
            </w:tcBorders>
            <w:shd w:val="clear" w:color="auto" w:fill="auto"/>
            <w:noWrap/>
            <w:vAlign w:val="bottom"/>
            <w:hideMark/>
          </w:tcPr>
          <w:p w:rsidR="00D477D8" w:rsidRPr="00D477D8" w:rsidRDefault="00D477D8" w:rsidP="00D477D8">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 xml:space="preserve">        850 </w:t>
            </w:r>
          </w:p>
        </w:tc>
        <w:tc>
          <w:tcPr>
            <w:tcW w:w="1120" w:type="dxa"/>
            <w:tcBorders>
              <w:top w:val="nil"/>
              <w:left w:val="nil"/>
              <w:bottom w:val="nil"/>
              <w:right w:val="single" w:sz="4" w:space="0" w:color="auto"/>
            </w:tcBorders>
            <w:shd w:val="clear" w:color="auto" w:fill="auto"/>
            <w:noWrap/>
            <w:vAlign w:val="bottom"/>
            <w:hideMark/>
          </w:tcPr>
          <w:p w:rsidR="00D477D8" w:rsidRPr="00D477D8" w:rsidRDefault="00D477D8" w:rsidP="00D477D8">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 xml:space="preserve">         1,951 </w:t>
            </w:r>
          </w:p>
        </w:tc>
      </w:tr>
      <w:tr w:rsidR="00D477D8" w:rsidRPr="00D477D8" w:rsidTr="00D477D8">
        <w:trPr>
          <w:trHeight w:val="255"/>
        </w:trPr>
        <w:tc>
          <w:tcPr>
            <w:tcW w:w="3084" w:type="dxa"/>
            <w:tcBorders>
              <w:top w:val="nil"/>
              <w:left w:val="single" w:sz="4" w:space="0" w:color="auto"/>
              <w:bottom w:val="nil"/>
              <w:right w:val="nil"/>
            </w:tcBorders>
            <w:shd w:val="clear" w:color="auto" w:fill="auto"/>
            <w:hideMark/>
          </w:tcPr>
          <w:p w:rsidR="00D477D8" w:rsidRPr="00D477D8" w:rsidRDefault="00D477D8" w:rsidP="00D477D8">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8"/>
                <w:szCs w:val="18"/>
                <w:lang w:val="en-US" w:eastAsia="zh-CN"/>
              </w:rPr>
            </w:pPr>
            <w:r w:rsidRPr="00D477D8">
              <w:rPr>
                <w:rFonts w:ascii="Arial" w:hAnsi="Arial" w:cs="Arial"/>
                <w:color w:val="000000"/>
                <w:sz w:val="18"/>
                <w:szCs w:val="18"/>
                <w:lang w:val="en-US" w:eastAsia="zh-CN"/>
              </w:rPr>
              <w:t>Gifts</w:t>
            </w:r>
          </w:p>
        </w:tc>
        <w:tc>
          <w:tcPr>
            <w:tcW w:w="1036" w:type="dxa"/>
            <w:tcBorders>
              <w:top w:val="nil"/>
              <w:left w:val="nil"/>
              <w:bottom w:val="nil"/>
              <w:right w:val="nil"/>
            </w:tcBorders>
            <w:shd w:val="clear" w:color="auto" w:fill="auto"/>
            <w:hideMark/>
          </w:tcPr>
          <w:p w:rsidR="00D477D8" w:rsidRPr="00D477D8" w:rsidRDefault="00D477D8" w:rsidP="00D477D8">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p>
        </w:tc>
        <w:tc>
          <w:tcPr>
            <w:tcW w:w="1000" w:type="dxa"/>
            <w:tcBorders>
              <w:top w:val="nil"/>
              <w:left w:val="nil"/>
              <w:bottom w:val="nil"/>
              <w:right w:val="nil"/>
            </w:tcBorders>
            <w:shd w:val="clear" w:color="auto" w:fill="auto"/>
            <w:hideMark/>
          </w:tcPr>
          <w:p w:rsidR="00D477D8" w:rsidRPr="00D477D8" w:rsidRDefault="00D477D8" w:rsidP="00D477D8">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1006" w:type="dxa"/>
            <w:tcBorders>
              <w:top w:val="nil"/>
              <w:left w:val="nil"/>
              <w:bottom w:val="nil"/>
              <w:right w:val="nil"/>
            </w:tcBorders>
            <w:shd w:val="clear" w:color="auto" w:fill="auto"/>
            <w:hideMark/>
          </w:tcPr>
          <w:p w:rsidR="00D477D8" w:rsidRPr="00D477D8" w:rsidRDefault="00D477D8" w:rsidP="00D477D8">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1127" w:type="dxa"/>
            <w:tcBorders>
              <w:top w:val="nil"/>
              <w:left w:val="nil"/>
              <w:bottom w:val="nil"/>
              <w:right w:val="nil"/>
            </w:tcBorders>
            <w:shd w:val="clear" w:color="auto" w:fill="auto"/>
            <w:noWrap/>
            <w:vAlign w:val="bottom"/>
            <w:hideMark/>
          </w:tcPr>
          <w:p w:rsidR="00D477D8" w:rsidRPr="00D477D8" w:rsidRDefault="00D477D8" w:rsidP="00D477D8">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47" w:type="dxa"/>
            <w:tcBorders>
              <w:top w:val="nil"/>
              <w:left w:val="nil"/>
              <w:bottom w:val="nil"/>
              <w:right w:val="nil"/>
            </w:tcBorders>
            <w:shd w:val="clear" w:color="auto" w:fill="auto"/>
            <w:noWrap/>
            <w:vAlign w:val="bottom"/>
            <w:hideMark/>
          </w:tcPr>
          <w:p w:rsidR="00D477D8" w:rsidRPr="00D477D8" w:rsidRDefault="00D477D8" w:rsidP="00D477D8">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60" w:type="dxa"/>
            <w:tcBorders>
              <w:top w:val="nil"/>
              <w:left w:val="nil"/>
              <w:bottom w:val="nil"/>
              <w:right w:val="nil"/>
            </w:tcBorders>
            <w:shd w:val="clear" w:color="auto" w:fill="auto"/>
            <w:noWrap/>
            <w:vAlign w:val="bottom"/>
            <w:hideMark/>
          </w:tcPr>
          <w:p w:rsidR="00D477D8" w:rsidRPr="00D477D8" w:rsidRDefault="00D477D8" w:rsidP="00D477D8">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1120" w:type="dxa"/>
            <w:tcBorders>
              <w:top w:val="nil"/>
              <w:left w:val="nil"/>
              <w:bottom w:val="nil"/>
              <w:right w:val="single" w:sz="4" w:space="0" w:color="auto"/>
            </w:tcBorders>
            <w:shd w:val="clear" w:color="auto" w:fill="auto"/>
            <w:noWrap/>
            <w:vAlign w:val="bottom"/>
            <w:hideMark/>
          </w:tcPr>
          <w:p w:rsidR="00D477D8" w:rsidRPr="00D477D8" w:rsidRDefault="00D477D8" w:rsidP="00D477D8">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D477D8">
              <w:rPr>
                <w:rFonts w:ascii="Arial" w:hAnsi="Arial" w:cs="Arial"/>
                <w:color w:val="000000"/>
                <w:sz w:val="18"/>
                <w:szCs w:val="18"/>
                <w:lang w:val="en-US" w:eastAsia="zh-CN"/>
              </w:rPr>
              <w:t xml:space="preserve">               -   </w:t>
            </w:r>
          </w:p>
        </w:tc>
      </w:tr>
      <w:tr w:rsidR="00D477D8" w:rsidRPr="00D477D8" w:rsidTr="00D477D8">
        <w:trPr>
          <w:trHeight w:val="255"/>
        </w:trPr>
        <w:tc>
          <w:tcPr>
            <w:tcW w:w="3084" w:type="dxa"/>
            <w:tcBorders>
              <w:top w:val="nil"/>
              <w:left w:val="single" w:sz="4" w:space="0" w:color="auto"/>
              <w:bottom w:val="nil"/>
              <w:right w:val="nil"/>
            </w:tcBorders>
            <w:shd w:val="clear" w:color="auto" w:fill="auto"/>
            <w:hideMark/>
          </w:tcPr>
          <w:p w:rsidR="00D477D8" w:rsidRPr="00D477D8" w:rsidRDefault="00D477D8" w:rsidP="00D477D8">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8"/>
                <w:szCs w:val="18"/>
                <w:lang w:val="en-US" w:eastAsia="zh-CN"/>
              </w:rPr>
            </w:pPr>
            <w:r w:rsidRPr="00D477D8">
              <w:rPr>
                <w:rFonts w:ascii="Arial" w:hAnsi="Arial" w:cs="Arial"/>
                <w:color w:val="000000"/>
                <w:sz w:val="18"/>
                <w:szCs w:val="18"/>
                <w:lang w:val="en-US" w:eastAsia="zh-CN"/>
              </w:rPr>
              <w:t>Disposals</w:t>
            </w:r>
          </w:p>
        </w:tc>
        <w:tc>
          <w:tcPr>
            <w:tcW w:w="1036" w:type="dxa"/>
            <w:tcBorders>
              <w:top w:val="nil"/>
              <w:left w:val="nil"/>
              <w:bottom w:val="nil"/>
              <w:right w:val="nil"/>
            </w:tcBorders>
            <w:shd w:val="clear" w:color="auto" w:fill="auto"/>
            <w:hideMark/>
          </w:tcPr>
          <w:p w:rsidR="00D477D8" w:rsidRPr="00D477D8" w:rsidRDefault="00D477D8" w:rsidP="00D477D8">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p>
        </w:tc>
        <w:tc>
          <w:tcPr>
            <w:tcW w:w="1000" w:type="dxa"/>
            <w:tcBorders>
              <w:top w:val="nil"/>
              <w:left w:val="nil"/>
              <w:bottom w:val="nil"/>
              <w:right w:val="nil"/>
            </w:tcBorders>
            <w:shd w:val="clear" w:color="auto" w:fill="auto"/>
            <w:hideMark/>
          </w:tcPr>
          <w:p w:rsidR="00D477D8" w:rsidRPr="00D477D8" w:rsidRDefault="00D477D8" w:rsidP="00D477D8">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D477D8">
              <w:rPr>
                <w:rFonts w:ascii="Arial" w:hAnsi="Arial" w:cs="Arial"/>
                <w:color w:val="000000"/>
                <w:sz w:val="18"/>
                <w:szCs w:val="18"/>
                <w:lang w:val="en-US" w:eastAsia="zh-CN"/>
              </w:rPr>
              <w:t xml:space="preserve">          -24 </w:t>
            </w:r>
          </w:p>
        </w:tc>
        <w:tc>
          <w:tcPr>
            <w:tcW w:w="1006" w:type="dxa"/>
            <w:tcBorders>
              <w:top w:val="nil"/>
              <w:left w:val="nil"/>
              <w:bottom w:val="nil"/>
              <w:right w:val="nil"/>
            </w:tcBorders>
            <w:shd w:val="clear" w:color="auto" w:fill="auto"/>
            <w:hideMark/>
          </w:tcPr>
          <w:p w:rsidR="00D477D8" w:rsidRPr="00D477D8" w:rsidRDefault="00D477D8" w:rsidP="00D477D8">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p>
        </w:tc>
        <w:tc>
          <w:tcPr>
            <w:tcW w:w="1127" w:type="dxa"/>
            <w:tcBorders>
              <w:top w:val="nil"/>
              <w:left w:val="nil"/>
              <w:bottom w:val="nil"/>
              <w:right w:val="nil"/>
            </w:tcBorders>
            <w:shd w:val="clear" w:color="auto" w:fill="auto"/>
            <w:hideMark/>
          </w:tcPr>
          <w:p w:rsidR="00D477D8" w:rsidRPr="00D477D8" w:rsidRDefault="00D477D8" w:rsidP="00D477D8">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D477D8">
              <w:rPr>
                <w:rFonts w:ascii="Arial" w:hAnsi="Arial" w:cs="Arial"/>
                <w:color w:val="000000"/>
                <w:sz w:val="18"/>
                <w:szCs w:val="18"/>
                <w:lang w:val="en-US" w:eastAsia="zh-CN"/>
              </w:rPr>
              <w:t xml:space="preserve">           -286 </w:t>
            </w:r>
          </w:p>
        </w:tc>
        <w:tc>
          <w:tcPr>
            <w:tcW w:w="947" w:type="dxa"/>
            <w:tcBorders>
              <w:top w:val="nil"/>
              <w:left w:val="nil"/>
              <w:bottom w:val="nil"/>
              <w:right w:val="nil"/>
            </w:tcBorders>
            <w:shd w:val="clear" w:color="auto" w:fill="auto"/>
            <w:noWrap/>
            <w:vAlign w:val="bottom"/>
            <w:hideMark/>
          </w:tcPr>
          <w:p w:rsidR="00D477D8" w:rsidRPr="00D477D8" w:rsidRDefault="00D477D8" w:rsidP="00D477D8">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p>
        </w:tc>
        <w:tc>
          <w:tcPr>
            <w:tcW w:w="960" w:type="dxa"/>
            <w:tcBorders>
              <w:top w:val="nil"/>
              <w:left w:val="nil"/>
              <w:bottom w:val="nil"/>
              <w:right w:val="nil"/>
            </w:tcBorders>
            <w:shd w:val="clear" w:color="auto" w:fill="auto"/>
            <w:noWrap/>
            <w:vAlign w:val="bottom"/>
            <w:hideMark/>
          </w:tcPr>
          <w:p w:rsidR="00D477D8" w:rsidRPr="00D477D8" w:rsidRDefault="00D477D8" w:rsidP="00D477D8">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1120" w:type="dxa"/>
            <w:tcBorders>
              <w:top w:val="nil"/>
              <w:left w:val="nil"/>
              <w:bottom w:val="nil"/>
              <w:right w:val="single" w:sz="4" w:space="0" w:color="auto"/>
            </w:tcBorders>
            <w:shd w:val="clear" w:color="auto" w:fill="auto"/>
            <w:noWrap/>
            <w:vAlign w:val="bottom"/>
            <w:hideMark/>
          </w:tcPr>
          <w:p w:rsidR="00D477D8" w:rsidRPr="00D477D8" w:rsidRDefault="00D477D8" w:rsidP="00D477D8">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D477D8">
              <w:rPr>
                <w:rFonts w:ascii="Arial" w:hAnsi="Arial" w:cs="Arial"/>
                <w:color w:val="000000"/>
                <w:sz w:val="18"/>
                <w:szCs w:val="18"/>
                <w:lang w:val="en-US" w:eastAsia="zh-CN"/>
              </w:rPr>
              <w:t xml:space="preserve">          -310 </w:t>
            </w:r>
          </w:p>
        </w:tc>
      </w:tr>
      <w:tr w:rsidR="00D477D8" w:rsidRPr="00D477D8" w:rsidTr="00D477D8">
        <w:trPr>
          <w:trHeight w:val="255"/>
        </w:trPr>
        <w:tc>
          <w:tcPr>
            <w:tcW w:w="3084" w:type="dxa"/>
            <w:tcBorders>
              <w:top w:val="nil"/>
              <w:left w:val="single" w:sz="4" w:space="0" w:color="auto"/>
              <w:bottom w:val="nil"/>
              <w:right w:val="nil"/>
            </w:tcBorders>
            <w:shd w:val="clear" w:color="auto" w:fill="auto"/>
            <w:hideMark/>
          </w:tcPr>
          <w:p w:rsidR="00D477D8" w:rsidRPr="00D477D8" w:rsidRDefault="00D477D8" w:rsidP="00D477D8">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8"/>
                <w:szCs w:val="18"/>
                <w:lang w:val="en-US" w:eastAsia="zh-CN"/>
              </w:rPr>
            </w:pPr>
            <w:r w:rsidRPr="00D477D8">
              <w:rPr>
                <w:rFonts w:ascii="Arial" w:hAnsi="Arial" w:cs="Arial"/>
                <w:color w:val="000000"/>
                <w:sz w:val="18"/>
                <w:szCs w:val="18"/>
                <w:lang w:val="en-US" w:eastAsia="zh-CN"/>
              </w:rPr>
              <w:t>Impairment losses</w:t>
            </w:r>
          </w:p>
        </w:tc>
        <w:tc>
          <w:tcPr>
            <w:tcW w:w="1036" w:type="dxa"/>
            <w:tcBorders>
              <w:top w:val="nil"/>
              <w:left w:val="nil"/>
              <w:bottom w:val="nil"/>
              <w:right w:val="nil"/>
            </w:tcBorders>
            <w:shd w:val="clear" w:color="auto" w:fill="auto"/>
            <w:hideMark/>
          </w:tcPr>
          <w:p w:rsidR="00D477D8" w:rsidRPr="00D477D8" w:rsidRDefault="00D477D8" w:rsidP="00D477D8">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p>
        </w:tc>
        <w:tc>
          <w:tcPr>
            <w:tcW w:w="1000" w:type="dxa"/>
            <w:tcBorders>
              <w:top w:val="nil"/>
              <w:left w:val="nil"/>
              <w:bottom w:val="nil"/>
              <w:right w:val="nil"/>
            </w:tcBorders>
            <w:shd w:val="clear" w:color="auto" w:fill="auto"/>
            <w:noWrap/>
            <w:vAlign w:val="bottom"/>
            <w:hideMark/>
          </w:tcPr>
          <w:p w:rsidR="00D477D8" w:rsidRPr="00D477D8" w:rsidRDefault="00D477D8" w:rsidP="00D477D8">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1006" w:type="dxa"/>
            <w:tcBorders>
              <w:top w:val="nil"/>
              <w:left w:val="nil"/>
              <w:bottom w:val="nil"/>
              <w:right w:val="nil"/>
            </w:tcBorders>
            <w:shd w:val="clear" w:color="auto" w:fill="auto"/>
            <w:noWrap/>
            <w:vAlign w:val="bottom"/>
            <w:hideMark/>
          </w:tcPr>
          <w:p w:rsidR="00D477D8" w:rsidRPr="00D477D8" w:rsidRDefault="00D477D8" w:rsidP="00D477D8">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1127" w:type="dxa"/>
            <w:tcBorders>
              <w:top w:val="nil"/>
              <w:left w:val="nil"/>
              <w:bottom w:val="nil"/>
              <w:right w:val="nil"/>
            </w:tcBorders>
            <w:shd w:val="clear" w:color="auto" w:fill="auto"/>
            <w:hideMark/>
          </w:tcPr>
          <w:p w:rsidR="00D477D8" w:rsidRPr="00D477D8" w:rsidRDefault="00D477D8" w:rsidP="00D477D8">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47" w:type="dxa"/>
            <w:tcBorders>
              <w:top w:val="nil"/>
              <w:left w:val="nil"/>
              <w:bottom w:val="nil"/>
              <w:right w:val="nil"/>
            </w:tcBorders>
            <w:shd w:val="clear" w:color="auto" w:fill="auto"/>
            <w:noWrap/>
            <w:vAlign w:val="bottom"/>
            <w:hideMark/>
          </w:tcPr>
          <w:p w:rsidR="00D477D8" w:rsidRPr="00D477D8" w:rsidRDefault="00D477D8" w:rsidP="00D477D8">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60" w:type="dxa"/>
            <w:tcBorders>
              <w:top w:val="nil"/>
              <w:left w:val="nil"/>
              <w:bottom w:val="nil"/>
              <w:right w:val="nil"/>
            </w:tcBorders>
            <w:shd w:val="clear" w:color="auto" w:fill="auto"/>
            <w:noWrap/>
            <w:vAlign w:val="bottom"/>
            <w:hideMark/>
          </w:tcPr>
          <w:p w:rsidR="00D477D8" w:rsidRPr="00D477D8" w:rsidRDefault="00D477D8" w:rsidP="00D477D8">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1120" w:type="dxa"/>
            <w:tcBorders>
              <w:top w:val="nil"/>
              <w:left w:val="nil"/>
              <w:bottom w:val="nil"/>
              <w:right w:val="single" w:sz="4" w:space="0" w:color="auto"/>
            </w:tcBorders>
            <w:shd w:val="clear" w:color="auto" w:fill="auto"/>
            <w:noWrap/>
            <w:vAlign w:val="bottom"/>
            <w:hideMark/>
          </w:tcPr>
          <w:p w:rsidR="00D477D8" w:rsidRPr="00D477D8" w:rsidRDefault="00D477D8" w:rsidP="00D477D8">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D477D8">
              <w:rPr>
                <w:rFonts w:ascii="Arial" w:hAnsi="Arial" w:cs="Arial"/>
                <w:color w:val="000000"/>
                <w:sz w:val="18"/>
                <w:szCs w:val="18"/>
                <w:lang w:val="en-US" w:eastAsia="zh-CN"/>
              </w:rPr>
              <w:t xml:space="preserve">                -   </w:t>
            </w:r>
          </w:p>
        </w:tc>
      </w:tr>
      <w:tr w:rsidR="00D477D8" w:rsidRPr="00D477D8" w:rsidTr="00D477D8">
        <w:trPr>
          <w:trHeight w:val="255"/>
        </w:trPr>
        <w:tc>
          <w:tcPr>
            <w:tcW w:w="3084" w:type="dxa"/>
            <w:tcBorders>
              <w:top w:val="nil"/>
              <w:left w:val="single" w:sz="4" w:space="0" w:color="auto"/>
              <w:bottom w:val="nil"/>
              <w:right w:val="nil"/>
            </w:tcBorders>
            <w:shd w:val="clear" w:color="auto" w:fill="auto"/>
            <w:hideMark/>
          </w:tcPr>
          <w:p w:rsidR="00D477D8" w:rsidRPr="00D477D8" w:rsidRDefault="00D477D8" w:rsidP="00D477D8">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8"/>
                <w:szCs w:val="18"/>
                <w:lang w:val="en-US" w:eastAsia="zh-CN"/>
              </w:rPr>
            </w:pPr>
            <w:r w:rsidRPr="00D477D8">
              <w:rPr>
                <w:rFonts w:ascii="Arial" w:hAnsi="Arial" w:cs="Arial"/>
                <w:color w:val="000000"/>
                <w:sz w:val="18"/>
                <w:szCs w:val="18"/>
                <w:lang w:val="en-US" w:eastAsia="zh-CN"/>
              </w:rPr>
              <w:t>Reclassifications &amp; corrections</w:t>
            </w:r>
          </w:p>
        </w:tc>
        <w:tc>
          <w:tcPr>
            <w:tcW w:w="1036" w:type="dxa"/>
            <w:tcBorders>
              <w:top w:val="nil"/>
              <w:left w:val="nil"/>
              <w:bottom w:val="nil"/>
              <w:right w:val="nil"/>
            </w:tcBorders>
            <w:shd w:val="clear" w:color="auto" w:fill="auto"/>
            <w:hideMark/>
          </w:tcPr>
          <w:p w:rsidR="00D477D8" w:rsidRPr="00D477D8" w:rsidRDefault="00D477D8" w:rsidP="00D477D8">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p>
        </w:tc>
        <w:tc>
          <w:tcPr>
            <w:tcW w:w="1000" w:type="dxa"/>
            <w:tcBorders>
              <w:top w:val="nil"/>
              <w:left w:val="nil"/>
              <w:bottom w:val="nil"/>
              <w:right w:val="nil"/>
            </w:tcBorders>
            <w:shd w:val="clear" w:color="auto" w:fill="auto"/>
            <w:hideMark/>
          </w:tcPr>
          <w:p w:rsidR="00D477D8" w:rsidRPr="00D477D8" w:rsidRDefault="00D477D8" w:rsidP="00D477D8">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D477D8">
              <w:rPr>
                <w:rFonts w:ascii="Arial" w:hAnsi="Arial" w:cs="Arial"/>
                <w:color w:val="000000"/>
                <w:sz w:val="18"/>
                <w:szCs w:val="18"/>
                <w:lang w:val="en-US" w:eastAsia="zh-CN"/>
              </w:rPr>
              <w:t xml:space="preserve">          -14 </w:t>
            </w:r>
          </w:p>
        </w:tc>
        <w:tc>
          <w:tcPr>
            <w:tcW w:w="1006" w:type="dxa"/>
            <w:tcBorders>
              <w:top w:val="nil"/>
              <w:left w:val="nil"/>
              <w:bottom w:val="nil"/>
              <w:right w:val="nil"/>
            </w:tcBorders>
            <w:shd w:val="clear" w:color="auto" w:fill="auto"/>
            <w:hideMark/>
          </w:tcPr>
          <w:p w:rsidR="00D477D8" w:rsidRPr="00D477D8" w:rsidRDefault="00D477D8" w:rsidP="00D477D8">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p>
        </w:tc>
        <w:tc>
          <w:tcPr>
            <w:tcW w:w="1127" w:type="dxa"/>
            <w:tcBorders>
              <w:top w:val="nil"/>
              <w:left w:val="nil"/>
              <w:bottom w:val="nil"/>
              <w:right w:val="nil"/>
            </w:tcBorders>
            <w:shd w:val="clear" w:color="auto" w:fill="auto"/>
            <w:hideMark/>
          </w:tcPr>
          <w:p w:rsidR="00D477D8" w:rsidRPr="00D477D8" w:rsidRDefault="00D477D8" w:rsidP="00D477D8">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47" w:type="dxa"/>
            <w:tcBorders>
              <w:top w:val="nil"/>
              <w:left w:val="nil"/>
              <w:bottom w:val="nil"/>
              <w:right w:val="nil"/>
            </w:tcBorders>
            <w:shd w:val="clear" w:color="auto" w:fill="auto"/>
            <w:noWrap/>
            <w:vAlign w:val="bottom"/>
            <w:hideMark/>
          </w:tcPr>
          <w:p w:rsidR="00D477D8" w:rsidRPr="00D477D8" w:rsidRDefault="00D477D8" w:rsidP="00D477D8">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60" w:type="dxa"/>
            <w:tcBorders>
              <w:top w:val="nil"/>
              <w:left w:val="nil"/>
              <w:bottom w:val="nil"/>
              <w:right w:val="nil"/>
            </w:tcBorders>
            <w:shd w:val="clear" w:color="auto" w:fill="auto"/>
            <w:noWrap/>
            <w:vAlign w:val="bottom"/>
            <w:hideMark/>
          </w:tcPr>
          <w:p w:rsidR="00D477D8" w:rsidRPr="00D477D8" w:rsidRDefault="00D477D8" w:rsidP="00D477D8">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1120" w:type="dxa"/>
            <w:tcBorders>
              <w:top w:val="nil"/>
              <w:left w:val="nil"/>
              <w:bottom w:val="nil"/>
              <w:right w:val="single" w:sz="4" w:space="0" w:color="auto"/>
            </w:tcBorders>
            <w:shd w:val="clear" w:color="auto" w:fill="auto"/>
            <w:noWrap/>
            <w:vAlign w:val="bottom"/>
            <w:hideMark/>
          </w:tcPr>
          <w:p w:rsidR="00D477D8" w:rsidRPr="00D477D8" w:rsidRDefault="00D477D8" w:rsidP="00D477D8">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D477D8">
              <w:rPr>
                <w:rFonts w:ascii="Arial" w:hAnsi="Arial" w:cs="Arial"/>
                <w:color w:val="000000"/>
                <w:sz w:val="18"/>
                <w:szCs w:val="18"/>
                <w:lang w:val="en-US" w:eastAsia="zh-CN"/>
              </w:rPr>
              <w:t xml:space="preserve">            -14 </w:t>
            </w:r>
          </w:p>
        </w:tc>
      </w:tr>
      <w:tr w:rsidR="00D477D8" w:rsidRPr="00D477D8" w:rsidTr="00D477D8">
        <w:trPr>
          <w:trHeight w:val="255"/>
        </w:trPr>
        <w:tc>
          <w:tcPr>
            <w:tcW w:w="3084" w:type="dxa"/>
            <w:tcBorders>
              <w:top w:val="nil"/>
              <w:left w:val="single" w:sz="4" w:space="0" w:color="auto"/>
              <w:bottom w:val="nil"/>
              <w:right w:val="nil"/>
            </w:tcBorders>
            <w:shd w:val="clear" w:color="auto" w:fill="auto"/>
            <w:hideMark/>
          </w:tcPr>
          <w:p w:rsidR="00D477D8" w:rsidRPr="00D477D8" w:rsidRDefault="00D477D8" w:rsidP="00D477D8">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8"/>
                <w:szCs w:val="18"/>
                <w:lang w:val="en-US" w:eastAsia="zh-CN"/>
              </w:rPr>
            </w:pPr>
            <w:r w:rsidRPr="00D477D8">
              <w:rPr>
                <w:rFonts w:ascii="Arial" w:hAnsi="Arial" w:cs="Arial"/>
                <w:color w:val="000000"/>
                <w:sz w:val="18"/>
                <w:szCs w:val="18"/>
                <w:lang w:val="en-US" w:eastAsia="zh-CN"/>
              </w:rPr>
              <w:t>Revaluations</w:t>
            </w:r>
          </w:p>
        </w:tc>
        <w:tc>
          <w:tcPr>
            <w:tcW w:w="1036" w:type="dxa"/>
            <w:tcBorders>
              <w:top w:val="nil"/>
              <w:left w:val="nil"/>
              <w:bottom w:val="nil"/>
              <w:right w:val="nil"/>
            </w:tcBorders>
            <w:shd w:val="clear" w:color="auto" w:fill="auto"/>
            <w:hideMark/>
          </w:tcPr>
          <w:p w:rsidR="00D477D8" w:rsidRPr="00D477D8" w:rsidRDefault="00D477D8" w:rsidP="00D477D8">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p>
        </w:tc>
        <w:tc>
          <w:tcPr>
            <w:tcW w:w="1000" w:type="dxa"/>
            <w:tcBorders>
              <w:top w:val="nil"/>
              <w:left w:val="nil"/>
              <w:bottom w:val="nil"/>
              <w:right w:val="nil"/>
            </w:tcBorders>
            <w:shd w:val="clear" w:color="auto" w:fill="auto"/>
            <w:hideMark/>
          </w:tcPr>
          <w:p w:rsidR="00D477D8" w:rsidRPr="00D477D8" w:rsidRDefault="00D477D8" w:rsidP="00D477D8">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1006" w:type="dxa"/>
            <w:tcBorders>
              <w:top w:val="nil"/>
              <w:left w:val="nil"/>
              <w:bottom w:val="nil"/>
              <w:right w:val="nil"/>
            </w:tcBorders>
            <w:shd w:val="clear" w:color="auto" w:fill="auto"/>
            <w:hideMark/>
          </w:tcPr>
          <w:p w:rsidR="00D477D8" w:rsidRPr="00D477D8" w:rsidRDefault="00D477D8" w:rsidP="00D477D8">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1127" w:type="dxa"/>
            <w:tcBorders>
              <w:top w:val="nil"/>
              <w:left w:val="nil"/>
              <w:bottom w:val="nil"/>
              <w:right w:val="nil"/>
            </w:tcBorders>
            <w:shd w:val="clear" w:color="auto" w:fill="auto"/>
            <w:hideMark/>
          </w:tcPr>
          <w:p w:rsidR="00D477D8" w:rsidRPr="00D477D8" w:rsidRDefault="00D477D8" w:rsidP="00D477D8">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47" w:type="dxa"/>
            <w:tcBorders>
              <w:top w:val="nil"/>
              <w:left w:val="nil"/>
              <w:bottom w:val="nil"/>
              <w:right w:val="nil"/>
            </w:tcBorders>
            <w:shd w:val="clear" w:color="auto" w:fill="auto"/>
            <w:noWrap/>
            <w:vAlign w:val="bottom"/>
            <w:hideMark/>
          </w:tcPr>
          <w:p w:rsidR="00D477D8" w:rsidRPr="00D477D8" w:rsidRDefault="00D477D8" w:rsidP="00D477D8">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60" w:type="dxa"/>
            <w:tcBorders>
              <w:top w:val="nil"/>
              <w:left w:val="nil"/>
              <w:bottom w:val="nil"/>
              <w:right w:val="nil"/>
            </w:tcBorders>
            <w:shd w:val="clear" w:color="auto" w:fill="auto"/>
            <w:noWrap/>
            <w:vAlign w:val="bottom"/>
            <w:hideMark/>
          </w:tcPr>
          <w:p w:rsidR="00D477D8" w:rsidRPr="00D477D8" w:rsidRDefault="00D477D8" w:rsidP="00D477D8">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1120" w:type="dxa"/>
            <w:tcBorders>
              <w:top w:val="nil"/>
              <w:left w:val="nil"/>
              <w:bottom w:val="single" w:sz="4" w:space="0" w:color="auto"/>
              <w:right w:val="single" w:sz="4" w:space="0" w:color="auto"/>
            </w:tcBorders>
            <w:shd w:val="clear" w:color="auto" w:fill="auto"/>
            <w:noWrap/>
            <w:vAlign w:val="bottom"/>
            <w:hideMark/>
          </w:tcPr>
          <w:p w:rsidR="00D477D8" w:rsidRPr="00D477D8" w:rsidRDefault="00D477D8" w:rsidP="00D477D8">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D477D8">
              <w:rPr>
                <w:rFonts w:ascii="Arial" w:hAnsi="Arial" w:cs="Arial"/>
                <w:color w:val="000000"/>
                <w:sz w:val="18"/>
                <w:szCs w:val="18"/>
                <w:lang w:val="en-US" w:eastAsia="zh-CN"/>
              </w:rPr>
              <w:t xml:space="preserve">                -   </w:t>
            </w:r>
          </w:p>
        </w:tc>
      </w:tr>
      <w:tr w:rsidR="00D477D8" w:rsidRPr="00D477D8" w:rsidTr="00D477D8">
        <w:trPr>
          <w:trHeight w:val="255"/>
        </w:trPr>
        <w:tc>
          <w:tcPr>
            <w:tcW w:w="3084" w:type="dxa"/>
            <w:tcBorders>
              <w:top w:val="single" w:sz="4" w:space="0" w:color="auto"/>
              <w:left w:val="single" w:sz="4" w:space="0" w:color="auto"/>
              <w:bottom w:val="single" w:sz="4" w:space="0" w:color="auto"/>
              <w:right w:val="nil"/>
            </w:tcBorders>
            <w:shd w:val="clear" w:color="auto" w:fill="auto"/>
            <w:vAlign w:val="center"/>
            <w:hideMark/>
          </w:tcPr>
          <w:p w:rsidR="00D477D8" w:rsidRPr="00D477D8" w:rsidRDefault="00D477D8" w:rsidP="00D477D8">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Cost at 31 December</w:t>
            </w:r>
          </w:p>
        </w:tc>
        <w:tc>
          <w:tcPr>
            <w:tcW w:w="1036" w:type="dxa"/>
            <w:tcBorders>
              <w:top w:val="single" w:sz="4" w:space="0" w:color="auto"/>
              <w:left w:val="nil"/>
              <w:bottom w:val="single" w:sz="4" w:space="0" w:color="auto"/>
              <w:right w:val="nil"/>
            </w:tcBorders>
            <w:shd w:val="clear" w:color="auto" w:fill="auto"/>
            <w:vAlign w:val="center"/>
            <w:hideMark/>
          </w:tcPr>
          <w:p w:rsidR="00D477D8" w:rsidRPr="00D477D8" w:rsidRDefault="00D477D8" w:rsidP="00D477D8">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 xml:space="preserve">   124,876 </w:t>
            </w:r>
          </w:p>
        </w:tc>
        <w:tc>
          <w:tcPr>
            <w:tcW w:w="1000" w:type="dxa"/>
            <w:tcBorders>
              <w:top w:val="single" w:sz="4" w:space="0" w:color="auto"/>
              <w:left w:val="nil"/>
              <w:bottom w:val="single" w:sz="4" w:space="0" w:color="auto"/>
              <w:right w:val="nil"/>
            </w:tcBorders>
            <w:shd w:val="clear" w:color="auto" w:fill="auto"/>
            <w:vAlign w:val="center"/>
            <w:hideMark/>
          </w:tcPr>
          <w:p w:rsidR="00D477D8" w:rsidRPr="00D477D8" w:rsidRDefault="00D477D8" w:rsidP="00D477D8">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 xml:space="preserve">      2,149 </w:t>
            </w:r>
          </w:p>
        </w:tc>
        <w:tc>
          <w:tcPr>
            <w:tcW w:w="1006" w:type="dxa"/>
            <w:tcBorders>
              <w:top w:val="single" w:sz="4" w:space="0" w:color="auto"/>
              <w:left w:val="nil"/>
              <w:bottom w:val="single" w:sz="4" w:space="0" w:color="auto"/>
              <w:right w:val="nil"/>
            </w:tcBorders>
            <w:shd w:val="clear" w:color="auto" w:fill="auto"/>
            <w:vAlign w:val="center"/>
            <w:hideMark/>
          </w:tcPr>
          <w:p w:rsidR="00D477D8" w:rsidRPr="00D477D8" w:rsidRDefault="00D477D8" w:rsidP="00D477D8">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 xml:space="preserve">      1,641 </w:t>
            </w:r>
          </w:p>
        </w:tc>
        <w:tc>
          <w:tcPr>
            <w:tcW w:w="1127" w:type="dxa"/>
            <w:tcBorders>
              <w:top w:val="single" w:sz="4" w:space="0" w:color="auto"/>
              <w:left w:val="nil"/>
              <w:bottom w:val="single" w:sz="4" w:space="0" w:color="auto"/>
              <w:right w:val="nil"/>
            </w:tcBorders>
            <w:shd w:val="clear" w:color="auto" w:fill="auto"/>
            <w:vAlign w:val="center"/>
            <w:hideMark/>
          </w:tcPr>
          <w:p w:rsidR="00D477D8" w:rsidRPr="00D477D8" w:rsidRDefault="00D477D8" w:rsidP="00D477D8">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 xml:space="preserve">         9,019 </w:t>
            </w:r>
          </w:p>
        </w:tc>
        <w:tc>
          <w:tcPr>
            <w:tcW w:w="947" w:type="dxa"/>
            <w:tcBorders>
              <w:top w:val="single" w:sz="4" w:space="0" w:color="auto"/>
              <w:left w:val="nil"/>
              <w:bottom w:val="single" w:sz="4" w:space="0" w:color="auto"/>
              <w:right w:val="nil"/>
            </w:tcBorders>
            <w:shd w:val="clear" w:color="auto" w:fill="auto"/>
            <w:vAlign w:val="center"/>
            <w:hideMark/>
          </w:tcPr>
          <w:p w:rsidR="00D477D8" w:rsidRPr="00D477D8" w:rsidRDefault="00D477D8" w:rsidP="00D477D8">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 xml:space="preserve">        384 </w:t>
            </w:r>
          </w:p>
        </w:tc>
        <w:tc>
          <w:tcPr>
            <w:tcW w:w="960" w:type="dxa"/>
            <w:tcBorders>
              <w:top w:val="single" w:sz="4" w:space="0" w:color="auto"/>
              <w:left w:val="nil"/>
              <w:bottom w:val="single" w:sz="4" w:space="0" w:color="auto"/>
              <w:right w:val="nil"/>
            </w:tcBorders>
            <w:shd w:val="clear" w:color="auto" w:fill="auto"/>
            <w:vAlign w:val="center"/>
            <w:hideMark/>
          </w:tcPr>
          <w:p w:rsidR="00D477D8" w:rsidRPr="00D477D8" w:rsidRDefault="00D477D8" w:rsidP="00D477D8">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 xml:space="preserve">   15,780 </w:t>
            </w:r>
          </w:p>
        </w:tc>
        <w:tc>
          <w:tcPr>
            <w:tcW w:w="1120" w:type="dxa"/>
            <w:tcBorders>
              <w:top w:val="nil"/>
              <w:left w:val="nil"/>
              <w:bottom w:val="single" w:sz="4" w:space="0" w:color="auto"/>
              <w:right w:val="single" w:sz="4" w:space="0" w:color="auto"/>
            </w:tcBorders>
            <w:shd w:val="clear" w:color="auto" w:fill="auto"/>
            <w:vAlign w:val="center"/>
            <w:hideMark/>
          </w:tcPr>
          <w:p w:rsidR="00D477D8" w:rsidRPr="00D477D8" w:rsidRDefault="00D477D8" w:rsidP="00D477D8">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 xml:space="preserve">     153,848 </w:t>
            </w:r>
          </w:p>
        </w:tc>
      </w:tr>
      <w:tr w:rsidR="00D477D8" w:rsidRPr="00D477D8" w:rsidTr="00D477D8">
        <w:trPr>
          <w:trHeight w:val="255"/>
        </w:trPr>
        <w:tc>
          <w:tcPr>
            <w:tcW w:w="3084" w:type="dxa"/>
            <w:tcBorders>
              <w:top w:val="nil"/>
              <w:left w:val="single" w:sz="4" w:space="0" w:color="auto"/>
              <w:bottom w:val="single" w:sz="4" w:space="0" w:color="auto"/>
              <w:right w:val="nil"/>
            </w:tcBorders>
            <w:shd w:val="clear" w:color="auto" w:fill="auto"/>
            <w:vAlign w:val="center"/>
            <w:hideMark/>
          </w:tcPr>
          <w:p w:rsidR="00D477D8" w:rsidRPr="00D477D8" w:rsidRDefault="00D477D8" w:rsidP="00D477D8">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Depreciation at 1 January</w:t>
            </w:r>
          </w:p>
        </w:tc>
        <w:tc>
          <w:tcPr>
            <w:tcW w:w="1036" w:type="dxa"/>
            <w:tcBorders>
              <w:top w:val="nil"/>
              <w:left w:val="nil"/>
              <w:bottom w:val="single" w:sz="4" w:space="0" w:color="auto"/>
              <w:right w:val="nil"/>
            </w:tcBorders>
            <w:shd w:val="clear" w:color="auto" w:fill="auto"/>
            <w:vAlign w:val="center"/>
            <w:hideMark/>
          </w:tcPr>
          <w:p w:rsidR="00D477D8" w:rsidRPr="00D477D8" w:rsidRDefault="00D477D8" w:rsidP="00157DD2">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 xml:space="preserve">     24,069 </w:t>
            </w:r>
          </w:p>
        </w:tc>
        <w:tc>
          <w:tcPr>
            <w:tcW w:w="1000" w:type="dxa"/>
            <w:tcBorders>
              <w:top w:val="nil"/>
              <w:left w:val="nil"/>
              <w:bottom w:val="single" w:sz="4" w:space="0" w:color="auto"/>
              <w:right w:val="nil"/>
            </w:tcBorders>
            <w:shd w:val="clear" w:color="auto" w:fill="auto"/>
            <w:vAlign w:val="center"/>
            <w:hideMark/>
          </w:tcPr>
          <w:p w:rsidR="00D477D8" w:rsidRPr="00D477D8" w:rsidRDefault="00D477D8" w:rsidP="00157DD2">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 xml:space="preserve">      2,087 </w:t>
            </w:r>
          </w:p>
        </w:tc>
        <w:tc>
          <w:tcPr>
            <w:tcW w:w="1006" w:type="dxa"/>
            <w:tcBorders>
              <w:top w:val="nil"/>
              <w:left w:val="nil"/>
              <w:bottom w:val="single" w:sz="4" w:space="0" w:color="auto"/>
              <w:right w:val="nil"/>
            </w:tcBorders>
            <w:shd w:val="clear" w:color="auto" w:fill="auto"/>
            <w:vAlign w:val="center"/>
            <w:hideMark/>
          </w:tcPr>
          <w:p w:rsidR="00D477D8" w:rsidRPr="00D477D8" w:rsidRDefault="00D477D8" w:rsidP="00157DD2">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 xml:space="preserve">      1,573 </w:t>
            </w:r>
          </w:p>
        </w:tc>
        <w:tc>
          <w:tcPr>
            <w:tcW w:w="1127" w:type="dxa"/>
            <w:tcBorders>
              <w:top w:val="nil"/>
              <w:left w:val="nil"/>
              <w:bottom w:val="single" w:sz="4" w:space="0" w:color="auto"/>
              <w:right w:val="nil"/>
            </w:tcBorders>
            <w:shd w:val="clear" w:color="auto" w:fill="auto"/>
            <w:vAlign w:val="center"/>
            <w:hideMark/>
          </w:tcPr>
          <w:p w:rsidR="00D477D8" w:rsidRPr="00D477D8" w:rsidRDefault="00D477D8" w:rsidP="00157DD2">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 xml:space="preserve">         7,828 </w:t>
            </w:r>
          </w:p>
        </w:tc>
        <w:tc>
          <w:tcPr>
            <w:tcW w:w="947" w:type="dxa"/>
            <w:tcBorders>
              <w:top w:val="nil"/>
              <w:left w:val="nil"/>
              <w:bottom w:val="single" w:sz="4" w:space="0" w:color="auto"/>
              <w:right w:val="nil"/>
            </w:tcBorders>
            <w:shd w:val="clear" w:color="auto" w:fill="auto"/>
            <w:noWrap/>
            <w:vAlign w:val="center"/>
            <w:hideMark/>
          </w:tcPr>
          <w:p w:rsidR="00D477D8" w:rsidRPr="00D477D8" w:rsidRDefault="00D477D8" w:rsidP="00157DD2">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 xml:space="preserve">        302 </w:t>
            </w:r>
          </w:p>
        </w:tc>
        <w:tc>
          <w:tcPr>
            <w:tcW w:w="960" w:type="dxa"/>
            <w:tcBorders>
              <w:top w:val="nil"/>
              <w:left w:val="nil"/>
              <w:bottom w:val="single" w:sz="4" w:space="0" w:color="auto"/>
              <w:right w:val="nil"/>
            </w:tcBorders>
            <w:shd w:val="clear" w:color="auto" w:fill="auto"/>
            <w:noWrap/>
            <w:vAlign w:val="center"/>
            <w:hideMark/>
          </w:tcPr>
          <w:p w:rsidR="00D477D8" w:rsidRPr="00D477D8" w:rsidRDefault="00D477D8" w:rsidP="00157DD2">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 xml:space="preserve">   14,930 </w:t>
            </w:r>
          </w:p>
        </w:tc>
        <w:tc>
          <w:tcPr>
            <w:tcW w:w="1120" w:type="dxa"/>
            <w:tcBorders>
              <w:top w:val="nil"/>
              <w:left w:val="nil"/>
              <w:bottom w:val="single" w:sz="4" w:space="0" w:color="auto"/>
              <w:right w:val="single" w:sz="4" w:space="0" w:color="auto"/>
            </w:tcBorders>
            <w:shd w:val="clear" w:color="auto" w:fill="auto"/>
            <w:noWrap/>
            <w:vAlign w:val="center"/>
            <w:hideMark/>
          </w:tcPr>
          <w:p w:rsidR="00D477D8" w:rsidRPr="00D477D8" w:rsidRDefault="00D477D8" w:rsidP="00157DD2">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 xml:space="preserve">      50,789 </w:t>
            </w:r>
          </w:p>
        </w:tc>
      </w:tr>
      <w:tr w:rsidR="00D477D8" w:rsidRPr="00D477D8" w:rsidTr="00D477D8">
        <w:trPr>
          <w:trHeight w:val="255"/>
        </w:trPr>
        <w:tc>
          <w:tcPr>
            <w:tcW w:w="3084" w:type="dxa"/>
            <w:tcBorders>
              <w:top w:val="nil"/>
              <w:left w:val="single" w:sz="4" w:space="0" w:color="auto"/>
              <w:bottom w:val="nil"/>
              <w:right w:val="nil"/>
            </w:tcBorders>
            <w:shd w:val="clear" w:color="auto" w:fill="auto"/>
            <w:hideMark/>
          </w:tcPr>
          <w:p w:rsidR="00D477D8" w:rsidRPr="00D477D8" w:rsidRDefault="00D477D8" w:rsidP="00D477D8">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8"/>
                <w:szCs w:val="18"/>
                <w:lang w:val="en-US" w:eastAsia="zh-CN"/>
              </w:rPr>
            </w:pPr>
            <w:r w:rsidRPr="00D477D8">
              <w:rPr>
                <w:rFonts w:ascii="Arial" w:hAnsi="Arial" w:cs="Arial"/>
                <w:color w:val="000000"/>
                <w:sz w:val="18"/>
                <w:szCs w:val="18"/>
                <w:lang w:val="en-US" w:eastAsia="zh-CN"/>
              </w:rPr>
              <w:t>Recognized during the year</w:t>
            </w:r>
          </w:p>
        </w:tc>
        <w:tc>
          <w:tcPr>
            <w:tcW w:w="1036" w:type="dxa"/>
            <w:tcBorders>
              <w:top w:val="nil"/>
              <w:left w:val="nil"/>
              <w:bottom w:val="nil"/>
              <w:right w:val="nil"/>
            </w:tcBorders>
            <w:shd w:val="clear" w:color="auto" w:fill="auto"/>
            <w:hideMark/>
          </w:tcPr>
          <w:p w:rsidR="00D477D8" w:rsidRPr="00D477D8" w:rsidRDefault="00D477D8" w:rsidP="00157DD2">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D477D8">
              <w:rPr>
                <w:rFonts w:ascii="Arial" w:hAnsi="Arial" w:cs="Arial"/>
                <w:color w:val="000000"/>
                <w:sz w:val="18"/>
                <w:szCs w:val="18"/>
                <w:lang w:val="en-US" w:eastAsia="zh-CN"/>
              </w:rPr>
              <w:t xml:space="preserve">       3,084 </w:t>
            </w:r>
          </w:p>
        </w:tc>
        <w:tc>
          <w:tcPr>
            <w:tcW w:w="1000" w:type="dxa"/>
            <w:tcBorders>
              <w:top w:val="nil"/>
              <w:left w:val="nil"/>
              <w:bottom w:val="nil"/>
              <w:right w:val="nil"/>
            </w:tcBorders>
            <w:shd w:val="clear" w:color="auto" w:fill="auto"/>
            <w:hideMark/>
          </w:tcPr>
          <w:p w:rsidR="00D477D8" w:rsidRPr="00D477D8" w:rsidRDefault="00D477D8" w:rsidP="00157DD2">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D477D8">
              <w:rPr>
                <w:rFonts w:ascii="Arial" w:hAnsi="Arial" w:cs="Arial"/>
                <w:color w:val="000000"/>
                <w:sz w:val="18"/>
                <w:szCs w:val="18"/>
                <w:lang w:val="en-US" w:eastAsia="zh-CN"/>
              </w:rPr>
              <w:t xml:space="preserve">           34 </w:t>
            </w:r>
          </w:p>
        </w:tc>
        <w:tc>
          <w:tcPr>
            <w:tcW w:w="1006" w:type="dxa"/>
            <w:tcBorders>
              <w:top w:val="nil"/>
              <w:left w:val="nil"/>
              <w:bottom w:val="nil"/>
              <w:right w:val="nil"/>
            </w:tcBorders>
            <w:shd w:val="clear" w:color="auto" w:fill="auto"/>
            <w:hideMark/>
          </w:tcPr>
          <w:p w:rsidR="00D477D8" w:rsidRPr="00D477D8" w:rsidRDefault="00D477D8" w:rsidP="00157DD2">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D477D8">
              <w:rPr>
                <w:rFonts w:ascii="Arial" w:hAnsi="Arial" w:cs="Arial"/>
                <w:color w:val="000000"/>
                <w:sz w:val="18"/>
                <w:szCs w:val="18"/>
                <w:lang w:val="en-US" w:eastAsia="zh-CN"/>
              </w:rPr>
              <w:t xml:space="preserve">           12 </w:t>
            </w:r>
          </w:p>
        </w:tc>
        <w:tc>
          <w:tcPr>
            <w:tcW w:w="1127" w:type="dxa"/>
            <w:tcBorders>
              <w:top w:val="nil"/>
              <w:left w:val="nil"/>
              <w:bottom w:val="nil"/>
              <w:right w:val="nil"/>
            </w:tcBorders>
            <w:shd w:val="clear" w:color="auto" w:fill="auto"/>
            <w:hideMark/>
          </w:tcPr>
          <w:p w:rsidR="00D477D8" w:rsidRPr="00D477D8" w:rsidRDefault="00D477D8" w:rsidP="00157DD2">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D477D8">
              <w:rPr>
                <w:rFonts w:ascii="Arial" w:hAnsi="Arial" w:cs="Arial"/>
                <w:color w:val="000000"/>
                <w:sz w:val="18"/>
                <w:szCs w:val="18"/>
                <w:lang w:val="en-US" w:eastAsia="zh-CN"/>
              </w:rPr>
              <w:t xml:space="preserve">            365 </w:t>
            </w:r>
          </w:p>
        </w:tc>
        <w:tc>
          <w:tcPr>
            <w:tcW w:w="947" w:type="dxa"/>
            <w:tcBorders>
              <w:top w:val="nil"/>
              <w:left w:val="nil"/>
              <w:bottom w:val="nil"/>
              <w:right w:val="nil"/>
            </w:tcBorders>
            <w:shd w:val="clear" w:color="auto" w:fill="auto"/>
            <w:noWrap/>
            <w:vAlign w:val="bottom"/>
            <w:hideMark/>
          </w:tcPr>
          <w:p w:rsidR="00D477D8" w:rsidRPr="00D477D8" w:rsidRDefault="00D477D8" w:rsidP="00157DD2">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D477D8">
              <w:rPr>
                <w:rFonts w:ascii="Arial" w:hAnsi="Arial" w:cs="Arial"/>
                <w:color w:val="000000"/>
                <w:sz w:val="18"/>
                <w:szCs w:val="18"/>
                <w:lang w:val="en-US" w:eastAsia="zh-CN"/>
              </w:rPr>
              <w:t xml:space="preserve">         17 </w:t>
            </w:r>
          </w:p>
        </w:tc>
        <w:tc>
          <w:tcPr>
            <w:tcW w:w="960" w:type="dxa"/>
            <w:tcBorders>
              <w:top w:val="nil"/>
              <w:left w:val="nil"/>
              <w:bottom w:val="nil"/>
              <w:right w:val="nil"/>
            </w:tcBorders>
            <w:shd w:val="clear" w:color="auto" w:fill="auto"/>
            <w:noWrap/>
            <w:vAlign w:val="bottom"/>
            <w:hideMark/>
          </w:tcPr>
          <w:p w:rsidR="00D477D8" w:rsidRPr="00D477D8" w:rsidRDefault="00D477D8" w:rsidP="00157DD2">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 xml:space="preserve">        853 </w:t>
            </w:r>
          </w:p>
        </w:tc>
        <w:tc>
          <w:tcPr>
            <w:tcW w:w="1120" w:type="dxa"/>
            <w:tcBorders>
              <w:top w:val="nil"/>
              <w:left w:val="nil"/>
              <w:bottom w:val="nil"/>
              <w:right w:val="single" w:sz="4" w:space="0" w:color="auto"/>
            </w:tcBorders>
            <w:shd w:val="clear" w:color="auto" w:fill="auto"/>
            <w:noWrap/>
            <w:vAlign w:val="bottom"/>
            <w:hideMark/>
          </w:tcPr>
          <w:p w:rsidR="00D477D8" w:rsidRPr="00D477D8" w:rsidRDefault="00D477D8" w:rsidP="00157DD2">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 xml:space="preserve">         4,365 </w:t>
            </w:r>
          </w:p>
        </w:tc>
      </w:tr>
      <w:tr w:rsidR="00D477D8" w:rsidRPr="00D477D8" w:rsidTr="00D477D8">
        <w:trPr>
          <w:trHeight w:val="255"/>
        </w:trPr>
        <w:tc>
          <w:tcPr>
            <w:tcW w:w="3084" w:type="dxa"/>
            <w:tcBorders>
              <w:top w:val="nil"/>
              <w:left w:val="single" w:sz="4" w:space="0" w:color="auto"/>
              <w:bottom w:val="nil"/>
              <w:right w:val="nil"/>
            </w:tcBorders>
            <w:shd w:val="clear" w:color="auto" w:fill="auto"/>
            <w:hideMark/>
          </w:tcPr>
          <w:p w:rsidR="00D477D8" w:rsidRPr="00D477D8" w:rsidRDefault="00D477D8" w:rsidP="00D477D8">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8"/>
                <w:szCs w:val="18"/>
                <w:lang w:val="en-US" w:eastAsia="zh-CN"/>
              </w:rPr>
            </w:pPr>
            <w:r w:rsidRPr="00D477D8">
              <w:rPr>
                <w:rFonts w:ascii="Arial" w:hAnsi="Arial" w:cs="Arial"/>
                <w:color w:val="000000"/>
                <w:sz w:val="18"/>
                <w:szCs w:val="18"/>
                <w:lang w:val="en-US" w:eastAsia="zh-CN"/>
              </w:rPr>
              <w:t>Disposals</w:t>
            </w:r>
          </w:p>
        </w:tc>
        <w:tc>
          <w:tcPr>
            <w:tcW w:w="1036" w:type="dxa"/>
            <w:tcBorders>
              <w:top w:val="nil"/>
              <w:left w:val="nil"/>
              <w:bottom w:val="nil"/>
              <w:right w:val="nil"/>
            </w:tcBorders>
            <w:shd w:val="clear" w:color="auto" w:fill="auto"/>
            <w:hideMark/>
          </w:tcPr>
          <w:p w:rsidR="00D477D8" w:rsidRPr="00D477D8" w:rsidRDefault="00D477D8" w:rsidP="00157DD2">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p>
        </w:tc>
        <w:tc>
          <w:tcPr>
            <w:tcW w:w="1000" w:type="dxa"/>
            <w:tcBorders>
              <w:top w:val="nil"/>
              <w:left w:val="nil"/>
              <w:bottom w:val="nil"/>
              <w:right w:val="nil"/>
            </w:tcBorders>
            <w:shd w:val="clear" w:color="auto" w:fill="auto"/>
            <w:hideMark/>
          </w:tcPr>
          <w:p w:rsidR="00D477D8" w:rsidRPr="00D477D8" w:rsidRDefault="00D477D8" w:rsidP="00EF208A">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D477D8">
              <w:rPr>
                <w:rFonts w:ascii="Arial" w:hAnsi="Arial" w:cs="Arial"/>
                <w:color w:val="000000"/>
                <w:sz w:val="18"/>
                <w:szCs w:val="18"/>
                <w:lang w:val="en-US" w:eastAsia="zh-CN"/>
              </w:rPr>
              <w:t xml:space="preserve">          -24 </w:t>
            </w:r>
          </w:p>
        </w:tc>
        <w:tc>
          <w:tcPr>
            <w:tcW w:w="1006" w:type="dxa"/>
            <w:tcBorders>
              <w:top w:val="nil"/>
              <w:left w:val="nil"/>
              <w:bottom w:val="nil"/>
              <w:right w:val="nil"/>
            </w:tcBorders>
            <w:shd w:val="clear" w:color="auto" w:fill="auto"/>
            <w:hideMark/>
          </w:tcPr>
          <w:p w:rsidR="00D477D8" w:rsidRPr="00D477D8" w:rsidRDefault="00D477D8" w:rsidP="00157DD2">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p>
        </w:tc>
        <w:tc>
          <w:tcPr>
            <w:tcW w:w="1127" w:type="dxa"/>
            <w:tcBorders>
              <w:top w:val="nil"/>
              <w:left w:val="nil"/>
              <w:bottom w:val="nil"/>
              <w:right w:val="nil"/>
            </w:tcBorders>
            <w:shd w:val="clear" w:color="auto" w:fill="auto"/>
            <w:hideMark/>
          </w:tcPr>
          <w:p w:rsidR="00D477D8" w:rsidRPr="00D477D8" w:rsidRDefault="00D477D8" w:rsidP="00EF208A">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D477D8">
              <w:rPr>
                <w:rFonts w:ascii="Arial" w:hAnsi="Arial" w:cs="Arial"/>
                <w:color w:val="000000"/>
                <w:sz w:val="18"/>
                <w:szCs w:val="18"/>
                <w:lang w:val="en-US" w:eastAsia="zh-CN"/>
              </w:rPr>
              <w:t xml:space="preserve">           -265 </w:t>
            </w:r>
          </w:p>
        </w:tc>
        <w:tc>
          <w:tcPr>
            <w:tcW w:w="947" w:type="dxa"/>
            <w:tcBorders>
              <w:top w:val="nil"/>
              <w:left w:val="nil"/>
              <w:bottom w:val="nil"/>
              <w:right w:val="nil"/>
            </w:tcBorders>
            <w:shd w:val="clear" w:color="auto" w:fill="auto"/>
            <w:noWrap/>
            <w:vAlign w:val="bottom"/>
            <w:hideMark/>
          </w:tcPr>
          <w:p w:rsidR="00D477D8" w:rsidRPr="00D477D8" w:rsidRDefault="00D477D8" w:rsidP="00157DD2">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p>
        </w:tc>
        <w:tc>
          <w:tcPr>
            <w:tcW w:w="960" w:type="dxa"/>
            <w:tcBorders>
              <w:top w:val="nil"/>
              <w:left w:val="nil"/>
              <w:bottom w:val="nil"/>
              <w:right w:val="nil"/>
            </w:tcBorders>
            <w:shd w:val="clear" w:color="auto" w:fill="auto"/>
            <w:noWrap/>
            <w:vAlign w:val="bottom"/>
            <w:hideMark/>
          </w:tcPr>
          <w:p w:rsidR="00D477D8" w:rsidRPr="00D477D8" w:rsidRDefault="00D477D8" w:rsidP="00157DD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1120" w:type="dxa"/>
            <w:tcBorders>
              <w:top w:val="nil"/>
              <w:left w:val="nil"/>
              <w:bottom w:val="nil"/>
              <w:right w:val="single" w:sz="4" w:space="0" w:color="auto"/>
            </w:tcBorders>
            <w:shd w:val="clear" w:color="auto" w:fill="auto"/>
            <w:noWrap/>
            <w:vAlign w:val="bottom"/>
            <w:hideMark/>
          </w:tcPr>
          <w:p w:rsidR="00D477D8" w:rsidRPr="00D477D8" w:rsidRDefault="00D477D8" w:rsidP="00157DD2">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 xml:space="preserve">          -289 </w:t>
            </w:r>
          </w:p>
        </w:tc>
      </w:tr>
      <w:tr w:rsidR="00D477D8" w:rsidRPr="00D477D8" w:rsidTr="00D477D8">
        <w:trPr>
          <w:trHeight w:val="255"/>
        </w:trPr>
        <w:tc>
          <w:tcPr>
            <w:tcW w:w="3084" w:type="dxa"/>
            <w:tcBorders>
              <w:top w:val="nil"/>
              <w:left w:val="single" w:sz="4" w:space="0" w:color="auto"/>
              <w:bottom w:val="nil"/>
              <w:right w:val="nil"/>
            </w:tcBorders>
            <w:shd w:val="clear" w:color="auto" w:fill="auto"/>
            <w:hideMark/>
          </w:tcPr>
          <w:p w:rsidR="00D477D8" w:rsidRPr="00D477D8" w:rsidRDefault="00D477D8" w:rsidP="00D477D8">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8"/>
                <w:szCs w:val="18"/>
                <w:lang w:val="en-US" w:eastAsia="zh-CN"/>
              </w:rPr>
            </w:pPr>
            <w:r w:rsidRPr="00D477D8">
              <w:rPr>
                <w:rFonts w:ascii="Arial" w:hAnsi="Arial" w:cs="Arial"/>
                <w:color w:val="000000"/>
                <w:sz w:val="18"/>
                <w:szCs w:val="18"/>
                <w:lang w:val="en-US" w:eastAsia="zh-CN"/>
              </w:rPr>
              <w:t>Impairment losses</w:t>
            </w:r>
          </w:p>
        </w:tc>
        <w:tc>
          <w:tcPr>
            <w:tcW w:w="1036" w:type="dxa"/>
            <w:tcBorders>
              <w:top w:val="nil"/>
              <w:left w:val="nil"/>
              <w:bottom w:val="nil"/>
              <w:right w:val="nil"/>
            </w:tcBorders>
            <w:shd w:val="clear" w:color="auto" w:fill="auto"/>
            <w:hideMark/>
          </w:tcPr>
          <w:p w:rsidR="00D477D8" w:rsidRPr="00D477D8" w:rsidRDefault="00D477D8" w:rsidP="00157DD2">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p>
        </w:tc>
        <w:tc>
          <w:tcPr>
            <w:tcW w:w="1000" w:type="dxa"/>
            <w:tcBorders>
              <w:top w:val="nil"/>
              <w:left w:val="nil"/>
              <w:bottom w:val="nil"/>
              <w:right w:val="nil"/>
            </w:tcBorders>
            <w:shd w:val="clear" w:color="auto" w:fill="auto"/>
            <w:noWrap/>
            <w:vAlign w:val="bottom"/>
            <w:hideMark/>
          </w:tcPr>
          <w:p w:rsidR="00D477D8" w:rsidRPr="00D477D8" w:rsidRDefault="00D477D8" w:rsidP="00157DD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1006" w:type="dxa"/>
            <w:tcBorders>
              <w:top w:val="nil"/>
              <w:left w:val="nil"/>
              <w:bottom w:val="nil"/>
              <w:right w:val="nil"/>
            </w:tcBorders>
            <w:shd w:val="clear" w:color="auto" w:fill="auto"/>
            <w:hideMark/>
          </w:tcPr>
          <w:p w:rsidR="00D477D8" w:rsidRPr="00D477D8" w:rsidRDefault="00D477D8" w:rsidP="00157DD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1127" w:type="dxa"/>
            <w:tcBorders>
              <w:top w:val="nil"/>
              <w:left w:val="nil"/>
              <w:bottom w:val="nil"/>
              <w:right w:val="nil"/>
            </w:tcBorders>
            <w:shd w:val="clear" w:color="auto" w:fill="auto"/>
            <w:hideMark/>
          </w:tcPr>
          <w:p w:rsidR="00D477D8" w:rsidRPr="00D477D8" w:rsidRDefault="00D477D8" w:rsidP="00157DD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47" w:type="dxa"/>
            <w:tcBorders>
              <w:top w:val="nil"/>
              <w:left w:val="nil"/>
              <w:bottom w:val="nil"/>
              <w:right w:val="nil"/>
            </w:tcBorders>
            <w:shd w:val="clear" w:color="auto" w:fill="auto"/>
            <w:noWrap/>
            <w:vAlign w:val="bottom"/>
            <w:hideMark/>
          </w:tcPr>
          <w:p w:rsidR="00D477D8" w:rsidRPr="00D477D8" w:rsidRDefault="00D477D8" w:rsidP="00157DD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60" w:type="dxa"/>
            <w:tcBorders>
              <w:top w:val="nil"/>
              <w:left w:val="nil"/>
              <w:bottom w:val="nil"/>
              <w:right w:val="nil"/>
            </w:tcBorders>
            <w:shd w:val="clear" w:color="auto" w:fill="auto"/>
            <w:noWrap/>
            <w:vAlign w:val="bottom"/>
            <w:hideMark/>
          </w:tcPr>
          <w:p w:rsidR="00D477D8" w:rsidRPr="00D477D8" w:rsidRDefault="00D477D8" w:rsidP="00157DD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1120" w:type="dxa"/>
            <w:tcBorders>
              <w:top w:val="nil"/>
              <w:left w:val="nil"/>
              <w:bottom w:val="nil"/>
              <w:right w:val="single" w:sz="4" w:space="0" w:color="auto"/>
            </w:tcBorders>
            <w:shd w:val="clear" w:color="auto" w:fill="auto"/>
            <w:noWrap/>
            <w:vAlign w:val="bottom"/>
            <w:hideMark/>
          </w:tcPr>
          <w:p w:rsidR="00D477D8" w:rsidRPr="00D477D8" w:rsidRDefault="00D477D8" w:rsidP="00157DD2">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 xml:space="preserve">                -   </w:t>
            </w:r>
          </w:p>
        </w:tc>
      </w:tr>
      <w:tr w:rsidR="00D477D8" w:rsidRPr="00D477D8" w:rsidTr="00D477D8">
        <w:trPr>
          <w:trHeight w:val="255"/>
        </w:trPr>
        <w:tc>
          <w:tcPr>
            <w:tcW w:w="3084" w:type="dxa"/>
            <w:tcBorders>
              <w:top w:val="nil"/>
              <w:left w:val="single" w:sz="4" w:space="0" w:color="auto"/>
              <w:bottom w:val="nil"/>
              <w:right w:val="nil"/>
            </w:tcBorders>
            <w:shd w:val="clear" w:color="auto" w:fill="auto"/>
            <w:hideMark/>
          </w:tcPr>
          <w:p w:rsidR="00D477D8" w:rsidRPr="00D477D8" w:rsidRDefault="00D477D8" w:rsidP="00D477D8">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8"/>
                <w:szCs w:val="18"/>
                <w:lang w:val="en-US" w:eastAsia="zh-CN"/>
              </w:rPr>
            </w:pPr>
            <w:r w:rsidRPr="00D477D8">
              <w:rPr>
                <w:rFonts w:ascii="Arial" w:hAnsi="Arial" w:cs="Arial"/>
                <w:color w:val="000000"/>
                <w:sz w:val="18"/>
                <w:szCs w:val="18"/>
                <w:lang w:val="en-US" w:eastAsia="zh-CN"/>
              </w:rPr>
              <w:t>Reclassifications &amp; corrections</w:t>
            </w:r>
          </w:p>
        </w:tc>
        <w:tc>
          <w:tcPr>
            <w:tcW w:w="1036" w:type="dxa"/>
            <w:tcBorders>
              <w:top w:val="nil"/>
              <w:left w:val="nil"/>
              <w:bottom w:val="nil"/>
              <w:right w:val="nil"/>
            </w:tcBorders>
            <w:shd w:val="clear" w:color="auto" w:fill="auto"/>
            <w:hideMark/>
          </w:tcPr>
          <w:p w:rsidR="00D477D8" w:rsidRPr="00D477D8" w:rsidRDefault="00D477D8" w:rsidP="00157DD2">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p>
        </w:tc>
        <w:tc>
          <w:tcPr>
            <w:tcW w:w="1000" w:type="dxa"/>
            <w:tcBorders>
              <w:top w:val="nil"/>
              <w:left w:val="nil"/>
              <w:bottom w:val="nil"/>
              <w:right w:val="nil"/>
            </w:tcBorders>
            <w:shd w:val="clear" w:color="auto" w:fill="auto"/>
            <w:hideMark/>
          </w:tcPr>
          <w:p w:rsidR="00D477D8" w:rsidRPr="00D477D8" w:rsidRDefault="00D477D8" w:rsidP="00EF208A">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D477D8">
              <w:rPr>
                <w:rFonts w:ascii="Arial" w:hAnsi="Arial" w:cs="Arial"/>
                <w:color w:val="000000"/>
                <w:sz w:val="18"/>
                <w:szCs w:val="18"/>
                <w:lang w:val="en-US" w:eastAsia="zh-CN"/>
              </w:rPr>
              <w:t xml:space="preserve">          -14 </w:t>
            </w:r>
          </w:p>
        </w:tc>
        <w:tc>
          <w:tcPr>
            <w:tcW w:w="1006" w:type="dxa"/>
            <w:tcBorders>
              <w:top w:val="nil"/>
              <w:left w:val="nil"/>
              <w:bottom w:val="nil"/>
              <w:right w:val="nil"/>
            </w:tcBorders>
            <w:shd w:val="clear" w:color="auto" w:fill="auto"/>
            <w:hideMark/>
          </w:tcPr>
          <w:p w:rsidR="00D477D8" w:rsidRPr="00D477D8" w:rsidRDefault="00D477D8" w:rsidP="00157DD2">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p>
        </w:tc>
        <w:tc>
          <w:tcPr>
            <w:tcW w:w="1127" w:type="dxa"/>
            <w:tcBorders>
              <w:top w:val="nil"/>
              <w:left w:val="nil"/>
              <w:bottom w:val="nil"/>
              <w:right w:val="nil"/>
            </w:tcBorders>
            <w:shd w:val="clear" w:color="auto" w:fill="auto"/>
            <w:hideMark/>
          </w:tcPr>
          <w:p w:rsidR="00D477D8" w:rsidRPr="00D477D8" w:rsidRDefault="00D477D8" w:rsidP="00157DD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47" w:type="dxa"/>
            <w:tcBorders>
              <w:top w:val="nil"/>
              <w:left w:val="nil"/>
              <w:bottom w:val="nil"/>
              <w:right w:val="nil"/>
            </w:tcBorders>
            <w:shd w:val="clear" w:color="auto" w:fill="auto"/>
            <w:noWrap/>
            <w:vAlign w:val="bottom"/>
            <w:hideMark/>
          </w:tcPr>
          <w:p w:rsidR="00D477D8" w:rsidRPr="00D477D8" w:rsidRDefault="00D477D8" w:rsidP="00157DD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60" w:type="dxa"/>
            <w:tcBorders>
              <w:top w:val="nil"/>
              <w:left w:val="nil"/>
              <w:bottom w:val="nil"/>
              <w:right w:val="nil"/>
            </w:tcBorders>
            <w:shd w:val="clear" w:color="auto" w:fill="auto"/>
            <w:noWrap/>
            <w:vAlign w:val="bottom"/>
            <w:hideMark/>
          </w:tcPr>
          <w:p w:rsidR="00D477D8" w:rsidRPr="00D477D8" w:rsidRDefault="00D477D8" w:rsidP="00157DD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1120" w:type="dxa"/>
            <w:tcBorders>
              <w:top w:val="nil"/>
              <w:left w:val="nil"/>
              <w:bottom w:val="nil"/>
              <w:right w:val="single" w:sz="4" w:space="0" w:color="auto"/>
            </w:tcBorders>
            <w:shd w:val="clear" w:color="auto" w:fill="auto"/>
            <w:noWrap/>
            <w:vAlign w:val="bottom"/>
            <w:hideMark/>
          </w:tcPr>
          <w:p w:rsidR="00D477D8" w:rsidRPr="00D477D8" w:rsidRDefault="00D477D8" w:rsidP="00EF208A">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 xml:space="preserve">            -</w:t>
            </w:r>
            <w:r w:rsidR="00EF208A">
              <w:rPr>
                <w:rFonts w:ascii="Arial" w:hAnsi="Arial" w:cs="Arial"/>
                <w:b/>
                <w:bCs/>
                <w:color w:val="000000"/>
                <w:sz w:val="18"/>
                <w:szCs w:val="18"/>
                <w:lang w:val="en-US" w:eastAsia="zh-CN"/>
              </w:rPr>
              <w:t>1</w:t>
            </w:r>
            <w:r w:rsidRPr="00D477D8">
              <w:rPr>
                <w:rFonts w:ascii="Arial" w:hAnsi="Arial" w:cs="Arial"/>
                <w:b/>
                <w:bCs/>
                <w:color w:val="000000"/>
                <w:sz w:val="18"/>
                <w:szCs w:val="18"/>
                <w:lang w:val="en-US" w:eastAsia="zh-CN"/>
              </w:rPr>
              <w:t xml:space="preserve">4 </w:t>
            </w:r>
          </w:p>
        </w:tc>
      </w:tr>
      <w:tr w:rsidR="00D477D8" w:rsidRPr="00D477D8" w:rsidTr="00D477D8">
        <w:trPr>
          <w:trHeight w:val="255"/>
        </w:trPr>
        <w:tc>
          <w:tcPr>
            <w:tcW w:w="3084" w:type="dxa"/>
            <w:tcBorders>
              <w:top w:val="nil"/>
              <w:left w:val="single" w:sz="4" w:space="0" w:color="auto"/>
              <w:bottom w:val="nil"/>
              <w:right w:val="nil"/>
            </w:tcBorders>
            <w:shd w:val="clear" w:color="auto" w:fill="auto"/>
            <w:hideMark/>
          </w:tcPr>
          <w:p w:rsidR="00D477D8" w:rsidRPr="00D477D8" w:rsidRDefault="00D477D8" w:rsidP="00D477D8">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8"/>
                <w:szCs w:val="18"/>
                <w:lang w:val="en-US" w:eastAsia="zh-CN"/>
              </w:rPr>
            </w:pPr>
            <w:r w:rsidRPr="00D477D8">
              <w:rPr>
                <w:rFonts w:ascii="Arial" w:hAnsi="Arial" w:cs="Arial"/>
                <w:color w:val="000000"/>
                <w:sz w:val="18"/>
                <w:szCs w:val="18"/>
                <w:lang w:val="en-US" w:eastAsia="zh-CN"/>
              </w:rPr>
              <w:t>Revaluations</w:t>
            </w:r>
          </w:p>
        </w:tc>
        <w:tc>
          <w:tcPr>
            <w:tcW w:w="1036" w:type="dxa"/>
            <w:tcBorders>
              <w:top w:val="nil"/>
              <w:left w:val="nil"/>
              <w:bottom w:val="nil"/>
              <w:right w:val="nil"/>
            </w:tcBorders>
            <w:shd w:val="clear" w:color="auto" w:fill="auto"/>
            <w:hideMark/>
          </w:tcPr>
          <w:p w:rsidR="00D477D8" w:rsidRPr="00D477D8" w:rsidRDefault="00D477D8" w:rsidP="00157DD2">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p>
        </w:tc>
        <w:tc>
          <w:tcPr>
            <w:tcW w:w="1000" w:type="dxa"/>
            <w:tcBorders>
              <w:top w:val="nil"/>
              <w:left w:val="nil"/>
              <w:bottom w:val="nil"/>
              <w:right w:val="nil"/>
            </w:tcBorders>
            <w:shd w:val="clear" w:color="auto" w:fill="auto"/>
            <w:hideMark/>
          </w:tcPr>
          <w:p w:rsidR="00D477D8" w:rsidRPr="00D477D8" w:rsidRDefault="00D477D8" w:rsidP="00157DD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1006" w:type="dxa"/>
            <w:tcBorders>
              <w:top w:val="nil"/>
              <w:left w:val="nil"/>
              <w:bottom w:val="nil"/>
              <w:right w:val="nil"/>
            </w:tcBorders>
            <w:shd w:val="clear" w:color="auto" w:fill="auto"/>
            <w:hideMark/>
          </w:tcPr>
          <w:p w:rsidR="00D477D8" w:rsidRPr="00D477D8" w:rsidRDefault="00D477D8" w:rsidP="00157DD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1127" w:type="dxa"/>
            <w:tcBorders>
              <w:top w:val="nil"/>
              <w:left w:val="nil"/>
              <w:bottom w:val="nil"/>
              <w:right w:val="nil"/>
            </w:tcBorders>
            <w:shd w:val="clear" w:color="auto" w:fill="auto"/>
            <w:hideMark/>
          </w:tcPr>
          <w:p w:rsidR="00D477D8" w:rsidRPr="00D477D8" w:rsidRDefault="00D477D8" w:rsidP="00157DD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47" w:type="dxa"/>
            <w:tcBorders>
              <w:top w:val="nil"/>
              <w:left w:val="nil"/>
              <w:bottom w:val="nil"/>
              <w:right w:val="nil"/>
            </w:tcBorders>
            <w:shd w:val="clear" w:color="auto" w:fill="auto"/>
            <w:noWrap/>
            <w:vAlign w:val="bottom"/>
            <w:hideMark/>
          </w:tcPr>
          <w:p w:rsidR="00D477D8" w:rsidRPr="00D477D8" w:rsidRDefault="00D477D8" w:rsidP="00157DD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60" w:type="dxa"/>
            <w:tcBorders>
              <w:top w:val="nil"/>
              <w:left w:val="nil"/>
              <w:bottom w:val="nil"/>
              <w:right w:val="nil"/>
            </w:tcBorders>
            <w:shd w:val="clear" w:color="auto" w:fill="auto"/>
            <w:noWrap/>
            <w:vAlign w:val="bottom"/>
            <w:hideMark/>
          </w:tcPr>
          <w:p w:rsidR="00D477D8" w:rsidRPr="00D477D8" w:rsidRDefault="00D477D8" w:rsidP="00157DD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1120" w:type="dxa"/>
            <w:tcBorders>
              <w:top w:val="nil"/>
              <w:left w:val="nil"/>
              <w:bottom w:val="single" w:sz="4" w:space="0" w:color="auto"/>
              <w:right w:val="single" w:sz="4" w:space="0" w:color="auto"/>
            </w:tcBorders>
            <w:shd w:val="clear" w:color="auto" w:fill="auto"/>
            <w:noWrap/>
            <w:vAlign w:val="bottom"/>
            <w:hideMark/>
          </w:tcPr>
          <w:p w:rsidR="00D477D8" w:rsidRPr="00D477D8" w:rsidRDefault="00D477D8" w:rsidP="00157DD2">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 xml:space="preserve">                -   </w:t>
            </w:r>
          </w:p>
        </w:tc>
      </w:tr>
      <w:tr w:rsidR="00D477D8" w:rsidRPr="00D477D8" w:rsidTr="00D477D8">
        <w:trPr>
          <w:trHeight w:val="255"/>
        </w:trPr>
        <w:tc>
          <w:tcPr>
            <w:tcW w:w="3084" w:type="dxa"/>
            <w:tcBorders>
              <w:top w:val="single" w:sz="4" w:space="0" w:color="auto"/>
              <w:left w:val="single" w:sz="4" w:space="0" w:color="auto"/>
              <w:bottom w:val="single" w:sz="4" w:space="0" w:color="auto"/>
              <w:right w:val="nil"/>
            </w:tcBorders>
            <w:shd w:val="clear" w:color="auto" w:fill="auto"/>
            <w:vAlign w:val="center"/>
            <w:hideMark/>
          </w:tcPr>
          <w:p w:rsidR="00D477D8" w:rsidRPr="00D477D8" w:rsidRDefault="00D477D8" w:rsidP="00D477D8">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Depreciation at 31 December</w:t>
            </w:r>
          </w:p>
        </w:tc>
        <w:tc>
          <w:tcPr>
            <w:tcW w:w="1036" w:type="dxa"/>
            <w:tcBorders>
              <w:top w:val="single" w:sz="4" w:space="0" w:color="auto"/>
              <w:left w:val="nil"/>
              <w:bottom w:val="single" w:sz="4" w:space="0" w:color="auto"/>
              <w:right w:val="nil"/>
            </w:tcBorders>
            <w:shd w:val="clear" w:color="auto" w:fill="auto"/>
            <w:vAlign w:val="center"/>
            <w:hideMark/>
          </w:tcPr>
          <w:p w:rsidR="00D477D8" w:rsidRPr="00D477D8" w:rsidRDefault="00D477D8" w:rsidP="00157DD2">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 xml:space="preserve">     27,153 </w:t>
            </w:r>
          </w:p>
        </w:tc>
        <w:tc>
          <w:tcPr>
            <w:tcW w:w="1000" w:type="dxa"/>
            <w:tcBorders>
              <w:top w:val="single" w:sz="4" w:space="0" w:color="auto"/>
              <w:left w:val="nil"/>
              <w:bottom w:val="single" w:sz="4" w:space="0" w:color="auto"/>
              <w:right w:val="nil"/>
            </w:tcBorders>
            <w:shd w:val="clear" w:color="auto" w:fill="auto"/>
            <w:vAlign w:val="center"/>
            <w:hideMark/>
          </w:tcPr>
          <w:p w:rsidR="00D477D8" w:rsidRPr="00D477D8" w:rsidRDefault="00D477D8" w:rsidP="00157DD2">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 xml:space="preserve">      2,083 </w:t>
            </w:r>
          </w:p>
        </w:tc>
        <w:tc>
          <w:tcPr>
            <w:tcW w:w="1006" w:type="dxa"/>
            <w:tcBorders>
              <w:top w:val="single" w:sz="4" w:space="0" w:color="auto"/>
              <w:left w:val="nil"/>
              <w:bottom w:val="single" w:sz="4" w:space="0" w:color="auto"/>
              <w:right w:val="nil"/>
            </w:tcBorders>
            <w:shd w:val="clear" w:color="auto" w:fill="auto"/>
            <w:vAlign w:val="center"/>
            <w:hideMark/>
          </w:tcPr>
          <w:p w:rsidR="00D477D8" w:rsidRPr="00D477D8" w:rsidRDefault="00D477D8" w:rsidP="00157DD2">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 xml:space="preserve">      1,585 </w:t>
            </w:r>
          </w:p>
        </w:tc>
        <w:tc>
          <w:tcPr>
            <w:tcW w:w="1127" w:type="dxa"/>
            <w:tcBorders>
              <w:top w:val="single" w:sz="4" w:space="0" w:color="auto"/>
              <w:left w:val="nil"/>
              <w:bottom w:val="single" w:sz="4" w:space="0" w:color="auto"/>
              <w:right w:val="nil"/>
            </w:tcBorders>
            <w:shd w:val="clear" w:color="auto" w:fill="auto"/>
            <w:vAlign w:val="center"/>
            <w:hideMark/>
          </w:tcPr>
          <w:p w:rsidR="00D477D8" w:rsidRPr="00D477D8" w:rsidRDefault="00D477D8" w:rsidP="00157DD2">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 xml:space="preserve">         7,928 </w:t>
            </w:r>
          </w:p>
        </w:tc>
        <w:tc>
          <w:tcPr>
            <w:tcW w:w="947" w:type="dxa"/>
            <w:tcBorders>
              <w:top w:val="single" w:sz="4" w:space="0" w:color="auto"/>
              <w:left w:val="nil"/>
              <w:bottom w:val="single" w:sz="4" w:space="0" w:color="auto"/>
              <w:right w:val="nil"/>
            </w:tcBorders>
            <w:shd w:val="clear" w:color="auto" w:fill="auto"/>
            <w:vAlign w:val="center"/>
            <w:hideMark/>
          </w:tcPr>
          <w:p w:rsidR="00D477D8" w:rsidRPr="00D477D8" w:rsidRDefault="00D477D8" w:rsidP="00157DD2">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 xml:space="preserve">        319 </w:t>
            </w:r>
          </w:p>
        </w:tc>
        <w:tc>
          <w:tcPr>
            <w:tcW w:w="960" w:type="dxa"/>
            <w:tcBorders>
              <w:top w:val="single" w:sz="4" w:space="0" w:color="auto"/>
              <w:left w:val="nil"/>
              <w:bottom w:val="single" w:sz="4" w:space="0" w:color="auto"/>
              <w:right w:val="nil"/>
            </w:tcBorders>
            <w:shd w:val="clear" w:color="auto" w:fill="auto"/>
            <w:vAlign w:val="center"/>
            <w:hideMark/>
          </w:tcPr>
          <w:p w:rsidR="00D477D8" w:rsidRPr="00D477D8" w:rsidRDefault="00D477D8" w:rsidP="00157DD2">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 xml:space="preserve">   15,783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D477D8" w:rsidRPr="00D477D8" w:rsidRDefault="00D477D8" w:rsidP="00157DD2">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 xml:space="preserve">       54,851 </w:t>
            </w:r>
          </w:p>
        </w:tc>
      </w:tr>
      <w:tr w:rsidR="00D477D8" w:rsidRPr="00D477D8" w:rsidTr="00D477D8">
        <w:trPr>
          <w:trHeight w:val="255"/>
        </w:trPr>
        <w:tc>
          <w:tcPr>
            <w:tcW w:w="3084" w:type="dxa"/>
            <w:tcBorders>
              <w:top w:val="nil"/>
              <w:left w:val="single" w:sz="4" w:space="0" w:color="auto"/>
              <w:bottom w:val="single" w:sz="4" w:space="0" w:color="auto"/>
              <w:right w:val="nil"/>
            </w:tcBorders>
            <w:shd w:val="clear" w:color="auto" w:fill="auto"/>
            <w:vAlign w:val="center"/>
            <w:hideMark/>
          </w:tcPr>
          <w:p w:rsidR="00D477D8" w:rsidRPr="00D477D8" w:rsidRDefault="00D477D8" w:rsidP="00D477D8">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Net carrying amount at 1 January</w:t>
            </w:r>
          </w:p>
        </w:tc>
        <w:tc>
          <w:tcPr>
            <w:tcW w:w="1036" w:type="dxa"/>
            <w:tcBorders>
              <w:top w:val="nil"/>
              <w:left w:val="nil"/>
              <w:bottom w:val="single" w:sz="4" w:space="0" w:color="auto"/>
              <w:right w:val="nil"/>
            </w:tcBorders>
            <w:shd w:val="clear" w:color="auto" w:fill="auto"/>
            <w:vAlign w:val="center"/>
            <w:hideMark/>
          </w:tcPr>
          <w:p w:rsidR="00D477D8" w:rsidRPr="00D477D8" w:rsidRDefault="00D477D8" w:rsidP="00157DD2">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 xml:space="preserve">  100,556 </w:t>
            </w:r>
          </w:p>
        </w:tc>
        <w:tc>
          <w:tcPr>
            <w:tcW w:w="1000" w:type="dxa"/>
            <w:tcBorders>
              <w:top w:val="nil"/>
              <w:left w:val="nil"/>
              <w:bottom w:val="single" w:sz="4" w:space="0" w:color="auto"/>
              <w:right w:val="nil"/>
            </w:tcBorders>
            <w:shd w:val="clear" w:color="auto" w:fill="auto"/>
            <w:vAlign w:val="center"/>
            <w:hideMark/>
          </w:tcPr>
          <w:p w:rsidR="00D477D8" w:rsidRPr="00D477D8" w:rsidRDefault="00D477D8" w:rsidP="00157DD2">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 xml:space="preserve">           69 </w:t>
            </w:r>
          </w:p>
        </w:tc>
        <w:tc>
          <w:tcPr>
            <w:tcW w:w="1006" w:type="dxa"/>
            <w:tcBorders>
              <w:top w:val="nil"/>
              <w:left w:val="nil"/>
              <w:bottom w:val="single" w:sz="4" w:space="0" w:color="auto"/>
              <w:right w:val="nil"/>
            </w:tcBorders>
            <w:shd w:val="clear" w:color="auto" w:fill="auto"/>
            <w:vAlign w:val="center"/>
            <w:hideMark/>
          </w:tcPr>
          <w:p w:rsidR="00D477D8" w:rsidRPr="00D477D8" w:rsidRDefault="00D477D8" w:rsidP="00157DD2">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 xml:space="preserve">           19 </w:t>
            </w:r>
          </w:p>
        </w:tc>
        <w:tc>
          <w:tcPr>
            <w:tcW w:w="1127" w:type="dxa"/>
            <w:tcBorders>
              <w:top w:val="nil"/>
              <w:left w:val="nil"/>
              <w:bottom w:val="single" w:sz="4" w:space="0" w:color="auto"/>
              <w:right w:val="nil"/>
            </w:tcBorders>
            <w:shd w:val="clear" w:color="auto" w:fill="auto"/>
            <w:vAlign w:val="center"/>
            <w:hideMark/>
          </w:tcPr>
          <w:p w:rsidR="00D477D8" w:rsidRPr="00D477D8" w:rsidRDefault="00D477D8" w:rsidP="00157DD2">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 xml:space="preserve">            707 </w:t>
            </w:r>
          </w:p>
        </w:tc>
        <w:tc>
          <w:tcPr>
            <w:tcW w:w="947" w:type="dxa"/>
            <w:tcBorders>
              <w:top w:val="nil"/>
              <w:left w:val="nil"/>
              <w:bottom w:val="single" w:sz="4" w:space="0" w:color="auto"/>
              <w:right w:val="nil"/>
            </w:tcBorders>
            <w:shd w:val="clear" w:color="auto" w:fill="auto"/>
            <w:vAlign w:val="center"/>
            <w:hideMark/>
          </w:tcPr>
          <w:p w:rsidR="00D477D8" w:rsidRPr="00D477D8" w:rsidRDefault="00D477D8" w:rsidP="00157DD2">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 xml:space="preserve">          81 </w:t>
            </w:r>
          </w:p>
        </w:tc>
        <w:tc>
          <w:tcPr>
            <w:tcW w:w="960" w:type="dxa"/>
            <w:tcBorders>
              <w:top w:val="nil"/>
              <w:left w:val="nil"/>
              <w:bottom w:val="single" w:sz="4" w:space="0" w:color="auto"/>
              <w:right w:val="nil"/>
            </w:tcBorders>
            <w:shd w:val="clear" w:color="auto" w:fill="auto"/>
            <w:vAlign w:val="center"/>
            <w:hideMark/>
          </w:tcPr>
          <w:p w:rsidR="00D477D8" w:rsidRPr="00D477D8" w:rsidRDefault="00D477D8" w:rsidP="00157DD2">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 xml:space="preserve">             -   </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D477D8" w:rsidRPr="00D477D8" w:rsidRDefault="00D477D8" w:rsidP="00157DD2">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 xml:space="preserve">     101,432 </w:t>
            </w:r>
          </w:p>
        </w:tc>
      </w:tr>
      <w:tr w:rsidR="00D477D8" w:rsidRPr="00D477D8" w:rsidTr="00D477D8">
        <w:trPr>
          <w:trHeight w:val="480"/>
        </w:trPr>
        <w:tc>
          <w:tcPr>
            <w:tcW w:w="3084" w:type="dxa"/>
            <w:tcBorders>
              <w:top w:val="nil"/>
              <w:left w:val="single" w:sz="4" w:space="0" w:color="auto"/>
              <w:bottom w:val="single" w:sz="4" w:space="0" w:color="auto"/>
              <w:right w:val="nil"/>
            </w:tcBorders>
            <w:shd w:val="clear" w:color="auto" w:fill="auto"/>
            <w:vAlign w:val="center"/>
            <w:hideMark/>
          </w:tcPr>
          <w:p w:rsidR="00D477D8" w:rsidRPr="00D477D8" w:rsidRDefault="00D477D8" w:rsidP="00D477D8">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Net carrying amount at 31 December</w:t>
            </w:r>
          </w:p>
        </w:tc>
        <w:tc>
          <w:tcPr>
            <w:tcW w:w="1036" w:type="dxa"/>
            <w:tcBorders>
              <w:top w:val="nil"/>
              <w:left w:val="nil"/>
              <w:bottom w:val="single" w:sz="4" w:space="0" w:color="auto"/>
              <w:right w:val="nil"/>
            </w:tcBorders>
            <w:shd w:val="clear" w:color="auto" w:fill="auto"/>
            <w:vAlign w:val="center"/>
            <w:hideMark/>
          </w:tcPr>
          <w:p w:rsidR="00D477D8" w:rsidRPr="00D477D8" w:rsidRDefault="00D477D8" w:rsidP="00157DD2">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 xml:space="preserve">     97,723 </w:t>
            </w:r>
          </w:p>
        </w:tc>
        <w:tc>
          <w:tcPr>
            <w:tcW w:w="1000" w:type="dxa"/>
            <w:tcBorders>
              <w:top w:val="nil"/>
              <w:left w:val="nil"/>
              <w:bottom w:val="single" w:sz="4" w:space="0" w:color="auto"/>
              <w:right w:val="nil"/>
            </w:tcBorders>
            <w:shd w:val="clear" w:color="auto" w:fill="auto"/>
            <w:vAlign w:val="center"/>
            <w:hideMark/>
          </w:tcPr>
          <w:p w:rsidR="00D477D8" w:rsidRPr="00D477D8" w:rsidRDefault="00D477D8" w:rsidP="00157DD2">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 xml:space="preserve">           66 </w:t>
            </w:r>
          </w:p>
        </w:tc>
        <w:tc>
          <w:tcPr>
            <w:tcW w:w="1006" w:type="dxa"/>
            <w:tcBorders>
              <w:top w:val="nil"/>
              <w:left w:val="nil"/>
              <w:bottom w:val="single" w:sz="4" w:space="0" w:color="auto"/>
              <w:right w:val="nil"/>
            </w:tcBorders>
            <w:shd w:val="clear" w:color="auto" w:fill="auto"/>
            <w:vAlign w:val="center"/>
            <w:hideMark/>
          </w:tcPr>
          <w:p w:rsidR="00D477D8" w:rsidRPr="00D477D8" w:rsidRDefault="00D477D8" w:rsidP="00157DD2">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 xml:space="preserve">           56 </w:t>
            </w:r>
          </w:p>
        </w:tc>
        <w:tc>
          <w:tcPr>
            <w:tcW w:w="1127" w:type="dxa"/>
            <w:tcBorders>
              <w:top w:val="nil"/>
              <w:left w:val="nil"/>
              <w:bottom w:val="single" w:sz="4" w:space="0" w:color="auto"/>
              <w:right w:val="nil"/>
            </w:tcBorders>
            <w:shd w:val="clear" w:color="auto" w:fill="auto"/>
            <w:vAlign w:val="center"/>
            <w:hideMark/>
          </w:tcPr>
          <w:p w:rsidR="00D477D8" w:rsidRPr="00D477D8" w:rsidRDefault="00D477D8" w:rsidP="00157DD2">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 xml:space="preserve">         1,091 </w:t>
            </w:r>
          </w:p>
        </w:tc>
        <w:tc>
          <w:tcPr>
            <w:tcW w:w="947" w:type="dxa"/>
            <w:tcBorders>
              <w:top w:val="nil"/>
              <w:left w:val="nil"/>
              <w:bottom w:val="single" w:sz="4" w:space="0" w:color="auto"/>
              <w:right w:val="nil"/>
            </w:tcBorders>
            <w:shd w:val="clear" w:color="auto" w:fill="auto"/>
            <w:vAlign w:val="center"/>
            <w:hideMark/>
          </w:tcPr>
          <w:p w:rsidR="00D477D8" w:rsidRPr="00D477D8" w:rsidRDefault="00D477D8" w:rsidP="00157DD2">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 xml:space="preserve">          64 </w:t>
            </w:r>
          </w:p>
        </w:tc>
        <w:tc>
          <w:tcPr>
            <w:tcW w:w="960" w:type="dxa"/>
            <w:tcBorders>
              <w:top w:val="nil"/>
              <w:left w:val="nil"/>
              <w:bottom w:val="single" w:sz="4" w:space="0" w:color="auto"/>
              <w:right w:val="nil"/>
            </w:tcBorders>
            <w:shd w:val="clear" w:color="auto" w:fill="auto"/>
            <w:vAlign w:val="center"/>
            <w:hideMark/>
          </w:tcPr>
          <w:p w:rsidR="00D477D8" w:rsidRPr="00D477D8" w:rsidRDefault="00D477D8" w:rsidP="00157DD2">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D477D8" w:rsidRPr="00D477D8" w:rsidRDefault="00D477D8" w:rsidP="00157DD2">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 xml:space="preserve">       99,000 </w:t>
            </w:r>
          </w:p>
        </w:tc>
      </w:tr>
    </w:tbl>
    <w:p w:rsidR="00FF2EDE" w:rsidRDefault="00FF2EDE" w:rsidP="00C83CFB">
      <w:pPr>
        <w:pStyle w:val="Heading5"/>
        <w:spacing w:after="200"/>
        <w:jc w:val="both"/>
        <w:rPr>
          <w:lang w:val="en-US"/>
        </w:rPr>
      </w:pPr>
      <w:bookmarkStart w:id="81" w:name="_Toc305764087"/>
      <w:bookmarkStart w:id="82" w:name="_Toc329011637"/>
    </w:p>
    <w:p w:rsidR="00FF2EDE" w:rsidRDefault="00FF2EDE">
      <w:pPr>
        <w:tabs>
          <w:tab w:val="clear" w:pos="567"/>
          <w:tab w:val="clear" w:pos="1134"/>
          <w:tab w:val="clear" w:pos="1701"/>
          <w:tab w:val="clear" w:pos="2268"/>
          <w:tab w:val="clear" w:pos="2835"/>
        </w:tabs>
        <w:overflowPunct/>
        <w:autoSpaceDE/>
        <w:autoSpaceDN/>
        <w:adjustRightInd/>
        <w:spacing w:before="0"/>
        <w:textAlignment w:val="auto"/>
        <w:rPr>
          <w:b/>
          <w:lang w:val="en-US"/>
        </w:rPr>
      </w:pPr>
      <w:r>
        <w:rPr>
          <w:lang w:val="en-US"/>
        </w:rPr>
        <w:br w:type="page"/>
      </w:r>
    </w:p>
    <w:p w:rsidR="0022373A" w:rsidRDefault="0022373A" w:rsidP="00C83CFB">
      <w:pPr>
        <w:pStyle w:val="Heading5"/>
        <w:spacing w:after="200"/>
        <w:jc w:val="both"/>
        <w:rPr>
          <w:lang w:val="en-US"/>
        </w:rPr>
      </w:pPr>
      <w:r w:rsidRPr="001C2A98">
        <w:rPr>
          <w:lang w:val="en-US"/>
        </w:rPr>
        <w:t>Note 1</w:t>
      </w:r>
      <w:r w:rsidR="00C83CFB">
        <w:rPr>
          <w:lang w:val="en-US"/>
        </w:rPr>
        <w:t>2</w:t>
      </w:r>
      <w:r w:rsidRPr="001C2A98">
        <w:rPr>
          <w:lang w:val="en-US"/>
        </w:rPr>
        <w:tab/>
        <w:t>Intangible assets</w:t>
      </w:r>
      <w:bookmarkEnd w:id="81"/>
      <w:bookmarkEnd w:id="82"/>
    </w:p>
    <w:tbl>
      <w:tblPr>
        <w:tblW w:w="7632" w:type="dxa"/>
        <w:tblInd w:w="-5" w:type="dxa"/>
        <w:tblLook w:val="04A0" w:firstRow="1" w:lastRow="0" w:firstColumn="1" w:lastColumn="0" w:noHBand="0" w:noVBand="1"/>
      </w:tblPr>
      <w:tblGrid>
        <w:gridCol w:w="3686"/>
        <w:gridCol w:w="1276"/>
        <w:gridCol w:w="1340"/>
        <w:gridCol w:w="1330"/>
      </w:tblGrid>
      <w:tr w:rsidR="000A6EEF" w:rsidRPr="000A6EEF" w:rsidTr="000A6EEF">
        <w:trPr>
          <w:trHeight w:val="255"/>
        </w:trPr>
        <w:tc>
          <w:tcPr>
            <w:tcW w:w="3686" w:type="dxa"/>
            <w:tcBorders>
              <w:top w:val="single" w:sz="4" w:space="0" w:color="auto"/>
              <w:left w:val="single" w:sz="4" w:space="0" w:color="auto"/>
              <w:bottom w:val="nil"/>
              <w:right w:val="nil"/>
            </w:tcBorders>
            <w:shd w:val="clear" w:color="auto" w:fill="auto"/>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8"/>
                <w:szCs w:val="18"/>
                <w:lang w:val="en-US" w:eastAsia="zh-CN"/>
              </w:rPr>
            </w:pPr>
            <w:r w:rsidRPr="000A6EEF">
              <w:rPr>
                <w:rFonts w:ascii="Arial" w:hAnsi="Arial" w:cs="Arial"/>
                <w:b/>
                <w:bCs/>
                <w:color w:val="000000"/>
                <w:sz w:val="18"/>
                <w:szCs w:val="18"/>
                <w:lang w:val="en-US" w:eastAsia="zh-CN"/>
              </w:rPr>
              <w:t>Category of asset</w:t>
            </w:r>
          </w:p>
        </w:tc>
        <w:tc>
          <w:tcPr>
            <w:tcW w:w="1276" w:type="dxa"/>
            <w:tcBorders>
              <w:top w:val="single" w:sz="4" w:space="0" w:color="auto"/>
              <w:left w:val="single" w:sz="4" w:space="0" w:color="auto"/>
              <w:bottom w:val="single" w:sz="4" w:space="0" w:color="auto"/>
              <w:right w:val="nil"/>
            </w:tcBorders>
            <w:shd w:val="clear" w:color="auto" w:fill="auto"/>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8"/>
                <w:szCs w:val="18"/>
                <w:lang w:val="en-US" w:eastAsia="zh-CN"/>
              </w:rPr>
            </w:pPr>
            <w:r w:rsidRPr="000A6EEF">
              <w:rPr>
                <w:rFonts w:ascii="Arial" w:hAnsi="Arial" w:cs="Arial"/>
                <w:b/>
                <w:bCs/>
                <w:color w:val="000000"/>
                <w:sz w:val="18"/>
                <w:szCs w:val="18"/>
                <w:lang w:val="en-US" w:eastAsia="zh-CN"/>
              </w:rPr>
              <w:t>Internal Dev</w:t>
            </w:r>
          </w:p>
        </w:tc>
        <w:tc>
          <w:tcPr>
            <w:tcW w:w="1340" w:type="dxa"/>
            <w:tcBorders>
              <w:top w:val="single" w:sz="4" w:space="0" w:color="auto"/>
              <w:left w:val="nil"/>
              <w:bottom w:val="single" w:sz="4" w:space="0" w:color="auto"/>
              <w:right w:val="single" w:sz="4" w:space="0" w:color="auto"/>
            </w:tcBorders>
            <w:shd w:val="clear" w:color="auto" w:fill="auto"/>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8"/>
                <w:szCs w:val="18"/>
                <w:lang w:val="en-US" w:eastAsia="zh-CN"/>
              </w:rPr>
            </w:pPr>
            <w:r w:rsidRPr="000A6EEF">
              <w:rPr>
                <w:rFonts w:ascii="Arial" w:hAnsi="Arial" w:cs="Arial"/>
                <w:b/>
                <w:bCs/>
                <w:color w:val="000000"/>
                <w:sz w:val="18"/>
                <w:szCs w:val="18"/>
                <w:lang w:val="en-US" w:eastAsia="zh-CN"/>
              </w:rPr>
              <w:t>Software</w:t>
            </w:r>
          </w:p>
        </w:tc>
        <w:tc>
          <w:tcPr>
            <w:tcW w:w="1330" w:type="dxa"/>
            <w:tcBorders>
              <w:top w:val="single" w:sz="4" w:space="0" w:color="auto"/>
              <w:left w:val="nil"/>
              <w:bottom w:val="single" w:sz="4" w:space="0" w:color="auto"/>
              <w:right w:val="single" w:sz="4" w:space="0" w:color="auto"/>
            </w:tcBorders>
            <w:shd w:val="clear" w:color="auto" w:fill="auto"/>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8"/>
                <w:szCs w:val="18"/>
                <w:lang w:val="en-US" w:eastAsia="zh-CN"/>
              </w:rPr>
            </w:pPr>
            <w:r w:rsidRPr="000A6EEF">
              <w:rPr>
                <w:rFonts w:ascii="Arial" w:hAnsi="Arial" w:cs="Arial"/>
                <w:b/>
                <w:bCs/>
                <w:color w:val="000000"/>
                <w:sz w:val="18"/>
                <w:szCs w:val="18"/>
                <w:lang w:val="en-US" w:eastAsia="zh-CN"/>
              </w:rPr>
              <w:t xml:space="preserve">Total </w:t>
            </w:r>
          </w:p>
        </w:tc>
      </w:tr>
      <w:tr w:rsidR="000A6EEF" w:rsidRPr="000A6EEF" w:rsidTr="000A6EEF">
        <w:trPr>
          <w:trHeight w:val="255"/>
        </w:trPr>
        <w:tc>
          <w:tcPr>
            <w:tcW w:w="3686" w:type="dxa"/>
            <w:tcBorders>
              <w:top w:val="single" w:sz="4" w:space="0" w:color="auto"/>
              <w:left w:val="single" w:sz="4" w:space="0" w:color="auto"/>
              <w:bottom w:val="nil"/>
              <w:right w:val="nil"/>
            </w:tcBorders>
            <w:shd w:val="clear" w:color="auto" w:fill="auto"/>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8"/>
                <w:szCs w:val="18"/>
                <w:lang w:val="en-US" w:eastAsia="zh-CN"/>
              </w:rPr>
            </w:pPr>
            <w:r w:rsidRPr="000A6EEF">
              <w:rPr>
                <w:rFonts w:ascii="Arial" w:hAnsi="Arial" w:cs="Arial"/>
                <w:b/>
                <w:bCs/>
                <w:color w:val="000000"/>
                <w:sz w:val="18"/>
                <w:szCs w:val="18"/>
                <w:lang w:val="en-US" w:eastAsia="zh-CN"/>
              </w:rPr>
              <w:t> </w:t>
            </w:r>
          </w:p>
        </w:tc>
        <w:tc>
          <w:tcPr>
            <w:tcW w:w="1276" w:type="dxa"/>
            <w:tcBorders>
              <w:top w:val="nil"/>
              <w:left w:val="single" w:sz="4" w:space="0" w:color="auto"/>
              <w:bottom w:val="single" w:sz="4" w:space="0" w:color="auto"/>
              <w:right w:val="single" w:sz="4" w:space="0" w:color="auto"/>
            </w:tcBorders>
            <w:shd w:val="clear" w:color="auto" w:fill="auto"/>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8"/>
                <w:szCs w:val="18"/>
                <w:lang w:val="en-US" w:eastAsia="zh-CN"/>
              </w:rPr>
            </w:pPr>
            <w:r w:rsidRPr="000A6EEF">
              <w:rPr>
                <w:rFonts w:ascii="Arial" w:hAnsi="Arial" w:cs="Arial"/>
                <w:b/>
                <w:bCs/>
                <w:color w:val="000000"/>
                <w:sz w:val="18"/>
                <w:szCs w:val="18"/>
                <w:lang w:val="en-US" w:eastAsia="zh-CN"/>
              </w:rPr>
              <w:t>2017</w:t>
            </w:r>
          </w:p>
        </w:tc>
        <w:tc>
          <w:tcPr>
            <w:tcW w:w="1340" w:type="dxa"/>
            <w:tcBorders>
              <w:top w:val="nil"/>
              <w:left w:val="nil"/>
              <w:bottom w:val="single" w:sz="4" w:space="0" w:color="auto"/>
              <w:right w:val="single" w:sz="4" w:space="0" w:color="auto"/>
            </w:tcBorders>
            <w:shd w:val="clear" w:color="auto" w:fill="auto"/>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8"/>
                <w:szCs w:val="18"/>
                <w:lang w:val="en-US" w:eastAsia="zh-CN"/>
              </w:rPr>
            </w:pPr>
            <w:r w:rsidRPr="000A6EEF">
              <w:rPr>
                <w:rFonts w:ascii="Arial" w:hAnsi="Arial" w:cs="Arial"/>
                <w:b/>
                <w:bCs/>
                <w:color w:val="000000"/>
                <w:sz w:val="18"/>
                <w:szCs w:val="18"/>
                <w:lang w:val="en-US" w:eastAsia="zh-CN"/>
              </w:rPr>
              <w:t>2017</w:t>
            </w:r>
          </w:p>
        </w:tc>
        <w:tc>
          <w:tcPr>
            <w:tcW w:w="1330" w:type="dxa"/>
            <w:tcBorders>
              <w:top w:val="nil"/>
              <w:left w:val="nil"/>
              <w:bottom w:val="single" w:sz="4" w:space="0" w:color="auto"/>
              <w:right w:val="single" w:sz="4" w:space="0" w:color="auto"/>
            </w:tcBorders>
            <w:shd w:val="clear" w:color="auto" w:fill="auto"/>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8"/>
                <w:szCs w:val="18"/>
                <w:lang w:val="en-US" w:eastAsia="zh-CN"/>
              </w:rPr>
            </w:pPr>
            <w:r w:rsidRPr="000A6EEF">
              <w:rPr>
                <w:rFonts w:ascii="Arial" w:hAnsi="Arial" w:cs="Arial"/>
                <w:b/>
                <w:bCs/>
                <w:color w:val="000000"/>
                <w:sz w:val="18"/>
                <w:szCs w:val="18"/>
                <w:lang w:val="en-US" w:eastAsia="zh-CN"/>
              </w:rPr>
              <w:t> </w:t>
            </w:r>
          </w:p>
        </w:tc>
      </w:tr>
      <w:tr w:rsidR="000A6EEF" w:rsidRPr="000A6EEF" w:rsidTr="000A6EEF">
        <w:trPr>
          <w:trHeight w:val="25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8"/>
                <w:szCs w:val="18"/>
                <w:lang w:val="en-US" w:eastAsia="zh-CN"/>
              </w:rPr>
            </w:pPr>
            <w:r w:rsidRPr="000A6EEF">
              <w:rPr>
                <w:rFonts w:ascii="Arial" w:hAnsi="Arial" w:cs="Arial"/>
                <w:b/>
                <w:bCs/>
                <w:color w:val="000000"/>
                <w:sz w:val="18"/>
                <w:szCs w:val="18"/>
                <w:lang w:val="en-US" w:eastAsia="zh-CN"/>
              </w:rPr>
              <w:t>Cost at 1 January</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0A6EEF">
              <w:rPr>
                <w:rFonts w:ascii="Arial" w:hAnsi="Arial" w:cs="Arial"/>
                <w:b/>
                <w:bCs/>
                <w:color w:val="000000"/>
                <w:sz w:val="18"/>
                <w:szCs w:val="18"/>
                <w:lang w:val="en-US" w:eastAsia="zh-CN"/>
              </w:rPr>
              <w:t xml:space="preserve">            </w:t>
            </w:r>
            <w:r>
              <w:rPr>
                <w:rFonts w:ascii="Arial" w:hAnsi="Arial" w:cs="Arial"/>
                <w:b/>
                <w:bCs/>
                <w:color w:val="000000"/>
                <w:sz w:val="18"/>
                <w:szCs w:val="18"/>
                <w:lang w:val="en-US" w:eastAsia="zh-CN"/>
              </w:rPr>
              <w:t>1</w:t>
            </w:r>
            <w:r w:rsidRPr="000A6EEF">
              <w:rPr>
                <w:rFonts w:ascii="Arial" w:hAnsi="Arial" w:cs="Arial"/>
                <w:b/>
                <w:bCs/>
                <w:color w:val="000000"/>
                <w:sz w:val="18"/>
                <w:szCs w:val="18"/>
                <w:lang w:val="en-US" w:eastAsia="zh-CN"/>
              </w:rPr>
              <w:t xml:space="preserve">,737 </w:t>
            </w:r>
          </w:p>
        </w:tc>
        <w:tc>
          <w:tcPr>
            <w:tcW w:w="1340" w:type="dxa"/>
            <w:tcBorders>
              <w:top w:val="nil"/>
              <w:left w:val="nil"/>
              <w:bottom w:val="single" w:sz="4" w:space="0" w:color="auto"/>
              <w:right w:val="single" w:sz="4" w:space="0" w:color="auto"/>
            </w:tcBorders>
            <w:shd w:val="clear" w:color="000000" w:fill="FFFFFF"/>
            <w:noWrap/>
            <w:vAlign w:val="center"/>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0A6EEF">
              <w:rPr>
                <w:rFonts w:ascii="Arial" w:hAnsi="Arial" w:cs="Arial"/>
                <w:b/>
                <w:bCs/>
                <w:color w:val="000000"/>
                <w:sz w:val="18"/>
                <w:szCs w:val="18"/>
                <w:lang w:val="en-US" w:eastAsia="zh-CN"/>
              </w:rPr>
              <w:t xml:space="preserve">             5,603 </w:t>
            </w:r>
          </w:p>
        </w:tc>
        <w:tc>
          <w:tcPr>
            <w:tcW w:w="1330" w:type="dxa"/>
            <w:tcBorders>
              <w:top w:val="nil"/>
              <w:left w:val="nil"/>
              <w:bottom w:val="single" w:sz="4" w:space="0" w:color="auto"/>
              <w:right w:val="single" w:sz="4" w:space="0" w:color="auto"/>
            </w:tcBorders>
            <w:shd w:val="clear" w:color="000000" w:fill="FFFFFF"/>
            <w:noWrap/>
            <w:vAlign w:val="center"/>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0A6EEF">
              <w:rPr>
                <w:rFonts w:ascii="Arial" w:hAnsi="Arial" w:cs="Arial"/>
                <w:b/>
                <w:bCs/>
                <w:color w:val="000000"/>
                <w:sz w:val="18"/>
                <w:szCs w:val="18"/>
                <w:lang w:val="en-US" w:eastAsia="zh-CN"/>
              </w:rPr>
              <w:t xml:space="preserve">     7,854 </w:t>
            </w:r>
          </w:p>
        </w:tc>
      </w:tr>
      <w:tr w:rsidR="000A6EEF" w:rsidRPr="000A6EEF" w:rsidTr="000A6EEF">
        <w:trPr>
          <w:trHeight w:val="255"/>
        </w:trPr>
        <w:tc>
          <w:tcPr>
            <w:tcW w:w="3686" w:type="dxa"/>
            <w:tcBorders>
              <w:top w:val="nil"/>
              <w:left w:val="single" w:sz="4" w:space="0" w:color="auto"/>
              <w:bottom w:val="nil"/>
              <w:right w:val="nil"/>
            </w:tcBorders>
            <w:shd w:val="clear" w:color="auto" w:fill="auto"/>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8"/>
                <w:szCs w:val="18"/>
                <w:lang w:val="en-US" w:eastAsia="zh-CN"/>
              </w:rPr>
            </w:pPr>
            <w:r w:rsidRPr="000A6EEF">
              <w:rPr>
                <w:rFonts w:ascii="Arial" w:hAnsi="Arial" w:cs="Arial"/>
                <w:color w:val="000000"/>
                <w:sz w:val="18"/>
                <w:szCs w:val="18"/>
                <w:lang w:val="en-US" w:eastAsia="zh-CN"/>
              </w:rPr>
              <w:t>Additions</w:t>
            </w:r>
          </w:p>
        </w:tc>
        <w:tc>
          <w:tcPr>
            <w:tcW w:w="1276" w:type="dxa"/>
            <w:tcBorders>
              <w:top w:val="nil"/>
              <w:left w:val="single" w:sz="4" w:space="0" w:color="auto"/>
              <w:bottom w:val="nil"/>
              <w:right w:val="single" w:sz="4" w:space="0" w:color="auto"/>
            </w:tcBorders>
            <w:shd w:val="clear" w:color="auto" w:fill="auto"/>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0A6EEF">
              <w:rPr>
                <w:rFonts w:ascii="Arial" w:hAnsi="Arial" w:cs="Arial"/>
                <w:color w:val="000000"/>
                <w:sz w:val="18"/>
                <w:szCs w:val="18"/>
                <w:lang w:val="en-US" w:eastAsia="zh-CN"/>
              </w:rPr>
              <w:t xml:space="preserve">               117 </w:t>
            </w:r>
          </w:p>
        </w:tc>
        <w:tc>
          <w:tcPr>
            <w:tcW w:w="1340" w:type="dxa"/>
            <w:tcBorders>
              <w:top w:val="nil"/>
              <w:left w:val="nil"/>
              <w:bottom w:val="nil"/>
              <w:right w:val="single" w:sz="4" w:space="0" w:color="auto"/>
            </w:tcBorders>
            <w:shd w:val="clear" w:color="auto" w:fill="auto"/>
            <w:noWrap/>
            <w:vAlign w:val="bottom"/>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0A6EEF">
              <w:rPr>
                <w:rFonts w:ascii="Arial" w:hAnsi="Arial" w:cs="Arial"/>
                <w:color w:val="000000"/>
                <w:sz w:val="18"/>
                <w:szCs w:val="18"/>
                <w:lang w:val="en-US" w:eastAsia="zh-CN"/>
              </w:rPr>
              <w:t xml:space="preserve">               236 </w:t>
            </w:r>
          </w:p>
        </w:tc>
        <w:tc>
          <w:tcPr>
            <w:tcW w:w="1330" w:type="dxa"/>
            <w:tcBorders>
              <w:top w:val="nil"/>
              <w:left w:val="nil"/>
              <w:bottom w:val="nil"/>
              <w:right w:val="single" w:sz="4" w:space="0" w:color="auto"/>
            </w:tcBorders>
            <w:shd w:val="clear" w:color="auto" w:fill="auto"/>
            <w:noWrap/>
            <w:vAlign w:val="bottom"/>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0A6EEF">
              <w:rPr>
                <w:rFonts w:ascii="Arial" w:hAnsi="Arial" w:cs="Arial"/>
                <w:color w:val="000000"/>
                <w:sz w:val="18"/>
                <w:szCs w:val="18"/>
                <w:lang w:val="en-US" w:eastAsia="zh-CN"/>
              </w:rPr>
              <w:t xml:space="preserve">        496 </w:t>
            </w:r>
          </w:p>
        </w:tc>
      </w:tr>
      <w:tr w:rsidR="000A6EEF" w:rsidRPr="000A6EEF" w:rsidTr="000A6EEF">
        <w:trPr>
          <w:trHeight w:val="255"/>
        </w:trPr>
        <w:tc>
          <w:tcPr>
            <w:tcW w:w="3686" w:type="dxa"/>
            <w:tcBorders>
              <w:top w:val="nil"/>
              <w:left w:val="single" w:sz="4" w:space="0" w:color="auto"/>
              <w:bottom w:val="nil"/>
              <w:right w:val="nil"/>
            </w:tcBorders>
            <w:shd w:val="clear" w:color="auto" w:fill="auto"/>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8"/>
                <w:szCs w:val="18"/>
                <w:lang w:val="en-US" w:eastAsia="zh-CN"/>
              </w:rPr>
            </w:pPr>
            <w:r w:rsidRPr="000A6EEF">
              <w:rPr>
                <w:rFonts w:ascii="Arial" w:hAnsi="Arial" w:cs="Arial"/>
                <w:color w:val="000000"/>
                <w:sz w:val="18"/>
                <w:szCs w:val="18"/>
                <w:lang w:val="en-US" w:eastAsia="zh-CN"/>
              </w:rPr>
              <w:t>Gifts</w:t>
            </w:r>
          </w:p>
        </w:tc>
        <w:tc>
          <w:tcPr>
            <w:tcW w:w="1276" w:type="dxa"/>
            <w:tcBorders>
              <w:top w:val="nil"/>
              <w:left w:val="single" w:sz="4" w:space="0" w:color="auto"/>
              <w:bottom w:val="nil"/>
              <w:right w:val="single" w:sz="4" w:space="0" w:color="auto"/>
            </w:tcBorders>
            <w:shd w:val="clear" w:color="auto" w:fill="auto"/>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0A6EEF">
              <w:rPr>
                <w:rFonts w:ascii="Arial" w:hAnsi="Arial" w:cs="Arial"/>
                <w:color w:val="000000"/>
                <w:sz w:val="18"/>
                <w:szCs w:val="18"/>
                <w:lang w:val="en-US" w:eastAsia="zh-CN"/>
              </w:rPr>
              <w:t> </w:t>
            </w:r>
          </w:p>
        </w:tc>
        <w:tc>
          <w:tcPr>
            <w:tcW w:w="1340" w:type="dxa"/>
            <w:tcBorders>
              <w:top w:val="nil"/>
              <w:left w:val="nil"/>
              <w:bottom w:val="nil"/>
              <w:right w:val="single" w:sz="4" w:space="0" w:color="auto"/>
            </w:tcBorders>
            <w:shd w:val="clear" w:color="auto" w:fill="auto"/>
            <w:noWrap/>
            <w:vAlign w:val="bottom"/>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p>
        </w:tc>
        <w:tc>
          <w:tcPr>
            <w:tcW w:w="1330" w:type="dxa"/>
            <w:tcBorders>
              <w:top w:val="nil"/>
              <w:left w:val="nil"/>
              <w:bottom w:val="nil"/>
              <w:right w:val="single" w:sz="4" w:space="0" w:color="auto"/>
            </w:tcBorders>
            <w:shd w:val="clear" w:color="auto" w:fill="auto"/>
            <w:noWrap/>
            <w:vAlign w:val="bottom"/>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0A6EEF">
              <w:rPr>
                <w:rFonts w:ascii="Arial" w:hAnsi="Arial" w:cs="Arial"/>
                <w:color w:val="000000"/>
                <w:sz w:val="18"/>
                <w:szCs w:val="18"/>
                <w:lang w:val="en-US" w:eastAsia="zh-CN"/>
              </w:rPr>
              <w:t xml:space="preserve">             -   </w:t>
            </w:r>
          </w:p>
        </w:tc>
      </w:tr>
      <w:tr w:rsidR="000A6EEF" w:rsidRPr="000A6EEF" w:rsidTr="000A6EEF">
        <w:trPr>
          <w:trHeight w:val="255"/>
        </w:trPr>
        <w:tc>
          <w:tcPr>
            <w:tcW w:w="3686" w:type="dxa"/>
            <w:tcBorders>
              <w:top w:val="nil"/>
              <w:left w:val="single" w:sz="4" w:space="0" w:color="auto"/>
              <w:bottom w:val="nil"/>
              <w:right w:val="nil"/>
            </w:tcBorders>
            <w:shd w:val="clear" w:color="auto" w:fill="auto"/>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8"/>
                <w:szCs w:val="18"/>
                <w:lang w:val="en-US" w:eastAsia="zh-CN"/>
              </w:rPr>
            </w:pPr>
            <w:r w:rsidRPr="000A6EEF">
              <w:rPr>
                <w:rFonts w:ascii="Arial" w:hAnsi="Arial" w:cs="Arial"/>
                <w:color w:val="000000"/>
                <w:sz w:val="18"/>
                <w:szCs w:val="18"/>
                <w:lang w:val="en-US" w:eastAsia="zh-CN"/>
              </w:rPr>
              <w:t>Disposals</w:t>
            </w:r>
          </w:p>
        </w:tc>
        <w:tc>
          <w:tcPr>
            <w:tcW w:w="1276" w:type="dxa"/>
            <w:tcBorders>
              <w:top w:val="nil"/>
              <w:left w:val="single" w:sz="4" w:space="0" w:color="auto"/>
              <w:bottom w:val="nil"/>
              <w:right w:val="single" w:sz="4" w:space="0" w:color="auto"/>
            </w:tcBorders>
            <w:shd w:val="clear" w:color="auto" w:fill="auto"/>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0A6EEF">
              <w:rPr>
                <w:rFonts w:ascii="Arial" w:hAnsi="Arial" w:cs="Arial"/>
                <w:color w:val="000000"/>
                <w:sz w:val="18"/>
                <w:szCs w:val="18"/>
                <w:lang w:val="en-US" w:eastAsia="zh-CN"/>
              </w:rPr>
              <w:t> </w:t>
            </w:r>
          </w:p>
        </w:tc>
        <w:tc>
          <w:tcPr>
            <w:tcW w:w="1340" w:type="dxa"/>
            <w:tcBorders>
              <w:top w:val="nil"/>
              <w:left w:val="nil"/>
              <w:bottom w:val="nil"/>
              <w:right w:val="single" w:sz="4" w:space="0" w:color="auto"/>
            </w:tcBorders>
            <w:shd w:val="clear" w:color="auto" w:fill="auto"/>
            <w:noWrap/>
            <w:vAlign w:val="bottom"/>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0A6EEF">
              <w:rPr>
                <w:rFonts w:ascii="Arial" w:hAnsi="Arial" w:cs="Arial"/>
                <w:color w:val="000000"/>
                <w:sz w:val="18"/>
                <w:szCs w:val="18"/>
                <w:lang w:val="en-US" w:eastAsia="zh-CN"/>
              </w:rPr>
              <w:t xml:space="preserve">                 -11 </w:t>
            </w:r>
          </w:p>
        </w:tc>
        <w:tc>
          <w:tcPr>
            <w:tcW w:w="1330" w:type="dxa"/>
            <w:tcBorders>
              <w:top w:val="nil"/>
              <w:left w:val="nil"/>
              <w:bottom w:val="nil"/>
              <w:right w:val="single" w:sz="4" w:space="0" w:color="auto"/>
            </w:tcBorders>
            <w:shd w:val="clear" w:color="auto" w:fill="auto"/>
            <w:noWrap/>
            <w:vAlign w:val="bottom"/>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0A6EEF">
              <w:rPr>
                <w:rFonts w:ascii="Arial" w:hAnsi="Arial" w:cs="Arial"/>
                <w:color w:val="000000"/>
                <w:sz w:val="18"/>
                <w:szCs w:val="18"/>
                <w:lang w:val="en-US" w:eastAsia="zh-CN"/>
              </w:rPr>
              <w:t xml:space="preserve">         -38 </w:t>
            </w:r>
          </w:p>
        </w:tc>
      </w:tr>
      <w:tr w:rsidR="000A6EEF" w:rsidRPr="000A6EEF" w:rsidTr="000A6EEF">
        <w:trPr>
          <w:trHeight w:val="255"/>
        </w:trPr>
        <w:tc>
          <w:tcPr>
            <w:tcW w:w="3686" w:type="dxa"/>
            <w:tcBorders>
              <w:top w:val="nil"/>
              <w:left w:val="single" w:sz="4" w:space="0" w:color="auto"/>
              <w:bottom w:val="nil"/>
              <w:right w:val="nil"/>
            </w:tcBorders>
            <w:shd w:val="clear" w:color="auto" w:fill="auto"/>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8"/>
                <w:szCs w:val="18"/>
                <w:lang w:val="en-US" w:eastAsia="zh-CN"/>
              </w:rPr>
            </w:pPr>
            <w:r w:rsidRPr="000A6EEF">
              <w:rPr>
                <w:rFonts w:ascii="Arial" w:hAnsi="Arial" w:cs="Arial"/>
                <w:color w:val="000000"/>
                <w:sz w:val="18"/>
                <w:szCs w:val="18"/>
                <w:lang w:val="en-US" w:eastAsia="zh-CN"/>
              </w:rPr>
              <w:t>Impairment losses</w:t>
            </w:r>
          </w:p>
        </w:tc>
        <w:tc>
          <w:tcPr>
            <w:tcW w:w="1276" w:type="dxa"/>
            <w:tcBorders>
              <w:top w:val="nil"/>
              <w:left w:val="single" w:sz="4" w:space="0" w:color="auto"/>
              <w:bottom w:val="nil"/>
              <w:right w:val="single" w:sz="4" w:space="0" w:color="auto"/>
            </w:tcBorders>
            <w:shd w:val="clear" w:color="auto" w:fill="auto"/>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0A6EEF">
              <w:rPr>
                <w:rFonts w:ascii="Arial" w:hAnsi="Arial" w:cs="Arial"/>
                <w:color w:val="000000"/>
                <w:sz w:val="18"/>
                <w:szCs w:val="18"/>
                <w:lang w:val="en-US" w:eastAsia="zh-CN"/>
              </w:rPr>
              <w:t> </w:t>
            </w:r>
          </w:p>
        </w:tc>
        <w:tc>
          <w:tcPr>
            <w:tcW w:w="1340" w:type="dxa"/>
            <w:tcBorders>
              <w:top w:val="nil"/>
              <w:left w:val="nil"/>
              <w:bottom w:val="nil"/>
              <w:right w:val="single" w:sz="4" w:space="0" w:color="auto"/>
            </w:tcBorders>
            <w:shd w:val="clear" w:color="auto" w:fill="auto"/>
            <w:noWrap/>
            <w:vAlign w:val="bottom"/>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0A6EEF">
              <w:rPr>
                <w:rFonts w:ascii="Arial" w:hAnsi="Arial" w:cs="Arial"/>
                <w:color w:val="000000"/>
                <w:sz w:val="18"/>
                <w:szCs w:val="18"/>
                <w:lang w:val="en-US" w:eastAsia="zh-CN"/>
              </w:rPr>
              <w:t> </w:t>
            </w:r>
          </w:p>
        </w:tc>
        <w:tc>
          <w:tcPr>
            <w:tcW w:w="1330" w:type="dxa"/>
            <w:tcBorders>
              <w:top w:val="nil"/>
              <w:left w:val="nil"/>
              <w:bottom w:val="nil"/>
              <w:right w:val="single" w:sz="4" w:space="0" w:color="auto"/>
            </w:tcBorders>
            <w:shd w:val="clear" w:color="auto" w:fill="auto"/>
            <w:noWrap/>
            <w:vAlign w:val="bottom"/>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0A6EEF">
              <w:rPr>
                <w:rFonts w:ascii="Arial" w:hAnsi="Arial" w:cs="Arial"/>
                <w:color w:val="000000"/>
                <w:sz w:val="18"/>
                <w:szCs w:val="18"/>
                <w:lang w:val="en-US" w:eastAsia="zh-CN"/>
              </w:rPr>
              <w:t xml:space="preserve">             -   </w:t>
            </w:r>
          </w:p>
        </w:tc>
      </w:tr>
      <w:tr w:rsidR="000A6EEF" w:rsidRPr="000A6EEF" w:rsidTr="000A6EEF">
        <w:trPr>
          <w:trHeight w:val="255"/>
        </w:trPr>
        <w:tc>
          <w:tcPr>
            <w:tcW w:w="3686" w:type="dxa"/>
            <w:tcBorders>
              <w:top w:val="nil"/>
              <w:left w:val="single" w:sz="4" w:space="0" w:color="auto"/>
              <w:bottom w:val="nil"/>
              <w:right w:val="nil"/>
            </w:tcBorders>
            <w:shd w:val="clear" w:color="auto" w:fill="auto"/>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8"/>
                <w:szCs w:val="18"/>
                <w:lang w:val="en-US" w:eastAsia="zh-CN"/>
              </w:rPr>
            </w:pPr>
            <w:r w:rsidRPr="000A6EEF">
              <w:rPr>
                <w:rFonts w:ascii="Arial" w:hAnsi="Arial" w:cs="Arial"/>
                <w:color w:val="000000"/>
                <w:sz w:val="18"/>
                <w:szCs w:val="18"/>
                <w:lang w:val="en-US" w:eastAsia="zh-CN"/>
              </w:rPr>
              <w:t>Reclassifications &amp; corrections</w:t>
            </w:r>
          </w:p>
        </w:tc>
        <w:tc>
          <w:tcPr>
            <w:tcW w:w="1276" w:type="dxa"/>
            <w:tcBorders>
              <w:top w:val="nil"/>
              <w:left w:val="single" w:sz="4" w:space="0" w:color="auto"/>
              <w:bottom w:val="nil"/>
              <w:right w:val="single" w:sz="4" w:space="0" w:color="auto"/>
            </w:tcBorders>
            <w:shd w:val="clear" w:color="auto" w:fill="auto"/>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0A6EEF">
              <w:rPr>
                <w:rFonts w:ascii="Arial" w:hAnsi="Arial" w:cs="Arial"/>
                <w:color w:val="000000"/>
                <w:sz w:val="18"/>
                <w:szCs w:val="18"/>
                <w:lang w:val="en-US" w:eastAsia="zh-CN"/>
              </w:rPr>
              <w:t> </w:t>
            </w:r>
          </w:p>
        </w:tc>
        <w:tc>
          <w:tcPr>
            <w:tcW w:w="1340" w:type="dxa"/>
            <w:tcBorders>
              <w:top w:val="nil"/>
              <w:left w:val="nil"/>
              <w:bottom w:val="nil"/>
              <w:right w:val="single" w:sz="4" w:space="0" w:color="auto"/>
            </w:tcBorders>
            <w:shd w:val="clear" w:color="auto" w:fill="auto"/>
            <w:noWrap/>
            <w:vAlign w:val="bottom"/>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0A6EEF">
              <w:rPr>
                <w:rFonts w:ascii="Arial" w:hAnsi="Arial" w:cs="Arial"/>
                <w:color w:val="000000"/>
                <w:sz w:val="18"/>
                <w:szCs w:val="18"/>
                <w:lang w:val="en-US" w:eastAsia="zh-CN"/>
              </w:rPr>
              <w:t> </w:t>
            </w:r>
          </w:p>
        </w:tc>
        <w:tc>
          <w:tcPr>
            <w:tcW w:w="1330" w:type="dxa"/>
            <w:tcBorders>
              <w:top w:val="nil"/>
              <w:left w:val="nil"/>
              <w:bottom w:val="nil"/>
              <w:right w:val="single" w:sz="4" w:space="0" w:color="auto"/>
            </w:tcBorders>
            <w:shd w:val="clear" w:color="auto" w:fill="auto"/>
            <w:noWrap/>
            <w:vAlign w:val="bottom"/>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0A6EEF">
              <w:rPr>
                <w:rFonts w:ascii="Arial" w:hAnsi="Arial" w:cs="Arial"/>
                <w:color w:val="000000"/>
                <w:sz w:val="18"/>
                <w:szCs w:val="18"/>
                <w:lang w:val="en-US" w:eastAsia="zh-CN"/>
              </w:rPr>
              <w:t xml:space="preserve">             -   </w:t>
            </w:r>
          </w:p>
        </w:tc>
      </w:tr>
      <w:tr w:rsidR="000A6EEF" w:rsidRPr="000A6EEF" w:rsidTr="000A6EEF">
        <w:trPr>
          <w:trHeight w:val="255"/>
        </w:trPr>
        <w:tc>
          <w:tcPr>
            <w:tcW w:w="3686" w:type="dxa"/>
            <w:tcBorders>
              <w:top w:val="nil"/>
              <w:left w:val="single" w:sz="4" w:space="0" w:color="auto"/>
              <w:bottom w:val="nil"/>
              <w:right w:val="nil"/>
            </w:tcBorders>
            <w:shd w:val="clear" w:color="auto" w:fill="auto"/>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8"/>
                <w:szCs w:val="18"/>
                <w:lang w:val="en-US" w:eastAsia="zh-CN"/>
              </w:rPr>
            </w:pPr>
            <w:r w:rsidRPr="000A6EEF">
              <w:rPr>
                <w:rFonts w:ascii="Arial" w:hAnsi="Arial" w:cs="Arial"/>
                <w:color w:val="000000"/>
                <w:sz w:val="18"/>
                <w:szCs w:val="18"/>
                <w:lang w:val="en-US" w:eastAsia="zh-CN"/>
              </w:rPr>
              <w:t>Revaluations</w:t>
            </w:r>
          </w:p>
        </w:tc>
        <w:tc>
          <w:tcPr>
            <w:tcW w:w="1276" w:type="dxa"/>
            <w:tcBorders>
              <w:top w:val="nil"/>
              <w:left w:val="single" w:sz="4" w:space="0" w:color="auto"/>
              <w:bottom w:val="nil"/>
              <w:right w:val="single" w:sz="4" w:space="0" w:color="auto"/>
            </w:tcBorders>
            <w:shd w:val="clear" w:color="auto" w:fill="auto"/>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0A6EEF">
              <w:rPr>
                <w:rFonts w:ascii="Arial" w:hAnsi="Arial" w:cs="Arial"/>
                <w:color w:val="000000"/>
                <w:sz w:val="18"/>
                <w:szCs w:val="18"/>
                <w:lang w:val="en-US" w:eastAsia="zh-CN"/>
              </w:rPr>
              <w:t> </w:t>
            </w:r>
          </w:p>
        </w:tc>
        <w:tc>
          <w:tcPr>
            <w:tcW w:w="1340" w:type="dxa"/>
            <w:tcBorders>
              <w:top w:val="nil"/>
              <w:left w:val="nil"/>
              <w:bottom w:val="nil"/>
              <w:right w:val="single" w:sz="4" w:space="0" w:color="auto"/>
            </w:tcBorders>
            <w:shd w:val="clear" w:color="auto" w:fill="auto"/>
            <w:noWrap/>
            <w:vAlign w:val="bottom"/>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0A6EEF">
              <w:rPr>
                <w:rFonts w:ascii="Arial" w:hAnsi="Arial" w:cs="Arial"/>
                <w:color w:val="000000"/>
                <w:sz w:val="18"/>
                <w:szCs w:val="18"/>
                <w:lang w:val="en-US" w:eastAsia="zh-CN"/>
              </w:rPr>
              <w:t> </w:t>
            </w:r>
          </w:p>
        </w:tc>
        <w:tc>
          <w:tcPr>
            <w:tcW w:w="1330" w:type="dxa"/>
            <w:tcBorders>
              <w:top w:val="nil"/>
              <w:left w:val="nil"/>
              <w:bottom w:val="nil"/>
              <w:right w:val="single" w:sz="4" w:space="0" w:color="auto"/>
            </w:tcBorders>
            <w:shd w:val="clear" w:color="auto" w:fill="auto"/>
            <w:noWrap/>
            <w:vAlign w:val="bottom"/>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0A6EEF">
              <w:rPr>
                <w:rFonts w:ascii="Arial" w:hAnsi="Arial" w:cs="Arial"/>
                <w:color w:val="000000"/>
                <w:sz w:val="18"/>
                <w:szCs w:val="18"/>
                <w:lang w:val="en-US" w:eastAsia="zh-CN"/>
              </w:rPr>
              <w:t xml:space="preserve">             -   </w:t>
            </w:r>
          </w:p>
        </w:tc>
      </w:tr>
      <w:tr w:rsidR="000A6EEF" w:rsidRPr="000A6EEF" w:rsidTr="000A6EEF">
        <w:trPr>
          <w:trHeight w:val="25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8"/>
                <w:szCs w:val="18"/>
                <w:lang w:val="en-US" w:eastAsia="zh-CN"/>
              </w:rPr>
            </w:pPr>
            <w:r w:rsidRPr="000A6EEF">
              <w:rPr>
                <w:rFonts w:ascii="Arial" w:hAnsi="Arial" w:cs="Arial"/>
                <w:b/>
                <w:bCs/>
                <w:color w:val="000000"/>
                <w:sz w:val="18"/>
                <w:szCs w:val="18"/>
                <w:lang w:val="en-US" w:eastAsia="zh-CN"/>
              </w:rPr>
              <w:t>Cost at 31 December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0A6EEF">
              <w:rPr>
                <w:rFonts w:ascii="Arial" w:hAnsi="Arial" w:cs="Arial"/>
                <w:b/>
                <w:bCs/>
                <w:color w:val="000000"/>
                <w:sz w:val="18"/>
                <w:szCs w:val="18"/>
                <w:lang w:val="en-US" w:eastAsia="zh-CN"/>
              </w:rPr>
              <w:t xml:space="preserve">            1,854 </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0A6EEF">
              <w:rPr>
                <w:rFonts w:ascii="Arial" w:hAnsi="Arial" w:cs="Arial"/>
                <w:b/>
                <w:bCs/>
                <w:color w:val="000000"/>
                <w:sz w:val="18"/>
                <w:szCs w:val="18"/>
                <w:lang w:val="en-US" w:eastAsia="zh-CN"/>
              </w:rPr>
              <w:t xml:space="preserve">             5,829 </w:t>
            </w:r>
          </w:p>
        </w:tc>
        <w:tc>
          <w:tcPr>
            <w:tcW w:w="1330" w:type="dxa"/>
            <w:tcBorders>
              <w:top w:val="single" w:sz="4" w:space="0" w:color="auto"/>
              <w:left w:val="nil"/>
              <w:bottom w:val="single" w:sz="4" w:space="0" w:color="auto"/>
              <w:right w:val="single" w:sz="4" w:space="0" w:color="auto"/>
            </w:tcBorders>
            <w:shd w:val="clear" w:color="auto" w:fill="auto"/>
            <w:vAlign w:val="center"/>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0A6EEF">
              <w:rPr>
                <w:rFonts w:ascii="Arial" w:hAnsi="Arial" w:cs="Arial"/>
                <w:b/>
                <w:bCs/>
                <w:color w:val="000000"/>
                <w:sz w:val="18"/>
                <w:szCs w:val="18"/>
                <w:lang w:val="en-US" w:eastAsia="zh-CN"/>
              </w:rPr>
              <w:t xml:space="preserve">        </w:t>
            </w:r>
            <w:r>
              <w:rPr>
                <w:rFonts w:ascii="Arial" w:hAnsi="Arial" w:cs="Arial"/>
                <w:b/>
                <w:bCs/>
                <w:color w:val="000000"/>
                <w:sz w:val="18"/>
                <w:szCs w:val="18"/>
                <w:lang w:val="en-US" w:eastAsia="zh-CN"/>
              </w:rPr>
              <w:t>8,</w:t>
            </w:r>
            <w:r w:rsidRPr="000A6EEF">
              <w:rPr>
                <w:rFonts w:ascii="Arial" w:hAnsi="Arial" w:cs="Arial"/>
                <w:b/>
                <w:bCs/>
                <w:color w:val="000000"/>
                <w:sz w:val="18"/>
                <w:szCs w:val="18"/>
                <w:lang w:val="en-US" w:eastAsia="zh-CN"/>
              </w:rPr>
              <w:t xml:space="preserve">312 </w:t>
            </w:r>
          </w:p>
        </w:tc>
      </w:tr>
      <w:tr w:rsidR="000A6EEF" w:rsidRPr="000A6EEF" w:rsidTr="000A6EEF">
        <w:trPr>
          <w:trHeight w:val="255"/>
        </w:trPr>
        <w:tc>
          <w:tcPr>
            <w:tcW w:w="3686" w:type="dxa"/>
            <w:tcBorders>
              <w:top w:val="nil"/>
              <w:left w:val="single" w:sz="4" w:space="0" w:color="auto"/>
              <w:bottom w:val="single" w:sz="4" w:space="0" w:color="auto"/>
              <w:right w:val="nil"/>
            </w:tcBorders>
            <w:shd w:val="clear" w:color="auto" w:fill="auto"/>
            <w:vAlign w:val="center"/>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8"/>
                <w:szCs w:val="18"/>
                <w:lang w:val="en-US" w:eastAsia="zh-CN"/>
              </w:rPr>
            </w:pPr>
            <w:r w:rsidRPr="000A6EEF">
              <w:rPr>
                <w:rFonts w:ascii="Arial" w:hAnsi="Arial" w:cs="Arial"/>
                <w:b/>
                <w:bCs/>
                <w:color w:val="000000"/>
                <w:sz w:val="18"/>
                <w:szCs w:val="18"/>
                <w:lang w:val="en-US" w:eastAsia="zh-CN"/>
              </w:rPr>
              <w:t>Depreciation at 1 January</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0A6EEF">
              <w:rPr>
                <w:rFonts w:ascii="Arial" w:hAnsi="Arial" w:cs="Arial"/>
                <w:b/>
                <w:bCs/>
                <w:color w:val="000000"/>
                <w:sz w:val="18"/>
                <w:szCs w:val="18"/>
                <w:lang w:val="en-US" w:eastAsia="zh-CN"/>
              </w:rPr>
              <w:t xml:space="preserve">               976 </w:t>
            </w:r>
          </w:p>
        </w:tc>
        <w:tc>
          <w:tcPr>
            <w:tcW w:w="1340" w:type="dxa"/>
            <w:tcBorders>
              <w:top w:val="nil"/>
              <w:left w:val="nil"/>
              <w:bottom w:val="single" w:sz="4" w:space="0" w:color="auto"/>
              <w:right w:val="single" w:sz="4" w:space="0" w:color="auto"/>
            </w:tcBorders>
            <w:shd w:val="clear" w:color="auto" w:fill="auto"/>
            <w:noWrap/>
            <w:vAlign w:val="center"/>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0A6EEF">
              <w:rPr>
                <w:rFonts w:ascii="Arial" w:hAnsi="Arial" w:cs="Arial"/>
                <w:b/>
                <w:bCs/>
                <w:color w:val="000000"/>
                <w:sz w:val="18"/>
                <w:szCs w:val="18"/>
                <w:lang w:val="en-US" w:eastAsia="zh-CN"/>
              </w:rPr>
              <w:t xml:space="preserve">             4,071 </w:t>
            </w:r>
          </w:p>
        </w:tc>
        <w:tc>
          <w:tcPr>
            <w:tcW w:w="1330" w:type="dxa"/>
            <w:tcBorders>
              <w:top w:val="nil"/>
              <w:left w:val="nil"/>
              <w:bottom w:val="single" w:sz="4" w:space="0" w:color="auto"/>
              <w:right w:val="single" w:sz="4" w:space="0" w:color="auto"/>
            </w:tcBorders>
            <w:shd w:val="clear" w:color="auto" w:fill="auto"/>
            <w:noWrap/>
            <w:vAlign w:val="center"/>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0A6EEF">
              <w:rPr>
                <w:rFonts w:ascii="Arial" w:hAnsi="Arial" w:cs="Arial"/>
                <w:b/>
                <w:bCs/>
                <w:color w:val="000000"/>
                <w:sz w:val="18"/>
                <w:szCs w:val="18"/>
                <w:lang w:val="en-US" w:eastAsia="zh-CN"/>
              </w:rPr>
              <w:t xml:space="preserve">     5,559 </w:t>
            </w:r>
          </w:p>
        </w:tc>
      </w:tr>
      <w:tr w:rsidR="000A6EEF" w:rsidRPr="000A6EEF" w:rsidTr="000A6EEF">
        <w:trPr>
          <w:trHeight w:val="255"/>
        </w:trPr>
        <w:tc>
          <w:tcPr>
            <w:tcW w:w="3686" w:type="dxa"/>
            <w:tcBorders>
              <w:top w:val="nil"/>
              <w:left w:val="single" w:sz="4" w:space="0" w:color="auto"/>
              <w:bottom w:val="nil"/>
              <w:right w:val="nil"/>
            </w:tcBorders>
            <w:shd w:val="clear" w:color="auto" w:fill="auto"/>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8"/>
                <w:szCs w:val="18"/>
                <w:lang w:val="en-US" w:eastAsia="zh-CN"/>
              </w:rPr>
            </w:pPr>
            <w:r w:rsidRPr="000A6EEF">
              <w:rPr>
                <w:rFonts w:ascii="Arial" w:hAnsi="Arial" w:cs="Arial"/>
                <w:color w:val="000000"/>
                <w:sz w:val="18"/>
                <w:szCs w:val="18"/>
                <w:lang w:val="en-US" w:eastAsia="zh-CN"/>
              </w:rPr>
              <w:t>Recognized during the year</w:t>
            </w:r>
          </w:p>
        </w:tc>
        <w:tc>
          <w:tcPr>
            <w:tcW w:w="1276" w:type="dxa"/>
            <w:tcBorders>
              <w:top w:val="nil"/>
              <w:left w:val="single" w:sz="4" w:space="0" w:color="auto"/>
              <w:bottom w:val="nil"/>
              <w:right w:val="single" w:sz="4" w:space="0" w:color="auto"/>
            </w:tcBorders>
            <w:shd w:val="clear" w:color="auto" w:fill="auto"/>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0A6EEF">
              <w:rPr>
                <w:rFonts w:ascii="Arial" w:hAnsi="Arial" w:cs="Arial"/>
                <w:color w:val="000000"/>
                <w:sz w:val="18"/>
                <w:szCs w:val="18"/>
                <w:lang w:val="en-US" w:eastAsia="zh-CN"/>
              </w:rPr>
              <w:t xml:space="preserve">               414 </w:t>
            </w:r>
          </w:p>
        </w:tc>
        <w:tc>
          <w:tcPr>
            <w:tcW w:w="1340" w:type="dxa"/>
            <w:tcBorders>
              <w:top w:val="nil"/>
              <w:left w:val="nil"/>
              <w:bottom w:val="nil"/>
              <w:right w:val="single" w:sz="4" w:space="0" w:color="auto"/>
            </w:tcBorders>
            <w:shd w:val="clear" w:color="auto" w:fill="auto"/>
            <w:noWrap/>
            <w:vAlign w:val="bottom"/>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0A6EEF">
              <w:rPr>
                <w:rFonts w:ascii="Arial" w:hAnsi="Arial" w:cs="Arial"/>
                <w:color w:val="000000"/>
                <w:sz w:val="18"/>
                <w:szCs w:val="18"/>
                <w:lang w:val="en-US" w:eastAsia="zh-CN"/>
              </w:rPr>
              <w:t xml:space="preserve">          1,259 </w:t>
            </w:r>
          </w:p>
        </w:tc>
        <w:tc>
          <w:tcPr>
            <w:tcW w:w="1330" w:type="dxa"/>
            <w:tcBorders>
              <w:top w:val="nil"/>
              <w:left w:val="nil"/>
              <w:bottom w:val="nil"/>
              <w:right w:val="single" w:sz="4" w:space="0" w:color="auto"/>
            </w:tcBorders>
            <w:shd w:val="clear" w:color="auto" w:fill="auto"/>
            <w:noWrap/>
            <w:vAlign w:val="bottom"/>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0A6EEF">
              <w:rPr>
                <w:rFonts w:ascii="Arial" w:hAnsi="Arial" w:cs="Arial"/>
                <w:color w:val="000000"/>
                <w:sz w:val="18"/>
                <w:szCs w:val="18"/>
                <w:lang w:val="en-US" w:eastAsia="zh-CN"/>
              </w:rPr>
              <w:t xml:space="preserve">     1,816 </w:t>
            </w:r>
          </w:p>
        </w:tc>
      </w:tr>
      <w:tr w:rsidR="000A6EEF" w:rsidRPr="000A6EEF" w:rsidTr="000A6EEF">
        <w:trPr>
          <w:trHeight w:val="255"/>
        </w:trPr>
        <w:tc>
          <w:tcPr>
            <w:tcW w:w="3686" w:type="dxa"/>
            <w:tcBorders>
              <w:top w:val="nil"/>
              <w:left w:val="single" w:sz="4" w:space="0" w:color="auto"/>
              <w:bottom w:val="nil"/>
              <w:right w:val="nil"/>
            </w:tcBorders>
            <w:shd w:val="clear" w:color="auto" w:fill="auto"/>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8"/>
                <w:szCs w:val="18"/>
                <w:lang w:val="en-US" w:eastAsia="zh-CN"/>
              </w:rPr>
            </w:pPr>
            <w:r w:rsidRPr="000A6EEF">
              <w:rPr>
                <w:rFonts w:ascii="Arial" w:hAnsi="Arial" w:cs="Arial"/>
                <w:color w:val="000000"/>
                <w:sz w:val="18"/>
                <w:szCs w:val="18"/>
                <w:lang w:val="en-US" w:eastAsia="zh-CN"/>
              </w:rPr>
              <w:t>Disposals</w:t>
            </w:r>
          </w:p>
        </w:tc>
        <w:tc>
          <w:tcPr>
            <w:tcW w:w="1276" w:type="dxa"/>
            <w:tcBorders>
              <w:top w:val="nil"/>
              <w:left w:val="single" w:sz="4" w:space="0" w:color="auto"/>
              <w:bottom w:val="nil"/>
              <w:right w:val="single" w:sz="4" w:space="0" w:color="auto"/>
            </w:tcBorders>
            <w:shd w:val="clear" w:color="auto" w:fill="auto"/>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0A6EEF">
              <w:rPr>
                <w:rFonts w:ascii="Arial" w:hAnsi="Arial" w:cs="Arial"/>
                <w:color w:val="000000"/>
                <w:sz w:val="18"/>
                <w:szCs w:val="18"/>
                <w:lang w:val="en-US" w:eastAsia="zh-CN"/>
              </w:rPr>
              <w:t> </w:t>
            </w:r>
          </w:p>
        </w:tc>
        <w:tc>
          <w:tcPr>
            <w:tcW w:w="1340" w:type="dxa"/>
            <w:tcBorders>
              <w:top w:val="nil"/>
              <w:left w:val="nil"/>
              <w:bottom w:val="nil"/>
              <w:right w:val="single" w:sz="4" w:space="0" w:color="auto"/>
            </w:tcBorders>
            <w:shd w:val="clear" w:color="auto" w:fill="auto"/>
            <w:noWrap/>
            <w:vAlign w:val="bottom"/>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0A6EEF">
              <w:rPr>
                <w:rFonts w:ascii="Arial" w:hAnsi="Arial" w:cs="Arial"/>
                <w:color w:val="000000"/>
                <w:sz w:val="18"/>
                <w:szCs w:val="18"/>
                <w:lang w:val="en-US" w:eastAsia="zh-CN"/>
              </w:rPr>
              <w:t xml:space="preserve">                   -4 </w:t>
            </w:r>
          </w:p>
        </w:tc>
        <w:tc>
          <w:tcPr>
            <w:tcW w:w="1330" w:type="dxa"/>
            <w:tcBorders>
              <w:top w:val="nil"/>
              <w:left w:val="nil"/>
              <w:bottom w:val="nil"/>
              <w:right w:val="single" w:sz="4" w:space="0" w:color="auto"/>
            </w:tcBorders>
            <w:shd w:val="clear" w:color="auto" w:fill="auto"/>
            <w:noWrap/>
            <w:vAlign w:val="bottom"/>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0A6EEF">
              <w:rPr>
                <w:rFonts w:ascii="Arial" w:hAnsi="Arial" w:cs="Arial"/>
                <w:color w:val="000000"/>
                <w:sz w:val="18"/>
                <w:szCs w:val="18"/>
                <w:lang w:val="en-US" w:eastAsia="zh-CN"/>
              </w:rPr>
              <w:t xml:space="preserve">         -31 </w:t>
            </w:r>
          </w:p>
        </w:tc>
      </w:tr>
      <w:tr w:rsidR="000A6EEF" w:rsidRPr="000A6EEF" w:rsidTr="000A6EEF">
        <w:trPr>
          <w:trHeight w:val="255"/>
        </w:trPr>
        <w:tc>
          <w:tcPr>
            <w:tcW w:w="3686" w:type="dxa"/>
            <w:tcBorders>
              <w:top w:val="nil"/>
              <w:left w:val="single" w:sz="4" w:space="0" w:color="auto"/>
              <w:bottom w:val="nil"/>
              <w:right w:val="nil"/>
            </w:tcBorders>
            <w:shd w:val="clear" w:color="auto" w:fill="auto"/>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8"/>
                <w:szCs w:val="18"/>
                <w:lang w:val="en-US" w:eastAsia="zh-CN"/>
              </w:rPr>
            </w:pPr>
            <w:r w:rsidRPr="000A6EEF">
              <w:rPr>
                <w:rFonts w:ascii="Arial" w:hAnsi="Arial" w:cs="Arial"/>
                <w:color w:val="000000"/>
                <w:sz w:val="18"/>
                <w:szCs w:val="18"/>
                <w:lang w:val="en-US" w:eastAsia="zh-CN"/>
              </w:rPr>
              <w:t>Impairment losses</w:t>
            </w:r>
          </w:p>
        </w:tc>
        <w:tc>
          <w:tcPr>
            <w:tcW w:w="1276" w:type="dxa"/>
            <w:tcBorders>
              <w:top w:val="nil"/>
              <w:left w:val="single" w:sz="4" w:space="0" w:color="auto"/>
              <w:bottom w:val="nil"/>
              <w:right w:val="single" w:sz="4" w:space="0" w:color="auto"/>
            </w:tcBorders>
            <w:shd w:val="clear" w:color="auto" w:fill="auto"/>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0A6EEF">
              <w:rPr>
                <w:rFonts w:ascii="Arial" w:hAnsi="Arial" w:cs="Arial"/>
                <w:color w:val="000000"/>
                <w:sz w:val="18"/>
                <w:szCs w:val="18"/>
                <w:lang w:val="en-US" w:eastAsia="zh-CN"/>
              </w:rPr>
              <w:t> </w:t>
            </w:r>
          </w:p>
        </w:tc>
        <w:tc>
          <w:tcPr>
            <w:tcW w:w="1340" w:type="dxa"/>
            <w:tcBorders>
              <w:top w:val="nil"/>
              <w:left w:val="nil"/>
              <w:bottom w:val="nil"/>
              <w:right w:val="single" w:sz="4" w:space="0" w:color="auto"/>
            </w:tcBorders>
            <w:shd w:val="clear" w:color="auto" w:fill="auto"/>
            <w:noWrap/>
            <w:vAlign w:val="bottom"/>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0A6EEF">
              <w:rPr>
                <w:rFonts w:ascii="Arial" w:hAnsi="Arial" w:cs="Arial"/>
                <w:color w:val="000000"/>
                <w:sz w:val="18"/>
                <w:szCs w:val="18"/>
                <w:lang w:val="en-US" w:eastAsia="zh-CN"/>
              </w:rPr>
              <w:t> </w:t>
            </w:r>
          </w:p>
        </w:tc>
        <w:tc>
          <w:tcPr>
            <w:tcW w:w="1330" w:type="dxa"/>
            <w:tcBorders>
              <w:top w:val="nil"/>
              <w:left w:val="nil"/>
              <w:bottom w:val="nil"/>
              <w:right w:val="single" w:sz="4" w:space="0" w:color="auto"/>
            </w:tcBorders>
            <w:shd w:val="clear" w:color="auto" w:fill="auto"/>
            <w:noWrap/>
            <w:vAlign w:val="bottom"/>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0A6EEF">
              <w:rPr>
                <w:rFonts w:ascii="Arial" w:hAnsi="Arial" w:cs="Arial"/>
                <w:color w:val="000000"/>
                <w:sz w:val="18"/>
                <w:szCs w:val="18"/>
                <w:lang w:val="en-US" w:eastAsia="zh-CN"/>
              </w:rPr>
              <w:t xml:space="preserve">             -   </w:t>
            </w:r>
          </w:p>
        </w:tc>
      </w:tr>
      <w:tr w:rsidR="000A6EEF" w:rsidRPr="000A6EEF" w:rsidTr="000A6EEF">
        <w:trPr>
          <w:trHeight w:val="255"/>
        </w:trPr>
        <w:tc>
          <w:tcPr>
            <w:tcW w:w="3686" w:type="dxa"/>
            <w:tcBorders>
              <w:top w:val="nil"/>
              <w:left w:val="single" w:sz="4" w:space="0" w:color="auto"/>
              <w:bottom w:val="nil"/>
              <w:right w:val="nil"/>
            </w:tcBorders>
            <w:shd w:val="clear" w:color="auto" w:fill="auto"/>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8"/>
                <w:szCs w:val="18"/>
                <w:lang w:val="en-US" w:eastAsia="zh-CN"/>
              </w:rPr>
            </w:pPr>
            <w:r w:rsidRPr="000A6EEF">
              <w:rPr>
                <w:rFonts w:ascii="Arial" w:hAnsi="Arial" w:cs="Arial"/>
                <w:color w:val="000000"/>
                <w:sz w:val="18"/>
                <w:szCs w:val="18"/>
                <w:lang w:val="en-US" w:eastAsia="zh-CN"/>
              </w:rPr>
              <w:t>Reclassifications and corrections</w:t>
            </w:r>
          </w:p>
        </w:tc>
        <w:tc>
          <w:tcPr>
            <w:tcW w:w="1276" w:type="dxa"/>
            <w:tcBorders>
              <w:top w:val="nil"/>
              <w:left w:val="single" w:sz="4" w:space="0" w:color="auto"/>
              <w:bottom w:val="nil"/>
              <w:right w:val="single" w:sz="4" w:space="0" w:color="auto"/>
            </w:tcBorders>
            <w:shd w:val="clear" w:color="auto" w:fill="auto"/>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0A6EEF">
              <w:rPr>
                <w:rFonts w:ascii="Arial" w:hAnsi="Arial" w:cs="Arial"/>
                <w:color w:val="000000"/>
                <w:sz w:val="18"/>
                <w:szCs w:val="18"/>
                <w:lang w:val="en-US" w:eastAsia="zh-CN"/>
              </w:rPr>
              <w:t> </w:t>
            </w:r>
          </w:p>
        </w:tc>
        <w:tc>
          <w:tcPr>
            <w:tcW w:w="1340" w:type="dxa"/>
            <w:tcBorders>
              <w:top w:val="nil"/>
              <w:left w:val="nil"/>
              <w:bottom w:val="nil"/>
              <w:right w:val="single" w:sz="4" w:space="0" w:color="auto"/>
            </w:tcBorders>
            <w:shd w:val="clear" w:color="auto" w:fill="auto"/>
            <w:noWrap/>
            <w:vAlign w:val="bottom"/>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0A6EEF">
              <w:rPr>
                <w:rFonts w:ascii="Arial" w:hAnsi="Arial" w:cs="Arial"/>
                <w:color w:val="000000"/>
                <w:sz w:val="18"/>
                <w:szCs w:val="18"/>
                <w:lang w:val="en-US" w:eastAsia="zh-CN"/>
              </w:rPr>
              <w:t> </w:t>
            </w:r>
          </w:p>
        </w:tc>
        <w:tc>
          <w:tcPr>
            <w:tcW w:w="1330" w:type="dxa"/>
            <w:tcBorders>
              <w:top w:val="nil"/>
              <w:left w:val="nil"/>
              <w:bottom w:val="nil"/>
              <w:right w:val="single" w:sz="4" w:space="0" w:color="auto"/>
            </w:tcBorders>
            <w:shd w:val="clear" w:color="auto" w:fill="auto"/>
            <w:noWrap/>
            <w:vAlign w:val="bottom"/>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0A6EEF">
              <w:rPr>
                <w:rFonts w:ascii="Arial" w:hAnsi="Arial" w:cs="Arial"/>
                <w:color w:val="000000"/>
                <w:sz w:val="18"/>
                <w:szCs w:val="18"/>
                <w:lang w:val="en-US" w:eastAsia="zh-CN"/>
              </w:rPr>
              <w:t xml:space="preserve">             -   </w:t>
            </w:r>
          </w:p>
        </w:tc>
      </w:tr>
      <w:tr w:rsidR="000A6EEF" w:rsidRPr="000A6EEF" w:rsidTr="000A6EEF">
        <w:trPr>
          <w:trHeight w:val="255"/>
        </w:trPr>
        <w:tc>
          <w:tcPr>
            <w:tcW w:w="3686" w:type="dxa"/>
            <w:tcBorders>
              <w:top w:val="nil"/>
              <w:left w:val="single" w:sz="4" w:space="0" w:color="auto"/>
              <w:bottom w:val="nil"/>
              <w:right w:val="nil"/>
            </w:tcBorders>
            <w:shd w:val="clear" w:color="auto" w:fill="auto"/>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8"/>
                <w:szCs w:val="18"/>
                <w:lang w:val="en-US" w:eastAsia="zh-CN"/>
              </w:rPr>
            </w:pPr>
            <w:r w:rsidRPr="000A6EEF">
              <w:rPr>
                <w:rFonts w:ascii="Arial" w:hAnsi="Arial" w:cs="Arial"/>
                <w:color w:val="000000"/>
                <w:sz w:val="18"/>
                <w:szCs w:val="18"/>
                <w:lang w:val="en-US" w:eastAsia="zh-CN"/>
              </w:rPr>
              <w:t>Revaluations</w:t>
            </w:r>
          </w:p>
        </w:tc>
        <w:tc>
          <w:tcPr>
            <w:tcW w:w="1276" w:type="dxa"/>
            <w:tcBorders>
              <w:top w:val="nil"/>
              <w:left w:val="single" w:sz="4" w:space="0" w:color="auto"/>
              <w:bottom w:val="nil"/>
              <w:right w:val="single" w:sz="4" w:space="0" w:color="auto"/>
            </w:tcBorders>
            <w:shd w:val="clear" w:color="auto" w:fill="auto"/>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0A6EEF">
              <w:rPr>
                <w:rFonts w:ascii="Arial" w:hAnsi="Arial" w:cs="Arial"/>
                <w:color w:val="000000"/>
                <w:sz w:val="18"/>
                <w:szCs w:val="18"/>
                <w:lang w:val="en-US" w:eastAsia="zh-CN"/>
              </w:rPr>
              <w:t> </w:t>
            </w:r>
          </w:p>
        </w:tc>
        <w:tc>
          <w:tcPr>
            <w:tcW w:w="1340" w:type="dxa"/>
            <w:tcBorders>
              <w:top w:val="nil"/>
              <w:left w:val="nil"/>
              <w:bottom w:val="nil"/>
              <w:right w:val="single" w:sz="4" w:space="0" w:color="auto"/>
            </w:tcBorders>
            <w:shd w:val="clear" w:color="auto" w:fill="auto"/>
            <w:noWrap/>
            <w:vAlign w:val="bottom"/>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0A6EEF">
              <w:rPr>
                <w:rFonts w:ascii="Arial" w:hAnsi="Arial" w:cs="Arial"/>
                <w:color w:val="000000"/>
                <w:sz w:val="18"/>
                <w:szCs w:val="18"/>
                <w:lang w:val="en-US" w:eastAsia="zh-CN"/>
              </w:rPr>
              <w:t> </w:t>
            </w:r>
          </w:p>
        </w:tc>
        <w:tc>
          <w:tcPr>
            <w:tcW w:w="1330" w:type="dxa"/>
            <w:tcBorders>
              <w:top w:val="nil"/>
              <w:left w:val="nil"/>
              <w:bottom w:val="nil"/>
              <w:right w:val="single" w:sz="4" w:space="0" w:color="auto"/>
            </w:tcBorders>
            <w:shd w:val="clear" w:color="auto" w:fill="auto"/>
            <w:noWrap/>
            <w:vAlign w:val="bottom"/>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0A6EEF">
              <w:rPr>
                <w:rFonts w:ascii="Arial" w:hAnsi="Arial" w:cs="Arial"/>
                <w:color w:val="000000"/>
                <w:sz w:val="18"/>
                <w:szCs w:val="18"/>
                <w:lang w:val="en-US" w:eastAsia="zh-CN"/>
              </w:rPr>
              <w:t xml:space="preserve">             -   </w:t>
            </w:r>
          </w:p>
        </w:tc>
      </w:tr>
      <w:tr w:rsidR="000A6EEF" w:rsidRPr="000A6EEF" w:rsidTr="000A6EEF">
        <w:trPr>
          <w:trHeight w:val="25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8"/>
                <w:szCs w:val="18"/>
                <w:lang w:val="en-US" w:eastAsia="zh-CN"/>
              </w:rPr>
            </w:pPr>
            <w:r w:rsidRPr="000A6EEF">
              <w:rPr>
                <w:rFonts w:ascii="Arial" w:hAnsi="Arial" w:cs="Arial"/>
                <w:b/>
                <w:bCs/>
                <w:color w:val="000000"/>
                <w:sz w:val="18"/>
                <w:szCs w:val="18"/>
                <w:lang w:val="en-US" w:eastAsia="zh-CN"/>
              </w:rPr>
              <w:t>Depreciation at 31 December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0A6EEF">
              <w:rPr>
                <w:rFonts w:ascii="Arial" w:hAnsi="Arial" w:cs="Arial"/>
                <w:b/>
                <w:bCs/>
                <w:color w:val="000000"/>
                <w:sz w:val="18"/>
                <w:szCs w:val="18"/>
                <w:lang w:val="en-US" w:eastAsia="zh-CN"/>
              </w:rPr>
              <w:t xml:space="preserve">            1,390 </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0A6EEF">
              <w:rPr>
                <w:rFonts w:ascii="Arial" w:hAnsi="Arial" w:cs="Arial"/>
                <w:b/>
                <w:bCs/>
                <w:color w:val="000000"/>
                <w:sz w:val="18"/>
                <w:szCs w:val="18"/>
                <w:lang w:val="en-US" w:eastAsia="zh-CN"/>
              </w:rPr>
              <w:t xml:space="preserve">             5,326 </w:t>
            </w:r>
          </w:p>
        </w:tc>
        <w:tc>
          <w:tcPr>
            <w:tcW w:w="1330" w:type="dxa"/>
            <w:tcBorders>
              <w:top w:val="single" w:sz="4" w:space="0" w:color="auto"/>
              <w:left w:val="nil"/>
              <w:bottom w:val="single" w:sz="4" w:space="0" w:color="auto"/>
              <w:right w:val="single" w:sz="4" w:space="0" w:color="auto"/>
            </w:tcBorders>
            <w:shd w:val="clear" w:color="auto" w:fill="auto"/>
            <w:vAlign w:val="center"/>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0A6EEF">
              <w:rPr>
                <w:rFonts w:ascii="Arial" w:hAnsi="Arial" w:cs="Arial"/>
                <w:b/>
                <w:bCs/>
                <w:color w:val="000000"/>
                <w:sz w:val="18"/>
                <w:szCs w:val="18"/>
                <w:lang w:val="en-US" w:eastAsia="zh-CN"/>
              </w:rPr>
              <w:t xml:space="preserve">     7,345 </w:t>
            </w:r>
          </w:p>
        </w:tc>
      </w:tr>
      <w:tr w:rsidR="000A6EEF" w:rsidRPr="000A6EEF" w:rsidTr="000A6EEF">
        <w:trPr>
          <w:trHeight w:val="255"/>
        </w:trPr>
        <w:tc>
          <w:tcPr>
            <w:tcW w:w="3686" w:type="dxa"/>
            <w:tcBorders>
              <w:top w:val="nil"/>
              <w:left w:val="single" w:sz="4" w:space="0" w:color="auto"/>
              <w:bottom w:val="single" w:sz="4" w:space="0" w:color="auto"/>
              <w:right w:val="nil"/>
            </w:tcBorders>
            <w:shd w:val="clear" w:color="auto" w:fill="auto"/>
            <w:vAlign w:val="center"/>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8"/>
                <w:szCs w:val="18"/>
                <w:lang w:val="en-US" w:eastAsia="zh-CN"/>
              </w:rPr>
            </w:pPr>
            <w:r w:rsidRPr="000A6EEF">
              <w:rPr>
                <w:rFonts w:ascii="Arial" w:hAnsi="Arial" w:cs="Arial"/>
                <w:b/>
                <w:bCs/>
                <w:color w:val="000000"/>
                <w:sz w:val="18"/>
                <w:szCs w:val="18"/>
                <w:lang w:val="en-US" w:eastAsia="zh-CN"/>
              </w:rPr>
              <w:t>Net carrying amount at 1 January</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0A6EEF">
              <w:rPr>
                <w:rFonts w:ascii="Arial" w:hAnsi="Arial" w:cs="Arial"/>
                <w:b/>
                <w:bCs/>
                <w:color w:val="000000"/>
                <w:sz w:val="18"/>
                <w:szCs w:val="18"/>
                <w:lang w:val="en-US" w:eastAsia="zh-CN"/>
              </w:rPr>
              <w:t xml:space="preserve">               762 </w:t>
            </w:r>
          </w:p>
        </w:tc>
        <w:tc>
          <w:tcPr>
            <w:tcW w:w="1340" w:type="dxa"/>
            <w:tcBorders>
              <w:top w:val="nil"/>
              <w:left w:val="nil"/>
              <w:bottom w:val="single" w:sz="4" w:space="0" w:color="auto"/>
              <w:right w:val="single" w:sz="4" w:space="0" w:color="auto"/>
            </w:tcBorders>
            <w:shd w:val="clear" w:color="auto" w:fill="auto"/>
            <w:vAlign w:val="center"/>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0A6EEF">
              <w:rPr>
                <w:rFonts w:ascii="Arial" w:hAnsi="Arial" w:cs="Arial"/>
                <w:b/>
                <w:bCs/>
                <w:color w:val="000000"/>
                <w:sz w:val="18"/>
                <w:szCs w:val="18"/>
                <w:lang w:val="en-US" w:eastAsia="zh-CN"/>
              </w:rPr>
              <w:t xml:space="preserve">             1,533 </w:t>
            </w:r>
          </w:p>
        </w:tc>
        <w:tc>
          <w:tcPr>
            <w:tcW w:w="1330" w:type="dxa"/>
            <w:tcBorders>
              <w:top w:val="nil"/>
              <w:left w:val="nil"/>
              <w:bottom w:val="single" w:sz="4" w:space="0" w:color="auto"/>
              <w:right w:val="single" w:sz="4" w:space="0" w:color="auto"/>
            </w:tcBorders>
            <w:shd w:val="clear" w:color="auto" w:fill="auto"/>
            <w:vAlign w:val="center"/>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0A6EEF">
              <w:rPr>
                <w:rFonts w:ascii="Arial" w:hAnsi="Arial" w:cs="Arial"/>
                <w:b/>
                <w:bCs/>
                <w:color w:val="000000"/>
                <w:sz w:val="18"/>
                <w:szCs w:val="18"/>
                <w:lang w:val="en-US" w:eastAsia="zh-CN"/>
              </w:rPr>
              <w:t xml:space="preserve">     2,294 </w:t>
            </w:r>
          </w:p>
        </w:tc>
      </w:tr>
      <w:tr w:rsidR="000A6EEF" w:rsidRPr="000A6EEF" w:rsidTr="000A6EEF">
        <w:trPr>
          <w:trHeight w:val="480"/>
        </w:trPr>
        <w:tc>
          <w:tcPr>
            <w:tcW w:w="3686" w:type="dxa"/>
            <w:tcBorders>
              <w:top w:val="nil"/>
              <w:left w:val="single" w:sz="4" w:space="0" w:color="auto"/>
              <w:bottom w:val="single" w:sz="4" w:space="0" w:color="auto"/>
              <w:right w:val="nil"/>
            </w:tcBorders>
            <w:shd w:val="clear" w:color="auto" w:fill="auto"/>
            <w:vAlign w:val="center"/>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8"/>
                <w:szCs w:val="18"/>
                <w:lang w:val="en-US" w:eastAsia="zh-CN"/>
              </w:rPr>
            </w:pPr>
            <w:r w:rsidRPr="000A6EEF">
              <w:rPr>
                <w:rFonts w:ascii="Arial" w:hAnsi="Arial" w:cs="Arial"/>
                <w:b/>
                <w:bCs/>
                <w:color w:val="000000"/>
                <w:sz w:val="18"/>
                <w:szCs w:val="18"/>
                <w:lang w:val="en-US" w:eastAsia="zh-CN"/>
              </w:rPr>
              <w:t xml:space="preserve">Net carrying amount at 31 December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0A6EEF">
              <w:rPr>
                <w:rFonts w:ascii="Arial" w:hAnsi="Arial" w:cs="Arial"/>
                <w:b/>
                <w:bCs/>
                <w:color w:val="000000"/>
                <w:sz w:val="18"/>
                <w:szCs w:val="18"/>
                <w:lang w:val="en-US" w:eastAsia="zh-CN"/>
              </w:rPr>
              <w:t xml:space="preserve">               464 </w:t>
            </w:r>
          </w:p>
        </w:tc>
        <w:tc>
          <w:tcPr>
            <w:tcW w:w="1340" w:type="dxa"/>
            <w:tcBorders>
              <w:top w:val="nil"/>
              <w:left w:val="nil"/>
              <w:bottom w:val="single" w:sz="4" w:space="0" w:color="auto"/>
              <w:right w:val="single" w:sz="4" w:space="0" w:color="auto"/>
            </w:tcBorders>
            <w:shd w:val="clear" w:color="auto" w:fill="auto"/>
            <w:vAlign w:val="center"/>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0A6EEF">
              <w:rPr>
                <w:rFonts w:ascii="Arial" w:hAnsi="Arial" w:cs="Arial"/>
                <w:b/>
                <w:bCs/>
                <w:color w:val="000000"/>
                <w:sz w:val="18"/>
                <w:szCs w:val="18"/>
                <w:lang w:val="en-US" w:eastAsia="zh-CN"/>
              </w:rPr>
              <w:t xml:space="preserve">                503 </w:t>
            </w:r>
          </w:p>
        </w:tc>
        <w:tc>
          <w:tcPr>
            <w:tcW w:w="1330" w:type="dxa"/>
            <w:tcBorders>
              <w:top w:val="nil"/>
              <w:left w:val="nil"/>
              <w:bottom w:val="single" w:sz="4" w:space="0" w:color="auto"/>
              <w:right w:val="single" w:sz="4" w:space="0" w:color="auto"/>
            </w:tcBorders>
            <w:shd w:val="clear" w:color="auto" w:fill="auto"/>
            <w:vAlign w:val="center"/>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0A6EEF">
              <w:rPr>
                <w:rFonts w:ascii="Arial" w:hAnsi="Arial" w:cs="Arial"/>
                <w:b/>
                <w:bCs/>
                <w:color w:val="000000"/>
                <w:sz w:val="18"/>
                <w:szCs w:val="18"/>
                <w:lang w:val="en-US" w:eastAsia="zh-CN"/>
              </w:rPr>
              <w:t xml:space="preserve">       967 </w:t>
            </w:r>
          </w:p>
        </w:tc>
      </w:tr>
    </w:tbl>
    <w:p w:rsidR="00FC69C0" w:rsidRPr="00BC07FF" w:rsidRDefault="008A5E54" w:rsidP="005C41A5">
      <w:pPr>
        <w:spacing w:before="240"/>
        <w:jc w:val="both"/>
        <w:rPr>
          <w:lang w:val="en-US"/>
        </w:rPr>
      </w:pPr>
      <w:r w:rsidRPr="00BC07FF">
        <w:rPr>
          <w:lang w:val="en-US"/>
        </w:rPr>
        <w:t>According to</w:t>
      </w:r>
      <w:r w:rsidR="00FC69C0" w:rsidRPr="00BC07FF">
        <w:rPr>
          <w:lang w:val="en-US"/>
        </w:rPr>
        <w:t xml:space="preserve"> IPSA</w:t>
      </w:r>
      <w:r w:rsidR="0077576B" w:rsidRPr="00BC07FF">
        <w:rPr>
          <w:lang w:val="en-US"/>
        </w:rPr>
        <w:t>S</w:t>
      </w:r>
      <w:r w:rsidR="00FC69C0" w:rsidRPr="00BC07FF">
        <w:rPr>
          <w:lang w:val="en-US"/>
        </w:rPr>
        <w:t xml:space="preserve"> 31, </w:t>
      </w:r>
      <w:r w:rsidR="00383DBC" w:rsidRPr="00BC07FF">
        <w:rPr>
          <w:lang w:val="en-US"/>
        </w:rPr>
        <w:t xml:space="preserve">internal developments related to the </w:t>
      </w:r>
      <w:r w:rsidR="0081258F" w:rsidRPr="00BC07FF">
        <w:rPr>
          <w:lang w:val="en-US"/>
        </w:rPr>
        <w:t xml:space="preserve">improvement of services offered to members, specifically for the access, management and archiving of the Union documentation </w:t>
      </w:r>
      <w:r w:rsidR="00383DBC" w:rsidRPr="00BC07FF">
        <w:rPr>
          <w:lang w:val="en-US"/>
        </w:rPr>
        <w:t>have been capitalized.</w:t>
      </w:r>
    </w:p>
    <w:p w:rsidR="0081258F" w:rsidRDefault="0081258F" w:rsidP="005C41A5">
      <w:pPr>
        <w:jc w:val="both"/>
        <w:rPr>
          <w:lang w:val="en-US"/>
        </w:rPr>
      </w:pPr>
      <w:r w:rsidRPr="00BC07FF">
        <w:rPr>
          <w:lang w:val="en-US"/>
        </w:rPr>
        <w:t>Software</w:t>
      </w:r>
      <w:r w:rsidR="007A0272" w:rsidRPr="00BC07FF">
        <w:rPr>
          <w:lang w:val="en-US"/>
        </w:rPr>
        <w:t xml:space="preserve"> capitalized are</w:t>
      </w:r>
      <w:r w:rsidRPr="00BC07FF">
        <w:rPr>
          <w:lang w:val="en-US"/>
        </w:rPr>
        <w:t xml:space="preserve"> standard software and upgrade packages used in the Union</w:t>
      </w:r>
      <w:r w:rsidR="007A552E" w:rsidRPr="00BC07FF">
        <w:rPr>
          <w:lang w:val="en-US"/>
        </w:rPr>
        <w:t>’</w:t>
      </w:r>
      <w:r w:rsidRPr="00BC07FF">
        <w:rPr>
          <w:lang w:val="en-US"/>
        </w:rPr>
        <w:t>s operating activities.</w:t>
      </w:r>
    </w:p>
    <w:p w:rsidR="000A6EEF" w:rsidRDefault="000A6EEF" w:rsidP="000A6EEF">
      <w:pPr>
        <w:pStyle w:val="Heading5"/>
        <w:spacing w:after="200"/>
        <w:jc w:val="both"/>
        <w:rPr>
          <w:lang w:val="fr-CH"/>
        </w:rPr>
      </w:pPr>
      <w:r w:rsidRPr="000A6EEF">
        <w:rPr>
          <w:lang w:val="fr-CH"/>
        </w:rPr>
        <w:t>Note 1</w:t>
      </w:r>
      <w:r>
        <w:rPr>
          <w:lang w:val="fr-CH"/>
        </w:rPr>
        <w:t>3</w:t>
      </w:r>
      <w:r w:rsidRPr="000A6EEF">
        <w:rPr>
          <w:lang w:val="fr-CH"/>
        </w:rPr>
        <w:tab/>
      </w:r>
      <w:proofErr w:type="spellStart"/>
      <w:r>
        <w:rPr>
          <w:lang w:val="fr-CH"/>
        </w:rPr>
        <w:t>Assets</w:t>
      </w:r>
      <w:proofErr w:type="spellEnd"/>
      <w:r>
        <w:rPr>
          <w:lang w:val="fr-CH"/>
        </w:rPr>
        <w:t xml:space="preserve"> </w:t>
      </w:r>
      <w:proofErr w:type="spellStart"/>
      <w:r>
        <w:rPr>
          <w:lang w:val="fr-CH"/>
        </w:rPr>
        <w:t>under</w:t>
      </w:r>
      <w:proofErr w:type="spellEnd"/>
      <w:r>
        <w:rPr>
          <w:lang w:val="fr-CH"/>
        </w:rPr>
        <w:t xml:space="preserve"> construction</w:t>
      </w:r>
    </w:p>
    <w:tbl>
      <w:tblPr>
        <w:tblW w:w="7371" w:type="dxa"/>
        <w:tblInd w:w="-10" w:type="dxa"/>
        <w:tblLayout w:type="fixed"/>
        <w:tblLook w:val="04A0" w:firstRow="1" w:lastRow="0" w:firstColumn="1" w:lastColumn="0" w:noHBand="0" w:noVBand="1"/>
      </w:tblPr>
      <w:tblGrid>
        <w:gridCol w:w="3119"/>
        <w:gridCol w:w="1559"/>
        <w:gridCol w:w="1418"/>
        <w:gridCol w:w="1275"/>
      </w:tblGrid>
      <w:tr w:rsidR="000A6EEF" w:rsidRPr="000A6EEF" w:rsidTr="000A6EEF">
        <w:trPr>
          <w:trHeight w:val="480"/>
        </w:trPr>
        <w:tc>
          <w:tcPr>
            <w:tcW w:w="3119" w:type="dxa"/>
            <w:tcBorders>
              <w:top w:val="single" w:sz="8" w:space="0" w:color="auto"/>
              <w:left w:val="single" w:sz="8" w:space="0" w:color="auto"/>
              <w:bottom w:val="nil"/>
              <w:right w:val="single" w:sz="4" w:space="0" w:color="auto"/>
            </w:tcBorders>
            <w:shd w:val="clear" w:color="auto" w:fill="auto"/>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8"/>
                <w:szCs w:val="18"/>
                <w:lang w:val="en-US" w:eastAsia="zh-CN"/>
              </w:rPr>
            </w:pPr>
            <w:proofErr w:type="spellStart"/>
            <w:r w:rsidRPr="000A6EEF">
              <w:rPr>
                <w:rFonts w:ascii="Arial" w:hAnsi="Arial" w:cs="Arial"/>
                <w:b/>
                <w:bCs/>
                <w:color w:val="000000"/>
                <w:sz w:val="18"/>
                <w:szCs w:val="18"/>
                <w:lang w:val="en-US" w:eastAsia="zh-CN"/>
              </w:rPr>
              <w:t>Catégories</w:t>
            </w:r>
            <w:proofErr w:type="spellEnd"/>
            <w:r w:rsidRPr="000A6EEF">
              <w:rPr>
                <w:rFonts w:ascii="Arial" w:hAnsi="Arial" w:cs="Arial"/>
                <w:b/>
                <w:bCs/>
                <w:color w:val="000000"/>
                <w:sz w:val="18"/>
                <w:szCs w:val="18"/>
                <w:lang w:val="en-US" w:eastAsia="zh-CN"/>
              </w:rPr>
              <w:t xml:space="preserve"> </w:t>
            </w:r>
            <w:proofErr w:type="spellStart"/>
            <w:r w:rsidRPr="000A6EEF">
              <w:rPr>
                <w:rFonts w:ascii="Arial" w:hAnsi="Arial" w:cs="Arial"/>
                <w:b/>
                <w:bCs/>
                <w:color w:val="000000"/>
                <w:sz w:val="18"/>
                <w:szCs w:val="18"/>
                <w:lang w:val="en-US" w:eastAsia="zh-CN"/>
              </w:rPr>
              <w:t>d'actifs</w:t>
            </w:r>
            <w:proofErr w:type="spellEnd"/>
          </w:p>
        </w:tc>
        <w:tc>
          <w:tcPr>
            <w:tcW w:w="1559" w:type="dxa"/>
            <w:tcBorders>
              <w:top w:val="single" w:sz="8" w:space="0" w:color="auto"/>
              <w:left w:val="single" w:sz="4" w:space="0" w:color="auto"/>
              <w:bottom w:val="nil"/>
              <w:right w:val="nil"/>
            </w:tcBorders>
            <w:shd w:val="clear" w:color="auto" w:fill="auto"/>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8"/>
                <w:szCs w:val="18"/>
                <w:lang w:val="en-US" w:eastAsia="zh-CN"/>
              </w:rPr>
            </w:pPr>
            <w:r w:rsidRPr="000A6EEF">
              <w:rPr>
                <w:rFonts w:ascii="Arial" w:hAnsi="Arial" w:cs="Arial"/>
                <w:b/>
                <w:bCs/>
                <w:color w:val="000000"/>
                <w:sz w:val="18"/>
                <w:szCs w:val="18"/>
                <w:lang w:val="en-US" w:eastAsia="zh-CN"/>
              </w:rPr>
              <w:t>Building</w:t>
            </w:r>
            <w:r>
              <w:rPr>
                <w:rFonts w:ascii="Arial" w:hAnsi="Arial" w:cs="Arial"/>
                <w:b/>
                <w:bCs/>
                <w:color w:val="000000"/>
                <w:sz w:val="18"/>
                <w:szCs w:val="18"/>
                <w:lang w:val="en-US" w:eastAsia="zh-CN"/>
              </w:rPr>
              <w:t xml:space="preserve"> </w:t>
            </w:r>
            <w:r w:rsidRPr="000A6EEF">
              <w:rPr>
                <w:rFonts w:ascii="Arial" w:hAnsi="Arial" w:cs="Arial"/>
                <w:b/>
                <w:bCs/>
                <w:color w:val="000000"/>
                <w:sz w:val="18"/>
                <w:szCs w:val="18"/>
                <w:lang w:val="en-US" w:eastAsia="zh-CN"/>
              </w:rPr>
              <w:t>Under constr.</w:t>
            </w:r>
          </w:p>
        </w:tc>
        <w:tc>
          <w:tcPr>
            <w:tcW w:w="1418" w:type="dxa"/>
            <w:tcBorders>
              <w:top w:val="single" w:sz="8" w:space="0" w:color="auto"/>
              <w:left w:val="nil"/>
              <w:bottom w:val="nil"/>
              <w:right w:val="nil"/>
            </w:tcBorders>
            <w:shd w:val="clear" w:color="auto" w:fill="auto"/>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8"/>
                <w:szCs w:val="18"/>
                <w:lang w:val="en-US" w:eastAsia="zh-CN"/>
              </w:rPr>
            </w:pPr>
            <w:r w:rsidRPr="000A6EEF">
              <w:rPr>
                <w:rFonts w:ascii="Arial" w:hAnsi="Arial" w:cs="Arial"/>
                <w:b/>
                <w:bCs/>
                <w:color w:val="000000"/>
                <w:sz w:val="18"/>
                <w:szCs w:val="18"/>
                <w:lang w:val="en-US" w:eastAsia="zh-CN"/>
              </w:rPr>
              <w:t>Other Under constr.</w:t>
            </w:r>
          </w:p>
        </w:tc>
        <w:tc>
          <w:tcPr>
            <w:tcW w:w="1275" w:type="dxa"/>
            <w:tcBorders>
              <w:top w:val="single" w:sz="8" w:space="0" w:color="auto"/>
              <w:left w:val="single" w:sz="4" w:space="0" w:color="auto"/>
              <w:bottom w:val="single" w:sz="4" w:space="0" w:color="auto"/>
              <w:right w:val="single" w:sz="8" w:space="0" w:color="auto"/>
            </w:tcBorders>
            <w:shd w:val="clear" w:color="auto" w:fill="auto"/>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8"/>
                <w:szCs w:val="18"/>
                <w:lang w:val="en-US" w:eastAsia="zh-CN"/>
              </w:rPr>
            </w:pPr>
            <w:r w:rsidRPr="000A6EEF">
              <w:rPr>
                <w:rFonts w:ascii="Arial" w:hAnsi="Arial" w:cs="Arial"/>
                <w:b/>
                <w:bCs/>
                <w:color w:val="000000"/>
                <w:sz w:val="18"/>
                <w:szCs w:val="18"/>
                <w:lang w:val="en-US" w:eastAsia="zh-CN"/>
              </w:rPr>
              <w:t xml:space="preserve">Total </w:t>
            </w:r>
          </w:p>
        </w:tc>
      </w:tr>
      <w:tr w:rsidR="000A6EEF" w:rsidRPr="000A6EEF" w:rsidTr="000A6EEF">
        <w:trPr>
          <w:trHeight w:val="255"/>
        </w:trPr>
        <w:tc>
          <w:tcPr>
            <w:tcW w:w="311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8"/>
                <w:szCs w:val="18"/>
                <w:lang w:val="en-US" w:eastAsia="zh-CN"/>
              </w:rPr>
            </w:pPr>
            <w:proofErr w:type="spellStart"/>
            <w:r w:rsidRPr="000A6EEF">
              <w:rPr>
                <w:rFonts w:ascii="Arial" w:hAnsi="Arial" w:cs="Arial"/>
                <w:b/>
                <w:bCs/>
                <w:color w:val="000000"/>
                <w:sz w:val="18"/>
                <w:szCs w:val="18"/>
                <w:lang w:val="en-US" w:eastAsia="zh-CN"/>
              </w:rPr>
              <w:t>Coût</w:t>
            </w:r>
            <w:proofErr w:type="spellEnd"/>
            <w:r w:rsidRPr="000A6EEF">
              <w:rPr>
                <w:rFonts w:ascii="Arial" w:hAnsi="Arial" w:cs="Arial"/>
                <w:b/>
                <w:bCs/>
                <w:color w:val="000000"/>
                <w:sz w:val="18"/>
                <w:szCs w:val="18"/>
                <w:lang w:val="en-US" w:eastAsia="zh-CN"/>
              </w:rPr>
              <w:t xml:space="preserve"> au 1er </w:t>
            </w:r>
            <w:proofErr w:type="spellStart"/>
            <w:r w:rsidRPr="000A6EEF">
              <w:rPr>
                <w:rFonts w:ascii="Arial" w:hAnsi="Arial" w:cs="Arial"/>
                <w:b/>
                <w:bCs/>
                <w:color w:val="000000"/>
                <w:sz w:val="18"/>
                <w:szCs w:val="18"/>
                <w:lang w:val="en-US" w:eastAsia="zh-CN"/>
              </w:rPr>
              <w:t>janvier</w:t>
            </w:r>
            <w:proofErr w:type="spellEnd"/>
          </w:p>
        </w:tc>
        <w:tc>
          <w:tcPr>
            <w:tcW w:w="1559" w:type="dxa"/>
            <w:tcBorders>
              <w:top w:val="single" w:sz="4" w:space="0" w:color="auto"/>
              <w:left w:val="single" w:sz="4" w:space="0" w:color="auto"/>
              <w:bottom w:val="single" w:sz="4" w:space="0" w:color="auto"/>
              <w:right w:val="nil"/>
            </w:tcBorders>
            <w:shd w:val="clear" w:color="auto" w:fill="auto"/>
            <w:vAlign w:val="center"/>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sz w:val="18"/>
                <w:szCs w:val="18"/>
                <w:lang w:val="en-US" w:eastAsia="zh-CN"/>
              </w:rPr>
            </w:pPr>
            <w:r w:rsidRPr="000A6EEF">
              <w:rPr>
                <w:rFonts w:ascii="Arial" w:hAnsi="Arial" w:cs="Arial"/>
                <w:b/>
                <w:bCs/>
                <w:sz w:val="18"/>
                <w:szCs w:val="18"/>
                <w:lang w:val="en-US" w:eastAsia="zh-CN"/>
              </w:rPr>
              <w:t xml:space="preserve">                        -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sz w:val="18"/>
                <w:szCs w:val="18"/>
                <w:lang w:val="en-US" w:eastAsia="zh-CN"/>
              </w:rPr>
            </w:pPr>
            <w:r w:rsidRPr="000A6EEF">
              <w:rPr>
                <w:rFonts w:ascii="Arial" w:hAnsi="Arial" w:cs="Arial"/>
                <w:b/>
                <w:bCs/>
                <w:sz w:val="18"/>
                <w:szCs w:val="18"/>
                <w:lang w:val="en-US" w:eastAsia="zh-CN"/>
              </w:rPr>
              <w:t xml:space="preserve">                    340 </w:t>
            </w:r>
          </w:p>
        </w:tc>
        <w:tc>
          <w:tcPr>
            <w:tcW w:w="1275" w:type="dxa"/>
            <w:tcBorders>
              <w:top w:val="nil"/>
              <w:left w:val="nil"/>
              <w:bottom w:val="single" w:sz="4" w:space="0" w:color="auto"/>
              <w:right w:val="single" w:sz="8" w:space="0" w:color="auto"/>
            </w:tcBorders>
            <w:shd w:val="clear" w:color="000000" w:fill="FFFFFF"/>
            <w:noWrap/>
            <w:vAlign w:val="center"/>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0A6EEF">
              <w:rPr>
                <w:rFonts w:ascii="Arial" w:hAnsi="Arial" w:cs="Arial"/>
                <w:b/>
                <w:bCs/>
                <w:color w:val="000000"/>
                <w:sz w:val="18"/>
                <w:szCs w:val="18"/>
                <w:lang w:val="en-US" w:eastAsia="zh-CN"/>
              </w:rPr>
              <w:t xml:space="preserve">        340 </w:t>
            </w:r>
          </w:p>
        </w:tc>
      </w:tr>
      <w:tr w:rsidR="000A6EEF" w:rsidRPr="000A6EEF" w:rsidTr="000A6EEF">
        <w:trPr>
          <w:trHeight w:val="255"/>
        </w:trPr>
        <w:tc>
          <w:tcPr>
            <w:tcW w:w="3119" w:type="dxa"/>
            <w:tcBorders>
              <w:top w:val="nil"/>
              <w:left w:val="single" w:sz="8" w:space="0" w:color="auto"/>
              <w:bottom w:val="nil"/>
              <w:right w:val="single" w:sz="4" w:space="0" w:color="auto"/>
            </w:tcBorders>
            <w:shd w:val="clear" w:color="auto" w:fill="auto"/>
            <w:hideMark/>
          </w:tcPr>
          <w:p w:rsidR="000A6EEF" w:rsidRPr="00D477D8" w:rsidRDefault="000A6EEF" w:rsidP="000A6EEF">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8"/>
                <w:szCs w:val="18"/>
                <w:lang w:val="en-US" w:eastAsia="zh-CN"/>
              </w:rPr>
            </w:pPr>
            <w:r w:rsidRPr="00D477D8">
              <w:rPr>
                <w:rFonts w:ascii="Arial" w:hAnsi="Arial" w:cs="Arial"/>
                <w:color w:val="000000"/>
                <w:sz w:val="18"/>
                <w:szCs w:val="18"/>
                <w:lang w:val="en-US" w:eastAsia="zh-CN"/>
              </w:rPr>
              <w:t>Additions</w:t>
            </w:r>
          </w:p>
        </w:tc>
        <w:tc>
          <w:tcPr>
            <w:tcW w:w="1559" w:type="dxa"/>
            <w:tcBorders>
              <w:top w:val="nil"/>
              <w:left w:val="single" w:sz="4" w:space="0" w:color="auto"/>
              <w:bottom w:val="nil"/>
              <w:right w:val="nil"/>
            </w:tcBorders>
            <w:shd w:val="clear" w:color="auto" w:fill="auto"/>
            <w:noWrap/>
            <w:vAlign w:val="bottom"/>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18"/>
                <w:szCs w:val="18"/>
                <w:lang w:val="en-US" w:eastAsia="zh-CN"/>
              </w:rPr>
            </w:pPr>
            <w:r w:rsidRPr="000A6EEF">
              <w:rPr>
                <w:rFonts w:ascii="Arial" w:hAnsi="Arial" w:cs="Arial"/>
                <w:sz w:val="18"/>
                <w:szCs w:val="18"/>
                <w:lang w:val="en-US" w:eastAsia="zh-CN"/>
              </w:rPr>
              <w:t xml:space="preserve">                         -   </w:t>
            </w:r>
          </w:p>
        </w:tc>
        <w:tc>
          <w:tcPr>
            <w:tcW w:w="1418" w:type="dxa"/>
            <w:tcBorders>
              <w:top w:val="nil"/>
              <w:left w:val="single" w:sz="4" w:space="0" w:color="auto"/>
              <w:bottom w:val="nil"/>
              <w:right w:val="single" w:sz="4" w:space="0" w:color="auto"/>
            </w:tcBorders>
            <w:shd w:val="clear" w:color="auto" w:fill="auto"/>
            <w:noWrap/>
            <w:vAlign w:val="bottom"/>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0A6EEF">
              <w:rPr>
                <w:rFonts w:ascii="Arial" w:hAnsi="Arial" w:cs="Arial"/>
                <w:color w:val="000000"/>
                <w:sz w:val="18"/>
                <w:szCs w:val="18"/>
                <w:lang w:val="en-US" w:eastAsia="zh-CN"/>
              </w:rPr>
              <w:t xml:space="preserve">                  571 </w:t>
            </w:r>
          </w:p>
        </w:tc>
        <w:tc>
          <w:tcPr>
            <w:tcW w:w="1275" w:type="dxa"/>
            <w:tcBorders>
              <w:top w:val="nil"/>
              <w:left w:val="nil"/>
              <w:bottom w:val="nil"/>
              <w:right w:val="single" w:sz="8" w:space="0" w:color="auto"/>
            </w:tcBorders>
            <w:shd w:val="clear" w:color="auto" w:fill="auto"/>
            <w:noWrap/>
            <w:vAlign w:val="center"/>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0A6EEF">
              <w:rPr>
                <w:rFonts w:ascii="Arial" w:hAnsi="Arial" w:cs="Arial"/>
                <w:color w:val="000000"/>
                <w:sz w:val="18"/>
                <w:szCs w:val="18"/>
                <w:lang w:val="en-US" w:eastAsia="zh-CN"/>
              </w:rPr>
              <w:t xml:space="preserve">        571 </w:t>
            </w:r>
          </w:p>
        </w:tc>
      </w:tr>
      <w:tr w:rsidR="000A6EEF" w:rsidRPr="000A6EEF" w:rsidTr="000A6EEF">
        <w:trPr>
          <w:trHeight w:val="255"/>
        </w:trPr>
        <w:tc>
          <w:tcPr>
            <w:tcW w:w="3119" w:type="dxa"/>
            <w:tcBorders>
              <w:top w:val="nil"/>
              <w:left w:val="single" w:sz="8" w:space="0" w:color="auto"/>
              <w:bottom w:val="nil"/>
              <w:right w:val="single" w:sz="4" w:space="0" w:color="auto"/>
            </w:tcBorders>
            <w:shd w:val="clear" w:color="auto" w:fill="auto"/>
            <w:hideMark/>
          </w:tcPr>
          <w:p w:rsidR="000A6EEF" w:rsidRPr="00D477D8" w:rsidRDefault="000A6EEF" w:rsidP="000A6EEF">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8"/>
                <w:szCs w:val="18"/>
                <w:lang w:val="en-US" w:eastAsia="zh-CN"/>
              </w:rPr>
            </w:pPr>
            <w:r w:rsidRPr="00D477D8">
              <w:rPr>
                <w:rFonts w:ascii="Arial" w:hAnsi="Arial" w:cs="Arial"/>
                <w:color w:val="000000"/>
                <w:sz w:val="18"/>
                <w:szCs w:val="18"/>
                <w:lang w:val="en-US" w:eastAsia="zh-CN"/>
              </w:rPr>
              <w:t>Gifts</w:t>
            </w:r>
          </w:p>
        </w:tc>
        <w:tc>
          <w:tcPr>
            <w:tcW w:w="1559" w:type="dxa"/>
            <w:tcBorders>
              <w:top w:val="nil"/>
              <w:left w:val="single" w:sz="4" w:space="0" w:color="auto"/>
              <w:bottom w:val="nil"/>
              <w:right w:val="nil"/>
            </w:tcBorders>
            <w:shd w:val="clear" w:color="auto" w:fill="auto"/>
            <w:noWrap/>
            <w:vAlign w:val="bottom"/>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p>
        </w:tc>
        <w:tc>
          <w:tcPr>
            <w:tcW w:w="1418" w:type="dxa"/>
            <w:tcBorders>
              <w:top w:val="nil"/>
              <w:left w:val="single" w:sz="4" w:space="0" w:color="auto"/>
              <w:bottom w:val="nil"/>
              <w:right w:val="single" w:sz="4" w:space="0" w:color="auto"/>
            </w:tcBorders>
            <w:shd w:val="clear" w:color="auto" w:fill="auto"/>
            <w:noWrap/>
            <w:vAlign w:val="bottom"/>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0A6EEF">
              <w:rPr>
                <w:rFonts w:ascii="Arial" w:hAnsi="Arial" w:cs="Arial"/>
                <w:color w:val="000000"/>
                <w:sz w:val="18"/>
                <w:szCs w:val="18"/>
                <w:lang w:val="en-US" w:eastAsia="zh-CN"/>
              </w:rPr>
              <w:t> </w:t>
            </w:r>
          </w:p>
        </w:tc>
        <w:tc>
          <w:tcPr>
            <w:tcW w:w="1275" w:type="dxa"/>
            <w:tcBorders>
              <w:top w:val="nil"/>
              <w:left w:val="nil"/>
              <w:bottom w:val="nil"/>
              <w:right w:val="single" w:sz="8" w:space="0" w:color="auto"/>
            </w:tcBorders>
            <w:shd w:val="clear" w:color="auto" w:fill="auto"/>
            <w:noWrap/>
            <w:vAlign w:val="center"/>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0A6EEF">
              <w:rPr>
                <w:rFonts w:ascii="Arial" w:hAnsi="Arial" w:cs="Arial"/>
                <w:color w:val="000000"/>
                <w:sz w:val="18"/>
                <w:szCs w:val="18"/>
                <w:lang w:val="en-US" w:eastAsia="zh-CN"/>
              </w:rPr>
              <w:t xml:space="preserve">           - </w:t>
            </w:r>
          </w:p>
        </w:tc>
      </w:tr>
      <w:tr w:rsidR="000A6EEF" w:rsidRPr="000A6EEF" w:rsidTr="000A6EEF">
        <w:trPr>
          <w:trHeight w:val="255"/>
        </w:trPr>
        <w:tc>
          <w:tcPr>
            <w:tcW w:w="3119" w:type="dxa"/>
            <w:tcBorders>
              <w:top w:val="nil"/>
              <w:left w:val="single" w:sz="8" w:space="0" w:color="auto"/>
              <w:bottom w:val="nil"/>
              <w:right w:val="single" w:sz="4" w:space="0" w:color="auto"/>
            </w:tcBorders>
            <w:shd w:val="clear" w:color="auto" w:fill="auto"/>
            <w:hideMark/>
          </w:tcPr>
          <w:p w:rsidR="000A6EEF" w:rsidRPr="00D477D8" w:rsidRDefault="000A6EEF" w:rsidP="000A6EEF">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8"/>
                <w:szCs w:val="18"/>
                <w:lang w:val="en-US" w:eastAsia="zh-CN"/>
              </w:rPr>
            </w:pPr>
            <w:r w:rsidRPr="00D477D8">
              <w:rPr>
                <w:rFonts w:ascii="Arial" w:hAnsi="Arial" w:cs="Arial"/>
                <w:color w:val="000000"/>
                <w:sz w:val="18"/>
                <w:szCs w:val="18"/>
                <w:lang w:val="en-US" w:eastAsia="zh-CN"/>
              </w:rPr>
              <w:t>Disposals</w:t>
            </w:r>
          </w:p>
        </w:tc>
        <w:tc>
          <w:tcPr>
            <w:tcW w:w="1559" w:type="dxa"/>
            <w:tcBorders>
              <w:top w:val="nil"/>
              <w:left w:val="single" w:sz="4" w:space="0" w:color="auto"/>
              <w:bottom w:val="nil"/>
              <w:right w:val="nil"/>
            </w:tcBorders>
            <w:shd w:val="clear" w:color="auto" w:fill="auto"/>
            <w:noWrap/>
            <w:vAlign w:val="bottom"/>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p>
        </w:tc>
        <w:tc>
          <w:tcPr>
            <w:tcW w:w="1418" w:type="dxa"/>
            <w:tcBorders>
              <w:top w:val="nil"/>
              <w:left w:val="single" w:sz="4" w:space="0" w:color="auto"/>
              <w:bottom w:val="nil"/>
              <w:right w:val="single" w:sz="4" w:space="0" w:color="auto"/>
            </w:tcBorders>
            <w:shd w:val="clear" w:color="auto" w:fill="auto"/>
            <w:noWrap/>
            <w:vAlign w:val="bottom"/>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0A6EEF">
              <w:rPr>
                <w:rFonts w:ascii="Arial" w:hAnsi="Arial" w:cs="Arial"/>
                <w:color w:val="000000"/>
                <w:sz w:val="18"/>
                <w:szCs w:val="18"/>
                <w:lang w:val="en-US" w:eastAsia="zh-CN"/>
              </w:rPr>
              <w:t> </w:t>
            </w:r>
          </w:p>
        </w:tc>
        <w:tc>
          <w:tcPr>
            <w:tcW w:w="1275" w:type="dxa"/>
            <w:tcBorders>
              <w:top w:val="nil"/>
              <w:left w:val="nil"/>
              <w:bottom w:val="nil"/>
              <w:right w:val="single" w:sz="8" w:space="0" w:color="auto"/>
            </w:tcBorders>
            <w:shd w:val="clear" w:color="auto" w:fill="auto"/>
            <w:noWrap/>
            <w:vAlign w:val="center"/>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0A6EEF">
              <w:rPr>
                <w:rFonts w:ascii="Arial" w:hAnsi="Arial" w:cs="Arial"/>
                <w:color w:val="000000"/>
                <w:sz w:val="18"/>
                <w:szCs w:val="18"/>
                <w:lang w:val="en-US" w:eastAsia="zh-CN"/>
              </w:rPr>
              <w:t xml:space="preserve">             - </w:t>
            </w:r>
          </w:p>
        </w:tc>
      </w:tr>
      <w:tr w:rsidR="000A6EEF" w:rsidRPr="000A6EEF" w:rsidTr="000A6EEF">
        <w:trPr>
          <w:trHeight w:val="255"/>
        </w:trPr>
        <w:tc>
          <w:tcPr>
            <w:tcW w:w="3119" w:type="dxa"/>
            <w:tcBorders>
              <w:top w:val="nil"/>
              <w:left w:val="single" w:sz="8" w:space="0" w:color="auto"/>
              <w:bottom w:val="nil"/>
              <w:right w:val="single" w:sz="4" w:space="0" w:color="auto"/>
            </w:tcBorders>
            <w:shd w:val="clear" w:color="auto" w:fill="auto"/>
            <w:hideMark/>
          </w:tcPr>
          <w:p w:rsidR="000A6EEF" w:rsidRPr="00D477D8" w:rsidRDefault="000A6EEF" w:rsidP="000A6EEF">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8"/>
                <w:szCs w:val="18"/>
                <w:lang w:val="en-US" w:eastAsia="zh-CN"/>
              </w:rPr>
            </w:pPr>
            <w:r w:rsidRPr="00D477D8">
              <w:rPr>
                <w:rFonts w:ascii="Arial" w:hAnsi="Arial" w:cs="Arial"/>
                <w:color w:val="000000"/>
                <w:sz w:val="18"/>
                <w:szCs w:val="18"/>
                <w:lang w:val="en-US" w:eastAsia="zh-CN"/>
              </w:rPr>
              <w:t>Impairment losses</w:t>
            </w:r>
          </w:p>
        </w:tc>
        <w:tc>
          <w:tcPr>
            <w:tcW w:w="1559" w:type="dxa"/>
            <w:tcBorders>
              <w:top w:val="nil"/>
              <w:left w:val="single" w:sz="4" w:space="0" w:color="auto"/>
              <w:bottom w:val="nil"/>
              <w:right w:val="nil"/>
            </w:tcBorders>
            <w:shd w:val="clear" w:color="auto" w:fill="auto"/>
            <w:noWrap/>
            <w:vAlign w:val="bottom"/>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p>
        </w:tc>
        <w:tc>
          <w:tcPr>
            <w:tcW w:w="1418" w:type="dxa"/>
            <w:tcBorders>
              <w:top w:val="nil"/>
              <w:left w:val="single" w:sz="4" w:space="0" w:color="auto"/>
              <w:bottom w:val="nil"/>
              <w:right w:val="single" w:sz="4" w:space="0" w:color="auto"/>
            </w:tcBorders>
            <w:shd w:val="clear" w:color="auto" w:fill="auto"/>
            <w:noWrap/>
            <w:vAlign w:val="bottom"/>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0A6EEF">
              <w:rPr>
                <w:rFonts w:ascii="Arial" w:hAnsi="Arial" w:cs="Arial"/>
                <w:color w:val="000000"/>
                <w:sz w:val="18"/>
                <w:szCs w:val="18"/>
                <w:lang w:val="en-US" w:eastAsia="zh-CN"/>
              </w:rPr>
              <w:t> </w:t>
            </w:r>
          </w:p>
        </w:tc>
        <w:tc>
          <w:tcPr>
            <w:tcW w:w="1275" w:type="dxa"/>
            <w:tcBorders>
              <w:top w:val="nil"/>
              <w:left w:val="nil"/>
              <w:bottom w:val="nil"/>
              <w:right w:val="single" w:sz="8" w:space="0" w:color="auto"/>
            </w:tcBorders>
            <w:shd w:val="clear" w:color="auto" w:fill="auto"/>
            <w:noWrap/>
            <w:vAlign w:val="center"/>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0A6EEF">
              <w:rPr>
                <w:rFonts w:ascii="Arial" w:hAnsi="Arial" w:cs="Arial"/>
                <w:color w:val="000000"/>
                <w:sz w:val="18"/>
                <w:szCs w:val="18"/>
                <w:lang w:val="en-US" w:eastAsia="zh-CN"/>
              </w:rPr>
              <w:t xml:space="preserve">             - </w:t>
            </w:r>
          </w:p>
        </w:tc>
      </w:tr>
      <w:tr w:rsidR="000A6EEF" w:rsidRPr="000A6EEF" w:rsidTr="007E3570">
        <w:trPr>
          <w:trHeight w:val="255"/>
        </w:trPr>
        <w:tc>
          <w:tcPr>
            <w:tcW w:w="3119" w:type="dxa"/>
            <w:tcBorders>
              <w:top w:val="nil"/>
              <w:left w:val="single" w:sz="8" w:space="0" w:color="auto"/>
              <w:bottom w:val="nil"/>
              <w:right w:val="single" w:sz="4" w:space="0" w:color="auto"/>
            </w:tcBorders>
            <w:shd w:val="clear" w:color="auto" w:fill="auto"/>
            <w:hideMark/>
          </w:tcPr>
          <w:p w:rsidR="000A6EEF" w:rsidRPr="00D477D8" w:rsidRDefault="000A6EEF" w:rsidP="000A6EEF">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8"/>
                <w:szCs w:val="18"/>
                <w:lang w:val="en-US" w:eastAsia="zh-CN"/>
              </w:rPr>
            </w:pPr>
            <w:r w:rsidRPr="00D477D8">
              <w:rPr>
                <w:rFonts w:ascii="Arial" w:hAnsi="Arial" w:cs="Arial"/>
                <w:color w:val="000000"/>
                <w:sz w:val="18"/>
                <w:szCs w:val="18"/>
                <w:lang w:val="en-US" w:eastAsia="zh-CN"/>
              </w:rPr>
              <w:t>Reclassifications &amp; corrections</w:t>
            </w:r>
          </w:p>
        </w:tc>
        <w:tc>
          <w:tcPr>
            <w:tcW w:w="1559" w:type="dxa"/>
            <w:tcBorders>
              <w:top w:val="nil"/>
              <w:left w:val="single" w:sz="4" w:space="0" w:color="auto"/>
              <w:bottom w:val="nil"/>
              <w:right w:val="nil"/>
            </w:tcBorders>
            <w:shd w:val="clear" w:color="auto" w:fill="auto"/>
            <w:noWrap/>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p>
        </w:tc>
        <w:tc>
          <w:tcPr>
            <w:tcW w:w="1418" w:type="dxa"/>
            <w:tcBorders>
              <w:top w:val="nil"/>
              <w:left w:val="single" w:sz="4" w:space="0" w:color="auto"/>
              <w:bottom w:val="nil"/>
              <w:right w:val="single" w:sz="4" w:space="0" w:color="auto"/>
            </w:tcBorders>
            <w:shd w:val="clear" w:color="auto" w:fill="auto"/>
            <w:noWrap/>
            <w:hideMark/>
          </w:tcPr>
          <w:p w:rsidR="000A6EEF" w:rsidRPr="000A6EEF" w:rsidRDefault="000A6EEF" w:rsidP="00FA34A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0A6EEF">
              <w:rPr>
                <w:rFonts w:ascii="Arial" w:hAnsi="Arial" w:cs="Arial"/>
                <w:color w:val="000000"/>
                <w:sz w:val="18"/>
                <w:szCs w:val="18"/>
                <w:lang w:val="en-US" w:eastAsia="zh-CN"/>
              </w:rPr>
              <w:t xml:space="preserve">-3 </w:t>
            </w:r>
          </w:p>
        </w:tc>
        <w:tc>
          <w:tcPr>
            <w:tcW w:w="1275" w:type="dxa"/>
            <w:tcBorders>
              <w:top w:val="nil"/>
              <w:left w:val="nil"/>
              <w:bottom w:val="nil"/>
              <w:right w:val="single" w:sz="8" w:space="0" w:color="auto"/>
            </w:tcBorders>
            <w:shd w:val="clear" w:color="auto" w:fill="auto"/>
            <w:noWrap/>
            <w:hideMark/>
          </w:tcPr>
          <w:p w:rsidR="000A6EEF" w:rsidRPr="000A6EEF" w:rsidRDefault="000A6EEF" w:rsidP="007E3570">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0A6EEF">
              <w:rPr>
                <w:rFonts w:ascii="Arial" w:hAnsi="Arial" w:cs="Arial"/>
                <w:color w:val="000000"/>
                <w:sz w:val="18"/>
                <w:szCs w:val="18"/>
                <w:lang w:val="en-US" w:eastAsia="zh-CN"/>
              </w:rPr>
              <w:t xml:space="preserve">          </w:t>
            </w:r>
            <w:r w:rsidR="007E3570">
              <w:rPr>
                <w:rFonts w:ascii="Arial" w:hAnsi="Arial" w:cs="Arial"/>
                <w:color w:val="000000"/>
                <w:sz w:val="18"/>
                <w:szCs w:val="18"/>
                <w:lang w:val="en-US" w:eastAsia="zh-CN"/>
              </w:rPr>
              <w:t>-3</w:t>
            </w:r>
          </w:p>
        </w:tc>
      </w:tr>
      <w:tr w:rsidR="000A6EEF" w:rsidRPr="000A6EEF" w:rsidTr="000A6EEF">
        <w:trPr>
          <w:trHeight w:val="255"/>
        </w:trPr>
        <w:tc>
          <w:tcPr>
            <w:tcW w:w="3119" w:type="dxa"/>
            <w:tcBorders>
              <w:top w:val="nil"/>
              <w:left w:val="single" w:sz="8" w:space="0" w:color="auto"/>
              <w:bottom w:val="nil"/>
              <w:right w:val="single" w:sz="4" w:space="0" w:color="auto"/>
            </w:tcBorders>
            <w:shd w:val="clear" w:color="auto" w:fill="auto"/>
            <w:hideMark/>
          </w:tcPr>
          <w:p w:rsidR="000A6EEF" w:rsidRPr="00D477D8" w:rsidRDefault="000A6EEF" w:rsidP="000A6EEF">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8"/>
                <w:szCs w:val="18"/>
                <w:lang w:val="en-US" w:eastAsia="zh-CN"/>
              </w:rPr>
            </w:pPr>
            <w:r w:rsidRPr="00D477D8">
              <w:rPr>
                <w:rFonts w:ascii="Arial" w:hAnsi="Arial" w:cs="Arial"/>
                <w:color w:val="000000"/>
                <w:sz w:val="18"/>
                <w:szCs w:val="18"/>
                <w:lang w:val="en-US" w:eastAsia="zh-CN"/>
              </w:rPr>
              <w:t>Revaluations</w:t>
            </w:r>
          </w:p>
        </w:tc>
        <w:tc>
          <w:tcPr>
            <w:tcW w:w="1559" w:type="dxa"/>
            <w:tcBorders>
              <w:top w:val="nil"/>
              <w:left w:val="single" w:sz="4" w:space="0" w:color="auto"/>
              <w:bottom w:val="nil"/>
              <w:right w:val="nil"/>
            </w:tcBorders>
            <w:shd w:val="clear" w:color="auto" w:fill="auto"/>
            <w:noWrap/>
            <w:vAlign w:val="bottom"/>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p>
        </w:tc>
        <w:tc>
          <w:tcPr>
            <w:tcW w:w="1418" w:type="dxa"/>
            <w:tcBorders>
              <w:top w:val="nil"/>
              <w:left w:val="single" w:sz="4" w:space="0" w:color="auto"/>
              <w:bottom w:val="nil"/>
              <w:right w:val="single" w:sz="4" w:space="0" w:color="auto"/>
            </w:tcBorders>
            <w:shd w:val="clear" w:color="auto" w:fill="auto"/>
            <w:noWrap/>
            <w:vAlign w:val="bottom"/>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0A6EEF">
              <w:rPr>
                <w:rFonts w:ascii="Arial" w:hAnsi="Arial" w:cs="Arial"/>
                <w:color w:val="000000"/>
                <w:sz w:val="18"/>
                <w:szCs w:val="18"/>
                <w:lang w:val="en-US" w:eastAsia="zh-CN"/>
              </w:rPr>
              <w:t> </w:t>
            </w:r>
          </w:p>
        </w:tc>
        <w:tc>
          <w:tcPr>
            <w:tcW w:w="1275" w:type="dxa"/>
            <w:tcBorders>
              <w:top w:val="nil"/>
              <w:left w:val="nil"/>
              <w:bottom w:val="nil"/>
              <w:right w:val="single" w:sz="8" w:space="0" w:color="auto"/>
            </w:tcBorders>
            <w:shd w:val="clear" w:color="auto" w:fill="auto"/>
            <w:noWrap/>
            <w:vAlign w:val="center"/>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0A6EEF">
              <w:rPr>
                <w:rFonts w:ascii="Arial" w:hAnsi="Arial" w:cs="Arial"/>
                <w:color w:val="000000"/>
                <w:sz w:val="18"/>
                <w:szCs w:val="18"/>
                <w:lang w:val="en-US" w:eastAsia="zh-CN"/>
              </w:rPr>
              <w:t xml:space="preserve">             - </w:t>
            </w:r>
          </w:p>
        </w:tc>
      </w:tr>
      <w:tr w:rsidR="000A6EEF" w:rsidRPr="000A6EEF" w:rsidTr="000A6EEF">
        <w:trPr>
          <w:trHeight w:val="255"/>
        </w:trPr>
        <w:tc>
          <w:tcPr>
            <w:tcW w:w="311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A6EEF" w:rsidRPr="00D477D8" w:rsidRDefault="000A6EEF" w:rsidP="000A6EEF">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Cost at 31 December</w:t>
            </w:r>
          </w:p>
        </w:tc>
        <w:tc>
          <w:tcPr>
            <w:tcW w:w="1559" w:type="dxa"/>
            <w:tcBorders>
              <w:top w:val="single" w:sz="4" w:space="0" w:color="auto"/>
              <w:left w:val="single" w:sz="4" w:space="0" w:color="auto"/>
              <w:bottom w:val="single" w:sz="4" w:space="0" w:color="auto"/>
              <w:right w:val="nil"/>
            </w:tcBorders>
            <w:shd w:val="clear" w:color="auto" w:fill="auto"/>
            <w:vAlign w:val="center"/>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0A6EEF">
              <w:rPr>
                <w:rFonts w:ascii="Arial" w:hAnsi="Arial" w:cs="Arial"/>
                <w:b/>
                <w:bCs/>
                <w:color w:val="000000"/>
                <w:sz w:val="18"/>
                <w:szCs w:val="18"/>
                <w:lang w:val="en-US" w:eastAsia="zh-CN"/>
              </w:rPr>
              <w:t xml:space="preserve">                         -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0A6EEF">
              <w:rPr>
                <w:rFonts w:ascii="Arial" w:hAnsi="Arial" w:cs="Arial"/>
                <w:b/>
                <w:bCs/>
                <w:color w:val="000000"/>
                <w:sz w:val="18"/>
                <w:szCs w:val="18"/>
                <w:lang w:val="en-US" w:eastAsia="zh-CN"/>
              </w:rPr>
              <w:t xml:space="preserve">                  908 </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0A6EEF">
              <w:rPr>
                <w:rFonts w:ascii="Arial" w:hAnsi="Arial" w:cs="Arial"/>
                <w:b/>
                <w:bCs/>
                <w:color w:val="000000"/>
                <w:sz w:val="18"/>
                <w:szCs w:val="18"/>
                <w:lang w:val="en-US" w:eastAsia="zh-CN"/>
              </w:rPr>
              <w:t xml:space="preserve">        908 </w:t>
            </w:r>
          </w:p>
        </w:tc>
      </w:tr>
      <w:tr w:rsidR="000A6EEF" w:rsidRPr="000A6EEF" w:rsidTr="000A6EEF">
        <w:trPr>
          <w:trHeight w:val="48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A6EEF" w:rsidRPr="00D477D8" w:rsidRDefault="000A6EEF" w:rsidP="000A6EEF">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Depreciation at 1 January</w:t>
            </w:r>
          </w:p>
        </w:tc>
        <w:tc>
          <w:tcPr>
            <w:tcW w:w="1559" w:type="dxa"/>
            <w:tcBorders>
              <w:top w:val="nil"/>
              <w:left w:val="single" w:sz="4" w:space="0" w:color="auto"/>
              <w:bottom w:val="single" w:sz="4" w:space="0" w:color="auto"/>
              <w:right w:val="nil"/>
            </w:tcBorders>
            <w:shd w:val="clear" w:color="auto" w:fill="auto"/>
            <w:noWrap/>
            <w:vAlign w:val="center"/>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0A6EEF">
              <w:rPr>
                <w:rFonts w:ascii="Arial" w:hAnsi="Arial" w:cs="Arial"/>
                <w:b/>
                <w:bCs/>
                <w:color w:val="000000"/>
                <w:sz w:val="18"/>
                <w:szCs w:val="18"/>
                <w:lang w:val="en-US" w:eastAsia="zh-CN"/>
              </w:rPr>
              <w:t xml:space="preserve">                      -   </w:t>
            </w:r>
          </w:p>
        </w:tc>
        <w:tc>
          <w:tcPr>
            <w:tcW w:w="1275" w:type="dxa"/>
            <w:tcBorders>
              <w:top w:val="nil"/>
              <w:left w:val="nil"/>
              <w:bottom w:val="single" w:sz="4" w:space="0" w:color="auto"/>
              <w:right w:val="single" w:sz="8" w:space="0" w:color="auto"/>
            </w:tcBorders>
            <w:shd w:val="clear" w:color="auto" w:fill="auto"/>
            <w:vAlign w:val="center"/>
            <w:hideMark/>
          </w:tcPr>
          <w:p w:rsidR="000A6EEF" w:rsidRPr="000A6EEF" w:rsidRDefault="000A6EEF" w:rsidP="008A400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0A6EEF">
              <w:rPr>
                <w:rFonts w:ascii="Arial" w:hAnsi="Arial" w:cs="Arial"/>
                <w:b/>
                <w:bCs/>
                <w:color w:val="000000"/>
                <w:sz w:val="18"/>
                <w:szCs w:val="18"/>
                <w:lang w:val="en-US" w:eastAsia="zh-CN"/>
              </w:rPr>
              <w:t xml:space="preserve">            - </w:t>
            </w:r>
          </w:p>
        </w:tc>
      </w:tr>
      <w:tr w:rsidR="000A6EEF" w:rsidRPr="000A6EEF" w:rsidTr="008A4001">
        <w:trPr>
          <w:trHeight w:val="255"/>
        </w:trPr>
        <w:tc>
          <w:tcPr>
            <w:tcW w:w="3119" w:type="dxa"/>
            <w:tcBorders>
              <w:top w:val="nil"/>
              <w:left w:val="single" w:sz="8" w:space="0" w:color="auto"/>
              <w:bottom w:val="nil"/>
              <w:right w:val="single" w:sz="4" w:space="0" w:color="auto"/>
            </w:tcBorders>
            <w:shd w:val="clear" w:color="auto" w:fill="auto"/>
            <w:hideMark/>
          </w:tcPr>
          <w:p w:rsidR="000A6EEF" w:rsidRPr="00D477D8" w:rsidRDefault="000A6EEF" w:rsidP="000A6EEF">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8"/>
                <w:szCs w:val="18"/>
                <w:lang w:val="en-US" w:eastAsia="zh-CN"/>
              </w:rPr>
            </w:pPr>
            <w:r w:rsidRPr="00D477D8">
              <w:rPr>
                <w:rFonts w:ascii="Arial" w:hAnsi="Arial" w:cs="Arial"/>
                <w:color w:val="000000"/>
                <w:sz w:val="18"/>
                <w:szCs w:val="18"/>
                <w:lang w:val="en-US" w:eastAsia="zh-CN"/>
              </w:rPr>
              <w:t>Recognized during the year</w:t>
            </w:r>
          </w:p>
        </w:tc>
        <w:tc>
          <w:tcPr>
            <w:tcW w:w="1559" w:type="dxa"/>
            <w:tcBorders>
              <w:top w:val="nil"/>
              <w:left w:val="single" w:sz="4" w:space="0" w:color="auto"/>
              <w:bottom w:val="nil"/>
              <w:right w:val="nil"/>
            </w:tcBorders>
            <w:shd w:val="clear" w:color="auto" w:fill="auto"/>
            <w:noWrap/>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fr-CH" w:eastAsia="zh-CN"/>
              </w:rPr>
            </w:pPr>
          </w:p>
        </w:tc>
        <w:tc>
          <w:tcPr>
            <w:tcW w:w="1418" w:type="dxa"/>
            <w:tcBorders>
              <w:top w:val="nil"/>
              <w:left w:val="single" w:sz="4" w:space="0" w:color="auto"/>
              <w:bottom w:val="nil"/>
              <w:right w:val="single" w:sz="4" w:space="0" w:color="auto"/>
            </w:tcBorders>
            <w:shd w:val="clear" w:color="auto" w:fill="auto"/>
            <w:noWrap/>
            <w:hideMark/>
          </w:tcPr>
          <w:p w:rsidR="000A6EEF" w:rsidRPr="000A6EEF" w:rsidRDefault="000A6EEF" w:rsidP="008A4001">
            <w:pPr>
              <w:tabs>
                <w:tab w:val="clear" w:pos="567"/>
                <w:tab w:val="clear" w:pos="1134"/>
                <w:tab w:val="clear" w:pos="1701"/>
                <w:tab w:val="clear" w:pos="2268"/>
                <w:tab w:val="clear" w:pos="2835"/>
              </w:tabs>
              <w:overflowPunct/>
              <w:autoSpaceDE/>
              <w:autoSpaceDN/>
              <w:adjustRightInd/>
              <w:spacing w:before="0"/>
              <w:ind w:right="360"/>
              <w:textAlignment w:val="auto"/>
              <w:rPr>
                <w:rFonts w:ascii="Arial" w:hAnsi="Arial" w:cs="Arial"/>
                <w:color w:val="000000"/>
                <w:sz w:val="18"/>
                <w:szCs w:val="18"/>
                <w:lang w:val="fr-CH" w:eastAsia="zh-CN"/>
              </w:rPr>
            </w:pPr>
          </w:p>
        </w:tc>
        <w:tc>
          <w:tcPr>
            <w:tcW w:w="1275" w:type="dxa"/>
            <w:tcBorders>
              <w:top w:val="nil"/>
              <w:left w:val="nil"/>
              <w:bottom w:val="nil"/>
              <w:right w:val="single" w:sz="8" w:space="0" w:color="auto"/>
            </w:tcBorders>
            <w:shd w:val="clear" w:color="auto" w:fill="auto"/>
            <w:noWrap/>
            <w:hideMark/>
          </w:tcPr>
          <w:p w:rsidR="000A6EEF" w:rsidRPr="000A6EEF" w:rsidRDefault="000A6EEF" w:rsidP="008A4001">
            <w:pPr>
              <w:tabs>
                <w:tab w:val="clear" w:pos="567"/>
                <w:tab w:val="clear" w:pos="1134"/>
                <w:tab w:val="clear" w:pos="1701"/>
                <w:tab w:val="clear" w:pos="2268"/>
                <w:tab w:val="clear" w:pos="2835"/>
              </w:tabs>
              <w:overflowPunct/>
              <w:autoSpaceDE/>
              <w:autoSpaceDN/>
              <w:adjustRightInd/>
              <w:spacing w:before="0"/>
              <w:ind w:right="-76"/>
              <w:jc w:val="right"/>
              <w:textAlignment w:val="auto"/>
              <w:rPr>
                <w:rFonts w:ascii="Arial" w:hAnsi="Arial" w:cs="Arial"/>
                <w:color w:val="000000"/>
                <w:sz w:val="18"/>
                <w:szCs w:val="18"/>
                <w:lang w:val="en-US" w:eastAsia="zh-CN"/>
              </w:rPr>
            </w:pPr>
            <w:r w:rsidRPr="000A6EEF">
              <w:rPr>
                <w:rFonts w:ascii="Arial" w:hAnsi="Arial" w:cs="Arial"/>
                <w:color w:val="000000"/>
                <w:sz w:val="18"/>
                <w:szCs w:val="18"/>
                <w:lang w:val="fr-CH" w:eastAsia="zh-CN"/>
              </w:rPr>
              <w:t xml:space="preserve">            </w:t>
            </w:r>
            <w:r w:rsidRPr="000A6EEF">
              <w:rPr>
                <w:rFonts w:ascii="Arial" w:hAnsi="Arial" w:cs="Arial"/>
                <w:color w:val="000000"/>
                <w:sz w:val="18"/>
                <w:szCs w:val="18"/>
                <w:lang w:val="en-US" w:eastAsia="zh-CN"/>
              </w:rPr>
              <w:t xml:space="preserve">- </w:t>
            </w:r>
          </w:p>
        </w:tc>
      </w:tr>
      <w:tr w:rsidR="000A6EEF" w:rsidRPr="000A6EEF" w:rsidTr="008A4001">
        <w:trPr>
          <w:trHeight w:val="255"/>
        </w:trPr>
        <w:tc>
          <w:tcPr>
            <w:tcW w:w="3119" w:type="dxa"/>
            <w:tcBorders>
              <w:top w:val="nil"/>
              <w:left w:val="single" w:sz="8" w:space="0" w:color="auto"/>
              <w:bottom w:val="nil"/>
              <w:right w:val="single" w:sz="4" w:space="0" w:color="auto"/>
            </w:tcBorders>
            <w:shd w:val="clear" w:color="auto" w:fill="auto"/>
            <w:hideMark/>
          </w:tcPr>
          <w:p w:rsidR="000A6EEF" w:rsidRPr="00D477D8" w:rsidRDefault="000A6EEF" w:rsidP="000A6EEF">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8"/>
                <w:szCs w:val="18"/>
                <w:lang w:val="en-US" w:eastAsia="zh-CN"/>
              </w:rPr>
            </w:pPr>
            <w:r w:rsidRPr="00D477D8">
              <w:rPr>
                <w:rFonts w:ascii="Arial" w:hAnsi="Arial" w:cs="Arial"/>
                <w:color w:val="000000"/>
                <w:sz w:val="18"/>
                <w:szCs w:val="18"/>
                <w:lang w:val="en-US" w:eastAsia="zh-CN"/>
              </w:rPr>
              <w:t>Disposals</w:t>
            </w:r>
          </w:p>
        </w:tc>
        <w:tc>
          <w:tcPr>
            <w:tcW w:w="1559" w:type="dxa"/>
            <w:tcBorders>
              <w:top w:val="nil"/>
              <w:left w:val="single" w:sz="4" w:space="0" w:color="auto"/>
              <w:bottom w:val="nil"/>
              <w:right w:val="nil"/>
            </w:tcBorders>
            <w:shd w:val="clear" w:color="auto" w:fill="auto"/>
            <w:noWrap/>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p>
        </w:tc>
        <w:tc>
          <w:tcPr>
            <w:tcW w:w="1418" w:type="dxa"/>
            <w:tcBorders>
              <w:top w:val="nil"/>
              <w:left w:val="single" w:sz="4" w:space="0" w:color="auto"/>
              <w:bottom w:val="nil"/>
              <w:right w:val="single" w:sz="4" w:space="0" w:color="auto"/>
            </w:tcBorders>
            <w:shd w:val="clear" w:color="auto" w:fill="auto"/>
            <w:noWrap/>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0A6EEF">
              <w:rPr>
                <w:rFonts w:ascii="Arial" w:hAnsi="Arial" w:cs="Arial"/>
                <w:color w:val="000000"/>
                <w:sz w:val="18"/>
                <w:szCs w:val="18"/>
                <w:lang w:val="en-US" w:eastAsia="zh-CN"/>
              </w:rPr>
              <w:t> </w:t>
            </w:r>
          </w:p>
        </w:tc>
        <w:tc>
          <w:tcPr>
            <w:tcW w:w="1275" w:type="dxa"/>
            <w:tcBorders>
              <w:top w:val="nil"/>
              <w:left w:val="nil"/>
              <w:bottom w:val="nil"/>
              <w:right w:val="single" w:sz="8" w:space="0" w:color="auto"/>
            </w:tcBorders>
            <w:shd w:val="clear" w:color="auto" w:fill="auto"/>
            <w:noWrap/>
            <w:hideMark/>
          </w:tcPr>
          <w:p w:rsidR="000A6EEF" w:rsidRPr="000A6EEF" w:rsidRDefault="000A6EEF" w:rsidP="008A400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0A6EEF">
              <w:rPr>
                <w:rFonts w:ascii="Arial" w:hAnsi="Arial" w:cs="Arial"/>
                <w:color w:val="000000"/>
                <w:sz w:val="18"/>
                <w:szCs w:val="18"/>
                <w:lang w:val="en-US" w:eastAsia="zh-CN"/>
              </w:rPr>
              <w:t xml:space="preserve">                 - </w:t>
            </w:r>
          </w:p>
        </w:tc>
      </w:tr>
      <w:tr w:rsidR="000A6EEF" w:rsidRPr="000A6EEF" w:rsidTr="008A4001">
        <w:trPr>
          <w:trHeight w:val="255"/>
        </w:trPr>
        <w:tc>
          <w:tcPr>
            <w:tcW w:w="3119" w:type="dxa"/>
            <w:tcBorders>
              <w:top w:val="nil"/>
              <w:left w:val="single" w:sz="8" w:space="0" w:color="auto"/>
              <w:bottom w:val="nil"/>
              <w:right w:val="single" w:sz="4" w:space="0" w:color="auto"/>
            </w:tcBorders>
            <w:shd w:val="clear" w:color="auto" w:fill="auto"/>
            <w:hideMark/>
          </w:tcPr>
          <w:p w:rsidR="000A6EEF" w:rsidRPr="00D477D8" w:rsidRDefault="000A6EEF" w:rsidP="000A6EEF">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8"/>
                <w:szCs w:val="18"/>
                <w:lang w:val="en-US" w:eastAsia="zh-CN"/>
              </w:rPr>
            </w:pPr>
            <w:r w:rsidRPr="00D477D8">
              <w:rPr>
                <w:rFonts w:ascii="Arial" w:hAnsi="Arial" w:cs="Arial"/>
                <w:color w:val="000000"/>
                <w:sz w:val="18"/>
                <w:szCs w:val="18"/>
                <w:lang w:val="en-US" w:eastAsia="zh-CN"/>
              </w:rPr>
              <w:t>Impairment losses</w:t>
            </w:r>
          </w:p>
        </w:tc>
        <w:tc>
          <w:tcPr>
            <w:tcW w:w="1559" w:type="dxa"/>
            <w:tcBorders>
              <w:top w:val="nil"/>
              <w:left w:val="single" w:sz="4" w:space="0" w:color="auto"/>
              <w:bottom w:val="nil"/>
              <w:right w:val="nil"/>
            </w:tcBorders>
            <w:shd w:val="clear" w:color="auto" w:fill="auto"/>
            <w:noWrap/>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p>
        </w:tc>
        <w:tc>
          <w:tcPr>
            <w:tcW w:w="1418" w:type="dxa"/>
            <w:tcBorders>
              <w:top w:val="nil"/>
              <w:left w:val="single" w:sz="4" w:space="0" w:color="auto"/>
              <w:bottom w:val="nil"/>
              <w:right w:val="single" w:sz="4" w:space="0" w:color="auto"/>
            </w:tcBorders>
            <w:shd w:val="clear" w:color="auto" w:fill="auto"/>
            <w:noWrap/>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0A6EEF">
              <w:rPr>
                <w:rFonts w:ascii="Arial" w:hAnsi="Arial" w:cs="Arial"/>
                <w:color w:val="000000"/>
                <w:sz w:val="18"/>
                <w:szCs w:val="18"/>
                <w:lang w:val="en-US" w:eastAsia="zh-CN"/>
              </w:rPr>
              <w:t> </w:t>
            </w:r>
          </w:p>
        </w:tc>
        <w:tc>
          <w:tcPr>
            <w:tcW w:w="1275" w:type="dxa"/>
            <w:tcBorders>
              <w:top w:val="nil"/>
              <w:left w:val="nil"/>
              <w:bottom w:val="nil"/>
              <w:right w:val="single" w:sz="8" w:space="0" w:color="auto"/>
            </w:tcBorders>
            <w:shd w:val="clear" w:color="auto" w:fill="auto"/>
            <w:noWrap/>
            <w:hideMark/>
          </w:tcPr>
          <w:p w:rsidR="000A6EEF" w:rsidRPr="000A6EEF" w:rsidRDefault="000A6EEF" w:rsidP="008A400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0A6EEF">
              <w:rPr>
                <w:rFonts w:ascii="Arial" w:hAnsi="Arial" w:cs="Arial"/>
                <w:color w:val="000000"/>
                <w:sz w:val="18"/>
                <w:szCs w:val="18"/>
                <w:lang w:val="en-US" w:eastAsia="zh-CN"/>
              </w:rPr>
              <w:t xml:space="preserve">                 - </w:t>
            </w:r>
          </w:p>
        </w:tc>
      </w:tr>
      <w:tr w:rsidR="000A6EEF" w:rsidRPr="000A6EEF" w:rsidTr="008A4001">
        <w:trPr>
          <w:trHeight w:val="255"/>
        </w:trPr>
        <w:tc>
          <w:tcPr>
            <w:tcW w:w="3119" w:type="dxa"/>
            <w:tcBorders>
              <w:top w:val="nil"/>
              <w:left w:val="single" w:sz="8" w:space="0" w:color="auto"/>
              <w:bottom w:val="nil"/>
              <w:right w:val="single" w:sz="4" w:space="0" w:color="auto"/>
            </w:tcBorders>
            <w:shd w:val="clear" w:color="auto" w:fill="auto"/>
            <w:hideMark/>
          </w:tcPr>
          <w:p w:rsidR="000A6EEF" w:rsidRPr="00D477D8" w:rsidRDefault="000A6EEF" w:rsidP="000A6EEF">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8"/>
                <w:szCs w:val="18"/>
                <w:lang w:val="en-US" w:eastAsia="zh-CN"/>
              </w:rPr>
            </w:pPr>
            <w:r w:rsidRPr="00D477D8">
              <w:rPr>
                <w:rFonts w:ascii="Arial" w:hAnsi="Arial" w:cs="Arial"/>
                <w:color w:val="000000"/>
                <w:sz w:val="18"/>
                <w:szCs w:val="18"/>
                <w:lang w:val="en-US" w:eastAsia="zh-CN"/>
              </w:rPr>
              <w:t>Reclassifications &amp; corrections</w:t>
            </w:r>
          </w:p>
        </w:tc>
        <w:tc>
          <w:tcPr>
            <w:tcW w:w="1559" w:type="dxa"/>
            <w:tcBorders>
              <w:top w:val="nil"/>
              <w:left w:val="single" w:sz="4" w:space="0" w:color="auto"/>
              <w:bottom w:val="nil"/>
              <w:right w:val="nil"/>
            </w:tcBorders>
            <w:shd w:val="clear" w:color="auto" w:fill="auto"/>
            <w:noWrap/>
            <w:hideMark/>
          </w:tcPr>
          <w:p w:rsidR="000A6EEF" w:rsidRPr="000A6EEF" w:rsidRDefault="000A6EEF" w:rsidP="008A4001">
            <w:pPr>
              <w:tabs>
                <w:tab w:val="clear" w:pos="567"/>
                <w:tab w:val="clear" w:pos="1134"/>
                <w:tab w:val="clear" w:pos="1701"/>
                <w:tab w:val="clear" w:pos="2268"/>
                <w:tab w:val="clear" w:pos="2835"/>
              </w:tabs>
              <w:overflowPunct/>
              <w:autoSpaceDE/>
              <w:autoSpaceDN/>
              <w:adjustRightInd/>
              <w:spacing w:before="0"/>
              <w:ind w:right="360"/>
              <w:textAlignment w:val="auto"/>
              <w:rPr>
                <w:rFonts w:ascii="Arial" w:hAnsi="Arial" w:cs="Arial"/>
                <w:color w:val="000000"/>
                <w:sz w:val="18"/>
                <w:szCs w:val="18"/>
                <w:lang w:val="en-US" w:eastAsia="zh-CN"/>
              </w:rPr>
            </w:pPr>
          </w:p>
        </w:tc>
        <w:tc>
          <w:tcPr>
            <w:tcW w:w="1418" w:type="dxa"/>
            <w:tcBorders>
              <w:top w:val="nil"/>
              <w:left w:val="single" w:sz="4" w:space="0" w:color="auto"/>
              <w:bottom w:val="nil"/>
              <w:right w:val="single" w:sz="4" w:space="0" w:color="auto"/>
            </w:tcBorders>
            <w:shd w:val="clear" w:color="auto" w:fill="auto"/>
            <w:noWrap/>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0A6EEF">
              <w:rPr>
                <w:rFonts w:ascii="Arial" w:hAnsi="Arial" w:cs="Arial"/>
                <w:color w:val="000000"/>
                <w:sz w:val="18"/>
                <w:szCs w:val="18"/>
                <w:lang w:val="en-US" w:eastAsia="zh-CN"/>
              </w:rPr>
              <w:t> </w:t>
            </w:r>
          </w:p>
        </w:tc>
        <w:tc>
          <w:tcPr>
            <w:tcW w:w="1275" w:type="dxa"/>
            <w:tcBorders>
              <w:top w:val="nil"/>
              <w:left w:val="nil"/>
              <w:bottom w:val="nil"/>
              <w:right w:val="single" w:sz="8" w:space="0" w:color="auto"/>
            </w:tcBorders>
            <w:shd w:val="clear" w:color="auto" w:fill="auto"/>
            <w:noWrap/>
            <w:hideMark/>
          </w:tcPr>
          <w:p w:rsidR="000A6EEF" w:rsidRPr="000A6EEF" w:rsidRDefault="000A6EEF" w:rsidP="008A400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0A6EEF">
              <w:rPr>
                <w:rFonts w:ascii="Arial" w:hAnsi="Arial" w:cs="Arial"/>
                <w:color w:val="000000"/>
                <w:sz w:val="18"/>
                <w:szCs w:val="18"/>
                <w:lang w:val="en-US" w:eastAsia="zh-CN"/>
              </w:rPr>
              <w:t xml:space="preserve">                 - </w:t>
            </w:r>
          </w:p>
        </w:tc>
      </w:tr>
      <w:tr w:rsidR="000A6EEF" w:rsidRPr="000A6EEF" w:rsidTr="008A4001">
        <w:trPr>
          <w:trHeight w:val="255"/>
        </w:trPr>
        <w:tc>
          <w:tcPr>
            <w:tcW w:w="3119" w:type="dxa"/>
            <w:tcBorders>
              <w:top w:val="nil"/>
              <w:left w:val="single" w:sz="8" w:space="0" w:color="auto"/>
              <w:bottom w:val="nil"/>
              <w:right w:val="single" w:sz="4" w:space="0" w:color="auto"/>
            </w:tcBorders>
            <w:shd w:val="clear" w:color="auto" w:fill="auto"/>
            <w:hideMark/>
          </w:tcPr>
          <w:p w:rsidR="000A6EEF" w:rsidRPr="00D477D8" w:rsidRDefault="000A6EEF" w:rsidP="000A6EEF">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8"/>
                <w:szCs w:val="18"/>
                <w:lang w:val="en-US" w:eastAsia="zh-CN"/>
              </w:rPr>
            </w:pPr>
            <w:r w:rsidRPr="00D477D8">
              <w:rPr>
                <w:rFonts w:ascii="Arial" w:hAnsi="Arial" w:cs="Arial"/>
                <w:color w:val="000000"/>
                <w:sz w:val="18"/>
                <w:szCs w:val="18"/>
                <w:lang w:val="en-US" w:eastAsia="zh-CN"/>
              </w:rPr>
              <w:t>Revaluations</w:t>
            </w:r>
          </w:p>
        </w:tc>
        <w:tc>
          <w:tcPr>
            <w:tcW w:w="1559" w:type="dxa"/>
            <w:tcBorders>
              <w:top w:val="nil"/>
              <w:left w:val="single" w:sz="4" w:space="0" w:color="auto"/>
              <w:bottom w:val="nil"/>
              <w:right w:val="nil"/>
            </w:tcBorders>
            <w:shd w:val="clear" w:color="auto" w:fill="auto"/>
            <w:noWrap/>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p>
        </w:tc>
        <w:tc>
          <w:tcPr>
            <w:tcW w:w="1418" w:type="dxa"/>
            <w:tcBorders>
              <w:top w:val="nil"/>
              <w:left w:val="single" w:sz="4" w:space="0" w:color="auto"/>
              <w:bottom w:val="nil"/>
              <w:right w:val="single" w:sz="4" w:space="0" w:color="auto"/>
            </w:tcBorders>
            <w:shd w:val="clear" w:color="auto" w:fill="auto"/>
            <w:noWrap/>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0A6EEF">
              <w:rPr>
                <w:rFonts w:ascii="Arial" w:hAnsi="Arial" w:cs="Arial"/>
                <w:color w:val="000000"/>
                <w:sz w:val="18"/>
                <w:szCs w:val="18"/>
                <w:lang w:val="en-US" w:eastAsia="zh-CN"/>
              </w:rPr>
              <w:t> </w:t>
            </w:r>
          </w:p>
        </w:tc>
        <w:tc>
          <w:tcPr>
            <w:tcW w:w="1275" w:type="dxa"/>
            <w:tcBorders>
              <w:top w:val="nil"/>
              <w:left w:val="nil"/>
              <w:bottom w:val="nil"/>
              <w:right w:val="single" w:sz="8" w:space="0" w:color="auto"/>
            </w:tcBorders>
            <w:shd w:val="clear" w:color="auto" w:fill="auto"/>
            <w:noWrap/>
            <w:hideMark/>
          </w:tcPr>
          <w:p w:rsidR="000A6EEF" w:rsidRPr="000A6EEF" w:rsidRDefault="000A6EEF" w:rsidP="008A400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8"/>
                <w:szCs w:val="18"/>
                <w:lang w:val="en-US" w:eastAsia="zh-CN"/>
              </w:rPr>
            </w:pPr>
            <w:r w:rsidRPr="000A6EEF">
              <w:rPr>
                <w:rFonts w:ascii="Arial" w:hAnsi="Arial" w:cs="Arial"/>
                <w:color w:val="000000"/>
                <w:sz w:val="18"/>
                <w:szCs w:val="18"/>
                <w:lang w:val="en-US" w:eastAsia="zh-CN"/>
              </w:rPr>
              <w:t xml:space="preserve">                 - </w:t>
            </w:r>
          </w:p>
        </w:tc>
      </w:tr>
      <w:tr w:rsidR="000A6EEF" w:rsidRPr="000A6EEF" w:rsidTr="000A6EEF">
        <w:trPr>
          <w:trHeight w:val="480"/>
        </w:trPr>
        <w:tc>
          <w:tcPr>
            <w:tcW w:w="311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A6EEF" w:rsidRPr="00D477D8" w:rsidRDefault="000A6EEF" w:rsidP="000A6EEF">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Depreciation at 31 December</w:t>
            </w:r>
          </w:p>
        </w:tc>
        <w:tc>
          <w:tcPr>
            <w:tcW w:w="1559" w:type="dxa"/>
            <w:tcBorders>
              <w:top w:val="single" w:sz="4" w:space="0" w:color="auto"/>
              <w:left w:val="single" w:sz="4" w:space="0" w:color="auto"/>
              <w:bottom w:val="single" w:sz="4" w:space="0" w:color="auto"/>
              <w:right w:val="nil"/>
            </w:tcBorders>
            <w:shd w:val="clear" w:color="auto" w:fill="auto"/>
            <w:vAlign w:val="center"/>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0A6EEF">
              <w:rPr>
                <w:rFonts w:ascii="Arial" w:hAnsi="Arial" w:cs="Arial"/>
                <w:b/>
                <w:bCs/>
                <w:color w:val="000000"/>
                <w:sz w:val="18"/>
                <w:szCs w:val="18"/>
                <w:lang w:val="en-US" w:eastAsia="zh-CN"/>
              </w:rPr>
              <w:t xml:space="preserve">                        -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0A6EEF">
              <w:rPr>
                <w:rFonts w:ascii="Arial" w:hAnsi="Arial" w:cs="Arial"/>
                <w:b/>
                <w:bCs/>
                <w:color w:val="000000"/>
                <w:sz w:val="18"/>
                <w:szCs w:val="18"/>
                <w:lang w:val="en-US" w:eastAsia="zh-CN"/>
              </w:rPr>
              <w:t xml:space="preserve">                     -   </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0A6EEF">
              <w:rPr>
                <w:rFonts w:ascii="Arial" w:hAnsi="Arial" w:cs="Arial"/>
                <w:b/>
                <w:bCs/>
                <w:color w:val="000000"/>
                <w:sz w:val="18"/>
                <w:szCs w:val="18"/>
                <w:lang w:val="en-US" w:eastAsia="zh-CN"/>
              </w:rPr>
              <w:t xml:space="preserve">                 - </w:t>
            </w:r>
          </w:p>
        </w:tc>
      </w:tr>
      <w:tr w:rsidR="000A6EEF" w:rsidRPr="000A6EEF" w:rsidTr="000A6EEF">
        <w:trPr>
          <w:trHeight w:val="51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0A6EEF" w:rsidRPr="00D477D8" w:rsidRDefault="000A6EEF" w:rsidP="000A6EEF">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Net carrying amount at 1 January</w:t>
            </w:r>
          </w:p>
        </w:tc>
        <w:tc>
          <w:tcPr>
            <w:tcW w:w="1559" w:type="dxa"/>
            <w:tcBorders>
              <w:top w:val="nil"/>
              <w:left w:val="single" w:sz="4" w:space="0" w:color="auto"/>
              <w:bottom w:val="single" w:sz="4" w:space="0" w:color="auto"/>
              <w:right w:val="nil"/>
            </w:tcBorders>
            <w:shd w:val="clear" w:color="auto" w:fill="auto"/>
            <w:vAlign w:val="center"/>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0A6EEF">
              <w:rPr>
                <w:rFonts w:ascii="Arial" w:hAnsi="Arial" w:cs="Arial"/>
                <w:b/>
                <w:bCs/>
                <w:color w:val="000000"/>
                <w:sz w:val="18"/>
                <w:szCs w:val="18"/>
                <w:lang w:val="en-US" w:eastAsia="zh-CN"/>
              </w:rPr>
              <w:t xml:space="preserve">                         -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0A6EEF">
              <w:rPr>
                <w:rFonts w:ascii="Arial" w:hAnsi="Arial" w:cs="Arial"/>
                <w:b/>
                <w:bCs/>
                <w:color w:val="000000"/>
                <w:sz w:val="18"/>
                <w:szCs w:val="18"/>
                <w:lang w:val="en-US" w:eastAsia="zh-CN"/>
              </w:rPr>
              <w:t xml:space="preserve">                  340 </w:t>
            </w:r>
          </w:p>
        </w:tc>
        <w:tc>
          <w:tcPr>
            <w:tcW w:w="1275" w:type="dxa"/>
            <w:tcBorders>
              <w:top w:val="nil"/>
              <w:left w:val="nil"/>
              <w:bottom w:val="single" w:sz="4" w:space="0" w:color="auto"/>
              <w:right w:val="single" w:sz="8" w:space="0" w:color="auto"/>
            </w:tcBorders>
            <w:shd w:val="clear" w:color="auto" w:fill="auto"/>
            <w:vAlign w:val="center"/>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0A6EEF">
              <w:rPr>
                <w:rFonts w:ascii="Arial" w:hAnsi="Arial" w:cs="Arial"/>
                <w:b/>
                <w:bCs/>
                <w:color w:val="000000"/>
                <w:sz w:val="18"/>
                <w:szCs w:val="18"/>
                <w:lang w:val="en-US" w:eastAsia="zh-CN"/>
              </w:rPr>
              <w:t xml:space="preserve">           340 </w:t>
            </w:r>
          </w:p>
        </w:tc>
      </w:tr>
      <w:tr w:rsidR="000A6EEF" w:rsidRPr="000A6EEF" w:rsidTr="000A6EEF">
        <w:trPr>
          <w:trHeight w:val="495"/>
        </w:trPr>
        <w:tc>
          <w:tcPr>
            <w:tcW w:w="3119" w:type="dxa"/>
            <w:tcBorders>
              <w:top w:val="nil"/>
              <w:left w:val="single" w:sz="8" w:space="0" w:color="auto"/>
              <w:bottom w:val="single" w:sz="8" w:space="0" w:color="auto"/>
              <w:right w:val="single" w:sz="4" w:space="0" w:color="auto"/>
            </w:tcBorders>
            <w:shd w:val="clear" w:color="auto" w:fill="auto"/>
            <w:vAlign w:val="center"/>
            <w:hideMark/>
          </w:tcPr>
          <w:p w:rsidR="000A6EEF" w:rsidRPr="00D477D8" w:rsidRDefault="000A6EEF" w:rsidP="000A6EEF">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8"/>
                <w:szCs w:val="18"/>
                <w:lang w:val="en-US" w:eastAsia="zh-CN"/>
              </w:rPr>
            </w:pPr>
            <w:r w:rsidRPr="00D477D8">
              <w:rPr>
                <w:rFonts w:ascii="Arial" w:hAnsi="Arial" w:cs="Arial"/>
                <w:b/>
                <w:bCs/>
                <w:color w:val="000000"/>
                <w:sz w:val="18"/>
                <w:szCs w:val="18"/>
                <w:lang w:val="en-US" w:eastAsia="zh-CN"/>
              </w:rPr>
              <w:t>Net carrying amount at 31 December</w:t>
            </w:r>
          </w:p>
        </w:tc>
        <w:tc>
          <w:tcPr>
            <w:tcW w:w="1559" w:type="dxa"/>
            <w:tcBorders>
              <w:top w:val="nil"/>
              <w:left w:val="single" w:sz="4" w:space="0" w:color="auto"/>
              <w:bottom w:val="single" w:sz="8" w:space="0" w:color="auto"/>
              <w:right w:val="nil"/>
            </w:tcBorders>
            <w:shd w:val="clear" w:color="auto" w:fill="auto"/>
            <w:vAlign w:val="center"/>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0A6EEF">
              <w:rPr>
                <w:rFonts w:ascii="Arial" w:hAnsi="Arial" w:cs="Arial"/>
                <w:b/>
                <w:bCs/>
                <w:color w:val="000000"/>
                <w:sz w:val="18"/>
                <w:szCs w:val="18"/>
                <w:lang w:val="en-US" w:eastAsia="zh-CN"/>
              </w:rPr>
              <w:t xml:space="preserve">                        -   </w:t>
            </w:r>
          </w:p>
        </w:tc>
        <w:tc>
          <w:tcPr>
            <w:tcW w:w="1418" w:type="dxa"/>
            <w:tcBorders>
              <w:top w:val="nil"/>
              <w:left w:val="single" w:sz="4" w:space="0" w:color="auto"/>
              <w:bottom w:val="single" w:sz="8" w:space="0" w:color="auto"/>
              <w:right w:val="single" w:sz="4" w:space="0" w:color="auto"/>
            </w:tcBorders>
            <w:shd w:val="clear" w:color="auto" w:fill="auto"/>
            <w:vAlign w:val="center"/>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0A6EEF">
              <w:rPr>
                <w:rFonts w:ascii="Arial" w:hAnsi="Arial" w:cs="Arial"/>
                <w:b/>
                <w:bCs/>
                <w:color w:val="000000"/>
                <w:sz w:val="18"/>
                <w:szCs w:val="18"/>
                <w:lang w:val="en-US" w:eastAsia="zh-CN"/>
              </w:rPr>
              <w:t xml:space="preserve">                  908 </w:t>
            </w:r>
          </w:p>
        </w:tc>
        <w:tc>
          <w:tcPr>
            <w:tcW w:w="1275" w:type="dxa"/>
            <w:tcBorders>
              <w:top w:val="nil"/>
              <w:left w:val="nil"/>
              <w:bottom w:val="single" w:sz="8" w:space="0" w:color="auto"/>
              <w:right w:val="single" w:sz="8" w:space="0" w:color="auto"/>
            </w:tcBorders>
            <w:shd w:val="clear" w:color="auto" w:fill="auto"/>
            <w:vAlign w:val="center"/>
            <w:hideMark/>
          </w:tcPr>
          <w:p w:rsidR="000A6EEF" w:rsidRPr="000A6EEF" w:rsidRDefault="000A6EEF" w:rsidP="000A6EEF">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8"/>
                <w:szCs w:val="18"/>
                <w:lang w:val="en-US" w:eastAsia="zh-CN"/>
              </w:rPr>
            </w:pPr>
            <w:r w:rsidRPr="000A6EEF">
              <w:rPr>
                <w:rFonts w:ascii="Arial" w:hAnsi="Arial" w:cs="Arial"/>
                <w:b/>
                <w:bCs/>
                <w:color w:val="000000"/>
                <w:sz w:val="18"/>
                <w:szCs w:val="18"/>
                <w:lang w:val="en-US" w:eastAsia="zh-CN"/>
              </w:rPr>
              <w:t xml:space="preserve">           908 </w:t>
            </w:r>
          </w:p>
        </w:tc>
      </w:tr>
    </w:tbl>
    <w:p w:rsidR="0022373A" w:rsidRDefault="0022373A" w:rsidP="000A6EEF">
      <w:pPr>
        <w:pStyle w:val="Heading5"/>
        <w:spacing w:after="200"/>
        <w:jc w:val="both"/>
        <w:rPr>
          <w:lang w:val="en-US"/>
        </w:rPr>
      </w:pPr>
      <w:bookmarkStart w:id="83" w:name="_Toc329011638"/>
      <w:r w:rsidRPr="000A6EEF">
        <w:rPr>
          <w:lang w:val="en-US"/>
        </w:rPr>
        <w:t>Note 1</w:t>
      </w:r>
      <w:r w:rsidR="000A6EEF" w:rsidRPr="000A6EEF">
        <w:rPr>
          <w:lang w:val="en-US"/>
        </w:rPr>
        <w:t>4</w:t>
      </w:r>
      <w:r w:rsidRPr="000A6EEF">
        <w:rPr>
          <w:lang w:val="en-US"/>
        </w:rPr>
        <w:tab/>
        <w:t>Suppliers and other creditors</w:t>
      </w:r>
      <w:bookmarkEnd w:id="83"/>
    </w:p>
    <w:tbl>
      <w:tblPr>
        <w:tblW w:w="7797" w:type="dxa"/>
        <w:tblInd w:w="-5" w:type="dxa"/>
        <w:tblLook w:val="04A0" w:firstRow="1" w:lastRow="0" w:firstColumn="1" w:lastColumn="0" w:noHBand="0" w:noVBand="1"/>
      </w:tblPr>
      <w:tblGrid>
        <w:gridCol w:w="3686"/>
        <w:gridCol w:w="1984"/>
        <w:gridCol w:w="2127"/>
      </w:tblGrid>
      <w:tr w:rsidR="00D83679" w:rsidRPr="00D83679" w:rsidTr="00D83679">
        <w:trPr>
          <w:trHeight w:val="499"/>
        </w:trPr>
        <w:tc>
          <w:tcPr>
            <w:tcW w:w="3686" w:type="dxa"/>
            <w:tcBorders>
              <w:top w:val="single" w:sz="4" w:space="0" w:color="auto"/>
              <w:left w:val="single" w:sz="4" w:space="0" w:color="auto"/>
              <w:bottom w:val="single" w:sz="4" w:space="0" w:color="auto"/>
              <w:right w:val="nil"/>
            </w:tcBorders>
            <w:shd w:val="clear" w:color="auto" w:fill="auto"/>
            <w:noWrap/>
            <w:vAlign w:val="center"/>
            <w:hideMark/>
          </w:tcPr>
          <w:p w:rsidR="00D83679" w:rsidRPr="00D83679" w:rsidRDefault="00D83679" w:rsidP="00D83679">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20"/>
                <w:lang w:val="en-US" w:eastAsia="zh-CN"/>
              </w:rPr>
            </w:pPr>
            <w:r w:rsidRPr="00D83679">
              <w:rPr>
                <w:rFonts w:ascii="Arial" w:hAnsi="Arial" w:cs="Arial"/>
                <w:b/>
                <w:bCs/>
                <w:color w:val="000000"/>
                <w:sz w:val="20"/>
                <w:lang w:val="en-US" w:eastAsia="zh-CN"/>
              </w:rPr>
              <w:t>In thousands of CHF</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3679" w:rsidRPr="00D83679" w:rsidRDefault="00D83679" w:rsidP="00D83679">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D83679">
              <w:rPr>
                <w:rFonts w:ascii="Arial" w:hAnsi="Arial" w:cs="Arial"/>
                <w:b/>
                <w:bCs/>
                <w:color w:val="000000"/>
                <w:sz w:val="20"/>
                <w:lang w:val="en-US" w:eastAsia="zh-CN"/>
              </w:rPr>
              <w:t>31.12.207</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D83679" w:rsidRPr="00D83679" w:rsidRDefault="00D83679" w:rsidP="00D83679">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D83679">
              <w:rPr>
                <w:rFonts w:ascii="Arial" w:hAnsi="Arial" w:cs="Arial"/>
                <w:b/>
                <w:bCs/>
                <w:color w:val="000000"/>
                <w:sz w:val="20"/>
                <w:lang w:val="en-US" w:eastAsia="zh-CN"/>
              </w:rPr>
              <w:t>31.12.2016</w:t>
            </w:r>
          </w:p>
        </w:tc>
      </w:tr>
      <w:tr w:rsidR="00D83679" w:rsidRPr="00D83679" w:rsidTr="00D83679">
        <w:trPr>
          <w:trHeight w:val="255"/>
        </w:trPr>
        <w:tc>
          <w:tcPr>
            <w:tcW w:w="3686" w:type="dxa"/>
            <w:tcBorders>
              <w:top w:val="nil"/>
              <w:left w:val="single" w:sz="4" w:space="0" w:color="auto"/>
              <w:bottom w:val="nil"/>
              <w:right w:val="nil"/>
            </w:tcBorders>
            <w:shd w:val="clear" w:color="auto" w:fill="auto"/>
            <w:noWrap/>
            <w:vAlign w:val="bottom"/>
            <w:hideMark/>
          </w:tcPr>
          <w:p w:rsidR="00D83679" w:rsidRPr="00D83679" w:rsidRDefault="00D83679" w:rsidP="00D83679">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D83679">
              <w:rPr>
                <w:rFonts w:ascii="Arial" w:hAnsi="Arial" w:cs="Arial"/>
                <w:color w:val="000000"/>
                <w:sz w:val="20"/>
                <w:lang w:val="en-US" w:eastAsia="zh-CN"/>
              </w:rPr>
              <w:t> </w:t>
            </w:r>
          </w:p>
        </w:tc>
        <w:tc>
          <w:tcPr>
            <w:tcW w:w="1984" w:type="dxa"/>
            <w:tcBorders>
              <w:top w:val="nil"/>
              <w:left w:val="single" w:sz="4" w:space="0" w:color="auto"/>
              <w:bottom w:val="nil"/>
              <w:right w:val="single" w:sz="4" w:space="0" w:color="auto"/>
            </w:tcBorders>
            <w:shd w:val="clear" w:color="auto" w:fill="auto"/>
            <w:noWrap/>
            <w:vAlign w:val="bottom"/>
            <w:hideMark/>
          </w:tcPr>
          <w:p w:rsidR="00D83679" w:rsidRPr="00D83679" w:rsidRDefault="00D83679" w:rsidP="00D83679">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D83679">
              <w:rPr>
                <w:rFonts w:ascii="Arial" w:hAnsi="Arial" w:cs="Arial"/>
                <w:color w:val="000000"/>
                <w:sz w:val="20"/>
                <w:lang w:val="en-US" w:eastAsia="zh-CN"/>
              </w:rPr>
              <w:t> </w:t>
            </w:r>
          </w:p>
        </w:tc>
        <w:tc>
          <w:tcPr>
            <w:tcW w:w="2127" w:type="dxa"/>
            <w:tcBorders>
              <w:top w:val="nil"/>
              <w:left w:val="nil"/>
              <w:bottom w:val="nil"/>
              <w:right w:val="single" w:sz="4" w:space="0" w:color="auto"/>
            </w:tcBorders>
            <w:shd w:val="clear" w:color="auto" w:fill="auto"/>
            <w:noWrap/>
            <w:vAlign w:val="bottom"/>
            <w:hideMark/>
          </w:tcPr>
          <w:p w:rsidR="00D83679" w:rsidRPr="00D83679" w:rsidRDefault="00D83679" w:rsidP="00D83679">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20"/>
                <w:lang w:val="en-US" w:eastAsia="zh-CN"/>
              </w:rPr>
            </w:pPr>
            <w:r w:rsidRPr="00D83679">
              <w:rPr>
                <w:rFonts w:ascii="Arial" w:hAnsi="Arial" w:cs="Arial"/>
                <w:color w:val="000000"/>
                <w:sz w:val="20"/>
                <w:lang w:val="en-US" w:eastAsia="zh-CN"/>
              </w:rPr>
              <w:t> </w:t>
            </w:r>
          </w:p>
        </w:tc>
      </w:tr>
      <w:tr w:rsidR="00D83679" w:rsidRPr="00D83679" w:rsidTr="00D83679">
        <w:trPr>
          <w:trHeight w:val="255"/>
        </w:trPr>
        <w:tc>
          <w:tcPr>
            <w:tcW w:w="3686" w:type="dxa"/>
            <w:tcBorders>
              <w:top w:val="nil"/>
              <w:left w:val="single" w:sz="4" w:space="0" w:color="auto"/>
              <w:bottom w:val="nil"/>
              <w:right w:val="nil"/>
            </w:tcBorders>
            <w:shd w:val="clear" w:color="auto" w:fill="auto"/>
            <w:noWrap/>
            <w:vAlign w:val="bottom"/>
            <w:hideMark/>
          </w:tcPr>
          <w:p w:rsidR="00D83679" w:rsidRPr="00D83679" w:rsidRDefault="00D83679" w:rsidP="00D83679">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D83679">
              <w:rPr>
                <w:rFonts w:ascii="Arial" w:hAnsi="Arial" w:cs="Arial"/>
                <w:color w:val="000000"/>
                <w:sz w:val="20"/>
                <w:lang w:val="en-US" w:eastAsia="zh-CN"/>
              </w:rPr>
              <w:t>Suppliers</w:t>
            </w:r>
          </w:p>
        </w:tc>
        <w:tc>
          <w:tcPr>
            <w:tcW w:w="1984" w:type="dxa"/>
            <w:tcBorders>
              <w:top w:val="nil"/>
              <w:left w:val="single" w:sz="4" w:space="0" w:color="auto"/>
              <w:bottom w:val="nil"/>
              <w:right w:val="single" w:sz="4" w:space="0" w:color="auto"/>
            </w:tcBorders>
            <w:shd w:val="clear" w:color="auto" w:fill="auto"/>
            <w:noWrap/>
            <w:vAlign w:val="bottom"/>
            <w:hideMark/>
          </w:tcPr>
          <w:p w:rsidR="00D83679" w:rsidRPr="00D83679" w:rsidRDefault="00D83679" w:rsidP="00D83679">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D83679">
              <w:rPr>
                <w:rFonts w:ascii="Arial" w:hAnsi="Arial" w:cs="Arial"/>
                <w:color w:val="000000"/>
                <w:sz w:val="20"/>
                <w:lang w:val="en-US" w:eastAsia="zh-CN"/>
              </w:rPr>
              <w:t xml:space="preserve">                5,103 </w:t>
            </w:r>
          </w:p>
        </w:tc>
        <w:tc>
          <w:tcPr>
            <w:tcW w:w="2127" w:type="dxa"/>
            <w:tcBorders>
              <w:top w:val="nil"/>
              <w:left w:val="nil"/>
              <w:bottom w:val="nil"/>
              <w:right w:val="single" w:sz="4" w:space="0" w:color="auto"/>
            </w:tcBorders>
            <w:shd w:val="clear" w:color="auto" w:fill="auto"/>
            <w:noWrap/>
            <w:vAlign w:val="bottom"/>
            <w:hideMark/>
          </w:tcPr>
          <w:p w:rsidR="00D83679" w:rsidRPr="00D83679" w:rsidRDefault="00D83679" w:rsidP="00D83679">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D83679">
              <w:rPr>
                <w:rFonts w:ascii="Arial" w:hAnsi="Arial" w:cs="Arial"/>
                <w:color w:val="000000"/>
                <w:sz w:val="20"/>
                <w:lang w:val="en-US" w:eastAsia="zh-CN"/>
              </w:rPr>
              <w:t xml:space="preserve">                5,404 </w:t>
            </w:r>
          </w:p>
        </w:tc>
      </w:tr>
      <w:tr w:rsidR="00D83679" w:rsidRPr="00D83679" w:rsidTr="00D83679">
        <w:trPr>
          <w:trHeight w:val="255"/>
        </w:trPr>
        <w:tc>
          <w:tcPr>
            <w:tcW w:w="3686" w:type="dxa"/>
            <w:tcBorders>
              <w:top w:val="nil"/>
              <w:left w:val="single" w:sz="4" w:space="0" w:color="auto"/>
              <w:bottom w:val="nil"/>
              <w:right w:val="nil"/>
            </w:tcBorders>
            <w:shd w:val="clear" w:color="auto" w:fill="auto"/>
            <w:noWrap/>
            <w:vAlign w:val="bottom"/>
            <w:hideMark/>
          </w:tcPr>
          <w:p w:rsidR="00D83679" w:rsidRPr="00D83679" w:rsidRDefault="00D83679" w:rsidP="00D83679">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D83679">
              <w:rPr>
                <w:rFonts w:ascii="Arial" w:hAnsi="Arial" w:cs="Arial"/>
                <w:color w:val="000000"/>
                <w:sz w:val="20"/>
                <w:lang w:val="en-US" w:eastAsia="zh-CN"/>
              </w:rPr>
              <w:t>Deposits received</w:t>
            </w:r>
          </w:p>
        </w:tc>
        <w:tc>
          <w:tcPr>
            <w:tcW w:w="1984" w:type="dxa"/>
            <w:tcBorders>
              <w:top w:val="nil"/>
              <w:left w:val="single" w:sz="4" w:space="0" w:color="auto"/>
              <w:bottom w:val="nil"/>
              <w:right w:val="single" w:sz="4" w:space="0" w:color="auto"/>
            </w:tcBorders>
            <w:shd w:val="clear" w:color="auto" w:fill="auto"/>
            <w:noWrap/>
            <w:vAlign w:val="bottom"/>
            <w:hideMark/>
          </w:tcPr>
          <w:p w:rsidR="00D83679" w:rsidRPr="00D83679" w:rsidRDefault="00D83679" w:rsidP="00D83679">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D83679">
              <w:rPr>
                <w:rFonts w:ascii="Arial" w:hAnsi="Arial" w:cs="Arial"/>
                <w:color w:val="000000"/>
                <w:sz w:val="20"/>
                <w:lang w:val="en-US" w:eastAsia="zh-CN"/>
              </w:rPr>
              <w:t xml:space="preserve">                2,583 </w:t>
            </w:r>
          </w:p>
        </w:tc>
        <w:tc>
          <w:tcPr>
            <w:tcW w:w="2127" w:type="dxa"/>
            <w:tcBorders>
              <w:top w:val="nil"/>
              <w:left w:val="nil"/>
              <w:bottom w:val="nil"/>
              <w:right w:val="single" w:sz="4" w:space="0" w:color="auto"/>
            </w:tcBorders>
            <w:shd w:val="clear" w:color="auto" w:fill="auto"/>
            <w:noWrap/>
            <w:vAlign w:val="bottom"/>
            <w:hideMark/>
          </w:tcPr>
          <w:p w:rsidR="00D83679" w:rsidRPr="00D83679" w:rsidRDefault="00D83679" w:rsidP="00D83679">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D83679">
              <w:rPr>
                <w:rFonts w:ascii="Arial" w:hAnsi="Arial" w:cs="Arial"/>
                <w:color w:val="000000"/>
                <w:sz w:val="20"/>
                <w:lang w:val="en-US" w:eastAsia="zh-CN"/>
              </w:rPr>
              <w:t xml:space="preserve">                3,070 </w:t>
            </w:r>
          </w:p>
        </w:tc>
      </w:tr>
      <w:tr w:rsidR="00D83679" w:rsidRPr="00D83679" w:rsidTr="00D83679">
        <w:trPr>
          <w:trHeight w:val="255"/>
        </w:trPr>
        <w:tc>
          <w:tcPr>
            <w:tcW w:w="3686" w:type="dxa"/>
            <w:tcBorders>
              <w:top w:val="nil"/>
              <w:left w:val="single" w:sz="4" w:space="0" w:color="auto"/>
              <w:bottom w:val="nil"/>
              <w:right w:val="nil"/>
            </w:tcBorders>
            <w:shd w:val="clear" w:color="auto" w:fill="auto"/>
            <w:noWrap/>
            <w:vAlign w:val="bottom"/>
            <w:hideMark/>
          </w:tcPr>
          <w:p w:rsidR="00D83679" w:rsidRPr="00D83679" w:rsidRDefault="00D83679" w:rsidP="00D83679">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proofErr w:type="spellStart"/>
            <w:r w:rsidRPr="00D83679">
              <w:rPr>
                <w:rFonts w:ascii="Arial" w:hAnsi="Arial" w:cs="Arial"/>
                <w:color w:val="000000"/>
                <w:sz w:val="20"/>
                <w:lang w:val="en-US" w:eastAsia="zh-CN"/>
              </w:rPr>
              <w:t>Downpayments</w:t>
            </w:r>
            <w:proofErr w:type="spellEnd"/>
            <w:r w:rsidRPr="00D83679">
              <w:rPr>
                <w:rFonts w:ascii="Arial" w:hAnsi="Arial" w:cs="Arial"/>
                <w:color w:val="000000"/>
                <w:sz w:val="20"/>
                <w:lang w:val="en-US" w:eastAsia="zh-CN"/>
              </w:rPr>
              <w:t xml:space="preserve"> received</w:t>
            </w:r>
          </w:p>
        </w:tc>
        <w:tc>
          <w:tcPr>
            <w:tcW w:w="1984" w:type="dxa"/>
            <w:tcBorders>
              <w:top w:val="nil"/>
              <w:left w:val="single" w:sz="4" w:space="0" w:color="auto"/>
              <w:bottom w:val="nil"/>
              <w:right w:val="single" w:sz="4" w:space="0" w:color="auto"/>
            </w:tcBorders>
            <w:shd w:val="clear" w:color="auto" w:fill="auto"/>
            <w:noWrap/>
            <w:vAlign w:val="bottom"/>
            <w:hideMark/>
          </w:tcPr>
          <w:p w:rsidR="00D83679" w:rsidRPr="00D83679" w:rsidRDefault="00D83679" w:rsidP="00D83679">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D83679">
              <w:rPr>
                <w:rFonts w:ascii="Arial" w:hAnsi="Arial" w:cs="Arial"/>
                <w:color w:val="000000"/>
                <w:sz w:val="20"/>
                <w:lang w:val="en-US" w:eastAsia="zh-CN"/>
              </w:rPr>
              <w:t xml:space="preserve">                1,985 </w:t>
            </w:r>
          </w:p>
        </w:tc>
        <w:tc>
          <w:tcPr>
            <w:tcW w:w="2127" w:type="dxa"/>
            <w:tcBorders>
              <w:top w:val="nil"/>
              <w:left w:val="nil"/>
              <w:bottom w:val="nil"/>
              <w:right w:val="single" w:sz="4" w:space="0" w:color="auto"/>
            </w:tcBorders>
            <w:shd w:val="clear" w:color="auto" w:fill="auto"/>
            <w:noWrap/>
            <w:vAlign w:val="bottom"/>
            <w:hideMark/>
          </w:tcPr>
          <w:p w:rsidR="00D83679" w:rsidRPr="00D83679" w:rsidRDefault="00D83679" w:rsidP="00D83679">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D83679">
              <w:rPr>
                <w:rFonts w:ascii="Arial" w:hAnsi="Arial" w:cs="Arial"/>
                <w:color w:val="000000"/>
                <w:sz w:val="20"/>
                <w:lang w:val="en-US" w:eastAsia="zh-CN"/>
              </w:rPr>
              <w:t xml:space="preserve">                   674 </w:t>
            </w:r>
          </w:p>
        </w:tc>
      </w:tr>
      <w:tr w:rsidR="00D83679" w:rsidRPr="00D83679" w:rsidTr="00D83679">
        <w:trPr>
          <w:trHeight w:val="255"/>
        </w:trPr>
        <w:tc>
          <w:tcPr>
            <w:tcW w:w="3686" w:type="dxa"/>
            <w:tcBorders>
              <w:top w:val="nil"/>
              <w:left w:val="single" w:sz="4" w:space="0" w:color="auto"/>
              <w:bottom w:val="nil"/>
              <w:right w:val="nil"/>
            </w:tcBorders>
            <w:shd w:val="clear" w:color="auto" w:fill="auto"/>
            <w:noWrap/>
            <w:vAlign w:val="bottom"/>
            <w:hideMark/>
          </w:tcPr>
          <w:p w:rsidR="00D83679" w:rsidRPr="00D83679" w:rsidRDefault="00D83679" w:rsidP="00D83679">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D83679">
              <w:rPr>
                <w:rFonts w:ascii="Arial" w:hAnsi="Arial" w:cs="Arial"/>
                <w:color w:val="000000"/>
                <w:sz w:val="20"/>
                <w:lang w:val="en-US" w:eastAsia="zh-CN"/>
              </w:rPr>
              <w:t> </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D83679" w:rsidRPr="00D83679" w:rsidRDefault="00D83679" w:rsidP="00D83679">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D83679">
              <w:rPr>
                <w:rFonts w:ascii="Arial" w:hAnsi="Arial" w:cs="Arial"/>
                <w:color w:val="000000"/>
                <w:sz w:val="20"/>
                <w:lang w:val="en-US" w:eastAsia="zh-CN"/>
              </w:rPr>
              <w:t> </w:t>
            </w:r>
          </w:p>
        </w:tc>
        <w:tc>
          <w:tcPr>
            <w:tcW w:w="2127" w:type="dxa"/>
            <w:tcBorders>
              <w:top w:val="nil"/>
              <w:left w:val="nil"/>
              <w:bottom w:val="single" w:sz="4" w:space="0" w:color="auto"/>
              <w:right w:val="single" w:sz="4" w:space="0" w:color="auto"/>
            </w:tcBorders>
            <w:shd w:val="clear" w:color="auto" w:fill="auto"/>
            <w:noWrap/>
            <w:vAlign w:val="bottom"/>
            <w:hideMark/>
          </w:tcPr>
          <w:p w:rsidR="00D83679" w:rsidRPr="00D83679" w:rsidRDefault="00D83679" w:rsidP="00D83679">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D83679">
              <w:rPr>
                <w:rFonts w:ascii="Arial" w:hAnsi="Arial" w:cs="Arial"/>
                <w:color w:val="000000"/>
                <w:sz w:val="20"/>
                <w:lang w:val="en-US" w:eastAsia="zh-CN"/>
              </w:rPr>
              <w:t> </w:t>
            </w:r>
          </w:p>
        </w:tc>
      </w:tr>
      <w:tr w:rsidR="00D83679" w:rsidRPr="00D83679" w:rsidTr="00D83679">
        <w:trPr>
          <w:trHeight w:val="499"/>
        </w:trPr>
        <w:tc>
          <w:tcPr>
            <w:tcW w:w="3686" w:type="dxa"/>
            <w:tcBorders>
              <w:top w:val="single" w:sz="4" w:space="0" w:color="auto"/>
              <w:left w:val="single" w:sz="4" w:space="0" w:color="auto"/>
              <w:bottom w:val="single" w:sz="4" w:space="0" w:color="auto"/>
              <w:right w:val="nil"/>
            </w:tcBorders>
            <w:shd w:val="clear" w:color="auto" w:fill="auto"/>
            <w:noWrap/>
            <w:vAlign w:val="center"/>
            <w:hideMark/>
          </w:tcPr>
          <w:p w:rsidR="00D83679" w:rsidRPr="00D83679" w:rsidRDefault="00D83679" w:rsidP="00D83679">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20"/>
                <w:lang w:val="en-US" w:eastAsia="zh-CN"/>
              </w:rPr>
            </w:pPr>
            <w:r w:rsidRPr="00D83679">
              <w:rPr>
                <w:rFonts w:ascii="Arial" w:hAnsi="Arial" w:cs="Arial"/>
                <w:b/>
                <w:bCs/>
                <w:color w:val="000000"/>
                <w:sz w:val="20"/>
                <w:lang w:val="en-US" w:eastAsia="zh-CN"/>
              </w:rPr>
              <w:t>Suppliers and other creditors</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D83679" w:rsidRPr="00D83679" w:rsidRDefault="00D83679" w:rsidP="00D83679">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D83679">
              <w:rPr>
                <w:rFonts w:ascii="Arial" w:hAnsi="Arial" w:cs="Arial"/>
                <w:b/>
                <w:bCs/>
                <w:color w:val="000000"/>
                <w:sz w:val="20"/>
                <w:lang w:val="en-US" w:eastAsia="zh-CN"/>
              </w:rPr>
              <w:t xml:space="preserve">                9,671 </w:t>
            </w:r>
          </w:p>
        </w:tc>
        <w:tc>
          <w:tcPr>
            <w:tcW w:w="2127" w:type="dxa"/>
            <w:tcBorders>
              <w:top w:val="nil"/>
              <w:left w:val="nil"/>
              <w:bottom w:val="single" w:sz="4" w:space="0" w:color="auto"/>
              <w:right w:val="single" w:sz="4" w:space="0" w:color="auto"/>
            </w:tcBorders>
            <w:shd w:val="clear" w:color="auto" w:fill="auto"/>
            <w:noWrap/>
            <w:vAlign w:val="center"/>
            <w:hideMark/>
          </w:tcPr>
          <w:p w:rsidR="00D83679" w:rsidRPr="00D83679" w:rsidRDefault="00D83679" w:rsidP="00D83679">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D83679">
              <w:rPr>
                <w:rFonts w:ascii="Arial" w:hAnsi="Arial" w:cs="Arial"/>
                <w:b/>
                <w:bCs/>
                <w:color w:val="000000"/>
                <w:sz w:val="20"/>
                <w:lang w:val="en-US" w:eastAsia="zh-CN"/>
              </w:rPr>
              <w:t xml:space="preserve">                9,148 </w:t>
            </w:r>
          </w:p>
        </w:tc>
      </w:tr>
    </w:tbl>
    <w:p w:rsidR="0022373A" w:rsidRPr="00AA4C70" w:rsidRDefault="0022373A" w:rsidP="00A4540F">
      <w:pPr>
        <w:spacing w:before="200"/>
        <w:jc w:val="both"/>
        <w:rPr>
          <w:lang w:val="en-US"/>
        </w:rPr>
      </w:pPr>
      <w:r w:rsidRPr="00AA4C70">
        <w:rPr>
          <w:color w:val="000000"/>
          <w:lang w:val="en-US"/>
        </w:rPr>
        <w:t xml:space="preserve">The amount shown for suppliers relates mainly to </w:t>
      </w:r>
      <w:r w:rsidR="007606DE" w:rsidRPr="00AA4C70">
        <w:rPr>
          <w:color w:val="000000"/>
          <w:lang w:val="en-US"/>
        </w:rPr>
        <w:t>unpaid invoices</w:t>
      </w:r>
      <w:r w:rsidRPr="00AA4C70">
        <w:rPr>
          <w:color w:val="000000"/>
          <w:lang w:val="en-US"/>
        </w:rPr>
        <w:t xml:space="preserve">, staff accounts and IOV invoices </w:t>
      </w:r>
      <w:r w:rsidR="007606DE" w:rsidRPr="00AA4C70">
        <w:rPr>
          <w:color w:val="000000"/>
          <w:lang w:val="en-US"/>
        </w:rPr>
        <w:t>open for</w:t>
      </w:r>
      <w:r w:rsidRPr="00AA4C70">
        <w:rPr>
          <w:color w:val="000000"/>
          <w:lang w:val="en-US"/>
        </w:rPr>
        <w:t xml:space="preserve"> settlement with UNDP.</w:t>
      </w:r>
    </w:p>
    <w:p w:rsidR="0022373A" w:rsidRPr="00AA4C70" w:rsidRDefault="0022373A" w:rsidP="00A4540F">
      <w:pPr>
        <w:jc w:val="both"/>
        <w:rPr>
          <w:lang w:val="en-US"/>
        </w:rPr>
      </w:pPr>
      <w:r w:rsidRPr="00AA4C70">
        <w:rPr>
          <w:lang w:val="en-US"/>
        </w:rPr>
        <w:t xml:space="preserve">Deposits </w:t>
      </w:r>
      <w:r w:rsidR="007606DE" w:rsidRPr="00AA4C70">
        <w:rPr>
          <w:lang w:val="en-US"/>
        </w:rPr>
        <w:t>have been received</w:t>
      </w:r>
      <w:r w:rsidRPr="00AA4C70">
        <w:rPr>
          <w:lang w:val="en-US"/>
        </w:rPr>
        <w:t xml:space="preserve"> for satellite network filings and for future publication purchases. These sums will be refunded to the beneficiaries or used to settle future contributions and/or invoices for satellite network filings and publications.</w:t>
      </w:r>
    </w:p>
    <w:p w:rsidR="00BA42A2" w:rsidRDefault="0022373A" w:rsidP="00FF2EDE">
      <w:pPr>
        <w:jc w:val="both"/>
        <w:rPr>
          <w:lang w:val="en-US"/>
        </w:rPr>
      </w:pPr>
      <w:bookmarkStart w:id="84" w:name="_Toc328992862"/>
      <w:bookmarkStart w:id="85" w:name="_Toc305764088"/>
      <w:r w:rsidRPr="000A6EEF">
        <w:rPr>
          <w:lang w:val="en-US"/>
        </w:rPr>
        <w:t xml:space="preserve">The </w:t>
      </w:r>
      <w:r w:rsidR="00A825E2" w:rsidRPr="000A6EEF">
        <w:rPr>
          <w:lang w:val="en-US"/>
        </w:rPr>
        <w:t>down payments</w:t>
      </w:r>
      <w:r w:rsidRPr="000A6EEF">
        <w:rPr>
          <w:lang w:val="en-US"/>
        </w:rPr>
        <w:t xml:space="preserve"> </w:t>
      </w:r>
      <w:r w:rsidR="007606DE" w:rsidRPr="000A6EEF">
        <w:rPr>
          <w:lang w:val="en-US"/>
        </w:rPr>
        <w:t>are</w:t>
      </w:r>
      <w:r w:rsidRPr="000A6EEF">
        <w:rPr>
          <w:lang w:val="en-US"/>
        </w:rPr>
        <w:t xml:space="preserve"> advance payments made to the Union</w:t>
      </w:r>
      <w:r w:rsidR="007A552E" w:rsidRPr="000A6EEF">
        <w:rPr>
          <w:lang w:val="en-US"/>
        </w:rPr>
        <w:t>’</w:t>
      </w:r>
      <w:r w:rsidRPr="000A6EEF">
        <w:rPr>
          <w:lang w:val="en-US"/>
        </w:rPr>
        <w:t>s accounts by the host countries for the org</w:t>
      </w:r>
      <w:r w:rsidR="007606DE" w:rsidRPr="000A6EEF">
        <w:rPr>
          <w:lang w:val="en-US"/>
        </w:rPr>
        <w:t xml:space="preserve">anization of the </w:t>
      </w:r>
      <w:r w:rsidR="00111BDD" w:rsidRPr="000A6EEF">
        <w:rPr>
          <w:lang w:val="en-US"/>
        </w:rPr>
        <w:t>201</w:t>
      </w:r>
      <w:r w:rsidR="001A386C" w:rsidRPr="000A6EEF">
        <w:rPr>
          <w:lang w:val="en-US"/>
        </w:rPr>
        <w:t>7</w:t>
      </w:r>
      <w:r w:rsidR="00283CD7" w:rsidRPr="000A6EEF">
        <w:rPr>
          <w:lang w:val="en-US"/>
        </w:rPr>
        <w:t xml:space="preserve"> and 201</w:t>
      </w:r>
      <w:r w:rsidR="001A386C" w:rsidRPr="000A6EEF">
        <w:rPr>
          <w:lang w:val="en-US"/>
        </w:rPr>
        <w:t>8</w:t>
      </w:r>
      <w:r w:rsidR="00283CD7" w:rsidRPr="000A6EEF">
        <w:rPr>
          <w:lang w:val="en-US"/>
        </w:rPr>
        <w:t xml:space="preserve"> </w:t>
      </w:r>
      <w:r w:rsidR="00AA1577" w:rsidRPr="000A6EEF">
        <w:rPr>
          <w:lang w:val="en-US"/>
        </w:rPr>
        <w:t xml:space="preserve">events </w:t>
      </w:r>
      <w:r w:rsidR="00AA4C70" w:rsidRPr="000A6EEF">
        <w:rPr>
          <w:lang w:val="en-US"/>
        </w:rPr>
        <w:t xml:space="preserve">such as </w:t>
      </w:r>
      <w:r w:rsidR="001A386C" w:rsidRPr="000A6EEF">
        <w:rPr>
          <w:lang w:val="en-US"/>
        </w:rPr>
        <w:t>WDTC-17 and PP-18</w:t>
      </w:r>
      <w:bookmarkEnd w:id="84"/>
      <w:r w:rsidR="00283CD7" w:rsidRPr="000A6EEF">
        <w:rPr>
          <w:lang w:val="en-US"/>
        </w:rPr>
        <w:t>.</w:t>
      </w:r>
      <w:bookmarkStart w:id="86" w:name="_Toc329011639"/>
    </w:p>
    <w:p w:rsidR="0022373A" w:rsidRPr="00BA42A2" w:rsidRDefault="0022373A" w:rsidP="000A6EEF">
      <w:pPr>
        <w:tabs>
          <w:tab w:val="clear" w:pos="567"/>
          <w:tab w:val="clear" w:pos="1701"/>
          <w:tab w:val="clear" w:pos="2268"/>
          <w:tab w:val="clear" w:pos="2835"/>
        </w:tabs>
        <w:overflowPunct/>
        <w:autoSpaceDE/>
        <w:autoSpaceDN/>
        <w:adjustRightInd/>
        <w:spacing w:before="240" w:after="240"/>
        <w:textAlignment w:val="auto"/>
        <w:rPr>
          <w:b/>
          <w:bCs/>
          <w:lang w:val="en-US"/>
        </w:rPr>
      </w:pPr>
      <w:r w:rsidRPr="000A6EEF">
        <w:rPr>
          <w:b/>
          <w:bCs/>
          <w:lang w:val="en-US"/>
        </w:rPr>
        <w:t>Note 1</w:t>
      </w:r>
      <w:r w:rsidR="000A6EEF" w:rsidRPr="000A6EEF">
        <w:rPr>
          <w:b/>
          <w:bCs/>
          <w:lang w:val="en-US"/>
        </w:rPr>
        <w:t>5</w:t>
      </w:r>
      <w:r w:rsidRPr="000A6EEF">
        <w:rPr>
          <w:b/>
          <w:bCs/>
          <w:lang w:val="en-US"/>
        </w:rPr>
        <w:tab/>
        <w:t>Deferred revenue</w:t>
      </w:r>
      <w:bookmarkEnd w:id="85"/>
      <w:bookmarkEnd w:id="86"/>
    </w:p>
    <w:tbl>
      <w:tblPr>
        <w:tblW w:w="8900" w:type="dxa"/>
        <w:tblLook w:val="04A0" w:firstRow="1" w:lastRow="0" w:firstColumn="1" w:lastColumn="0" w:noHBand="0" w:noVBand="1"/>
      </w:tblPr>
      <w:tblGrid>
        <w:gridCol w:w="5660"/>
        <w:gridCol w:w="1620"/>
        <w:gridCol w:w="1620"/>
      </w:tblGrid>
      <w:tr w:rsidR="001A386C" w:rsidRPr="001A386C" w:rsidTr="001A386C">
        <w:trPr>
          <w:trHeight w:val="499"/>
        </w:trPr>
        <w:tc>
          <w:tcPr>
            <w:tcW w:w="5660" w:type="dxa"/>
            <w:tcBorders>
              <w:top w:val="single" w:sz="4" w:space="0" w:color="auto"/>
              <w:left w:val="single" w:sz="4" w:space="0" w:color="auto"/>
              <w:bottom w:val="single" w:sz="4" w:space="0" w:color="auto"/>
              <w:right w:val="nil"/>
            </w:tcBorders>
            <w:shd w:val="clear" w:color="auto" w:fill="auto"/>
            <w:noWrap/>
            <w:vAlign w:val="center"/>
            <w:hideMark/>
          </w:tcPr>
          <w:p w:rsidR="001A386C" w:rsidRPr="001A386C" w:rsidRDefault="001A386C" w:rsidP="001A386C">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20"/>
                <w:lang w:val="en-US" w:eastAsia="zh-CN"/>
              </w:rPr>
            </w:pPr>
            <w:r w:rsidRPr="001A386C">
              <w:rPr>
                <w:rFonts w:ascii="Arial" w:hAnsi="Arial" w:cs="Arial"/>
                <w:b/>
                <w:bCs/>
                <w:color w:val="000000"/>
                <w:sz w:val="20"/>
                <w:lang w:val="en-US" w:eastAsia="zh-CN"/>
              </w:rPr>
              <w:t>In thousands of CHF</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86C" w:rsidRPr="001A386C" w:rsidRDefault="001A386C" w:rsidP="001A386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1A386C">
              <w:rPr>
                <w:rFonts w:ascii="Arial" w:hAnsi="Arial" w:cs="Arial"/>
                <w:b/>
                <w:bCs/>
                <w:color w:val="000000"/>
                <w:sz w:val="20"/>
                <w:lang w:val="en-US" w:eastAsia="zh-CN"/>
              </w:rPr>
              <w:t>31.12.2017</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1A386C" w:rsidRPr="001A386C" w:rsidRDefault="001A386C" w:rsidP="001A386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1A386C">
              <w:rPr>
                <w:rFonts w:ascii="Arial" w:hAnsi="Arial" w:cs="Arial"/>
                <w:b/>
                <w:bCs/>
                <w:color w:val="000000"/>
                <w:sz w:val="20"/>
                <w:lang w:val="en-US" w:eastAsia="zh-CN"/>
              </w:rPr>
              <w:t>31.12.2016</w:t>
            </w:r>
          </w:p>
        </w:tc>
      </w:tr>
      <w:tr w:rsidR="001A386C" w:rsidRPr="001A386C" w:rsidTr="001A386C">
        <w:trPr>
          <w:trHeight w:val="255"/>
        </w:trPr>
        <w:tc>
          <w:tcPr>
            <w:tcW w:w="5660" w:type="dxa"/>
            <w:tcBorders>
              <w:top w:val="nil"/>
              <w:left w:val="single" w:sz="4" w:space="0" w:color="auto"/>
              <w:bottom w:val="nil"/>
              <w:right w:val="nil"/>
            </w:tcBorders>
            <w:shd w:val="clear" w:color="auto" w:fill="auto"/>
            <w:noWrap/>
            <w:vAlign w:val="bottom"/>
            <w:hideMark/>
          </w:tcPr>
          <w:p w:rsidR="001A386C" w:rsidRPr="001A386C" w:rsidRDefault="001A386C" w:rsidP="001A386C">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1A386C">
              <w:rPr>
                <w:rFonts w:ascii="Arial" w:hAnsi="Arial" w:cs="Arial"/>
                <w:color w:val="000000"/>
                <w:sz w:val="20"/>
                <w:lang w:val="en-US" w:eastAsia="zh-CN"/>
              </w:rPr>
              <w:t xml:space="preserve">Contributions - Member States </w:t>
            </w:r>
          </w:p>
        </w:tc>
        <w:tc>
          <w:tcPr>
            <w:tcW w:w="1620" w:type="dxa"/>
            <w:tcBorders>
              <w:top w:val="nil"/>
              <w:left w:val="single" w:sz="4" w:space="0" w:color="auto"/>
              <w:bottom w:val="nil"/>
              <w:right w:val="single" w:sz="4" w:space="0" w:color="auto"/>
            </w:tcBorders>
            <w:shd w:val="clear" w:color="auto" w:fill="auto"/>
            <w:noWrap/>
            <w:vAlign w:val="bottom"/>
            <w:hideMark/>
          </w:tcPr>
          <w:p w:rsidR="001A386C" w:rsidRPr="001A386C" w:rsidRDefault="001A386C" w:rsidP="001A386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1A386C">
              <w:rPr>
                <w:rFonts w:ascii="Arial" w:hAnsi="Arial" w:cs="Arial"/>
                <w:color w:val="000000"/>
                <w:sz w:val="20"/>
                <w:lang w:val="en-US" w:eastAsia="zh-CN"/>
              </w:rPr>
              <w:t xml:space="preserve">             108,518 </w:t>
            </w:r>
          </w:p>
        </w:tc>
        <w:tc>
          <w:tcPr>
            <w:tcW w:w="1620" w:type="dxa"/>
            <w:tcBorders>
              <w:top w:val="nil"/>
              <w:left w:val="nil"/>
              <w:bottom w:val="nil"/>
              <w:right w:val="single" w:sz="4" w:space="0" w:color="auto"/>
            </w:tcBorders>
            <w:shd w:val="clear" w:color="auto" w:fill="auto"/>
            <w:noWrap/>
            <w:vAlign w:val="bottom"/>
            <w:hideMark/>
          </w:tcPr>
          <w:p w:rsidR="001A386C" w:rsidRPr="001A386C" w:rsidRDefault="001A386C" w:rsidP="001A386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1A386C">
              <w:rPr>
                <w:rFonts w:ascii="Arial" w:hAnsi="Arial" w:cs="Arial"/>
                <w:color w:val="000000"/>
                <w:sz w:val="20"/>
                <w:lang w:val="en-US" w:eastAsia="zh-CN"/>
              </w:rPr>
              <w:t xml:space="preserve">             106,292 </w:t>
            </w:r>
          </w:p>
        </w:tc>
      </w:tr>
      <w:tr w:rsidR="001A386C" w:rsidRPr="001A386C" w:rsidTr="001A386C">
        <w:trPr>
          <w:trHeight w:val="255"/>
        </w:trPr>
        <w:tc>
          <w:tcPr>
            <w:tcW w:w="5660" w:type="dxa"/>
            <w:tcBorders>
              <w:top w:val="nil"/>
              <w:left w:val="single" w:sz="4" w:space="0" w:color="auto"/>
              <w:bottom w:val="nil"/>
              <w:right w:val="nil"/>
            </w:tcBorders>
            <w:shd w:val="clear" w:color="auto" w:fill="auto"/>
            <w:noWrap/>
            <w:vAlign w:val="bottom"/>
            <w:hideMark/>
          </w:tcPr>
          <w:p w:rsidR="001A386C" w:rsidRPr="001A386C" w:rsidRDefault="001A386C" w:rsidP="001A386C">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1A386C">
              <w:rPr>
                <w:rFonts w:ascii="Arial" w:hAnsi="Arial" w:cs="Arial"/>
                <w:color w:val="000000"/>
                <w:sz w:val="20"/>
                <w:lang w:val="en-US" w:eastAsia="zh-CN"/>
              </w:rPr>
              <w:t xml:space="preserve">Contributions - Sector Members </w:t>
            </w:r>
          </w:p>
        </w:tc>
        <w:tc>
          <w:tcPr>
            <w:tcW w:w="1620" w:type="dxa"/>
            <w:tcBorders>
              <w:top w:val="nil"/>
              <w:left w:val="single" w:sz="4" w:space="0" w:color="auto"/>
              <w:bottom w:val="nil"/>
              <w:right w:val="single" w:sz="4" w:space="0" w:color="auto"/>
            </w:tcBorders>
            <w:shd w:val="clear" w:color="auto" w:fill="auto"/>
            <w:noWrap/>
            <w:vAlign w:val="bottom"/>
            <w:hideMark/>
          </w:tcPr>
          <w:p w:rsidR="001A386C" w:rsidRPr="001A386C" w:rsidRDefault="001A386C" w:rsidP="001A386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1A386C">
              <w:rPr>
                <w:rFonts w:ascii="Arial" w:hAnsi="Arial" w:cs="Arial"/>
                <w:color w:val="000000"/>
                <w:sz w:val="20"/>
                <w:lang w:val="en-US" w:eastAsia="zh-CN"/>
              </w:rPr>
              <w:t xml:space="preserve">              14,085 </w:t>
            </w:r>
          </w:p>
        </w:tc>
        <w:tc>
          <w:tcPr>
            <w:tcW w:w="1620" w:type="dxa"/>
            <w:tcBorders>
              <w:top w:val="nil"/>
              <w:left w:val="nil"/>
              <w:bottom w:val="nil"/>
              <w:right w:val="single" w:sz="4" w:space="0" w:color="auto"/>
            </w:tcBorders>
            <w:shd w:val="clear" w:color="auto" w:fill="auto"/>
            <w:noWrap/>
            <w:vAlign w:val="bottom"/>
            <w:hideMark/>
          </w:tcPr>
          <w:p w:rsidR="001A386C" w:rsidRPr="001A386C" w:rsidRDefault="001A386C" w:rsidP="001A386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1A386C">
              <w:rPr>
                <w:rFonts w:ascii="Arial" w:hAnsi="Arial" w:cs="Arial"/>
                <w:color w:val="000000"/>
                <w:sz w:val="20"/>
                <w:lang w:val="en-US" w:eastAsia="zh-CN"/>
              </w:rPr>
              <w:t xml:space="preserve">              14,138 </w:t>
            </w:r>
          </w:p>
        </w:tc>
      </w:tr>
      <w:tr w:rsidR="001A386C" w:rsidRPr="001A386C" w:rsidTr="001A386C">
        <w:trPr>
          <w:trHeight w:val="255"/>
        </w:trPr>
        <w:tc>
          <w:tcPr>
            <w:tcW w:w="5660" w:type="dxa"/>
            <w:tcBorders>
              <w:top w:val="nil"/>
              <w:left w:val="single" w:sz="4" w:space="0" w:color="auto"/>
              <w:bottom w:val="nil"/>
              <w:right w:val="nil"/>
            </w:tcBorders>
            <w:shd w:val="clear" w:color="auto" w:fill="auto"/>
            <w:noWrap/>
            <w:vAlign w:val="bottom"/>
            <w:hideMark/>
          </w:tcPr>
          <w:p w:rsidR="001A386C" w:rsidRPr="001A386C" w:rsidRDefault="001A386C" w:rsidP="001A386C">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1A386C">
              <w:rPr>
                <w:rFonts w:ascii="Arial" w:hAnsi="Arial" w:cs="Arial"/>
                <w:color w:val="000000"/>
                <w:sz w:val="20"/>
                <w:lang w:val="en-US" w:eastAsia="zh-CN"/>
              </w:rPr>
              <w:t xml:space="preserve">Contributions </w:t>
            </w:r>
            <w:r w:rsidR="000D09E0">
              <w:rPr>
                <w:rFonts w:ascii="Arial" w:hAnsi="Arial" w:cs="Arial"/>
                <w:color w:val="000000"/>
                <w:sz w:val="20"/>
                <w:lang w:val="en-US" w:eastAsia="zh-CN"/>
              </w:rPr>
              <w:t>–</w:t>
            </w:r>
            <w:r w:rsidRPr="001A386C">
              <w:rPr>
                <w:rFonts w:ascii="Arial" w:hAnsi="Arial" w:cs="Arial"/>
                <w:color w:val="000000"/>
                <w:sz w:val="20"/>
                <w:lang w:val="en-US" w:eastAsia="zh-CN"/>
              </w:rPr>
              <w:t xml:space="preserve"> Associates</w:t>
            </w:r>
          </w:p>
        </w:tc>
        <w:tc>
          <w:tcPr>
            <w:tcW w:w="1620" w:type="dxa"/>
            <w:tcBorders>
              <w:top w:val="nil"/>
              <w:left w:val="single" w:sz="4" w:space="0" w:color="auto"/>
              <w:bottom w:val="nil"/>
              <w:right w:val="single" w:sz="4" w:space="0" w:color="auto"/>
            </w:tcBorders>
            <w:shd w:val="clear" w:color="auto" w:fill="auto"/>
            <w:noWrap/>
            <w:vAlign w:val="bottom"/>
            <w:hideMark/>
          </w:tcPr>
          <w:p w:rsidR="001A386C" w:rsidRPr="001A386C" w:rsidRDefault="001A386C" w:rsidP="001A386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1A386C">
              <w:rPr>
                <w:rFonts w:ascii="Arial" w:hAnsi="Arial" w:cs="Arial"/>
                <w:color w:val="000000"/>
                <w:sz w:val="20"/>
                <w:lang w:val="en-US" w:eastAsia="zh-CN"/>
              </w:rPr>
              <w:t xml:space="preserve">                1,660 </w:t>
            </w:r>
          </w:p>
        </w:tc>
        <w:tc>
          <w:tcPr>
            <w:tcW w:w="1620" w:type="dxa"/>
            <w:tcBorders>
              <w:top w:val="nil"/>
              <w:left w:val="nil"/>
              <w:bottom w:val="nil"/>
              <w:right w:val="single" w:sz="4" w:space="0" w:color="auto"/>
            </w:tcBorders>
            <w:shd w:val="clear" w:color="auto" w:fill="auto"/>
            <w:noWrap/>
            <w:vAlign w:val="bottom"/>
            <w:hideMark/>
          </w:tcPr>
          <w:p w:rsidR="001A386C" w:rsidRPr="001A386C" w:rsidRDefault="001A386C" w:rsidP="001A386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1A386C">
              <w:rPr>
                <w:rFonts w:ascii="Arial" w:hAnsi="Arial" w:cs="Arial"/>
                <w:color w:val="000000"/>
                <w:sz w:val="20"/>
                <w:lang w:val="en-US" w:eastAsia="zh-CN"/>
              </w:rPr>
              <w:t xml:space="preserve">                1,585 </w:t>
            </w:r>
          </w:p>
        </w:tc>
      </w:tr>
      <w:tr w:rsidR="001A386C" w:rsidRPr="001A386C" w:rsidTr="001A386C">
        <w:trPr>
          <w:trHeight w:val="255"/>
        </w:trPr>
        <w:tc>
          <w:tcPr>
            <w:tcW w:w="5660" w:type="dxa"/>
            <w:tcBorders>
              <w:top w:val="nil"/>
              <w:left w:val="single" w:sz="4" w:space="0" w:color="auto"/>
              <w:bottom w:val="nil"/>
              <w:right w:val="nil"/>
            </w:tcBorders>
            <w:shd w:val="clear" w:color="auto" w:fill="auto"/>
            <w:noWrap/>
            <w:vAlign w:val="bottom"/>
            <w:hideMark/>
          </w:tcPr>
          <w:p w:rsidR="001A386C" w:rsidRPr="001A386C" w:rsidRDefault="001A386C" w:rsidP="001A386C">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1A386C">
              <w:rPr>
                <w:rFonts w:ascii="Arial" w:hAnsi="Arial" w:cs="Arial"/>
                <w:color w:val="000000"/>
                <w:sz w:val="20"/>
                <w:lang w:val="en-US" w:eastAsia="zh-CN"/>
              </w:rPr>
              <w:t xml:space="preserve">Contributions </w:t>
            </w:r>
            <w:r w:rsidR="000D09E0">
              <w:rPr>
                <w:rFonts w:ascii="Arial" w:hAnsi="Arial" w:cs="Arial"/>
                <w:color w:val="000000"/>
                <w:sz w:val="20"/>
                <w:lang w:val="en-US" w:eastAsia="zh-CN"/>
              </w:rPr>
              <w:t>–</w:t>
            </w:r>
            <w:r w:rsidRPr="001A386C">
              <w:rPr>
                <w:rFonts w:ascii="Arial" w:hAnsi="Arial" w:cs="Arial"/>
                <w:color w:val="000000"/>
                <w:sz w:val="20"/>
                <w:lang w:val="en-US" w:eastAsia="zh-CN"/>
              </w:rPr>
              <w:t xml:space="preserve"> Academia</w:t>
            </w:r>
          </w:p>
        </w:tc>
        <w:tc>
          <w:tcPr>
            <w:tcW w:w="1620" w:type="dxa"/>
            <w:tcBorders>
              <w:top w:val="nil"/>
              <w:left w:val="single" w:sz="4" w:space="0" w:color="auto"/>
              <w:bottom w:val="nil"/>
              <w:right w:val="single" w:sz="4" w:space="0" w:color="auto"/>
            </w:tcBorders>
            <w:shd w:val="clear" w:color="auto" w:fill="auto"/>
            <w:noWrap/>
            <w:vAlign w:val="bottom"/>
            <w:hideMark/>
          </w:tcPr>
          <w:p w:rsidR="001A386C" w:rsidRPr="001A386C" w:rsidRDefault="001A386C" w:rsidP="001A386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1A386C">
              <w:rPr>
                <w:rFonts w:ascii="Arial" w:hAnsi="Arial" w:cs="Arial"/>
                <w:color w:val="000000"/>
                <w:sz w:val="20"/>
                <w:lang w:val="en-US" w:eastAsia="zh-CN"/>
              </w:rPr>
              <w:t xml:space="preserve">                   328 </w:t>
            </w:r>
          </w:p>
        </w:tc>
        <w:tc>
          <w:tcPr>
            <w:tcW w:w="1620" w:type="dxa"/>
            <w:tcBorders>
              <w:top w:val="nil"/>
              <w:left w:val="nil"/>
              <w:bottom w:val="nil"/>
              <w:right w:val="single" w:sz="4" w:space="0" w:color="auto"/>
            </w:tcBorders>
            <w:shd w:val="clear" w:color="auto" w:fill="auto"/>
            <w:noWrap/>
            <w:vAlign w:val="bottom"/>
            <w:hideMark/>
          </w:tcPr>
          <w:p w:rsidR="001A386C" w:rsidRPr="001A386C" w:rsidRDefault="001A386C" w:rsidP="001A386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1A386C">
              <w:rPr>
                <w:rFonts w:ascii="Arial" w:hAnsi="Arial" w:cs="Arial"/>
                <w:color w:val="000000"/>
                <w:sz w:val="20"/>
                <w:lang w:val="en-US" w:eastAsia="zh-CN"/>
              </w:rPr>
              <w:t xml:space="preserve">                   293 </w:t>
            </w:r>
          </w:p>
        </w:tc>
      </w:tr>
      <w:tr w:rsidR="001A386C" w:rsidRPr="001A386C" w:rsidTr="001A386C">
        <w:trPr>
          <w:trHeight w:val="255"/>
        </w:trPr>
        <w:tc>
          <w:tcPr>
            <w:tcW w:w="5660" w:type="dxa"/>
            <w:tcBorders>
              <w:top w:val="nil"/>
              <w:left w:val="single" w:sz="4" w:space="0" w:color="auto"/>
              <w:bottom w:val="nil"/>
              <w:right w:val="nil"/>
            </w:tcBorders>
            <w:shd w:val="clear" w:color="auto" w:fill="auto"/>
            <w:noWrap/>
            <w:vAlign w:val="bottom"/>
            <w:hideMark/>
          </w:tcPr>
          <w:p w:rsidR="001A386C" w:rsidRPr="001A386C" w:rsidRDefault="001A386C" w:rsidP="001A386C">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1A386C">
              <w:rPr>
                <w:rFonts w:ascii="Arial" w:hAnsi="Arial" w:cs="Arial"/>
                <w:color w:val="000000"/>
                <w:sz w:val="20"/>
                <w:lang w:val="en-US" w:eastAsia="zh-CN"/>
              </w:rPr>
              <w:t>Publications and miscellaneous</w:t>
            </w:r>
          </w:p>
        </w:tc>
        <w:tc>
          <w:tcPr>
            <w:tcW w:w="1620" w:type="dxa"/>
            <w:tcBorders>
              <w:top w:val="nil"/>
              <w:left w:val="single" w:sz="4" w:space="0" w:color="auto"/>
              <w:bottom w:val="nil"/>
              <w:right w:val="single" w:sz="4" w:space="0" w:color="auto"/>
            </w:tcBorders>
            <w:shd w:val="clear" w:color="auto" w:fill="auto"/>
            <w:noWrap/>
            <w:vAlign w:val="bottom"/>
            <w:hideMark/>
          </w:tcPr>
          <w:p w:rsidR="001A386C" w:rsidRPr="001A386C" w:rsidRDefault="001A386C" w:rsidP="001A386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1A386C">
              <w:rPr>
                <w:rFonts w:ascii="Arial" w:hAnsi="Arial" w:cs="Arial"/>
                <w:color w:val="000000"/>
                <w:sz w:val="20"/>
                <w:lang w:val="en-US" w:eastAsia="zh-CN"/>
              </w:rPr>
              <w:t xml:space="preserve">                   -   </w:t>
            </w:r>
          </w:p>
        </w:tc>
        <w:tc>
          <w:tcPr>
            <w:tcW w:w="1620" w:type="dxa"/>
            <w:tcBorders>
              <w:top w:val="nil"/>
              <w:left w:val="nil"/>
              <w:bottom w:val="nil"/>
              <w:right w:val="single" w:sz="4" w:space="0" w:color="auto"/>
            </w:tcBorders>
            <w:shd w:val="clear" w:color="auto" w:fill="auto"/>
            <w:noWrap/>
            <w:vAlign w:val="bottom"/>
            <w:hideMark/>
          </w:tcPr>
          <w:p w:rsidR="001A386C" w:rsidRPr="001A386C" w:rsidRDefault="001A386C" w:rsidP="001A386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1A386C">
              <w:rPr>
                <w:rFonts w:ascii="Arial" w:hAnsi="Arial" w:cs="Arial"/>
                <w:color w:val="000000"/>
                <w:sz w:val="20"/>
                <w:lang w:val="en-US" w:eastAsia="zh-CN"/>
              </w:rPr>
              <w:t xml:space="preserve">                     28 </w:t>
            </w:r>
          </w:p>
        </w:tc>
      </w:tr>
      <w:tr w:rsidR="001A386C" w:rsidRPr="001A386C" w:rsidTr="001A386C">
        <w:trPr>
          <w:trHeight w:val="255"/>
        </w:trPr>
        <w:tc>
          <w:tcPr>
            <w:tcW w:w="5660" w:type="dxa"/>
            <w:tcBorders>
              <w:top w:val="nil"/>
              <w:left w:val="single" w:sz="4" w:space="0" w:color="auto"/>
              <w:bottom w:val="nil"/>
              <w:right w:val="nil"/>
            </w:tcBorders>
            <w:shd w:val="clear" w:color="auto" w:fill="auto"/>
            <w:noWrap/>
            <w:vAlign w:val="bottom"/>
            <w:hideMark/>
          </w:tcPr>
          <w:p w:rsidR="001A386C" w:rsidRPr="001A386C" w:rsidRDefault="001A386C" w:rsidP="001A386C">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1A386C">
              <w:rPr>
                <w:rFonts w:ascii="Arial" w:hAnsi="Arial" w:cs="Arial"/>
                <w:color w:val="000000"/>
                <w:sz w:val="20"/>
                <w:lang w:val="en-US" w:eastAsia="zh-CN"/>
              </w:rPr>
              <w:t>SNF</w:t>
            </w:r>
          </w:p>
        </w:tc>
        <w:tc>
          <w:tcPr>
            <w:tcW w:w="1620" w:type="dxa"/>
            <w:tcBorders>
              <w:top w:val="nil"/>
              <w:left w:val="single" w:sz="4" w:space="0" w:color="auto"/>
              <w:bottom w:val="nil"/>
              <w:right w:val="single" w:sz="4" w:space="0" w:color="auto"/>
            </w:tcBorders>
            <w:shd w:val="clear" w:color="auto" w:fill="auto"/>
            <w:noWrap/>
            <w:vAlign w:val="bottom"/>
            <w:hideMark/>
          </w:tcPr>
          <w:p w:rsidR="001A386C" w:rsidRPr="001A386C" w:rsidRDefault="001A386C" w:rsidP="001A386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1A386C">
              <w:rPr>
                <w:rFonts w:ascii="Arial" w:hAnsi="Arial" w:cs="Arial"/>
                <w:color w:val="000000"/>
                <w:sz w:val="20"/>
                <w:lang w:val="en-US" w:eastAsia="zh-CN"/>
              </w:rPr>
              <w:t xml:space="preserve">                8,498 </w:t>
            </w:r>
          </w:p>
        </w:tc>
        <w:tc>
          <w:tcPr>
            <w:tcW w:w="1620" w:type="dxa"/>
            <w:tcBorders>
              <w:top w:val="nil"/>
              <w:left w:val="nil"/>
              <w:bottom w:val="nil"/>
              <w:right w:val="single" w:sz="4" w:space="0" w:color="auto"/>
            </w:tcBorders>
            <w:shd w:val="clear" w:color="auto" w:fill="auto"/>
            <w:noWrap/>
            <w:vAlign w:val="bottom"/>
            <w:hideMark/>
          </w:tcPr>
          <w:p w:rsidR="001A386C" w:rsidRPr="001A386C" w:rsidRDefault="001A386C" w:rsidP="001A386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1A386C">
              <w:rPr>
                <w:rFonts w:ascii="Arial" w:hAnsi="Arial" w:cs="Arial"/>
                <w:color w:val="000000"/>
                <w:sz w:val="20"/>
                <w:lang w:val="en-US" w:eastAsia="zh-CN"/>
              </w:rPr>
              <w:t xml:space="preserve">                6,686 </w:t>
            </w:r>
          </w:p>
        </w:tc>
      </w:tr>
      <w:tr w:rsidR="001A386C" w:rsidRPr="001A386C" w:rsidTr="001A386C">
        <w:trPr>
          <w:trHeight w:val="255"/>
        </w:trPr>
        <w:tc>
          <w:tcPr>
            <w:tcW w:w="5660" w:type="dxa"/>
            <w:tcBorders>
              <w:top w:val="nil"/>
              <w:left w:val="single" w:sz="4" w:space="0" w:color="auto"/>
              <w:bottom w:val="nil"/>
              <w:right w:val="nil"/>
            </w:tcBorders>
            <w:shd w:val="clear" w:color="auto" w:fill="auto"/>
            <w:noWrap/>
            <w:vAlign w:val="bottom"/>
            <w:hideMark/>
          </w:tcPr>
          <w:p w:rsidR="001A386C" w:rsidRPr="001A386C" w:rsidRDefault="001A386C" w:rsidP="001A386C">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1A386C">
              <w:rPr>
                <w:rFonts w:ascii="Arial" w:hAnsi="Arial" w:cs="Arial"/>
                <w:color w:val="000000"/>
                <w:sz w:val="20"/>
                <w:lang w:val="en-US" w:eastAsia="zh-CN"/>
              </w:rPr>
              <w:t>Contributions - Extra-budgetary</w:t>
            </w:r>
          </w:p>
        </w:tc>
        <w:tc>
          <w:tcPr>
            <w:tcW w:w="1620" w:type="dxa"/>
            <w:tcBorders>
              <w:top w:val="nil"/>
              <w:left w:val="single" w:sz="4" w:space="0" w:color="auto"/>
              <w:bottom w:val="nil"/>
              <w:right w:val="single" w:sz="4" w:space="0" w:color="auto"/>
            </w:tcBorders>
            <w:shd w:val="clear" w:color="auto" w:fill="auto"/>
            <w:noWrap/>
            <w:vAlign w:val="bottom"/>
            <w:hideMark/>
          </w:tcPr>
          <w:p w:rsidR="001A386C" w:rsidRPr="001A386C" w:rsidRDefault="001A386C" w:rsidP="001A386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1A386C">
              <w:rPr>
                <w:rFonts w:ascii="Arial" w:hAnsi="Arial" w:cs="Arial"/>
                <w:color w:val="000000"/>
                <w:sz w:val="20"/>
                <w:lang w:val="en-US" w:eastAsia="zh-CN"/>
              </w:rPr>
              <w:t xml:space="preserve">                1,185 </w:t>
            </w:r>
          </w:p>
        </w:tc>
        <w:tc>
          <w:tcPr>
            <w:tcW w:w="1620" w:type="dxa"/>
            <w:tcBorders>
              <w:top w:val="nil"/>
              <w:left w:val="nil"/>
              <w:bottom w:val="nil"/>
              <w:right w:val="single" w:sz="4" w:space="0" w:color="auto"/>
            </w:tcBorders>
            <w:shd w:val="clear" w:color="auto" w:fill="auto"/>
            <w:noWrap/>
            <w:vAlign w:val="center"/>
            <w:hideMark/>
          </w:tcPr>
          <w:p w:rsidR="001A386C" w:rsidRPr="001A386C" w:rsidRDefault="001A386C" w:rsidP="001A386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1A386C">
              <w:rPr>
                <w:rFonts w:ascii="Arial" w:hAnsi="Arial" w:cs="Arial"/>
                <w:color w:val="000000"/>
                <w:sz w:val="20"/>
                <w:lang w:val="en-US" w:eastAsia="zh-CN"/>
              </w:rPr>
              <w:t xml:space="preserve">                     -   </w:t>
            </w:r>
          </w:p>
        </w:tc>
      </w:tr>
      <w:tr w:rsidR="001A386C" w:rsidRPr="001A386C" w:rsidTr="001A386C">
        <w:trPr>
          <w:trHeight w:val="499"/>
        </w:trPr>
        <w:tc>
          <w:tcPr>
            <w:tcW w:w="5660" w:type="dxa"/>
            <w:tcBorders>
              <w:top w:val="single" w:sz="4" w:space="0" w:color="auto"/>
              <w:left w:val="single" w:sz="4" w:space="0" w:color="auto"/>
              <w:bottom w:val="single" w:sz="4" w:space="0" w:color="auto"/>
              <w:right w:val="nil"/>
            </w:tcBorders>
            <w:shd w:val="clear" w:color="auto" w:fill="auto"/>
            <w:noWrap/>
            <w:vAlign w:val="center"/>
            <w:hideMark/>
          </w:tcPr>
          <w:p w:rsidR="001A386C" w:rsidRPr="001A386C" w:rsidRDefault="001A386C" w:rsidP="001A386C">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20"/>
                <w:lang w:val="en-US" w:eastAsia="zh-CN"/>
              </w:rPr>
            </w:pPr>
            <w:r w:rsidRPr="001A386C">
              <w:rPr>
                <w:rFonts w:ascii="Arial" w:hAnsi="Arial" w:cs="Arial"/>
                <w:b/>
                <w:bCs/>
                <w:color w:val="000000"/>
                <w:sz w:val="20"/>
                <w:lang w:val="en-US" w:eastAsia="zh-CN"/>
              </w:rPr>
              <w:t>Deferred revenue</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86C" w:rsidRPr="001A386C" w:rsidRDefault="001A386C" w:rsidP="001A386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1A386C">
              <w:rPr>
                <w:rFonts w:ascii="Arial" w:hAnsi="Arial" w:cs="Arial"/>
                <w:b/>
                <w:bCs/>
                <w:color w:val="000000"/>
                <w:sz w:val="20"/>
                <w:lang w:val="en-US" w:eastAsia="zh-CN"/>
              </w:rPr>
              <w:t xml:space="preserve">            134,275 </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1A386C" w:rsidRPr="001A386C" w:rsidRDefault="001A386C" w:rsidP="001A386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1A386C">
              <w:rPr>
                <w:rFonts w:ascii="Arial" w:hAnsi="Arial" w:cs="Arial"/>
                <w:b/>
                <w:bCs/>
                <w:color w:val="000000"/>
                <w:sz w:val="20"/>
                <w:lang w:val="en-US" w:eastAsia="zh-CN"/>
              </w:rPr>
              <w:t xml:space="preserve">            129,022 </w:t>
            </w:r>
          </w:p>
        </w:tc>
      </w:tr>
    </w:tbl>
    <w:p w:rsidR="00A4540F" w:rsidRDefault="0088592C" w:rsidP="001A386C">
      <w:pPr>
        <w:spacing w:before="240"/>
        <w:jc w:val="both"/>
        <w:rPr>
          <w:lang w:val="en-US"/>
        </w:rPr>
      </w:pPr>
      <w:r>
        <w:rPr>
          <w:lang w:val="en-US"/>
        </w:rPr>
        <w:t>In 201</w:t>
      </w:r>
      <w:r w:rsidR="001A386C">
        <w:rPr>
          <w:lang w:val="en-US"/>
        </w:rPr>
        <w:t>7</w:t>
      </w:r>
      <w:r w:rsidR="00D05A7B">
        <w:rPr>
          <w:lang w:val="en-US"/>
        </w:rPr>
        <w:t>,</w:t>
      </w:r>
      <w:r>
        <w:rPr>
          <w:lang w:val="en-US"/>
        </w:rPr>
        <w:t xml:space="preserve"> the deferred revenue for contributions represent</w:t>
      </w:r>
      <w:r w:rsidR="009E51A6">
        <w:rPr>
          <w:lang w:val="en-US"/>
        </w:rPr>
        <w:t>ed</w:t>
      </w:r>
      <w:r>
        <w:rPr>
          <w:lang w:val="en-US"/>
        </w:rPr>
        <w:t xml:space="preserve"> the revenue associated with the year</w:t>
      </w:r>
      <w:r w:rsidR="00E246D2">
        <w:rPr>
          <w:lang w:val="en-US"/>
        </w:rPr>
        <w:t> </w:t>
      </w:r>
      <w:r>
        <w:rPr>
          <w:lang w:val="en-US"/>
        </w:rPr>
        <w:t>201</w:t>
      </w:r>
      <w:r w:rsidR="001A386C">
        <w:rPr>
          <w:lang w:val="en-US"/>
        </w:rPr>
        <w:t>8</w:t>
      </w:r>
      <w:r>
        <w:rPr>
          <w:lang w:val="en-US"/>
        </w:rPr>
        <w:t xml:space="preserve">. </w:t>
      </w:r>
      <w:r w:rsidR="0022373A" w:rsidRPr="00AA4C70">
        <w:rPr>
          <w:lang w:val="en-US"/>
        </w:rPr>
        <w:t>The</w:t>
      </w:r>
      <w:r w:rsidR="006C7F68" w:rsidRPr="00AA4C70">
        <w:rPr>
          <w:lang w:val="en-US"/>
        </w:rPr>
        <w:t xml:space="preserve"> deferred revenue for satellite </w:t>
      </w:r>
      <w:r w:rsidR="0022373A" w:rsidRPr="00AA4C70">
        <w:rPr>
          <w:lang w:val="en-US"/>
        </w:rPr>
        <w:t xml:space="preserve">network filings relates to </w:t>
      </w:r>
      <w:r w:rsidR="00B354AF" w:rsidRPr="00AA4C70">
        <w:rPr>
          <w:lang w:val="en-US"/>
        </w:rPr>
        <w:t>requests prepared a</w:t>
      </w:r>
      <w:r w:rsidR="00C81B79" w:rsidRPr="00AA4C70">
        <w:rPr>
          <w:lang w:val="en-US"/>
        </w:rPr>
        <w:t>t</w:t>
      </w:r>
      <w:r w:rsidR="00B354AF" w:rsidRPr="00AA4C70">
        <w:rPr>
          <w:lang w:val="en-US"/>
        </w:rPr>
        <w:t xml:space="preserve"> the end of </w:t>
      </w:r>
      <w:r w:rsidR="00111BDD" w:rsidRPr="00AA4C70">
        <w:rPr>
          <w:lang w:val="en-US"/>
        </w:rPr>
        <w:t>201</w:t>
      </w:r>
      <w:r w:rsidR="001A386C">
        <w:rPr>
          <w:lang w:val="en-US"/>
        </w:rPr>
        <w:t>7</w:t>
      </w:r>
      <w:r w:rsidR="00B354AF" w:rsidRPr="00AA4C70">
        <w:rPr>
          <w:lang w:val="en-US"/>
        </w:rPr>
        <w:t xml:space="preserve"> with publication in 201</w:t>
      </w:r>
      <w:r w:rsidR="001A386C">
        <w:rPr>
          <w:lang w:val="en-US"/>
        </w:rPr>
        <w:t>8</w:t>
      </w:r>
      <w:r w:rsidR="00B354AF" w:rsidRPr="00AA4C70">
        <w:rPr>
          <w:lang w:val="en-US"/>
        </w:rPr>
        <w:t>.</w:t>
      </w:r>
      <w:bookmarkStart w:id="87" w:name="_Toc305764089"/>
      <w:bookmarkStart w:id="88" w:name="_Toc329011640"/>
    </w:p>
    <w:p w:rsidR="00D82A95" w:rsidRDefault="00D82A95">
      <w:pPr>
        <w:tabs>
          <w:tab w:val="clear" w:pos="567"/>
          <w:tab w:val="clear" w:pos="1134"/>
          <w:tab w:val="clear" w:pos="1701"/>
          <w:tab w:val="clear" w:pos="2268"/>
          <w:tab w:val="clear" w:pos="2835"/>
        </w:tabs>
        <w:overflowPunct/>
        <w:autoSpaceDE/>
        <w:autoSpaceDN/>
        <w:adjustRightInd/>
        <w:spacing w:before="0"/>
        <w:textAlignment w:val="auto"/>
        <w:rPr>
          <w:b/>
          <w:bCs/>
          <w:lang w:val="en-US"/>
        </w:rPr>
      </w:pPr>
      <w:r>
        <w:rPr>
          <w:b/>
          <w:bCs/>
          <w:lang w:val="en-US"/>
        </w:rPr>
        <w:br w:type="page"/>
      </w:r>
    </w:p>
    <w:p w:rsidR="0022373A" w:rsidRDefault="0022373A" w:rsidP="00A81A5E">
      <w:pPr>
        <w:tabs>
          <w:tab w:val="clear" w:pos="567"/>
          <w:tab w:val="clear" w:pos="1701"/>
          <w:tab w:val="clear" w:pos="2268"/>
          <w:tab w:val="clear" w:pos="2835"/>
        </w:tabs>
        <w:overflowPunct/>
        <w:autoSpaceDE/>
        <w:autoSpaceDN/>
        <w:adjustRightInd/>
        <w:spacing w:before="240" w:after="240"/>
        <w:textAlignment w:val="auto"/>
        <w:rPr>
          <w:b/>
          <w:bCs/>
          <w:lang w:val="en-US"/>
        </w:rPr>
      </w:pPr>
      <w:r w:rsidRPr="00FB42E8">
        <w:rPr>
          <w:b/>
          <w:bCs/>
          <w:lang w:val="en-US"/>
        </w:rPr>
        <w:t>Note 1</w:t>
      </w:r>
      <w:r w:rsidR="00A81A5E">
        <w:rPr>
          <w:b/>
          <w:bCs/>
          <w:lang w:val="en-US"/>
        </w:rPr>
        <w:t>6</w:t>
      </w:r>
      <w:r w:rsidRPr="001C2A98">
        <w:rPr>
          <w:lang w:val="en-US"/>
        </w:rPr>
        <w:tab/>
      </w:r>
      <w:r w:rsidRPr="00FB42E8">
        <w:rPr>
          <w:b/>
          <w:bCs/>
          <w:lang w:val="en-US"/>
        </w:rPr>
        <w:t>Borrowings and other financial debts</w:t>
      </w:r>
      <w:bookmarkEnd w:id="87"/>
      <w:bookmarkEnd w:id="88"/>
    </w:p>
    <w:tbl>
      <w:tblPr>
        <w:tblW w:w="8900" w:type="dxa"/>
        <w:tblInd w:w="-5" w:type="dxa"/>
        <w:tblLook w:val="04A0" w:firstRow="1" w:lastRow="0" w:firstColumn="1" w:lastColumn="0" w:noHBand="0" w:noVBand="1"/>
      </w:tblPr>
      <w:tblGrid>
        <w:gridCol w:w="4980"/>
        <w:gridCol w:w="1200"/>
        <w:gridCol w:w="1440"/>
        <w:gridCol w:w="1280"/>
      </w:tblGrid>
      <w:tr w:rsidR="00183E85" w:rsidRPr="00183E85" w:rsidTr="00D82A95">
        <w:trPr>
          <w:trHeight w:val="676"/>
        </w:trPr>
        <w:tc>
          <w:tcPr>
            <w:tcW w:w="4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3E85" w:rsidRPr="00183E85" w:rsidRDefault="00183E85" w:rsidP="00183E8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20"/>
                <w:lang w:val="en-US" w:eastAsia="zh-CN"/>
              </w:rPr>
            </w:pPr>
            <w:r w:rsidRPr="00183E85">
              <w:rPr>
                <w:rFonts w:ascii="Arial" w:hAnsi="Arial" w:cs="Arial"/>
                <w:b/>
                <w:bCs/>
                <w:color w:val="000000"/>
                <w:sz w:val="20"/>
                <w:lang w:val="en-US" w:eastAsia="zh-CN"/>
              </w:rPr>
              <w:t>In thousands of CHF</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183E85" w:rsidRPr="00183E85" w:rsidRDefault="00183E85" w:rsidP="00183E85">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20"/>
                <w:lang w:val="en-US" w:eastAsia="zh-CN"/>
              </w:rPr>
            </w:pPr>
            <w:r w:rsidRPr="00183E85">
              <w:rPr>
                <w:rFonts w:ascii="Arial" w:hAnsi="Arial" w:cs="Arial"/>
                <w:b/>
                <w:bCs/>
                <w:color w:val="000000"/>
                <w:sz w:val="20"/>
                <w:lang w:val="en-US" w:eastAsia="zh-CN"/>
              </w:rPr>
              <w:t>Due date</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183E85" w:rsidRPr="00183E85" w:rsidRDefault="00183E85" w:rsidP="00183E85">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20"/>
                <w:lang w:val="en-US" w:eastAsia="zh-CN"/>
              </w:rPr>
            </w:pPr>
            <w:r w:rsidRPr="00183E85">
              <w:rPr>
                <w:rFonts w:ascii="Arial" w:hAnsi="Arial" w:cs="Arial"/>
                <w:b/>
                <w:bCs/>
                <w:color w:val="000000"/>
                <w:sz w:val="20"/>
                <w:lang w:val="en-US" w:eastAsia="zh-CN"/>
              </w:rPr>
              <w:t>31.12.2017</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183E85" w:rsidRPr="00183E85" w:rsidRDefault="00183E85" w:rsidP="00183E85">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20"/>
                <w:lang w:val="en-US" w:eastAsia="zh-CN"/>
              </w:rPr>
            </w:pPr>
            <w:r w:rsidRPr="00183E85">
              <w:rPr>
                <w:rFonts w:ascii="Arial" w:hAnsi="Arial" w:cs="Arial"/>
                <w:b/>
                <w:bCs/>
                <w:color w:val="000000"/>
                <w:sz w:val="20"/>
                <w:lang w:val="en-US" w:eastAsia="zh-CN"/>
              </w:rPr>
              <w:t>31.12.2016</w:t>
            </w:r>
          </w:p>
        </w:tc>
      </w:tr>
      <w:tr w:rsidR="00183E85" w:rsidRPr="00183E85" w:rsidTr="00183E85">
        <w:trPr>
          <w:trHeight w:val="255"/>
        </w:trPr>
        <w:tc>
          <w:tcPr>
            <w:tcW w:w="4980" w:type="dxa"/>
            <w:tcBorders>
              <w:top w:val="nil"/>
              <w:left w:val="single" w:sz="4" w:space="0" w:color="auto"/>
              <w:bottom w:val="nil"/>
              <w:right w:val="single" w:sz="4" w:space="0" w:color="auto"/>
            </w:tcBorders>
            <w:shd w:val="clear" w:color="auto" w:fill="auto"/>
            <w:noWrap/>
            <w:vAlign w:val="bottom"/>
            <w:hideMark/>
          </w:tcPr>
          <w:p w:rsidR="00183E85" w:rsidRPr="00183E85" w:rsidRDefault="00183E85" w:rsidP="006627FA">
            <w:pPr>
              <w:tabs>
                <w:tab w:val="clear" w:pos="567"/>
                <w:tab w:val="clear" w:pos="1134"/>
                <w:tab w:val="clear" w:pos="1701"/>
                <w:tab w:val="clear" w:pos="2268"/>
                <w:tab w:val="clear" w:pos="2835"/>
              </w:tabs>
              <w:overflowPunct/>
              <w:autoSpaceDE/>
              <w:autoSpaceDN/>
              <w:adjustRightInd/>
              <w:spacing w:before="60"/>
              <w:textAlignment w:val="auto"/>
              <w:rPr>
                <w:rFonts w:ascii="Arial" w:hAnsi="Arial" w:cs="Arial"/>
                <w:color w:val="000000"/>
                <w:sz w:val="20"/>
                <w:u w:val="single"/>
                <w:lang w:val="en-US" w:eastAsia="zh-CN"/>
              </w:rPr>
            </w:pPr>
            <w:r w:rsidRPr="00183E85">
              <w:rPr>
                <w:rFonts w:ascii="Arial" w:hAnsi="Arial" w:cs="Arial"/>
                <w:color w:val="000000"/>
                <w:sz w:val="20"/>
                <w:u w:val="single"/>
                <w:lang w:val="en-US" w:eastAsia="zh-CN"/>
              </w:rPr>
              <w:t>Amounts initially borrowed from FIPOI</w:t>
            </w:r>
          </w:p>
        </w:tc>
        <w:tc>
          <w:tcPr>
            <w:tcW w:w="1200" w:type="dxa"/>
            <w:tcBorders>
              <w:top w:val="nil"/>
              <w:left w:val="nil"/>
              <w:bottom w:val="nil"/>
              <w:right w:val="single" w:sz="4" w:space="0" w:color="auto"/>
            </w:tcBorders>
            <w:shd w:val="clear" w:color="auto" w:fill="auto"/>
            <w:noWrap/>
            <w:vAlign w:val="bottom"/>
            <w:hideMark/>
          </w:tcPr>
          <w:p w:rsidR="00183E85" w:rsidRPr="00183E85" w:rsidRDefault="00183E85" w:rsidP="00183E85">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20"/>
                <w:lang w:val="en-US" w:eastAsia="zh-CN"/>
              </w:rPr>
            </w:pPr>
            <w:r w:rsidRPr="00183E85">
              <w:rPr>
                <w:rFonts w:ascii="Arial" w:hAnsi="Arial" w:cs="Arial"/>
                <w:color w:val="000000"/>
                <w:sz w:val="20"/>
                <w:lang w:val="en-US" w:eastAsia="zh-CN"/>
              </w:rPr>
              <w:t> </w:t>
            </w:r>
          </w:p>
        </w:tc>
        <w:tc>
          <w:tcPr>
            <w:tcW w:w="1440" w:type="dxa"/>
            <w:tcBorders>
              <w:top w:val="nil"/>
              <w:left w:val="nil"/>
              <w:bottom w:val="nil"/>
              <w:right w:val="single" w:sz="4" w:space="0" w:color="auto"/>
            </w:tcBorders>
            <w:shd w:val="clear" w:color="auto" w:fill="auto"/>
            <w:noWrap/>
            <w:vAlign w:val="bottom"/>
            <w:hideMark/>
          </w:tcPr>
          <w:p w:rsidR="00183E85" w:rsidRPr="00183E85" w:rsidRDefault="00183E85" w:rsidP="00183E85">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20"/>
                <w:lang w:val="en-US" w:eastAsia="zh-CN"/>
              </w:rPr>
            </w:pPr>
            <w:r w:rsidRPr="00183E85">
              <w:rPr>
                <w:rFonts w:ascii="Arial" w:hAnsi="Arial" w:cs="Arial"/>
                <w:color w:val="000000"/>
                <w:sz w:val="20"/>
                <w:lang w:val="en-US" w:eastAsia="zh-CN"/>
              </w:rPr>
              <w:t> </w:t>
            </w:r>
          </w:p>
        </w:tc>
        <w:tc>
          <w:tcPr>
            <w:tcW w:w="1280" w:type="dxa"/>
            <w:tcBorders>
              <w:top w:val="nil"/>
              <w:left w:val="nil"/>
              <w:bottom w:val="nil"/>
              <w:right w:val="single" w:sz="4" w:space="0" w:color="auto"/>
            </w:tcBorders>
            <w:shd w:val="clear" w:color="auto" w:fill="auto"/>
            <w:noWrap/>
            <w:vAlign w:val="bottom"/>
            <w:hideMark/>
          </w:tcPr>
          <w:p w:rsidR="00183E85" w:rsidRPr="00183E85" w:rsidRDefault="00183E85" w:rsidP="00183E85">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20"/>
                <w:lang w:val="en-US" w:eastAsia="zh-CN"/>
              </w:rPr>
            </w:pPr>
            <w:r w:rsidRPr="00183E85">
              <w:rPr>
                <w:rFonts w:ascii="Arial" w:hAnsi="Arial" w:cs="Arial"/>
                <w:color w:val="000000"/>
                <w:sz w:val="20"/>
                <w:lang w:val="en-US" w:eastAsia="zh-CN"/>
              </w:rPr>
              <w:t> </w:t>
            </w:r>
          </w:p>
        </w:tc>
      </w:tr>
      <w:tr w:rsidR="00183E85" w:rsidRPr="00183E85" w:rsidTr="00183E85">
        <w:trPr>
          <w:trHeight w:val="255"/>
        </w:trPr>
        <w:tc>
          <w:tcPr>
            <w:tcW w:w="4980" w:type="dxa"/>
            <w:tcBorders>
              <w:top w:val="nil"/>
              <w:left w:val="single" w:sz="4" w:space="0" w:color="auto"/>
              <w:bottom w:val="nil"/>
              <w:right w:val="single" w:sz="4" w:space="0" w:color="auto"/>
            </w:tcBorders>
            <w:shd w:val="clear" w:color="auto" w:fill="auto"/>
            <w:noWrap/>
            <w:vAlign w:val="bottom"/>
            <w:hideMark/>
          </w:tcPr>
          <w:p w:rsidR="00183E85" w:rsidRPr="00183E85" w:rsidRDefault="00183E85" w:rsidP="002B736C">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183E85">
              <w:rPr>
                <w:rFonts w:ascii="Arial" w:hAnsi="Arial" w:cs="Arial"/>
                <w:color w:val="000000"/>
                <w:sz w:val="20"/>
                <w:lang w:val="en-US" w:eastAsia="zh-CN"/>
              </w:rPr>
              <w:t xml:space="preserve">CHF 2'634'780 - </w:t>
            </w:r>
            <w:r w:rsidR="002B736C">
              <w:rPr>
                <w:rFonts w:ascii="Arial" w:hAnsi="Arial" w:cs="Arial"/>
                <w:color w:val="000000"/>
                <w:sz w:val="20"/>
                <w:lang w:val="en-US" w:eastAsia="zh-CN"/>
              </w:rPr>
              <w:t>from</w:t>
            </w:r>
            <w:r w:rsidRPr="00183E85">
              <w:rPr>
                <w:rFonts w:ascii="Arial" w:hAnsi="Arial" w:cs="Arial"/>
                <w:color w:val="000000"/>
                <w:sz w:val="20"/>
                <w:lang w:val="en-US" w:eastAsia="zh-CN"/>
              </w:rPr>
              <w:t xml:space="preserve"> 1990 </w:t>
            </w:r>
          </w:p>
        </w:tc>
        <w:tc>
          <w:tcPr>
            <w:tcW w:w="1200" w:type="dxa"/>
            <w:tcBorders>
              <w:top w:val="nil"/>
              <w:left w:val="nil"/>
              <w:bottom w:val="nil"/>
              <w:right w:val="single" w:sz="4" w:space="0" w:color="auto"/>
            </w:tcBorders>
            <w:shd w:val="clear" w:color="auto" w:fill="auto"/>
            <w:noWrap/>
            <w:vAlign w:val="bottom"/>
            <w:hideMark/>
          </w:tcPr>
          <w:p w:rsidR="00183E85" w:rsidRPr="00183E85" w:rsidRDefault="00183E85" w:rsidP="00183E8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183E85">
              <w:rPr>
                <w:rFonts w:ascii="Arial" w:hAnsi="Arial" w:cs="Arial"/>
                <w:color w:val="000000"/>
                <w:sz w:val="20"/>
                <w:lang w:val="en-US" w:eastAsia="zh-CN"/>
              </w:rPr>
              <w:t xml:space="preserve"> 2020 </w:t>
            </w:r>
          </w:p>
        </w:tc>
        <w:tc>
          <w:tcPr>
            <w:tcW w:w="1440" w:type="dxa"/>
            <w:tcBorders>
              <w:top w:val="nil"/>
              <w:left w:val="nil"/>
              <w:bottom w:val="nil"/>
              <w:right w:val="single" w:sz="4" w:space="0" w:color="auto"/>
            </w:tcBorders>
            <w:shd w:val="clear" w:color="auto" w:fill="auto"/>
            <w:noWrap/>
            <w:vAlign w:val="bottom"/>
            <w:hideMark/>
          </w:tcPr>
          <w:p w:rsidR="00183E85" w:rsidRPr="00183E85" w:rsidRDefault="00183E85" w:rsidP="00183E8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183E85">
              <w:rPr>
                <w:rFonts w:ascii="Arial" w:hAnsi="Arial" w:cs="Arial"/>
                <w:color w:val="000000"/>
                <w:sz w:val="20"/>
                <w:lang w:val="en-US" w:eastAsia="zh-CN"/>
              </w:rPr>
              <w:t xml:space="preserve">                306 </w:t>
            </w:r>
          </w:p>
        </w:tc>
        <w:tc>
          <w:tcPr>
            <w:tcW w:w="1280" w:type="dxa"/>
            <w:tcBorders>
              <w:top w:val="nil"/>
              <w:left w:val="nil"/>
              <w:bottom w:val="nil"/>
              <w:right w:val="single" w:sz="4" w:space="0" w:color="auto"/>
            </w:tcBorders>
            <w:shd w:val="clear" w:color="auto" w:fill="auto"/>
            <w:noWrap/>
            <w:vAlign w:val="bottom"/>
            <w:hideMark/>
          </w:tcPr>
          <w:p w:rsidR="00183E85" w:rsidRPr="00183E85" w:rsidRDefault="00183E85" w:rsidP="00183E8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183E85">
              <w:rPr>
                <w:rFonts w:ascii="Arial" w:hAnsi="Arial" w:cs="Arial"/>
                <w:color w:val="000000"/>
                <w:sz w:val="20"/>
                <w:lang w:val="en-US" w:eastAsia="zh-CN"/>
              </w:rPr>
              <w:t xml:space="preserve">             408 </w:t>
            </w:r>
          </w:p>
        </w:tc>
      </w:tr>
      <w:tr w:rsidR="00183E85" w:rsidRPr="00183E85" w:rsidTr="00183E85">
        <w:trPr>
          <w:trHeight w:val="255"/>
        </w:trPr>
        <w:tc>
          <w:tcPr>
            <w:tcW w:w="4980" w:type="dxa"/>
            <w:tcBorders>
              <w:top w:val="nil"/>
              <w:left w:val="single" w:sz="4" w:space="0" w:color="auto"/>
              <w:bottom w:val="nil"/>
              <w:right w:val="single" w:sz="4" w:space="0" w:color="auto"/>
            </w:tcBorders>
            <w:shd w:val="clear" w:color="auto" w:fill="auto"/>
            <w:noWrap/>
            <w:vAlign w:val="bottom"/>
            <w:hideMark/>
          </w:tcPr>
          <w:p w:rsidR="00183E85" w:rsidRPr="00183E85" w:rsidRDefault="00183E85" w:rsidP="002B736C">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183E85">
              <w:rPr>
                <w:rFonts w:ascii="Arial" w:hAnsi="Arial" w:cs="Arial"/>
                <w:color w:val="000000"/>
                <w:sz w:val="20"/>
                <w:lang w:val="en-US" w:eastAsia="zh-CN"/>
              </w:rPr>
              <w:t xml:space="preserve">CHF 19'627'590 - </w:t>
            </w:r>
            <w:r w:rsidR="002B736C">
              <w:rPr>
                <w:rFonts w:ascii="Arial" w:hAnsi="Arial" w:cs="Arial"/>
                <w:color w:val="000000"/>
                <w:sz w:val="20"/>
                <w:lang w:val="en-US" w:eastAsia="zh-CN"/>
              </w:rPr>
              <w:t>from</w:t>
            </w:r>
            <w:r w:rsidRPr="00183E85">
              <w:rPr>
                <w:rFonts w:ascii="Arial" w:hAnsi="Arial" w:cs="Arial"/>
                <w:color w:val="000000"/>
                <w:sz w:val="20"/>
                <w:lang w:val="en-US" w:eastAsia="zh-CN"/>
              </w:rPr>
              <w:t xml:space="preserve"> 1990 </w:t>
            </w:r>
          </w:p>
        </w:tc>
        <w:tc>
          <w:tcPr>
            <w:tcW w:w="1200" w:type="dxa"/>
            <w:tcBorders>
              <w:top w:val="nil"/>
              <w:left w:val="nil"/>
              <w:bottom w:val="nil"/>
              <w:right w:val="single" w:sz="4" w:space="0" w:color="auto"/>
            </w:tcBorders>
            <w:shd w:val="clear" w:color="auto" w:fill="auto"/>
            <w:noWrap/>
            <w:vAlign w:val="bottom"/>
            <w:hideMark/>
          </w:tcPr>
          <w:p w:rsidR="00183E85" w:rsidRPr="00183E85" w:rsidRDefault="00183E85" w:rsidP="00183E8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183E85">
              <w:rPr>
                <w:rFonts w:ascii="Arial" w:hAnsi="Arial" w:cs="Arial"/>
                <w:color w:val="000000"/>
                <w:sz w:val="20"/>
                <w:lang w:val="en-US" w:eastAsia="zh-CN"/>
              </w:rPr>
              <w:t xml:space="preserve"> 2039 </w:t>
            </w:r>
          </w:p>
        </w:tc>
        <w:tc>
          <w:tcPr>
            <w:tcW w:w="1440" w:type="dxa"/>
            <w:tcBorders>
              <w:top w:val="nil"/>
              <w:left w:val="nil"/>
              <w:bottom w:val="nil"/>
              <w:right w:val="single" w:sz="4" w:space="0" w:color="auto"/>
            </w:tcBorders>
            <w:shd w:val="clear" w:color="auto" w:fill="auto"/>
            <w:noWrap/>
            <w:vAlign w:val="bottom"/>
            <w:hideMark/>
          </w:tcPr>
          <w:p w:rsidR="00183E85" w:rsidRPr="00183E85" w:rsidRDefault="00183E85" w:rsidP="00183E8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183E85">
              <w:rPr>
                <w:rFonts w:ascii="Arial" w:hAnsi="Arial" w:cs="Arial"/>
                <w:color w:val="000000"/>
                <w:sz w:val="20"/>
                <w:lang w:val="en-US" w:eastAsia="zh-CN"/>
              </w:rPr>
              <w:t xml:space="preserve">             9,742 </w:t>
            </w:r>
          </w:p>
        </w:tc>
        <w:tc>
          <w:tcPr>
            <w:tcW w:w="1280" w:type="dxa"/>
            <w:tcBorders>
              <w:top w:val="nil"/>
              <w:left w:val="nil"/>
              <w:bottom w:val="nil"/>
              <w:right w:val="single" w:sz="4" w:space="0" w:color="auto"/>
            </w:tcBorders>
            <w:shd w:val="clear" w:color="auto" w:fill="auto"/>
            <w:noWrap/>
            <w:vAlign w:val="bottom"/>
            <w:hideMark/>
          </w:tcPr>
          <w:p w:rsidR="00183E85" w:rsidRPr="00183E85" w:rsidRDefault="00183E85" w:rsidP="00183E8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183E85">
              <w:rPr>
                <w:rFonts w:ascii="Arial" w:hAnsi="Arial" w:cs="Arial"/>
                <w:color w:val="000000"/>
                <w:sz w:val="20"/>
                <w:lang w:val="en-US" w:eastAsia="zh-CN"/>
              </w:rPr>
              <w:t xml:space="preserve">        10,152 </w:t>
            </w:r>
          </w:p>
        </w:tc>
      </w:tr>
      <w:tr w:rsidR="00183E85" w:rsidRPr="00183E85" w:rsidTr="00183E85">
        <w:trPr>
          <w:trHeight w:val="255"/>
        </w:trPr>
        <w:tc>
          <w:tcPr>
            <w:tcW w:w="4980" w:type="dxa"/>
            <w:tcBorders>
              <w:top w:val="nil"/>
              <w:left w:val="single" w:sz="4" w:space="0" w:color="auto"/>
              <w:bottom w:val="nil"/>
              <w:right w:val="single" w:sz="4" w:space="0" w:color="auto"/>
            </w:tcBorders>
            <w:shd w:val="clear" w:color="auto" w:fill="auto"/>
            <w:noWrap/>
            <w:vAlign w:val="bottom"/>
            <w:hideMark/>
          </w:tcPr>
          <w:p w:rsidR="00183E85" w:rsidRPr="00183E85" w:rsidRDefault="00183E85" w:rsidP="002B736C">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183E85">
              <w:rPr>
                <w:rFonts w:ascii="Arial" w:hAnsi="Arial" w:cs="Arial"/>
                <w:color w:val="000000"/>
                <w:sz w:val="20"/>
                <w:lang w:val="en-US" w:eastAsia="zh-CN"/>
              </w:rPr>
              <w:t xml:space="preserve">CHF 45'427'250 - </w:t>
            </w:r>
            <w:r w:rsidR="002B736C">
              <w:rPr>
                <w:rFonts w:ascii="Arial" w:hAnsi="Arial" w:cs="Arial"/>
                <w:color w:val="000000"/>
                <w:sz w:val="20"/>
                <w:lang w:val="en-US" w:eastAsia="zh-CN"/>
              </w:rPr>
              <w:t>from</w:t>
            </w:r>
            <w:r w:rsidRPr="00183E85">
              <w:rPr>
                <w:rFonts w:ascii="Arial" w:hAnsi="Arial" w:cs="Arial"/>
                <w:color w:val="000000"/>
                <w:sz w:val="20"/>
                <w:lang w:val="en-US" w:eastAsia="zh-CN"/>
              </w:rPr>
              <w:t xml:space="preserve"> 2002 </w:t>
            </w:r>
          </w:p>
        </w:tc>
        <w:tc>
          <w:tcPr>
            <w:tcW w:w="1200" w:type="dxa"/>
            <w:tcBorders>
              <w:top w:val="nil"/>
              <w:left w:val="nil"/>
              <w:bottom w:val="nil"/>
              <w:right w:val="single" w:sz="4" w:space="0" w:color="auto"/>
            </w:tcBorders>
            <w:shd w:val="clear" w:color="auto" w:fill="auto"/>
            <w:noWrap/>
            <w:vAlign w:val="bottom"/>
            <w:hideMark/>
          </w:tcPr>
          <w:p w:rsidR="00183E85" w:rsidRPr="00183E85" w:rsidRDefault="00183E85" w:rsidP="00183E8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183E85">
              <w:rPr>
                <w:rFonts w:ascii="Arial" w:hAnsi="Arial" w:cs="Arial"/>
                <w:color w:val="000000"/>
                <w:sz w:val="20"/>
                <w:lang w:val="en-US" w:eastAsia="zh-CN"/>
              </w:rPr>
              <w:t xml:space="preserve"> 2051 </w:t>
            </w:r>
          </w:p>
        </w:tc>
        <w:tc>
          <w:tcPr>
            <w:tcW w:w="1440" w:type="dxa"/>
            <w:tcBorders>
              <w:top w:val="nil"/>
              <w:left w:val="nil"/>
              <w:bottom w:val="nil"/>
              <w:right w:val="single" w:sz="4" w:space="0" w:color="auto"/>
            </w:tcBorders>
            <w:shd w:val="clear" w:color="auto" w:fill="auto"/>
            <w:noWrap/>
            <w:vAlign w:val="bottom"/>
            <w:hideMark/>
          </w:tcPr>
          <w:p w:rsidR="00183E85" w:rsidRPr="00183E85" w:rsidRDefault="00183E85" w:rsidP="00183E8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183E85">
              <w:rPr>
                <w:rFonts w:ascii="Arial" w:hAnsi="Arial" w:cs="Arial"/>
                <w:color w:val="000000"/>
                <w:sz w:val="20"/>
                <w:lang w:val="en-US" w:eastAsia="zh-CN"/>
              </w:rPr>
              <w:t xml:space="preserve">           30,891 </w:t>
            </w:r>
          </w:p>
        </w:tc>
        <w:tc>
          <w:tcPr>
            <w:tcW w:w="1280" w:type="dxa"/>
            <w:tcBorders>
              <w:top w:val="nil"/>
              <w:left w:val="nil"/>
              <w:bottom w:val="nil"/>
              <w:right w:val="single" w:sz="4" w:space="0" w:color="auto"/>
            </w:tcBorders>
            <w:shd w:val="clear" w:color="auto" w:fill="auto"/>
            <w:noWrap/>
            <w:vAlign w:val="bottom"/>
            <w:hideMark/>
          </w:tcPr>
          <w:p w:rsidR="00183E85" w:rsidRPr="00183E85" w:rsidRDefault="00183E85" w:rsidP="00183E8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183E85">
              <w:rPr>
                <w:rFonts w:ascii="Arial" w:hAnsi="Arial" w:cs="Arial"/>
                <w:color w:val="000000"/>
                <w:sz w:val="20"/>
                <w:lang w:val="en-US" w:eastAsia="zh-CN"/>
              </w:rPr>
              <w:t xml:space="preserve">        31,800 </w:t>
            </w:r>
          </w:p>
        </w:tc>
      </w:tr>
      <w:tr w:rsidR="00183E85" w:rsidRPr="00183E85" w:rsidTr="00183E85">
        <w:trPr>
          <w:trHeight w:val="255"/>
        </w:trPr>
        <w:tc>
          <w:tcPr>
            <w:tcW w:w="4980" w:type="dxa"/>
            <w:tcBorders>
              <w:top w:val="nil"/>
              <w:left w:val="single" w:sz="4" w:space="0" w:color="auto"/>
              <w:bottom w:val="nil"/>
              <w:right w:val="single" w:sz="4" w:space="0" w:color="auto"/>
            </w:tcBorders>
            <w:shd w:val="clear" w:color="auto" w:fill="auto"/>
            <w:noWrap/>
            <w:vAlign w:val="bottom"/>
            <w:hideMark/>
          </w:tcPr>
          <w:p w:rsidR="00183E85" w:rsidRPr="00183E85" w:rsidRDefault="00183E85" w:rsidP="002B736C">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183E85">
              <w:rPr>
                <w:rFonts w:ascii="Arial" w:hAnsi="Arial" w:cs="Arial"/>
                <w:color w:val="000000"/>
                <w:sz w:val="20"/>
                <w:lang w:val="en-US" w:eastAsia="zh-CN"/>
              </w:rPr>
              <w:t xml:space="preserve">CHF 2'000'000 - </w:t>
            </w:r>
            <w:r w:rsidR="002B736C">
              <w:rPr>
                <w:rFonts w:ascii="Arial" w:hAnsi="Arial" w:cs="Arial"/>
                <w:color w:val="000000"/>
                <w:sz w:val="20"/>
                <w:lang w:val="en-US" w:eastAsia="zh-CN"/>
              </w:rPr>
              <w:t>from</w:t>
            </w:r>
            <w:r w:rsidRPr="00183E85">
              <w:rPr>
                <w:rFonts w:ascii="Arial" w:hAnsi="Arial" w:cs="Arial"/>
                <w:color w:val="000000"/>
                <w:sz w:val="20"/>
                <w:lang w:val="en-US" w:eastAsia="zh-CN"/>
              </w:rPr>
              <w:t xml:space="preserve"> 2002 </w:t>
            </w:r>
          </w:p>
        </w:tc>
        <w:tc>
          <w:tcPr>
            <w:tcW w:w="1200" w:type="dxa"/>
            <w:tcBorders>
              <w:top w:val="nil"/>
              <w:left w:val="nil"/>
              <w:bottom w:val="nil"/>
              <w:right w:val="single" w:sz="4" w:space="0" w:color="auto"/>
            </w:tcBorders>
            <w:shd w:val="clear" w:color="auto" w:fill="auto"/>
            <w:noWrap/>
            <w:vAlign w:val="bottom"/>
            <w:hideMark/>
          </w:tcPr>
          <w:p w:rsidR="00183E85" w:rsidRPr="00183E85" w:rsidRDefault="00183E85" w:rsidP="00183E8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183E85">
              <w:rPr>
                <w:rFonts w:ascii="Arial" w:hAnsi="Arial" w:cs="Arial"/>
                <w:color w:val="000000"/>
                <w:sz w:val="20"/>
                <w:lang w:val="en-US" w:eastAsia="zh-CN"/>
              </w:rPr>
              <w:t xml:space="preserve"> 2051 </w:t>
            </w:r>
          </w:p>
        </w:tc>
        <w:tc>
          <w:tcPr>
            <w:tcW w:w="1440" w:type="dxa"/>
            <w:tcBorders>
              <w:top w:val="nil"/>
              <w:left w:val="nil"/>
              <w:bottom w:val="nil"/>
              <w:right w:val="single" w:sz="4" w:space="0" w:color="auto"/>
            </w:tcBorders>
            <w:shd w:val="clear" w:color="auto" w:fill="auto"/>
            <w:noWrap/>
            <w:vAlign w:val="bottom"/>
            <w:hideMark/>
          </w:tcPr>
          <w:p w:rsidR="00183E85" w:rsidRPr="00183E85" w:rsidRDefault="00183E85" w:rsidP="00183E8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183E85">
              <w:rPr>
                <w:rFonts w:ascii="Arial" w:hAnsi="Arial" w:cs="Arial"/>
                <w:color w:val="000000"/>
                <w:sz w:val="20"/>
                <w:lang w:val="en-US" w:eastAsia="zh-CN"/>
              </w:rPr>
              <w:t xml:space="preserve">             1,360 </w:t>
            </w:r>
          </w:p>
        </w:tc>
        <w:tc>
          <w:tcPr>
            <w:tcW w:w="1280" w:type="dxa"/>
            <w:tcBorders>
              <w:top w:val="nil"/>
              <w:left w:val="nil"/>
              <w:bottom w:val="nil"/>
              <w:right w:val="single" w:sz="4" w:space="0" w:color="auto"/>
            </w:tcBorders>
            <w:shd w:val="clear" w:color="auto" w:fill="auto"/>
            <w:noWrap/>
            <w:vAlign w:val="bottom"/>
            <w:hideMark/>
          </w:tcPr>
          <w:p w:rsidR="00183E85" w:rsidRPr="00183E85" w:rsidRDefault="00183E85" w:rsidP="00183E8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183E85">
              <w:rPr>
                <w:rFonts w:ascii="Arial" w:hAnsi="Arial" w:cs="Arial"/>
                <w:color w:val="000000"/>
                <w:sz w:val="20"/>
                <w:lang w:val="en-US" w:eastAsia="zh-CN"/>
              </w:rPr>
              <w:t xml:space="preserve">          1,400 </w:t>
            </w:r>
          </w:p>
        </w:tc>
      </w:tr>
      <w:tr w:rsidR="00183E85" w:rsidRPr="00183E85" w:rsidTr="00183E85">
        <w:trPr>
          <w:trHeight w:val="255"/>
        </w:trPr>
        <w:tc>
          <w:tcPr>
            <w:tcW w:w="4980" w:type="dxa"/>
            <w:tcBorders>
              <w:top w:val="nil"/>
              <w:left w:val="single" w:sz="4" w:space="0" w:color="auto"/>
              <w:bottom w:val="nil"/>
              <w:right w:val="single" w:sz="4" w:space="0" w:color="auto"/>
            </w:tcBorders>
            <w:shd w:val="clear" w:color="auto" w:fill="auto"/>
            <w:noWrap/>
            <w:vAlign w:val="bottom"/>
            <w:hideMark/>
          </w:tcPr>
          <w:p w:rsidR="00183E85" w:rsidRPr="00183E85" w:rsidRDefault="00183E85" w:rsidP="00183E8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183E85">
              <w:rPr>
                <w:rFonts w:ascii="Arial" w:hAnsi="Arial" w:cs="Arial"/>
                <w:color w:val="000000"/>
                <w:sz w:val="20"/>
                <w:lang w:val="en-US" w:eastAsia="zh-CN"/>
              </w:rPr>
              <w:t>New Building Project</w:t>
            </w:r>
          </w:p>
        </w:tc>
        <w:tc>
          <w:tcPr>
            <w:tcW w:w="1200" w:type="dxa"/>
            <w:tcBorders>
              <w:top w:val="nil"/>
              <w:left w:val="nil"/>
              <w:bottom w:val="nil"/>
              <w:right w:val="single" w:sz="4" w:space="0" w:color="auto"/>
            </w:tcBorders>
            <w:shd w:val="clear" w:color="auto" w:fill="auto"/>
            <w:noWrap/>
            <w:vAlign w:val="bottom"/>
            <w:hideMark/>
          </w:tcPr>
          <w:p w:rsidR="00183E85" w:rsidRPr="00183E85" w:rsidRDefault="00183E85" w:rsidP="00183E8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183E85">
              <w:rPr>
                <w:rFonts w:ascii="Arial" w:hAnsi="Arial" w:cs="Arial"/>
                <w:color w:val="000000"/>
                <w:sz w:val="20"/>
                <w:lang w:val="en-US" w:eastAsia="zh-CN"/>
              </w:rPr>
              <w:t> </w:t>
            </w:r>
          </w:p>
        </w:tc>
        <w:tc>
          <w:tcPr>
            <w:tcW w:w="1440" w:type="dxa"/>
            <w:tcBorders>
              <w:top w:val="nil"/>
              <w:left w:val="nil"/>
              <w:bottom w:val="nil"/>
              <w:right w:val="single" w:sz="4" w:space="0" w:color="auto"/>
            </w:tcBorders>
            <w:shd w:val="clear" w:color="auto" w:fill="auto"/>
            <w:noWrap/>
            <w:vAlign w:val="bottom"/>
            <w:hideMark/>
          </w:tcPr>
          <w:p w:rsidR="00183E85" w:rsidRPr="00183E85" w:rsidRDefault="00183E85" w:rsidP="00183E8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183E85">
              <w:rPr>
                <w:rFonts w:ascii="Arial" w:hAnsi="Arial" w:cs="Arial"/>
                <w:color w:val="000000"/>
                <w:sz w:val="20"/>
                <w:lang w:val="en-US" w:eastAsia="zh-CN"/>
              </w:rPr>
              <w:t xml:space="preserve">                720 </w:t>
            </w:r>
          </w:p>
        </w:tc>
        <w:tc>
          <w:tcPr>
            <w:tcW w:w="1280" w:type="dxa"/>
            <w:tcBorders>
              <w:top w:val="nil"/>
              <w:left w:val="nil"/>
              <w:bottom w:val="nil"/>
              <w:right w:val="single" w:sz="4" w:space="0" w:color="auto"/>
            </w:tcBorders>
            <w:shd w:val="clear" w:color="auto" w:fill="auto"/>
            <w:noWrap/>
            <w:vAlign w:val="bottom"/>
            <w:hideMark/>
          </w:tcPr>
          <w:p w:rsidR="00183E85" w:rsidRPr="00183E85" w:rsidRDefault="00183E85" w:rsidP="00183E8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183E85">
              <w:rPr>
                <w:rFonts w:ascii="Arial" w:hAnsi="Arial" w:cs="Arial"/>
                <w:color w:val="000000"/>
                <w:sz w:val="20"/>
                <w:lang w:val="en-US" w:eastAsia="zh-CN"/>
              </w:rPr>
              <w:t> </w:t>
            </w:r>
          </w:p>
        </w:tc>
      </w:tr>
      <w:tr w:rsidR="00183E85" w:rsidRPr="00183E85" w:rsidTr="00183E85">
        <w:trPr>
          <w:trHeight w:val="255"/>
        </w:trPr>
        <w:tc>
          <w:tcPr>
            <w:tcW w:w="4980" w:type="dxa"/>
            <w:tcBorders>
              <w:top w:val="nil"/>
              <w:left w:val="single" w:sz="4" w:space="0" w:color="auto"/>
              <w:bottom w:val="nil"/>
              <w:right w:val="single" w:sz="4" w:space="0" w:color="auto"/>
            </w:tcBorders>
            <w:shd w:val="clear" w:color="auto" w:fill="auto"/>
            <w:noWrap/>
            <w:vAlign w:val="bottom"/>
            <w:hideMark/>
          </w:tcPr>
          <w:p w:rsidR="00183E85" w:rsidRPr="00183E85" w:rsidRDefault="00183E85" w:rsidP="00183E8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183E85">
              <w:rPr>
                <w:rFonts w:ascii="Arial" w:hAnsi="Arial" w:cs="Arial"/>
                <w:color w:val="000000"/>
                <w:sz w:val="20"/>
                <w:lang w:val="en-US" w:eastAsia="zh-CN"/>
              </w:rPr>
              <w:t> </w:t>
            </w:r>
          </w:p>
        </w:tc>
        <w:tc>
          <w:tcPr>
            <w:tcW w:w="1200" w:type="dxa"/>
            <w:tcBorders>
              <w:top w:val="nil"/>
              <w:left w:val="nil"/>
              <w:bottom w:val="nil"/>
              <w:right w:val="single" w:sz="4" w:space="0" w:color="auto"/>
            </w:tcBorders>
            <w:shd w:val="clear" w:color="auto" w:fill="auto"/>
            <w:noWrap/>
            <w:vAlign w:val="bottom"/>
            <w:hideMark/>
          </w:tcPr>
          <w:p w:rsidR="00183E85" w:rsidRPr="00183E85" w:rsidRDefault="00183E85" w:rsidP="00183E8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183E85">
              <w:rPr>
                <w:rFonts w:ascii="Arial" w:hAnsi="Arial" w:cs="Arial"/>
                <w:color w:val="000000"/>
                <w:sz w:val="20"/>
                <w:lang w:val="en-US" w:eastAsia="zh-CN"/>
              </w:rPr>
              <w:t> </w:t>
            </w:r>
          </w:p>
        </w:tc>
        <w:tc>
          <w:tcPr>
            <w:tcW w:w="1440" w:type="dxa"/>
            <w:tcBorders>
              <w:top w:val="nil"/>
              <w:left w:val="nil"/>
              <w:bottom w:val="nil"/>
              <w:right w:val="single" w:sz="4" w:space="0" w:color="auto"/>
            </w:tcBorders>
            <w:shd w:val="clear" w:color="auto" w:fill="auto"/>
            <w:noWrap/>
            <w:vAlign w:val="bottom"/>
            <w:hideMark/>
          </w:tcPr>
          <w:p w:rsidR="00183E85" w:rsidRPr="00183E85" w:rsidRDefault="00183E85" w:rsidP="00183E8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183E85">
              <w:rPr>
                <w:rFonts w:ascii="Arial" w:hAnsi="Arial" w:cs="Arial"/>
                <w:color w:val="000000"/>
                <w:sz w:val="20"/>
                <w:lang w:val="en-US" w:eastAsia="zh-CN"/>
              </w:rPr>
              <w:t> </w:t>
            </w:r>
          </w:p>
        </w:tc>
        <w:tc>
          <w:tcPr>
            <w:tcW w:w="1280" w:type="dxa"/>
            <w:tcBorders>
              <w:top w:val="nil"/>
              <w:left w:val="nil"/>
              <w:bottom w:val="nil"/>
              <w:right w:val="single" w:sz="4" w:space="0" w:color="auto"/>
            </w:tcBorders>
            <w:shd w:val="clear" w:color="auto" w:fill="auto"/>
            <w:noWrap/>
            <w:vAlign w:val="bottom"/>
            <w:hideMark/>
          </w:tcPr>
          <w:p w:rsidR="00183E85" w:rsidRPr="00183E85" w:rsidRDefault="00183E85" w:rsidP="00183E8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183E85">
              <w:rPr>
                <w:rFonts w:ascii="Arial" w:hAnsi="Arial" w:cs="Arial"/>
                <w:color w:val="000000"/>
                <w:sz w:val="20"/>
                <w:lang w:val="en-US" w:eastAsia="zh-CN"/>
              </w:rPr>
              <w:t> </w:t>
            </w:r>
          </w:p>
        </w:tc>
      </w:tr>
      <w:tr w:rsidR="00183E85" w:rsidRPr="00183E85" w:rsidTr="00183E85">
        <w:trPr>
          <w:trHeight w:val="499"/>
        </w:trPr>
        <w:tc>
          <w:tcPr>
            <w:tcW w:w="4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3E85" w:rsidRPr="00183E85" w:rsidRDefault="00183E85" w:rsidP="00183E8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20"/>
                <w:lang w:val="en-US" w:eastAsia="zh-CN"/>
              </w:rPr>
            </w:pPr>
            <w:r w:rsidRPr="00183E85">
              <w:rPr>
                <w:rFonts w:ascii="Arial" w:hAnsi="Arial" w:cs="Arial"/>
                <w:b/>
                <w:bCs/>
                <w:color w:val="000000"/>
                <w:sz w:val="20"/>
                <w:lang w:val="en-US" w:eastAsia="zh-CN"/>
              </w:rPr>
              <w:t>Borrowings</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183E85" w:rsidRPr="00183E85" w:rsidRDefault="00183E85" w:rsidP="00183E8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183E85">
              <w:rPr>
                <w:rFonts w:ascii="Arial" w:hAnsi="Arial" w:cs="Arial"/>
                <w:b/>
                <w:bCs/>
                <w:color w:val="000000"/>
                <w:sz w:val="20"/>
                <w:lang w:val="en-US" w:eastAsia="zh-CN"/>
              </w:rPr>
              <w:t>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183E85" w:rsidRPr="00183E85" w:rsidRDefault="00183E85" w:rsidP="00183E8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183E85">
              <w:rPr>
                <w:rFonts w:ascii="Arial" w:hAnsi="Arial" w:cs="Arial"/>
                <w:b/>
                <w:bCs/>
                <w:color w:val="000000"/>
                <w:sz w:val="20"/>
                <w:lang w:val="en-US" w:eastAsia="zh-CN"/>
              </w:rPr>
              <w:t xml:space="preserve">           43,019 </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183E85" w:rsidRPr="00183E85" w:rsidRDefault="00183E85" w:rsidP="00183E8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183E85">
              <w:rPr>
                <w:rFonts w:ascii="Arial" w:hAnsi="Arial" w:cs="Arial"/>
                <w:b/>
                <w:bCs/>
                <w:color w:val="000000"/>
                <w:sz w:val="20"/>
                <w:lang w:val="en-US" w:eastAsia="zh-CN"/>
              </w:rPr>
              <w:t xml:space="preserve">        43,760 </w:t>
            </w:r>
          </w:p>
        </w:tc>
      </w:tr>
      <w:tr w:rsidR="00183E85" w:rsidRPr="00183E85" w:rsidTr="00183E85">
        <w:trPr>
          <w:trHeight w:val="255"/>
        </w:trPr>
        <w:tc>
          <w:tcPr>
            <w:tcW w:w="4980" w:type="dxa"/>
            <w:tcBorders>
              <w:top w:val="nil"/>
              <w:left w:val="single" w:sz="4" w:space="0" w:color="auto"/>
              <w:bottom w:val="nil"/>
              <w:right w:val="single" w:sz="4" w:space="0" w:color="auto"/>
            </w:tcBorders>
            <w:shd w:val="clear" w:color="auto" w:fill="auto"/>
            <w:noWrap/>
            <w:vAlign w:val="bottom"/>
            <w:hideMark/>
          </w:tcPr>
          <w:p w:rsidR="00183E85" w:rsidRPr="00183E85" w:rsidRDefault="00183E85" w:rsidP="00183E8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183E85">
              <w:rPr>
                <w:rFonts w:ascii="Arial" w:hAnsi="Arial" w:cs="Arial"/>
                <w:color w:val="000000"/>
                <w:sz w:val="20"/>
                <w:lang w:val="en-US" w:eastAsia="zh-CN"/>
              </w:rPr>
              <w:t> </w:t>
            </w:r>
          </w:p>
        </w:tc>
        <w:tc>
          <w:tcPr>
            <w:tcW w:w="1200" w:type="dxa"/>
            <w:tcBorders>
              <w:top w:val="nil"/>
              <w:left w:val="nil"/>
              <w:bottom w:val="nil"/>
              <w:right w:val="single" w:sz="4" w:space="0" w:color="auto"/>
            </w:tcBorders>
            <w:shd w:val="clear" w:color="auto" w:fill="auto"/>
            <w:noWrap/>
            <w:vAlign w:val="bottom"/>
            <w:hideMark/>
          </w:tcPr>
          <w:p w:rsidR="00183E85" w:rsidRPr="00183E85" w:rsidRDefault="00183E85" w:rsidP="00183E8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183E85">
              <w:rPr>
                <w:rFonts w:ascii="Arial" w:hAnsi="Arial" w:cs="Arial"/>
                <w:color w:val="000000"/>
                <w:sz w:val="20"/>
                <w:lang w:val="en-US" w:eastAsia="zh-CN"/>
              </w:rPr>
              <w:t> </w:t>
            </w:r>
          </w:p>
        </w:tc>
        <w:tc>
          <w:tcPr>
            <w:tcW w:w="1440" w:type="dxa"/>
            <w:tcBorders>
              <w:top w:val="nil"/>
              <w:left w:val="nil"/>
              <w:bottom w:val="nil"/>
              <w:right w:val="single" w:sz="4" w:space="0" w:color="auto"/>
            </w:tcBorders>
            <w:shd w:val="clear" w:color="auto" w:fill="auto"/>
            <w:noWrap/>
            <w:vAlign w:val="bottom"/>
            <w:hideMark/>
          </w:tcPr>
          <w:p w:rsidR="00183E85" w:rsidRPr="00183E85" w:rsidRDefault="00183E85" w:rsidP="00183E8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p>
        </w:tc>
        <w:tc>
          <w:tcPr>
            <w:tcW w:w="1280" w:type="dxa"/>
            <w:tcBorders>
              <w:top w:val="nil"/>
              <w:left w:val="nil"/>
              <w:bottom w:val="nil"/>
              <w:right w:val="single" w:sz="4" w:space="0" w:color="auto"/>
            </w:tcBorders>
            <w:shd w:val="clear" w:color="auto" w:fill="auto"/>
            <w:noWrap/>
            <w:vAlign w:val="bottom"/>
            <w:hideMark/>
          </w:tcPr>
          <w:p w:rsidR="00183E85" w:rsidRPr="00183E85" w:rsidRDefault="00183E85" w:rsidP="00183E8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183E85">
              <w:rPr>
                <w:rFonts w:ascii="Arial" w:hAnsi="Arial" w:cs="Arial"/>
                <w:color w:val="000000"/>
                <w:sz w:val="20"/>
                <w:lang w:val="en-US" w:eastAsia="zh-CN"/>
              </w:rPr>
              <w:t> </w:t>
            </w:r>
          </w:p>
        </w:tc>
      </w:tr>
      <w:tr w:rsidR="00183E85" w:rsidRPr="00183E85" w:rsidTr="00183E85">
        <w:trPr>
          <w:trHeight w:val="255"/>
        </w:trPr>
        <w:tc>
          <w:tcPr>
            <w:tcW w:w="4980" w:type="dxa"/>
            <w:tcBorders>
              <w:top w:val="nil"/>
              <w:left w:val="single" w:sz="4" w:space="0" w:color="auto"/>
              <w:bottom w:val="nil"/>
              <w:right w:val="single" w:sz="4" w:space="0" w:color="auto"/>
            </w:tcBorders>
            <w:shd w:val="clear" w:color="auto" w:fill="auto"/>
            <w:noWrap/>
            <w:vAlign w:val="bottom"/>
            <w:hideMark/>
          </w:tcPr>
          <w:p w:rsidR="00183E85" w:rsidRPr="00183E85" w:rsidRDefault="00183E85" w:rsidP="00183E8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183E85">
              <w:rPr>
                <w:rFonts w:ascii="Arial" w:hAnsi="Arial" w:cs="Arial"/>
                <w:color w:val="000000"/>
                <w:sz w:val="20"/>
                <w:lang w:val="en-US" w:eastAsia="zh-CN"/>
              </w:rPr>
              <w:t>of which short term</w:t>
            </w:r>
          </w:p>
        </w:tc>
        <w:tc>
          <w:tcPr>
            <w:tcW w:w="1200" w:type="dxa"/>
            <w:tcBorders>
              <w:top w:val="nil"/>
              <w:left w:val="nil"/>
              <w:bottom w:val="nil"/>
              <w:right w:val="single" w:sz="4" w:space="0" w:color="auto"/>
            </w:tcBorders>
            <w:shd w:val="clear" w:color="auto" w:fill="auto"/>
            <w:noWrap/>
            <w:vAlign w:val="bottom"/>
            <w:hideMark/>
          </w:tcPr>
          <w:p w:rsidR="00183E85" w:rsidRPr="00183E85" w:rsidRDefault="00183E85" w:rsidP="00183E8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183E85">
              <w:rPr>
                <w:rFonts w:ascii="Arial" w:hAnsi="Arial" w:cs="Arial"/>
                <w:color w:val="000000"/>
                <w:sz w:val="20"/>
                <w:lang w:val="en-US" w:eastAsia="zh-CN"/>
              </w:rPr>
              <w:t> </w:t>
            </w:r>
          </w:p>
        </w:tc>
        <w:tc>
          <w:tcPr>
            <w:tcW w:w="1440" w:type="dxa"/>
            <w:tcBorders>
              <w:top w:val="nil"/>
              <w:left w:val="nil"/>
              <w:bottom w:val="nil"/>
              <w:right w:val="single" w:sz="4" w:space="0" w:color="auto"/>
            </w:tcBorders>
            <w:shd w:val="clear" w:color="auto" w:fill="auto"/>
            <w:noWrap/>
            <w:vAlign w:val="bottom"/>
            <w:hideMark/>
          </w:tcPr>
          <w:p w:rsidR="00183E85" w:rsidRPr="00183E85" w:rsidRDefault="00183E85" w:rsidP="00183E8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183E85">
              <w:rPr>
                <w:rFonts w:ascii="Arial" w:hAnsi="Arial" w:cs="Arial"/>
                <w:color w:val="000000"/>
                <w:sz w:val="20"/>
                <w:lang w:val="en-US" w:eastAsia="zh-CN"/>
              </w:rPr>
              <w:t>1</w:t>
            </w:r>
            <w:r>
              <w:rPr>
                <w:rFonts w:ascii="Arial" w:hAnsi="Arial" w:cs="Arial"/>
                <w:color w:val="000000"/>
                <w:sz w:val="20"/>
                <w:lang w:val="en-US" w:eastAsia="zh-CN"/>
              </w:rPr>
              <w:t>,</w:t>
            </w:r>
            <w:r w:rsidRPr="00183E85">
              <w:rPr>
                <w:rFonts w:ascii="Arial" w:hAnsi="Arial" w:cs="Arial"/>
                <w:color w:val="000000"/>
                <w:sz w:val="20"/>
                <w:lang w:val="en-US" w:eastAsia="zh-CN"/>
              </w:rPr>
              <w:t>493</w:t>
            </w:r>
          </w:p>
        </w:tc>
        <w:tc>
          <w:tcPr>
            <w:tcW w:w="1280" w:type="dxa"/>
            <w:tcBorders>
              <w:top w:val="nil"/>
              <w:left w:val="nil"/>
              <w:bottom w:val="nil"/>
              <w:right w:val="single" w:sz="4" w:space="0" w:color="auto"/>
            </w:tcBorders>
            <w:shd w:val="clear" w:color="auto" w:fill="auto"/>
            <w:noWrap/>
            <w:vAlign w:val="bottom"/>
            <w:hideMark/>
          </w:tcPr>
          <w:p w:rsidR="00183E85" w:rsidRPr="00183E85" w:rsidRDefault="00183E85" w:rsidP="00183E8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183E85">
              <w:rPr>
                <w:rFonts w:ascii="Arial" w:hAnsi="Arial" w:cs="Arial"/>
                <w:color w:val="000000"/>
                <w:sz w:val="20"/>
                <w:lang w:val="en-US" w:eastAsia="zh-CN"/>
              </w:rPr>
              <w:t xml:space="preserve">          1,493 </w:t>
            </w:r>
          </w:p>
        </w:tc>
      </w:tr>
      <w:tr w:rsidR="00183E85" w:rsidRPr="00183E85" w:rsidTr="00183E85">
        <w:trPr>
          <w:trHeight w:val="255"/>
        </w:trPr>
        <w:tc>
          <w:tcPr>
            <w:tcW w:w="4980" w:type="dxa"/>
            <w:tcBorders>
              <w:top w:val="nil"/>
              <w:left w:val="single" w:sz="4" w:space="0" w:color="auto"/>
              <w:bottom w:val="nil"/>
              <w:right w:val="single" w:sz="4" w:space="0" w:color="auto"/>
            </w:tcBorders>
            <w:shd w:val="clear" w:color="auto" w:fill="auto"/>
            <w:noWrap/>
            <w:vAlign w:val="bottom"/>
            <w:hideMark/>
          </w:tcPr>
          <w:p w:rsidR="00183E85" w:rsidRPr="00183E85" w:rsidRDefault="00183E85" w:rsidP="00183E8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183E85">
              <w:rPr>
                <w:rFonts w:ascii="Arial" w:hAnsi="Arial" w:cs="Arial"/>
                <w:color w:val="000000"/>
                <w:sz w:val="20"/>
                <w:lang w:val="en-US" w:eastAsia="zh-CN"/>
              </w:rPr>
              <w:t>of which long term</w:t>
            </w:r>
          </w:p>
        </w:tc>
        <w:tc>
          <w:tcPr>
            <w:tcW w:w="1200" w:type="dxa"/>
            <w:tcBorders>
              <w:top w:val="nil"/>
              <w:left w:val="nil"/>
              <w:bottom w:val="nil"/>
              <w:right w:val="single" w:sz="4" w:space="0" w:color="auto"/>
            </w:tcBorders>
            <w:shd w:val="clear" w:color="auto" w:fill="auto"/>
            <w:noWrap/>
            <w:vAlign w:val="bottom"/>
            <w:hideMark/>
          </w:tcPr>
          <w:p w:rsidR="00183E85" w:rsidRPr="00183E85" w:rsidRDefault="00183E85" w:rsidP="00183E8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183E85">
              <w:rPr>
                <w:rFonts w:ascii="Arial" w:hAnsi="Arial" w:cs="Arial"/>
                <w:color w:val="000000"/>
                <w:sz w:val="20"/>
                <w:lang w:val="en-US" w:eastAsia="zh-CN"/>
              </w:rPr>
              <w:t> </w:t>
            </w:r>
          </w:p>
        </w:tc>
        <w:tc>
          <w:tcPr>
            <w:tcW w:w="1440" w:type="dxa"/>
            <w:tcBorders>
              <w:top w:val="nil"/>
              <w:left w:val="nil"/>
              <w:bottom w:val="nil"/>
              <w:right w:val="single" w:sz="4" w:space="0" w:color="auto"/>
            </w:tcBorders>
            <w:shd w:val="clear" w:color="auto" w:fill="auto"/>
            <w:noWrap/>
            <w:vAlign w:val="bottom"/>
            <w:hideMark/>
          </w:tcPr>
          <w:p w:rsidR="00183E85" w:rsidRPr="00183E85" w:rsidRDefault="00183E85" w:rsidP="00183E8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183E85">
              <w:rPr>
                <w:rFonts w:ascii="Arial" w:hAnsi="Arial" w:cs="Arial"/>
                <w:color w:val="000000"/>
                <w:sz w:val="20"/>
                <w:lang w:val="en-US" w:eastAsia="zh-CN"/>
              </w:rPr>
              <w:t xml:space="preserve">            1,526 </w:t>
            </w:r>
          </w:p>
        </w:tc>
        <w:tc>
          <w:tcPr>
            <w:tcW w:w="1280" w:type="dxa"/>
            <w:tcBorders>
              <w:top w:val="nil"/>
              <w:left w:val="nil"/>
              <w:bottom w:val="nil"/>
              <w:right w:val="single" w:sz="4" w:space="0" w:color="auto"/>
            </w:tcBorders>
            <w:shd w:val="clear" w:color="auto" w:fill="auto"/>
            <w:noWrap/>
            <w:vAlign w:val="bottom"/>
            <w:hideMark/>
          </w:tcPr>
          <w:p w:rsidR="00183E85" w:rsidRPr="00183E85" w:rsidRDefault="00183E85" w:rsidP="00183E8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183E85">
              <w:rPr>
                <w:rFonts w:ascii="Arial" w:hAnsi="Arial" w:cs="Arial"/>
                <w:color w:val="000000"/>
                <w:sz w:val="20"/>
                <w:lang w:val="en-US" w:eastAsia="zh-CN"/>
              </w:rPr>
              <w:t xml:space="preserve">        42,267 </w:t>
            </w:r>
          </w:p>
        </w:tc>
      </w:tr>
      <w:tr w:rsidR="00183E85" w:rsidRPr="00183E85" w:rsidTr="00183E85">
        <w:trPr>
          <w:trHeight w:val="255"/>
        </w:trPr>
        <w:tc>
          <w:tcPr>
            <w:tcW w:w="4980" w:type="dxa"/>
            <w:tcBorders>
              <w:top w:val="nil"/>
              <w:left w:val="single" w:sz="4" w:space="0" w:color="auto"/>
              <w:bottom w:val="nil"/>
              <w:right w:val="single" w:sz="4" w:space="0" w:color="auto"/>
            </w:tcBorders>
            <w:shd w:val="clear" w:color="auto" w:fill="auto"/>
            <w:noWrap/>
            <w:vAlign w:val="bottom"/>
            <w:hideMark/>
          </w:tcPr>
          <w:p w:rsidR="00183E85" w:rsidRPr="00183E85" w:rsidRDefault="00183E85" w:rsidP="00183E8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183E85">
              <w:rPr>
                <w:rFonts w:ascii="Arial" w:hAnsi="Arial" w:cs="Arial"/>
                <w:color w:val="000000"/>
                <w:sz w:val="20"/>
                <w:lang w:val="en-US" w:eastAsia="zh-CN"/>
              </w:rPr>
              <w:t> </w:t>
            </w:r>
          </w:p>
        </w:tc>
        <w:tc>
          <w:tcPr>
            <w:tcW w:w="1200" w:type="dxa"/>
            <w:tcBorders>
              <w:top w:val="nil"/>
              <w:left w:val="nil"/>
              <w:bottom w:val="nil"/>
              <w:right w:val="single" w:sz="4" w:space="0" w:color="auto"/>
            </w:tcBorders>
            <w:shd w:val="clear" w:color="auto" w:fill="auto"/>
            <w:noWrap/>
            <w:vAlign w:val="bottom"/>
            <w:hideMark/>
          </w:tcPr>
          <w:p w:rsidR="00183E85" w:rsidRPr="00183E85" w:rsidRDefault="00183E85" w:rsidP="00183E8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183E85">
              <w:rPr>
                <w:rFonts w:ascii="Arial" w:hAnsi="Arial" w:cs="Arial"/>
                <w:color w:val="000000"/>
                <w:sz w:val="20"/>
                <w:lang w:val="en-US" w:eastAsia="zh-CN"/>
              </w:rPr>
              <w:t> </w:t>
            </w:r>
          </w:p>
        </w:tc>
        <w:tc>
          <w:tcPr>
            <w:tcW w:w="1440" w:type="dxa"/>
            <w:tcBorders>
              <w:top w:val="nil"/>
              <w:left w:val="nil"/>
              <w:bottom w:val="nil"/>
              <w:right w:val="single" w:sz="4" w:space="0" w:color="auto"/>
            </w:tcBorders>
            <w:shd w:val="clear" w:color="auto" w:fill="auto"/>
            <w:noWrap/>
            <w:vAlign w:val="bottom"/>
            <w:hideMark/>
          </w:tcPr>
          <w:p w:rsidR="00183E85" w:rsidRPr="00183E85" w:rsidRDefault="00183E85" w:rsidP="00183E8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183E85">
              <w:rPr>
                <w:rFonts w:ascii="Arial" w:hAnsi="Arial" w:cs="Arial"/>
                <w:color w:val="000000"/>
                <w:sz w:val="20"/>
                <w:lang w:val="en-US" w:eastAsia="zh-CN"/>
              </w:rPr>
              <w:t> </w:t>
            </w:r>
          </w:p>
        </w:tc>
        <w:tc>
          <w:tcPr>
            <w:tcW w:w="1280" w:type="dxa"/>
            <w:tcBorders>
              <w:top w:val="nil"/>
              <w:left w:val="nil"/>
              <w:bottom w:val="nil"/>
              <w:right w:val="single" w:sz="4" w:space="0" w:color="auto"/>
            </w:tcBorders>
            <w:shd w:val="clear" w:color="auto" w:fill="auto"/>
            <w:noWrap/>
            <w:vAlign w:val="bottom"/>
            <w:hideMark/>
          </w:tcPr>
          <w:p w:rsidR="00183E85" w:rsidRPr="00183E85" w:rsidRDefault="00183E85" w:rsidP="00183E8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183E85">
              <w:rPr>
                <w:rFonts w:ascii="Arial" w:hAnsi="Arial" w:cs="Arial"/>
                <w:color w:val="000000"/>
                <w:sz w:val="20"/>
                <w:lang w:val="en-US" w:eastAsia="zh-CN"/>
              </w:rPr>
              <w:t> </w:t>
            </w:r>
          </w:p>
        </w:tc>
      </w:tr>
      <w:tr w:rsidR="00183E85" w:rsidRPr="00183E85" w:rsidTr="00183E85">
        <w:trPr>
          <w:trHeight w:val="499"/>
        </w:trPr>
        <w:tc>
          <w:tcPr>
            <w:tcW w:w="4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3E85" w:rsidRPr="00183E85" w:rsidRDefault="00183E85" w:rsidP="00183E8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20"/>
                <w:lang w:val="en-US" w:eastAsia="zh-CN"/>
              </w:rPr>
            </w:pPr>
            <w:r w:rsidRPr="00183E85">
              <w:rPr>
                <w:rFonts w:ascii="Arial" w:hAnsi="Arial" w:cs="Arial"/>
                <w:b/>
                <w:bCs/>
                <w:color w:val="000000"/>
                <w:sz w:val="20"/>
                <w:lang w:val="en-US" w:eastAsia="zh-CN"/>
              </w:rPr>
              <w:t>Borrowings</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183E85" w:rsidRPr="00183E85" w:rsidRDefault="00183E85" w:rsidP="00183E8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183E85">
              <w:rPr>
                <w:rFonts w:ascii="Arial" w:hAnsi="Arial" w:cs="Arial"/>
                <w:b/>
                <w:bCs/>
                <w:color w:val="000000"/>
                <w:sz w:val="20"/>
                <w:lang w:val="en-US" w:eastAsia="zh-CN"/>
              </w:rPr>
              <w:t>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183E85" w:rsidRPr="00183E85" w:rsidRDefault="00183E85" w:rsidP="00183E8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183E85">
              <w:rPr>
                <w:rFonts w:ascii="Arial" w:hAnsi="Arial" w:cs="Arial"/>
                <w:b/>
                <w:bCs/>
                <w:color w:val="000000"/>
                <w:sz w:val="20"/>
                <w:lang w:val="en-US" w:eastAsia="zh-CN"/>
              </w:rPr>
              <w:t xml:space="preserve">           43,019 </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183E85" w:rsidRPr="00183E85" w:rsidRDefault="00183E85" w:rsidP="00183E8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183E85">
              <w:rPr>
                <w:rFonts w:ascii="Arial" w:hAnsi="Arial" w:cs="Arial"/>
                <w:b/>
                <w:bCs/>
                <w:color w:val="000000"/>
                <w:sz w:val="20"/>
                <w:lang w:val="en-US" w:eastAsia="zh-CN"/>
              </w:rPr>
              <w:t xml:space="preserve">        43,760 </w:t>
            </w:r>
          </w:p>
        </w:tc>
      </w:tr>
      <w:tr w:rsidR="00183E85" w:rsidRPr="00183E85" w:rsidTr="00183E85">
        <w:trPr>
          <w:trHeight w:val="255"/>
        </w:trPr>
        <w:tc>
          <w:tcPr>
            <w:tcW w:w="4980" w:type="dxa"/>
            <w:tcBorders>
              <w:top w:val="nil"/>
              <w:left w:val="single" w:sz="4" w:space="0" w:color="auto"/>
              <w:bottom w:val="nil"/>
              <w:right w:val="single" w:sz="4" w:space="0" w:color="auto"/>
            </w:tcBorders>
            <w:shd w:val="clear" w:color="auto" w:fill="auto"/>
            <w:noWrap/>
            <w:vAlign w:val="bottom"/>
            <w:hideMark/>
          </w:tcPr>
          <w:p w:rsidR="00183E85" w:rsidRPr="00183E85" w:rsidRDefault="00183E85" w:rsidP="00183E8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183E85">
              <w:rPr>
                <w:rFonts w:ascii="Arial" w:hAnsi="Arial" w:cs="Arial"/>
                <w:color w:val="000000"/>
                <w:sz w:val="20"/>
                <w:lang w:val="en-US" w:eastAsia="zh-CN"/>
              </w:rPr>
              <w:t> </w:t>
            </w:r>
          </w:p>
        </w:tc>
        <w:tc>
          <w:tcPr>
            <w:tcW w:w="1200" w:type="dxa"/>
            <w:tcBorders>
              <w:top w:val="nil"/>
              <w:left w:val="nil"/>
              <w:bottom w:val="nil"/>
              <w:right w:val="single" w:sz="4" w:space="0" w:color="auto"/>
            </w:tcBorders>
            <w:shd w:val="clear" w:color="auto" w:fill="auto"/>
            <w:noWrap/>
            <w:vAlign w:val="bottom"/>
            <w:hideMark/>
          </w:tcPr>
          <w:p w:rsidR="00183E85" w:rsidRPr="00183E85" w:rsidRDefault="00183E85" w:rsidP="00183E8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183E85">
              <w:rPr>
                <w:rFonts w:ascii="Arial" w:hAnsi="Arial" w:cs="Arial"/>
                <w:color w:val="000000"/>
                <w:sz w:val="20"/>
                <w:lang w:val="en-US" w:eastAsia="zh-CN"/>
              </w:rPr>
              <w:t> </w:t>
            </w:r>
          </w:p>
        </w:tc>
        <w:tc>
          <w:tcPr>
            <w:tcW w:w="1440" w:type="dxa"/>
            <w:tcBorders>
              <w:top w:val="nil"/>
              <w:left w:val="nil"/>
              <w:bottom w:val="nil"/>
              <w:right w:val="single" w:sz="4" w:space="0" w:color="auto"/>
            </w:tcBorders>
            <w:shd w:val="clear" w:color="auto" w:fill="auto"/>
            <w:noWrap/>
            <w:vAlign w:val="bottom"/>
            <w:hideMark/>
          </w:tcPr>
          <w:p w:rsidR="00183E85" w:rsidRPr="00183E85" w:rsidRDefault="00183E85" w:rsidP="00183E8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183E85">
              <w:rPr>
                <w:rFonts w:ascii="Arial" w:hAnsi="Arial" w:cs="Arial"/>
                <w:color w:val="000000"/>
                <w:sz w:val="20"/>
                <w:lang w:val="en-US" w:eastAsia="zh-CN"/>
              </w:rPr>
              <w:t> </w:t>
            </w:r>
          </w:p>
        </w:tc>
        <w:tc>
          <w:tcPr>
            <w:tcW w:w="1280" w:type="dxa"/>
            <w:tcBorders>
              <w:top w:val="nil"/>
              <w:left w:val="nil"/>
              <w:bottom w:val="nil"/>
              <w:right w:val="single" w:sz="4" w:space="0" w:color="auto"/>
            </w:tcBorders>
            <w:shd w:val="clear" w:color="auto" w:fill="auto"/>
            <w:noWrap/>
            <w:vAlign w:val="bottom"/>
            <w:hideMark/>
          </w:tcPr>
          <w:p w:rsidR="00183E85" w:rsidRPr="00183E85" w:rsidRDefault="00183E85" w:rsidP="00183E8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183E85">
              <w:rPr>
                <w:rFonts w:ascii="Arial" w:hAnsi="Arial" w:cs="Arial"/>
                <w:color w:val="000000"/>
                <w:sz w:val="20"/>
                <w:lang w:val="en-US" w:eastAsia="zh-CN"/>
              </w:rPr>
              <w:t> </w:t>
            </w:r>
          </w:p>
        </w:tc>
      </w:tr>
      <w:tr w:rsidR="00183E85" w:rsidRPr="00183E85" w:rsidTr="00183E85">
        <w:trPr>
          <w:trHeight w:val="255"/>
        </w:trPr>
        <w:tc>
          <w:tcPr>
            <w:tcW w:w="4980" w:type="dxa"/>
            <w:tcBorders>
              <w:top w:val="nil"/>
              <w:left w:val="single" w:sz="4" w:space="0" w:color="auto"/>
              <w:bottom w:val="nil"/>
              <w:right w:val="single" w:sz="4" w:space="0" w:color="auto"/>
            </w:tcBorders>
            <w:shd w:val="clear" w:color="auto" w:fill="auto"/>
            <w:noWrap/>
            <w:vAlign w:val="bottom"/>
            <w:hideMark/>
          </w:tcPr>
          <w:p w:rsidR="00183E85" w:rsidRPr="00183E85" w:rsidRDefault="00183E85" w:rsidP="00183E8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183E85">
              <w:rPr>
                <w:rFonts w:ascii="Arial" w:hAnsi="Arial" w:cs="Arial"/>
                <w:color w:val="000000"/>
                <w:sz w:val="20"/>
                <w:lang w:val="en-US" w:eastAsia="zh-CN"/>
              </w:rPr>
              <w:t>Borrowings - of which short term</w:t>
            </w:r>
          </w:p>
        </w:tc>
        <w:tc>
          <w:tcPr>
            <w:tcW w:w="1200" w:type="dxa"/>
            <w:tcBorders>
              <w:top w:val="nil"/>
              <w:left w:val="nil"/>
              <w:bottom w:val="nil"/>
              <w:right w:val="single" w:sz="4" w:space="0" w:color="auto"/>
            </w:tcBorders>
            <w:shd w:val="clear" w:color="auto" w:fill="auto"/>
            <w:noWrap/>
            <w:vAlign w:val="bottom"/>
            <w:hideMark/>
          </w:tcPr>
          <w:p w:rsidR="00183E85" w:rsidRPr="00183E85" w:rsidRDefault="00183E85" w:rsidP="00183E8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183E85">
              <w:rPr>
                <w:rFonts w:ascii="Arial" w:hAnsi="Arial" w:cs="Arial"/>
                <w:color w:val="000000"/>
                <w:sz w:val="20"/>
                <w:lang w:val="en-US" w:eastAsia="zh-CN"/>
              </w:rPr>
              <w:t> </w:t>
            </w:r>
          </w:p>
        </w:tc>
        <w:tc>
          <w:tcPr>
            <w:tcW w:w="1440" w:type="dxa"/>
            <w:tcBorders>
              <w:top w:val="nil"/>
              <w:left w:val="nil"/>
              <w:bottom w:val="nil"/>
              <w:right w:val="single" w:sz="4" w:space="0" w:color="auto"/>
            </w:tcBorders>
            <w:shd w:val="clear" w:color="auto" w:fill="auto"/>
            <w:noWrap/>
            <w:vAlign w:val="bottom"/>
            <w:hideMark/>
          </w:tcPr>
          <w:p w:rsidR="00183E85" w:rsidRPr="00183E85" w:rsidRDefault="00183E85" w:rsidP="00183E8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Pr>
                <w:rFonts w:ascii="Arial" w:hAnsi="Arial" w:cs="Arial"/>
                <w:color w:val="000000"/>
                <w:sz w:val="20"/>
                <w:lang w:val="en-US" w:eastAsia="zh-CN"/>
              </w:rPr>
              <w:t>1,</w:t>
            </w:r>
            <w:r w:rsidRPr="00183E85">
              <w:rPr>
                <w:rFonts w:ascii="Arial" w:hAnsi="Arial" w:cs="Arial"/>
                <w:color w:val="000000"/>
                <w:sz w:val="20"/>
                <w:lang w:val="en-US" w:eastAsia="zh-CN"/>
              </w:rPr>
              <w:t>493</w:t>
            </w:r>
          </w:p>
        </w:tc>
        <w:tc>
          <w:tcPr>
            <w:tcW w:w="1280" w:type="dxa"/>
            <w:tcBorders>
              <w:top w:val="nil"/>
              <w:left w:val="nil"/>
              <w:bottom w:val="nil"/>
              <w:right w:val="single" w:sz="4" w:space="0" w:color="auto"/>
            </w:tcBorders>
            <w:shd w:val="clear" w:color="auto" w:fill="auto"/>
            <w:noWrap/>
            <w:vAlign w:val="bottom"/>
            <w:hideMark/>
          </w:tcPr>
          <w:p w:rsidR="00183E85" w:rsidRPr="00183E85" w:rsidRDefault="00183E85" w:rsidP="00183E8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183E85">
              <w:rPr>
                <w:rFonts w:ascii="Arial" w:hAnsi="Arial" w:cs="Arial"/>
                <w:color w:val="000000"/>
                <w:sz w:val="20"/>
                <w:lang w:val="en-US" w:eastAsia="zh-CN"/>
              </w:rPr>
              <w:t xml:space="preserve">       </w:t>
            </w:r>
            <w:r>
              <w:rPr>
                <w:rFonts w:ascii="Arial" w:hAnsi="Arial" w:cs="Arial"/>
                <w:color w:val="000000"/>
                <w:sz w:val="20"/>
                <w:lang w:val="en-US" w:eastAsia="zh-CN"/>
              </w:rPr>
              <w:t>1</w:t>
            </w:r>
            <w:r w:rsidRPr="00183E85">
              <w:rPr>
                <w:rFonts w:ascii="Arial" w:hAnsi="Arial" w:cs="Arial"/>
                <w:color w:val="000000"/>
                <w:sz w:val="20"/>
                <w:lang w:val="en-US" w:eastAsia="zh-CN"/>
              </w:rPr>
              <w:t xml:space="preserve">,493 </w:t>
            </w:r>
          </w:p>
        </w:tc>
      </w:tr>
      <w:tr w:rsidR="00183E85" w:rsidRPr="00183E85" w:rsidTr="00183E85">
        <w:trPr>
          <w:trHeight w:val="255"/>
        </w:trPr>
        <w:tc>
          <w:tcPr>
            <w:tcW w:w="4980" w:type="dxa"/>
            <w:tcBorders>
              <w:top w:val="nil"/>
              <w:left w:val="single" w:sz="4" w:space="0" w:color="auto"/>
              <w:bottom w:val="nil"/>
              <w:right w:val="single" w:sz="4" w:space="0" w:color="auto"/>
            </w:tcBorders>
            <w:shd w:val="clear" w:color="auto" w:fill="auto"/>
            <w:noWrap/>
            <w:vAlign w:val="bottom"/>
            <w:hideMark/>
          </w:tcPr>
          <w:p w:rsidR="00183E85" w:rsidRPr="00183E85" w:rsidRDefault="00183E85" w:rsidP="00183E8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183E85">
              <w:rPr>
                <w:rFonts w:ascii="Arial" w:hAnsi="Arial" w:cs="Arial"/>
                <w:color w:val="000000"/>
                <w:sz w:val="20"/>
                <w:lang w:val="en-US" w:eastAsia="zh-CN"/>
              </w:rPr>
              <w:t> </w:t>
            </w:r>
          </w:p>
        </w:tc>
        <w:tc>
          <w:tcPr>
            <w:tcW w:w="1200" w:type="dxa"/>
            <w:tcBorders>
              <w:top w:val="nil"/>
              <w:left w:val="nil"/>
              <w:bottom w:val="nil"/>
              <w:right w:val="single" w:sz="4" w:space="0" w:color="auto"/>
            </w:tcBorders>
            <w:shd w:val="clear" w:color="auto" w:fill="auto"/>
            <w:noWrap/>
            <w:vAlign w:val="bottom"/>
            <w:hideMark/>
          </w:tcPr>
          <w:p w:rsidR="00183E85" w:rsidRPr="00183E85" w:rsidRDefault="00183E85" w:rsidP="00183E8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183E85">
              <w:rPr>
                <w:rFonts w:ascii="Arial" w:hAnsi="Arial" w:cs="Arial"/>
                <w:color w:val="000000"/>
                <w:sz w:val="20"/>
                <w:lang w:val="en-US" w:eastAsia="zh-CN"/>
              </w:rPr>
              <w:t> </w:t>
            </w:r>
          </w:p>
        </w:tc>
        <w:tc>
          <w:tcPr>
            <w:tcW w:w="1440" w:type="dxa"/>
            <w:tcBorders>
              <w:top w:val="nil"/>
              <w:left w:val="nil"/>
              <w:bottom w:val="nil"/>
              <w:right w:val="single" w:sz="4" w:space="0" w:color="auto"/>
            </w:tcBorders>
            <w:shd w:val="clear" w:color="auto" w:fill="auto"/>
            <w:noWrap/>
            <w:vAlign w:val="bottom"/>
            <w:hideMark/>
          </w:tcPr>
          <w:p w:rsidR="00183E85" w:rsidRPr="00183E85" w:rsidRDefault="00183E85" w:rsidP="00183E8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183E85">
              <w:rPr>
                <w:rFonts w:ascii="Arial" w:hAnsi="Arial" w:cs="Arial"/>
                <w:color w:val="000000"/>
                <w:sz w:val="20"/>
                <w:lang w:val="en-US" w:eastAsia="zh-CN"/>
              </w:rPr>
              <w:t> </w:t>
            </w:r>
          </w:p>
        </w:tc>
        <w:tc>
          <w:tcPr>
            <w:tcW w:w="1280" w:type="dxa"/>
            <w:tcBorders>
              <w:top w:val="nil"/>
              <w:left w:val="nil"/>
              <w:bottom w:val="nil"/>
              <w:right w:val="single" w:sz="4" w:space="0" w:color="auto"/>
            </w:tcBorders>
            <w:shd w:val="clear" w:color="auto" w:fill="auto"/>
            <w:noWrap/>
            <w:vAlign w:val="bottom"/>
            <w:hideMark/>
          </w:tcPr>
          <w:p w:rsidR="00183E85" w:rsidRPr="00183E85" w:rsidRDefault="00183E85" w:rsidP="00183E8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183E85">
              <w:rPr>
                <w:rFonts w:ascii="Arial" w:hAnsi="Arial" w:cs="Arial"/>
                <w:color w:val="000000"/>
                <w:sz w:val="20"/>
                <w:lang w:val="en-US" w:eastAsia="zh-CN"/>
              </w:rPr>
              <w:t> </w:t>
            </w:r>
          </w:p>
        </w:tc>
      </w:tr>
      <w:tr w:rsidR="00183E85" w:rsidRPr="00183E85" w:rsidTr="00183E85">
        <w:trPr>
          <w:trHeight w:val="255"/>
        </w:trPr>
        <w:tc>
          <w:tcPr>
            <w:tcW w:w="49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3E85" w:rsidRPr="00183E85" w:rsidRDefault="00183E85" w:rsidP="00183E8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20"/>
                <w:lang w:val="en-US" w:eastAsia="zh-CN"/>
              </w:rPr>
            </w:pPr>
            <w:r w:rsidRPr="00183E85">
              <w:rPr>
                <w:rFonts w:ascii="Arial" w:hAnsi="Arial" w:cs="Arial"/>
                <w:b/>
                <w:bCs/>
                <w:color w:val="000000"/>
                <w:sz w:val="20"/>
                <w:lang w:val="en-US" w:eastAsia="zh-CN"/>
              </w:rPr>
              <w:t xml:space="preserve">Borrowings </w:t>
            </w:r>
            <w:r w:rsidR="000D09E0">
              <w:rPr>
                <w:rFonts w:ascii="Arial" w:hAnsi="Arial" w:cs="Arial"/>
                <w:b/>
                <w:bCs/>
                <w:color w:val="000000"/>
                <w:sz w:val="20"/>
                <w:lang w:val="en-US" w:eastAsia="zh-CN"/>
              </w:rPr>
              <w:t>–</w:t>
            </w:r>
            <w:r w:rsidRPr="00183E85">
              <w:rPr>
                <w:rFonts w:ascii="Arial" w:hAnsi="Arial" w:cs="Arial"/>
                <w:b/>
                <w:bCs/>
                <w:color w:val="000000"/>
                <w:sz w:val="20"/>
                <w:lang w:val="en-US" w:eastAsia="zh-CN"/>
              </w:rPr>
              <w:t xml:space="preserve"> current</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183E85" w:rsidRPr="00183E85" w:rsidRDefault="00183E85" w:rsidP="00183E8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183E85">
              <w:rPr>
                <w:rFonts w:ascii="Arial" w:hAnsi="Arial" w:cs="Arial"/>
                <w:b/>
                <w:bCs/>
                <w:color w:val="000000"/>
                <w:sz w:val="20"/>
                <w:lang w:val="en-US" w:eastAsia="zh-CN"/>
              </w:rPr>
              <w:t>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183E85" w:rsidRPr="00183E85" w:rsidRDefault="00183E85" w:rsidP="00183E8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183E85">
              <w:rPr>
                <w:rFonts w:ascii="Arial" w:hAnsi="Arial" w:cs="Arial"/>
                <w:b/>
                <w:bCs/>
                <w:color w:val="000000"/>
                <w:sz w:val="20"/>
                <w:lang w:val="en-US" w:eastAsia="zh-CN"/>
              </w:rPr>
              <w:t xml:space="preserve">             1,493 </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183E85" w:rsidRPr="00183E85" w:rsidRDefault="00183E85" w:rsidP="00183E8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183E85">
              <w:rPr>
                <w:rFonts w:ascii="Arial" w:hAnsi="Arial" w:cs="Arial"/>
                <w:b/>
                <w:bCs/>
                <w:color w:val="000000"/>
                <w:sz w:val="20"/>
                <w:lang w:val="en-US" w:eastAsia="zh-CN"/>
              </w:rPr>
              <w:t xml:space="preserve">          1,493 </w:t>
            </w:r>
          </w:p>
        </w:tc>
      </w:tr>
      <w:tr w:rsidR="00183E85" w:rsidRPr="00183E85" w:rsidTr="00183E85">
        <w:trPr>
          <w:trHeight w:val="255"/>
        </w:trPr>
        <w:tc>
          <w:tcPr>
            <w:tcW w:w="4980" w:type="dxa"/>
            <w:tcBorders>
              <w:top w:val="nil"/>
              <w:left w:val="single" w:sz="4" w:space="0" w:color="auto"/>
              <w:bottom w:val="nil"/>
              <w:right w:val="single" w:sz="4" w:space="0" w:color="auto"/>
            </w:tcBorders>
            <w:shd w:val="clear" w:color="000000" w:fill="FFFFFF"/>
            <w:noWrap/>
            <w:vAlign w:val="bottom"/>
            <w:hideMark/>
          </w:tcPr>
          <w:p w:rsidR="00183E85" w:rsidRPr="00183E85" w:rsidRDefault="00183E85" w:rsidP="00183E8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183E85">
              <w:rPr>
                <w:rFonts w:ascii="Arial" w:hAnsi="Arial" w:cs="Arial"/>
                <w:color w:val="000000"/>
                <w:sz w:val="20"/>
                <w:lang w:val="en-US" w:eastAsia="zh-CN"/>
              </w:rPr>
              <w:t> </w:t>
            </w:r>
          </w:p>
        </w:tc>
        <w:tc>
          <w:tcPr>
            <w:tcW w:w="1200" w:type="dxa"/>
            <w:tcBorders>
              <w:top w:val="nil"/>
              <w:left w:val="nil"/>
              <w:bottom w:val="nil"/>
              <w:right w:val="single" w:sz="4" w:space="0" w:color="auto"/>
            </w:tcBorders>
            <w:shd w:val="clear" w:color="auto" w:fill="auto"/>
            <w:noWrap/>
            <w:vAlign w:val="bottom"/>
            <w:hideMark/>
          </w:tcPr>
          <w:p w:rsidR="00183E85" w:rsidRPr="00183E85" w:rsidRDefault="00183E85" w:rsidP="00183E8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183E85">
              <w:rPr>
                <w:rFonts w:ascii="Arial" w:hAnsi="Arial" w:cs="Arial"/>
                <w:color w:val="000000"/>
                <w:sz w:val="20"/>
                <w:lang w:val="en-US" w:eastAsia="zh-CN"/>
              </w:rPr>
              <w:t> </w:t>
            </w:r>
          </w:p>
        </w:tc>
        <w:tc>
          <w:tcPr>
            <w:tcW w:w="1440" w:type="dxa"/>
            <w:tcBorders>
              <w:top w:val="nil"/>
              <w:left w:val="nil"/>
              <w:bottom w:val="nil"/>
              <w:right w:val="single" w:sz="4" w:space="0" w:color="auto"/>
            </w:tcBorders>
            <w:shd w:val="clear" w:color="auto" w:fill="auto"/>
            <w:noWrap/>
            <w:vAlign w:val="bottom"/>
            <w:hideMark/>
          </w:tcPr>
          <w:p w:rsidR="00183E85" w:rsidRPr="00183E85" w:rsidRDefault="00183E85" w:rsidP="00183E8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183E85">
              <w:rPr>
                <w:rFonts w:ascii="Arial" w:hAnsi="Arial" w:cs="Arial"/>
                <w:color w:val="000000"/>
                <w:sz w:val="20"/>
                <w:lang w:val="en-US" w:eastAsia="zh-CN"/>
              </w:rPr>
              <w:t> </w:t>
            </w:r>
          </w:p>
        </w:tc>
        <w:tc>
          <w:tcPr>
            <w:tcW w:w="1280" w:type="dxa"/>
            <w:tcBorders>
              <w:top w:val="nil"/>
              <w:left w:val="nil"/>
              <w:bottom w:val="nil"/>
              <w:right w:val="single" w:sz="4" w:space="0" w:color="auto"/>
            </w:tcBorders>
            <w:shd w:val="clear" w:color="auto" w:fill="auto"/>
            <w:noWrap/>
            <w:vAlign w:val="bottom"/>
            <w:hideMark/>
          </w:tcPr>
          <w:p w:rsidR="00183E85" w:rsidRPr="00183E85" w:rsidRDefault="00183E85" w:rsidP="00183E8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183E85">
              <w:rPr>
                <w:rFonts w:ascii="Arial" w:hAnsi="Arial" w:cs="Arial"/>
                <w:color w:val="000000"/>
                <w:sz w:val="20"/>
                <w:lang w:val="en-US" w:eastAsia="zh-CN"/>
              </w:rPr>
              <w:t> </w:t>
            </w:r>
          </w:p>
        </w:tc>
      </w:tr>
      <w:tr w:rsidR="00183E85" w:rsidRPr="00183E85" w:rsidTr="00183E85">
        <w:trPr>
          <w:trHeight w:val="255"/>
        </w:trPr>
        <w:tc>
          <w:tcPr>
            <w:tcW w:w="4980" w:type="dxa"/>
            <w:tcBorders>
              <w:top w:val="nil"/>
              <w:left w:val="single" w:sz="4" w:space="0" w:color="auto"/>
              <w:bottom w:val="nil"/>
              <w:right w:val="single" w:sz="4" w:space="0" w:color="auto"/>
            </w:tcBorders>
            <w:shd w:val="clear" w:color="000000" w:fill="FFFFFF"/>
            <w:noWrap/>
            <w:vAlign w:val="bottom"/>
            <w:hideMark/>
          </w:tcPr>
          <w:p w:rsidR="00183E85" w:rsidRPr="00183E85" w:rsidRDefault="00183E85" w:rsidP="00183E8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183E85">
              <w:rPr>
                <w:rFonts w:ascii="Arial" w:hAnsi="Arial" w:cs="Arial"/>
                <w:color w:val="000000"/>
                <w:sz w:val="20"/>
                <w:lang w:val="en-US" w:eastAsia="zh-CN"/>
              </w:rPr>
              <w:t>Borrowings - of which long term</w:t>
            </w:r>
          </w:p>
        </w:tc>
        <w:tc>
          <w:tcPr>
            <w:tcW w:w="1200" w:type="dxa"/>
            <w:tcBorders>
              <w:top w:val="nil"/>
              <w:left w:val="nil"/>
              <w:bottom w:val="nil"/>
              <w:right w:val="single" w:sz="4" w:space="0" w:color="auto"/>
            </w:tcBorders>
            <w:shd w:val="clear" w:color="auto" w:fill="auto"/>
            <w:noWrap/>
            <w:vAlign w:val="bottom"/>
            <w:hideMark/>
          </w:tcPr>
          <w:p w:rsidR="00183E85" w:rsidRPr="00183E85" w:rsidRDefault="00183E85" w:rsidP="00183E8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183E85">
              <w:rPr>
                <w:rFonts w:ascii="Arial" w:hAnsi="Arial" w:cs="Arial"/>
                <w:color w:val="000000"/>
                <w:sz w:val="20"/>
                <w:lang w:val="en-US" w:eastAsia="zh-CN"/>
              </w:rPr>
              <w:t> </w:t>
            </w:r>
          </w:p>
        </w:tc>
        <w:tc>
          <w:tcPr>
            <w:tcW w:w="1440" w:type="dxa"/>
            <w:tcBorders>
              <w:top w:val="nil"/>
              <w:left w:val="nil"/>
              <w:bottom w:val="nil"/>
              <w:right w:val="single" w:sz="4" w:space="0" w:color="auto"/>
            </w:tcBorders>
            <w:shd w:val="clear" w:color="auto" w:fill="auto"/>
            <w:noWrap/>
            <w:vAlign w:val="bottom"/>
            <w:hideMark/>
          </w:tcPr>
          <w:p w:rsidR="00183E85" w:rsidRPr="00183E85" w:rsidRDefault="00183E85" w:rsidP="00183E8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183E85">
              <w:rPr>
                <w:rFonts w:ascii="Arial" w:hAnsi="Arial" w:cs="Arial"/>
                <w:color w:val="000000"/>
                <w:sz w:val="20"/>
                <w:lang w:val="en-US" w:eastAsia="zh-CN"/>
              </w:rPr>
              <w:t xml:space="preserve">           41,526 </w:t>
            </w:r>
          </w:p>
        </w:tc>
        <w:tc>
          <w:tcPr>
            <w:tcW w:w="1280" w:type="dxa"/>
            <w:tcBorders>
              <w:top w:val="nil"/>
              <w:left w:val="nil"/>
              <w:bottom w:val="nil"/>
              <w:right w:val="single" w:sz="4" w:space="0" w:color="auto"/>
            </w:tcBorders>
            <w:shd w:val="clear" w:color="auto" w:fill="auto"/>
            <w:noWrap/>
            <w:vAlign w:val="bottom"/>
            <w:hideMark/>
          </w:tcPr>
          <w:p w:rsidR="00183E85" w:rsidRPr="00183E85" w:rsidRDefault="00183E85" w:rsidP="00183E8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183E85">
              <w:rPr>
                <w:rFonts w:ascii="Arial" w:hAnsi="Arial" w:cs="Arial"/>
                <w:color w:val="000000"/>
                <w:sz w:val="20"/>
                <w:lang w:val="en-US" w:eastAsia="zh-CN"/>
              </w:rPr>
              <w:t xml:space="preserve">       </w:t>
            </w:r>
            <w:r>
              <w:rPr>
                <w:rFonts w:ascii="Arial" w:hAnsi="Arial" w:cs="Arial"/>
                <w:color w:val="000000"/>
                <w:sz w:val="20"/>
                <w:lang w:val="en-US" w:eastAsia="zh-CN"/>
              </w:rPr>
              <w:t>4</w:t>
            </w:r>
            <w:r w:rsidRPr="00183E85">
              <w:rPr>
                <w:rFonts w:ascii="Arial" w:hAnsi="Arial" w:cs="Arial"/>
                <w:color w:val="000000"/>
                <w:sz w:val="20"/>
                <w:lang w:val="en-US" w:eastAsia="zh-CN"/>
              </w:rPr>
              <w:t xml:space="preserve">2,267 </w:t>
            </w:r>
          </w:p>
        </w:tc>
      </w:tr>
      <w:tr w:rsidR="00183E85" w:rsidRPr="00183E85" w:rsidTr="00183E85">
        <w:trPr>
          <w:trHeight w:val="255"/>
        </w:trPr>
        <w:tc>
          <w:tcPr>
            <w:tcW w:w="4980" w:type="dxa"/>
            <w:tcBorders>
              <w:top w:val="nil"/>
              <w:left w:val="single" w:sz="4" w:space="0" w:color="auto"/>
              <w:bottom w:val="nil"/>
              <w:right w:val="single" w:sz="4" w:space="0" w:color="auto"/>
            </w:tcBorders>
            <w:shd w:val="clear" w:color="000000" w:fill="FFFFFF"/>
            <w:noWrap/>
            <w:vAlign w:val="bottom"/>
            <w:hideMark/>
          </w:tcPr>
          <w:p w:rsidR="00183E85" w:rsidRPr="00183E85" w:rsidRDefault="00183E85" w:rsidP="00183E8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183E85">
              <w:rPr>
                <w:rFonts w:ascii="Arial" w:hAnsi="Arial" w:cs="Arial"/>
                <w:color w:val="000000"/>
                <w:sz w:val="20"/>
                <w:lang w:val="en-US" w:eastAsia="zh-CN"/>
              </w:rPr>
              <w:t> </w:t>
            </w:r>
          </w:p>
        </w:tc>
        <w:tc>
          <w:tcPr>
            <w:tcW w:w="1200" w:type="dxa"/>
            <w:tcBorders>
              <w:top w:val="nil"/>
              <w:left w:val="nil"/>
              <w:bottom w:val="nil"/>
              <w:right w:val="single" w:sz="4" w:space="0" w:color="auto"/>
            </w:tcBorders>
            <w:shd w:val="clear" w:color="auto" w:fill="auto"/>
            <w:noWrap/>
            <w:vAlign w:val="bottom"/>
            <w:hideMark/>
          </w:tcPr>
          <w:p w:rsidR="00183E85" w:rsidRPr="00183E85" w:rsidRDefault="00183E85" w:rsidP="00183E8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183E85">
              <w:rPr>
                <w:rFonts w:ascii="Arial" w:hAnsi="Arial" w:cs="Arial"/>
                <w:color w:val="000000"/>
                <w:sz w:val="20"/>
                <w:lang w:val="en-US" w:eastAsia="zh-CN"/>
              </w:rPr>
              <w:t> </w:t>
            </w:r>
          </w:p>
        </w:tc>
        <w:tc>
          <w:tcPr>
            <w:tcW w:w="1440" w:type="dxa"/>
            <w:tcBorders>
              <w:top w:val="nil"/>
              <w:left w:val="nil"/>
              <w:bottom w:val="nil"/>
              <w:right w:val="single" w:sz="4" w:space="0" w:color="auto"/>
            </w:tcBorders>
            <w:shd w:val="clear" w:color="auto" w:fill="auto"/>
            <w:noWrap/>
            <w:vAlign w:val="bottom"/>
            <w:hideMark/>
          </w:tcPr>
          <w:p w:rsidR="00183E85" w:rsidRPr="00183E85" w:rsidRDefault="00183E85" w:rsidP="00183E8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183E85">
              <w:rPr>
                <w:rFonts w:ascii="Arial" w:hAnsi="Arial" w:cs="Arial"/>
                <w:color w:val="000000"/>
                <w:sz w:val="20"/>
                <w:lang w:val="en-US" w:eastAsia="zh-CN"/>
              </w:rPr>
              <w:t> </w:t>
            </w:r>
          </w:p>
        </w:tc>
        <w:tc>
          <w:tcPr>
            <w:tcW w:w="1280" w:type="dxa"/>
            <w:tcBorders>
              <w:top w:val="nil"/>
              <w:left w:val="nil"/>
              <w:bottom w:val="nil"/>
              <w:right w:val="single" w:sz="4" w:space="0" w:color="auto"/>
            </w:tcBorders>
            <w:shd w:val="clear" w:color="auto" w:fill="auto"/>
            <w:noWrap/>
            <w:vAlign w:val="bottom"/>
            <w:hideMark/>
          </w:tcPr>
          <w:p w:rsidR="00183E85" w:rsidRPr="00183E85" w:rsidRDefault="00183E85" w:rsidP="00183E8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183E85">
              <w:rPr>
                <w:rFonts w:ascii="Arial" w:hAnsi="Arial" w:cs="Arial"/>
                <w:color w:val="000000"/>
                <w:sz w:val="20"/>
                <w:lang w:val="en-US" w:eastAsia="zh-CN"/>
              </w:rPr>
              <w:t> </w:t>
            </w:r>
          </w:p>
        </w:tc>
      </w:tr>
      <w:tr w:rsidR="00183E85" w:rsidRPr="00183E85" w:rsidTr="00183E85">
        <w:trPr>
          <w:trHeight w:val="255"/>
        </w:trPr>
        <w:tc>
          <w:tcPr>
            <w:tcW w:w="49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3E85" w:rsidRPr="00183E85" w:rsidRDefault="00183E85" w:rsidP="00183E8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20"/>
                <w:lang w:val="en-US" w:eastAsia="zh-CN"/>
              </w:rPr>
            </w:pPr>
            <w:r w:rsidRPr="00183E85">
              <w:rPr>
                <w:rFonts w:ascii="Arial" w:hAnsi="Arial" w:cs="Arial"/>
                <w:b/>
                <w:bCs/>
                <w:color w:val="000000"/>
                <w:sz w:val="20"/>
                <w:lang w:val="en-US" w:eastAsia="zh-CN"/>
              </w:rPr>
              <w:t>Borrowings - non current</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183E85" w:rsidRPr="00183E85" w:rsidRDefault="00183E85" w:rsidP="00183E8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183E85">
              <w:rPr>
                <w:rFonts w:ascii="Arial" w:hAnsi="Arial" w:cs="Arial"/>
                <w:b/>
                <w:bCs/>
                <w:color w:val="000000"/>
                <w:sz w:val="20"/>
                <w:lang w:val="en-US" w:eastAsia="zh-CN"/>
              </w:rPr>
              <w:t>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183E85" w:rsidRPr="00183E85" w:rsidRDefault="00183E85" w:rsidP="00183E8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183E85">
              <w:rPr>
                <w:rFonts w:ascii="Arial" w:hAnsi="Arial" w:cs="Arial"/>
                <w:b/>
                <w:bCs/>
                <w:color w:val="000000"/>
                <w:sz w:val="20"/>
                <w:lang w:val="en-US" w:eastAsia="zh-CN"/>
              </w:rPr>
              <w:t xml:space="preserve">           41,526 </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183E85" w:rsidRPr="00183E85" w:rsidRDefault="00183E85" w:rsidP="00183E8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183E85">
              <w:rPr>
                <w:rFonts w:ascii="Arial" w:hAnsi="Arial" w:cs="Arial"/>
                <w:b/>
                <w:bCs/>
                <w:color w:val="000000"/>
                <w:sz w:val="20"/>
                <w:lang w:val="en-US" w:eastAsia="zh-CN"/>
              </w:rPr>
              <w:t xml:space="preserve">        42,267 </w:t>
            </w:r>
          </w:p>
        </w:tc>
      </w:tr>
    </w:tbl>
    <w:p w:rsidR="00183E85" w:rsidRDefault="00183E85" w:rsidP="00D82A95">
      <w:pPr>
        <w:spacing w:before="240"/>
        <w:jc w:val="both"/>
        <w:rPr>
          <w:lang w:val="en-US" w:eastAsia="fr-FR"/>
        </w:rPr>
      </w:pPr>
      <w:r>
        <w:rPr>
          <w:lang w:val="en-US" w:eastAsia="fr-FR"/>
        </w:rPr>
        <w:t>The reimbursement of the loan granted for the new ITU premise will start onl</w:t>
      </w:r>
      <w:r w:rsidR="005E55AF">
        <w:rPr>
          <w:lang w:val="en-US" w:eastAsia="fr-FR"/>
        </w:rPr>
        <w:t>y</w:t>
      </w:r>
      <w:r>
        <w:rPr>
          <w:lang w:val="en-US" w:eastAsia="fr-FR"/>
        </w:rPr>
        <w:t xml:space="preserve"> after the</w:t>
      </w:r>
      <w:r w:rsidR="005E55AF">
        <w:rPr>
          <w:lang w:val="en-US" w:eastAsia="fr-FR"/>
        </w:rPr>
        <w:t xml:space="preserve"> successful delivery of the new building at the earliest end of 20</w:t>
      </w:r>
      <w:r w:rsidR="00E144C3">
        <w:rPr>
          <w:lang w:val="en-US" w:eastAsia="fr-FR"/>
        </w:rPr>
        <w:t>23</w:t>
      </w:r>
      <w:r w:rsidR="005E55AF">
        <w:rPr>
          <w:lang w:val="en-US" w:eastAsia="fr-FR"/>
        </w:rPr>
        <w:t>.</w:t>
      </w:r>
    </w:p>
    <w:p w:rsidR="0022373A" w:rsidRDefault="0022373A" w:rsidP="00D82A95">
      <w:pPr>
        <w:snapToGrid w:val="0"/>
        <w:jc w:val="both"/>
        <w:rPr>
          <w:lang w:val="en-US" w:eastAsia="fr-FR"/>
        </w:rPr>
      </w:pPr>
      <w:r w:rsidRPr="002639B7">
        <w:rPr>
          <w:lang w:val="en-US" w:eastAsia="fr-FR"/>
        </w:rPr>
        <w:t>The present v</w:t>
      </w:r>
      <w:r w:rsidR="000552CF" w:rsidRPr="002639B7">
        <w:rPr>
          <w:lang w:val="en-US" w:eastAsia="fr-FR"/>
        </w:rPr>
        <w:t>alue of borrowings at 31.12.</w:t>
      </w:r>
      <w:r w:rsidR="00111BDD" w:rsidRPr="002639B7">
        <w:rPr>
          <w:lang w:val="en-US" w:eastAsia="fr-FR"/>
        </w:rPr>
        <w:t>201</w:t>
      </w:r>
      <w:r w:rsidR="000A6EEF">
        <w:rPr>
          <w:lang w:val="en-US" w:eastAsia="fr-FR"/>
        </w:rPr>
        <w:t>7</w:t>
      </w:r>
      <w:r w:rsidR="000552CF" w:rsidRPr="002639B7">
        <w:rPr>
          <w:lang w:val="en-US" w:eastAsia="fr-FR"/>
        </w:rPr>
        <w:t xml:space="preserve"> is CHF </w:t>
      </w:r>
      <w:r w:rsidR="00BE0319" w:rsidRPr="002639B7">
        <w:rPr>
          <w:lang w:val="en-US" w:eastAsia="fr-FR"/>
        </w:rPr>
        <w:t>2</w:t>
      </w:r>
      <w:r w:rsidR="000A6EEF">
        <w:rPr>
          <w:lang w:val="en-US" w:eastAsia="fr-FR"/>
        </w:rPr>
        <w:t>6</w:t>
      </w:r>
      <w:r w:rsidR="002639B7" w:rsidRPr="002639B7">
        <w:rPr>
          <w:lang w:val="en-US" w:eastAsia="fr-FR"/>
        </w:rPr>
        <w:t>.</w:t>
      </w:r>
      <w:r w:rsidR="000A6EEF">
        <w:rPr>
          <w:lang w:val="en-US" w:eastAsia="fr-FR"/>
        </w:rPr>
        <w:t>5</w:t>
      </w:r>
      <w:r w:rsidR="00A825E2" w:rsidRPr="002639B7">
        <w:rPr>
          <w:lang w:val="en-US" w:eastAsia="fr-FR"/>
        </w:rPr>
        <w:t xml:space="preserve"> million</w:t>
      </w:r>
      <w:r w:rsidRPr="002639B7">
        <w:rPr>
          <w:lang w:val="en-US" w:eastAsia="fr-FR"/>
        </w:rPr>
        <w:t>, as agai</w:t>
      </w:r>
      <w:r w:rsidR="00D956AC" w:rsidRPr="002639B7">
        <w:rPr>
          <w:lang w:val="en-US" w:eastAsia="fr-FR"/>
        </w:rPr>
        <w:t>nst CHF 2</w:t>
      </w:r>
      <w:r w:rsidR="00FA010E">
        <w:rPr>
          <w:lang w:val="en-US" w:eastAsia="fr-FR"/>
        </w:rPr>
        <w:t>7.</w:t>
      </w:r>
      <w:r w:rsidR="000A6EEF">
        <w:rPr>
          <w:lang w:val="en-US" w:eastAsia="fr-FR"/>
        </w:rPr>
        <w:t>1</w:t>
      </w:r>
      <w:r w:rsidR="00A825E2" w:rsidRPr="002639B7">
        <w:rPr>
          <w:lang w:val="en-US" w:eastAsia="fr-FR"/>
        </w:rPr>
        <w:t xml:space="preserve"> million</w:t>
      </w:r>
      <w:r w:rsidR="000552CF" w:rsidRPr="002639B7">
        <w:rPr>
          <w:lang w:val="en-US" w:eastAsia="fr-FR"/>
        </w:rPr>
        <w:t xml:space="preserve"> at 31.12.201</w:t>
      </w:r>
      <w:r w:rsidR="000A6EEF">
        <w:rPr>
          <w:lang w:val="en-US" w:eastAsia="fr-FR"/>
        </w:rPr>
        <w:t>6</w:t>
      </w:r>
      <w:r w:rsidRPr="002639B7">
        <w:rPr>
          <w:lang w:val="en-US" w:eastAsia="fr-FR"/>
        </w:rPr>
        <w:t>. The difference in relation to the gross amount represents the present value of total unpaid interest up to the end of the borrowing term.</w:t>
      </w:r>
    </w:p>
    <w:p w:rsidR="0022373A" w:rsidRDefault="0022373A" w:rsidP="00A81A5E">
      <w:pPr>
        <w:pStyle w:val="Heading5"/>
        <w:tabs>
          <w:tab w:val="clear" w:pos="1134"/>
        </w:tabs>
        <w:spacing w:before="120" w:after="120"/>
        <w:jc w:val="both"/>
        <w:rPr>
          <w:lang w:val="en-US"/>
        </w:rPr>
      </w:pPr>
      <w:bookmarkStart w:id="89" w:name="_Toc305764090"/>
      <w:bookmarkStart w:id="90" w:name="_Toc329011641"/>
      <w:r w:rsidRPr="001C2A98">
        <w:rPr>
          <w:lang w:val="en-US"/>
        </w:rPr>
        <w:t>Note 1</w:t>
      </w:r>
      <w:r w:rsidR="00A81A5E">
        <w:rPr>
          <w:lang w:val="en-US"/>
        </w:rPr>
        <w:t>7</w:t>
      </w:r>
      <w:r w:rsidRPr="001C2A98">
        <w:rPr>
          <w:lang w:val="en-US"/>
        </w:rPr>
        <w:tab/>
        <w:t>Employee benefits</w:t>
      </w:r>
      <w:bookmarkEnd w:id="89"/>
      <w:bookmarkEnd w:id="90"/>
    </w:p>
    <w:p w:rsidR="005900CB" w:rsidRDefault="0022373A" w:rsidP="005900CB">
      <w:pPr>
        <w:spacing w:after="120"/>
        <w:jc w:val="both"/>
        <w:rPr>
          <w:rFonts w:eastAsia="SimSun"/>
          <w:szCs w:val="24"/>
          <w:lang w:val="en-US" w:eastAsia="fr-FR"/>
        </w:rPr>
      </w:pPr>
      <w:r w:rsidRPr="00D128FC">
        <w:rPr>
          <w:rFonts w:eastAsia="SimSun"/>
          <w:szCs w:val="24"/>
          <w:lang w:val="en-US" w:eastAsia="fr-FR"/>
        </w:rPr>
        <w:t>Employee benefits refer to all forms of consideration given by ITU in return for services rendered by its employees. They are recognized as and when they</w:t>
      </w:r>
      <w:r w:rsidR="007D4BBA">
        <w:rPr>
          <w:rFonts w:eastAsia="SimSun"/>
          <w:szCs w:val="24"/>
          <w:lang w:val="en-US" w:eastAsia="fr-FR"/>
        </w:rPr>
        <w:t xml:space="preserve"> are earn</w:t>
      </w:r>
      <w:r w:rsidRPr="00D128FC">
        <w:rPr>
          <w:rFonts w:eastAsia="SimSun"/>
          <w:szCs w:val="24"/>
          <w:lang w:val="en-US" w:eastAsia="fr-FR"/>
        </w:rPr>
        <w:t>ed by employees.</w:t>
      </w:r>
      <w:bookmarkStart w:id="91" w:name="_Toc305764091"/>
      <w:bookmarkStart w:id="92" w:name="_Toc329011642"/>
    </w:p>
    <w:p w:rsidR="0022373A" w:rsidRDefault="0022373A" w:rsidP="00284AFF">
      <w:pPr>
        <w:tabs>
          <w:tab w:val="clear" w:pos="1134"/>
          <w:tab w:val="left" w:pos="851"/>
        </w:tabs>
        <w:spacing w:after="120"/>
        <w:jc w:val="both"/>
        <w:rPr>
          <w:b/>
          <w:lang w:val="en-US"/>
        </w:rPr>
      </w:pPr>
      <w:r w:rsidRPr="005900CB">
        <w:rPr>
          <w:b/>
          <w:lang w:val="en-US"/>
        </w:rPr>
        <w:t>1</w:t>
      </w:r>
      <w:r w:rsidR="00284AFF">
        <w:rPr>
          <w:b/>
          <w:lang w:val="en-US"/>
        </w:rPr>
        <w:t>7</w:t>
      </w:r>
      <w:r w:rsidRPr="005900CB">
        <w:rPr>
          <w:b/>
          <w:lang w:val="en-US"/>
        </w:rPr>
        <w:t>.1</w:t>
      </w:r>
      <w:r w:rsidRPr="005900CB">
        <w:rPr>
          <w:b/>
          <w:lang w:val="en-US"/>
        </w:rPr>
        <w:tab/>
      </w:r>
      <w:r w:rsidR="003E0EC2">
        <w:rPr>
          <w:b/>
          <w:lang w:val="en-US"/>
        </w:rPr>
        <w:tab/>
      </w:r>
      <w:r w:rsidRPr="005900CB">
        <w:rPr>
          <w:b/>
          <w:lang w:val="en-US"/>
        </w:rPr>
        <w:t>Short-term employee benefits</w:t>
      </w:r>
      <w:bookmarkEnd w:id="91"/>
      <w:bookmarkEnd w:id="92"/>
    </w:p>
    <w:p w:rsidR="00DA2ABD" w:rsidRDefault="00794B42" w:rsidP="006D735A">
      <w:pPr>
        <w:keepNext/>
        <w:spacing w:before="0" w:after="60"/>
        <w:jc w:val="both"/>
        <w:rPr>
          <w:b/>
          <w:bCs/>
          <w:lang w:val="en-US"/>
        </w:rPr>
      </w:pPr>
      <w:r>
        <w:rPr>
          <w:b/>
          <w:bCs/>
          <w:lang w:val="en-US"/>
        </w:rPr>
        <w:t>Figures at 31.12.</w:t>
      </w:r>
      <w:r w:rsidR="00111BDD">
        <w:rPr>
          <w:b/>
          <w:bCs/>
          <w:lang w:val="en-US"/>
        </w:rPr>
        <w:t>201</w:t>
      </w:r>
      <w:r w:rsidR="00A81A5E">
        <w:rPr>
          <w:b/>
          <w:bCs/>
          <w:lang w:val="en-US"/>
        </w:rPr>
        <w:t>7</w:t>
      </w:r>
    </w:p>
    <w:tbl>
      <w:tblPr>
        <w:tblW w:w="4858" w:type="pct"/>
        <w:tblLook w:val="04A0" w:firstRow="1" w:lastRow="0" w:firstColumn="1" w:lastColumn="0" w:noHBand="0" w:noVBand="1"/>
      </w:tblPr>
      <w:tblGrid>
        <w:gridCol w:w="2529"/>
        <w:gridCol w:w="2286"/>
        <w:gridCol w:w="2127"/>
        <w:gridCol w:w="2552"/>
      </w:tblGrid>
      <w:tr w:rsidR="00A81A5E" w:rsidRPr="00D82A95" w:rsidTr="00D82A95">
        <w:trPr>
          <w:trHeight w:val="584"/>
        </w:trPr>
        <w:tc>
          <w:tcPr>
            <w:tcW w:w="1332" w:type="pct"/>
            <w:tcBorders>
              <w:top w:val="single" w:sz="4" w:space="0" w:color="auto"/>
              <w:left w:val="single" w:sz="4" w:space="0" w:color="auto"/>
              <w:bottom w:val="single" w:sz="4" w:space="0" w:color="auto"/>
              <w:right w:val="nil"/>
            </w:tcBorders>
            <w:shd w:val="clear" w:color="auto" w:fill="auto"/>
            <w:noWrap/>
            <w:vAlign w:val="bottom"/>
            <w:hideMark/>
          </w:tcPr>
          <w:p w:rsidR="00A81A5E" w:rsidRPr="00D82A95" w:rsidRDefault="00A81A5E" w:rsidP="00D82A95">
            <w:pPr>
              <w:tabs>
                <w:tab w:val="clear" w:pos="567"/>
                <w:tab w:val="clear" w:pos="1134"/>
                <w:tab w:val="clear" w:pos="1701"/>
                <w:tab w:val="clear" w:pos="2268"/>
                <w:tab w:val="clear" w:pos="2835"/>
              </w:tabs>
              <w:overflowPunct/>
              <w:autoSpaceDE/>
              <w:autoSpaceDN/>
              <w:snapToGrid w:val="0"/>
              <w:spacing w:before="0"/>
              <w:textAlignment w:val="auto"/>
              <w:rPr>
                <w:rFonts w:cs="Arial"/>
                <w:color w:val="000000"/>
                <w:sz w:val="18"/>
                <w:szCs w:val="18"/>
                <w:lang w:val="en-US" w:eastAsia="zh-CN"/>
              </w:rPr>
            </w:pPr>
            <w:r w:rsidRPr="00D82A95">
              <w:rPr>
                <w:rFonts w:cs="Arial"/>
                <w:color w:val="000000"/>
                <w:sz w:val="18"/>
                <w:szCs w:val="18"/>
                <w:lang w:val="en-US" w:eastAsia="zh-CN"/>
              </w:rPr>
              <w:t> </w:t>
            </w:r>
          </w:p>
        </w:tc>
        <w:tc>
          <w:tcPr>
            <w:tcW w:w="3668"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A81A5E" w:rsidRPr="00D82A95" w:rsidRDefault="00A81A5E" w:rsidP="00D82A95">
            <w:pPr>
              <w:tabs>
                <w:tab w:val="clear" w:pos="567"/>
                <w:tab w:val="clear" w:pos="1134"/>
                <w:tab w:val="clear" w:pos="1701"/>
                <w:tab w:val="clear" w:pos="2268"/>
                <w:tab w:val="clear" w:pos="2835"/>
              </w:tabs>
              <w:overflowPunct/>
              <w:autoSpaceDE/>
              <w:autoSpaceDN/>
              <w:snapToGrid w:val="0"/>
              <w:spacing w:before="0"/>
              <w:jc w:val="center"/>
              <w:textAlignment w:val="auto"/>
              <w:rPr>
                <w:rFonts w:cs="Arial"/>
                <w:b/>
                <w:bCs/>
                <w:color w:val="000000"/>
                <w:sz w:val="18"/>
                <w:szCs w:val="18"/>
                <w:lang w:val="en-US" w:eastAsia="zh-CN"/>
              </w:rPr>
            </w:pPr>
            <w:r w:rsidRPr="00D82A95">
              <w:rPr>
                <w:rFonts w:cs="Arial"/>
                <w:b/>
                <w:bCs/>
                <w:color w:val="000000"/>
                <w:sz w:val="18"/>
                <w:szCs w:val="18"/>
                <w:lang w:val="en-US" w:eastAsia="zh-CN"/>
              </w:rPr>
              <w:t>Employee benefits – short term</w:t>
            </w:r>
          </w:p>
        </w:tc>
      </w:tr>
      <w:tr w:rsidR="00A81A5E" w:rsidRPr="00D82A95" w:rsidTr="00D82A95">
        <w:trPr>
          <w:trHeight w:val="564"/>
        </w:trPr>
        <w:tc>
          <w:tcPr>
            <w:tcW w:w="1332" w:type="pct"/>
            <w:tcBorders>
              <w:top w:val="nil"/>
              <w:left w:val="single" w:sz="4" w:space="0" w:color="auto"/>
              <w:bottom w:val="single" w:sz="4" w:space="0" w:color="auto"/>
              <w:right w:val="single" w:sz="4" w:space="0" w:color="auto"/>
            </w:tcBorders>
            <w:shd w:val="clear" w:color="auto" w:fill="auto"/>
            <w:noWrap/>
            <w:vAlign w:val="center"/>
            <w:hideMark/>
          </w:tcPr>
          <w:p w:rsidR="00A81A5E" w:rsidRPr="00D82A95" w:rsidRDefault="00A81A5E" w:rsidP="00D82A95">
            <w:pPr>
              <w:tabs>
                <w:tab w:val="clear" w:pos="567"/>
                <w:tab w:val="clear" w:pos="1134"/>
                <w:tab w:val="clear" w:pos="1701"/>
                <w:tab w:val="clear" w:pos="2268"/>
                <w:tab w:val="clear" w:pos="2835"/>
              </w:tabs>
              <w:overflowPunct/>
              <w:autoSpaceDE/>
              <w:autoSpaceDN/>
              <w:snapToGrid w:val="0"/>
              <w:spacing w:before="0"/>
              <w:textAlignment w:val="auto"/>
              <w:rPr>
                <w:rFonts w:cs="Arial"/>
                <w:b/>
                <w:bCs/>
                <w:color w:val="000000"/>
                <w:sz w:val="18"/>
                <w:szCs w:val="18"/>
                <w:lang w:val="en-US" w:eastAsia="zh-CN"/>
              </w:rPr>
            </w:pPr>
            <w:r w:rsidRPr="00D82A95">
              <w:rPr>
                <w:rFonts w:cs="Arial"/>
                <w:b/>
                <w:bCs/>
                <w:color w:val="000000"/>
                <w:sz w:val="18"/>
                <w:szCs w:val="18"/>
                <w:lang w:val="en-US" w:eastAsia="zh-CN"/>
              </w:rPr>
              <w:t>In thousands of CHF</w:t>
            </w:r>
          </w:p>
        </w:tc>
        <w:tc>
          <w:tcPr>
            <w:tcW w:w="1204" w:type="pct"/>
            <w:tcBorders>
              <w:top w:val="nil"/>
              <w:left w:val="nil"/>
              <w:bottom w:val="single" w:sz="4" w:space="0" w:color="auto"/>
              <w:right w:val="single" w:sz="4" w:space="0" w:color="auto"/>
            </w:tcBorders>
            <w:shd w:val="clear" w:color="auto" w:fill="auto"/>
            <w:vAlign w:val="center"/>
            <w:hideMark/>
          </w:tcPr>
          <w:p w:rsidR="00A81A5E" w:rsidRPr="00D82A95" w:rsidRDefault="00A81A5E" w:rsidP="00D82A95">
            <w:pPr>
              <w:tabs>
                <w:tab w:val="clear" w:pos="567"/>
                <w:tab w:val="clear" w:pos="1134"/>
                <w:tab w:val="clear" w:pos="1701"/>
                <w:tab w:val="clear" w:pos="2268"/>
                <w:tab w:val="clear" w:pos="2835"/>
              </w:tabs>
              <w:overflowPunct/>
              <w:autoSpaceDE/>
              <w:autoSpaceDN/>
              <w:snapToGrid w:val="0"/>
              <w:spacing w:before="0"/>
              <w:jc w:val="center"/>
              <w:textAlignment w:val="auto"/>
              <w:rPr>
                <w:rFonts w:cs="Arial"/>
                <w:b/>
                <w:bCs/>
                <w:color w:val="000000"/>
                <w:sz w:val="18"/>
                <w:szCs w:val="18"/>
                <w:lang w:val="en-US" w:eastAsia="zh-CN"/>
              </w:rPr>
            </w:pPr>
            <w:r w:rsidRPr="00D82A95">
              <w:rPr>
                <w:rFonts w:cs="Arial"/>
                <w:b/>
                <w:bCs/>
                <w:color w:val="000000"/>
                <w:sz w:val="18"/>
                <w:szCs w:val="18"/>
                <w:lang w:val="en-US" w:eastAsia="zh-CN"/>
              </w:rPr>
              <w:t xml:space="preserve">Overtime </w:t>
            </w:r>
          </w:p>
        </w:tc>
        <w:tc>
          <w:tcPr>
            <w:tcW w:w="1120" w:type="pct"/>
            <w:tcBorders>
              <w:top w:val="nil"/>
              <w:left w:val="nil"/>
              <w:bottom w:val="single" w:sz="4" w:space="0" w:color="auto"/>
              <w:right w:val="single" w:sz="4" w:space="0" w:color="auto"/>
            </w:tcBorders>
            <w:shd w:val="clear" w:color="auto" w:fill="auto"/>
            <w:vAlign w:val="center"/>
            <w:hideMark/>
          </w:tcPr>
          <w:p w:rsidR="00A81A5E" w:rsidRPr="00D82A95" w:rsidRDefault="00A81A5E" w:rsidP="00D82A95">
            <w:pPr>
              <w:tabs>
                <w:tab w:val="clear" w:pos="567"/>
                <w:tab w:val="clear" w:pos="1134"/>
                <w:tab w:val="clear" w:pos="1701"/>
                <w:tab w:val="clear" w:pos="2268"/>
                <w:tab w:val="clear" w:pos="2835"/>
              </w:tabs>
              <w:overflowPunct/>
              <w:autoSpaceDE/>
              <w:autoSpaceDN/>
              <w:snapToGrid w:val="0"/>
              <w:spacing w:before="0"/>
              <w:jc w:val="center"/>
              <w:textAlignment w:val="auto"/>
              <w:rPr>
                <w:rFonts w:cs="Arial"/>
                <w:b/>
                <w:bCs/>
                <w:color w:val="000000"/>
                <w:sz w:val="18"/>
                <w:szCs w:val="18"/>
                <w:lang w:val="en-US" w:eastAsia="zh-CN"/>
              </w:rPr>
            </w:pPr>
            <w:r w:rsidRPr="00D82A95">
              <w:rPr>
                <w:rFonts w:cs="Arial"/>
                <w:b/>
                <w:bCs/>
                <w:color w:val="000000"/>
                <w:sz w:val="18"/>
                <w:szCs w:val="18"/>
                <w:lang w:val="en-US" w:eastAsia="zh-CN"/>
              </w:rPr>
              <w:t>Accumulated leave</w:t>
            </w:r>
          </w:p>
        </w:tc>
        <w:tc>
          <w:tcPr>
            <w:tcW w:w="1344" w:type="pct"/>
            <w:tcBorders>
              <w:top w:val="nil"/>
              <w:left w:val="nil"/>
              <w:bottom w:val="single" w:sz="4" w:space="0" w:color="auto"/>
              <w:right w:val="single" w:sz="4" w:space="0" w:color="auto"/>
            </w:tcBorders>
            <w:shd w:val="clear" w:color="auto" w:fill="auto"/>
            <w:vAlign w:val="center"/>
            <w:hideMark/>
          </w:tcPr>
          <w:p w:rsidR="00A81A5E" w:rsidRPr="00D82A95" w:rsidRDefault="00A81A5E" w:rsidP="00D82A95">
            <w:pPr>
              <w:tabs>
                <w:tab w:val="clear" w:pos="567"/>
                <w:tab w:val="clear" w:pos="1134"/>
                <w:tab w:val="clear" w:pos="1701"/>
                <w:tab w:val="clear" w:pos="2268"/>
                <w:tab w:val="clear" w:pos="2835"/>
              </w:tabs>
              <w:overflowPunct/>
              <w:autoSpaceDE/>
              <w:autoSpaceDN/>
              <w:snapToGrid w:val="0"/>
              <w:spacing w:before="0"/>
              <w:jc w:val="center"/>
              <w:textAlignment w:val="auto"/>
              <w:rPr>
                <w:rFonts w:cs="Arial"/>
                <w:b/>
                <w:bCs/>
                <w:color w:val="000000"/>
                <w:sz w:val="18"/>
                <w:szCs w:val="18"/>
                <w:lang w:val="en-US" w:eastAsia="zh-CN"/>
              </w:rPr>
            </w:pPr>
            <w:r w:rsidRPr="00D82A95">
              <w:rPr>
                <w:rFonts w:cs="Arial"/>
                <w:b/>
                <w:bCs/>
                <w:color w:val="000000"/>
                <w:sz w:val="18"/>
                <w:szCs w:val="18"/>
                <w:lang w:val="en-US" w:eastAsia="zh-CN"/>
              </w:rPr>
              <w:t>Total employee benefits short term</w:t>
            </w:r>
          </w:p>
        </w:tc>
      </w:tr>
      <w:tr w:rsidR="00A81A5E" w:rsidRPr="00D82A95" w:rsidTr="00D82A95">
        <w:trPr>
          <w:trHeight w:val="403"/>
        </w:trPr>
        <w:tc>
          <w:tcPr>
            <w:tcW w:w="1332" w:type="pct"/>
            <w:tcBorders>
              <w:top w:val="nil"/>
              <w:left w:val="single" w:sz="4" w:space="0" w:color="auto"/>
              <w:bottom w:val="single" w:sz="4" w:space="0" w:color="auto"/>
              <w:right w:val="single" w:sz="4" w:space="0" w:color="auto"/>
            </w:tcBorders>
            <w:shd w:val="clear" w:color="auto" w:fill="auto"/>
            <w:noWrap/>
            <w:vAlign w:val="center"/>
            <w:hideMark/>
          </w:tcPr>
          <w:p w:rsidR="00A81A5E" w:rsidRPr="00D82A95" w:rsidRDefault="00A81A5E" w:rsidP="00D82A95">
            <w:pPr>
              <w:tabs>
                <w:tab w:val="clear" w:pos="567"/>
                <w:tab w:val="clear" w:pos="1134"/>
                <w:tab w:val="clear" w:pos="1701"/>
                <w:tab w:val="clear" w:pos="2268"/>
                <w:tab w:val="clear" w:pos="2835"/>
              </w:tabs>
              <w:overflowPunct/>
              <w:autoSpaceDE/>
              <w:autoSpaceDN/>
              <w:snapToGrid w:val="0"/>
              <w:spacing w:before="0"/>
              <w:textAlignment w:val="auto"/>
              <w:rPr>
                <w:rFonts w:cs="Arial"/>
                <w:b/>
                <w:bCs/>
                <w:color w:val="000000"/>
                <w:sz w:val="18"/>
                <w:szCs w:val="18"/>
                <w:lang w:val="en-US" w:eastAsia="zh-CN"/>
              </w:rPr>
            </w:pPr>
            <w:r w:rsidRPr="00D82A95">
              <w:rPr>
                <w:rFonts w:cs="Arial"/>
                <w:b/>
                <w:bCs/>
                <w:color w:val="000000"/>
                <w:sz w:val="18"/>
                <w:szCs w:val="18"/>
                <w:lang w:val="en-US" w:eastAsia="zh-CN"/>
              </w:rPr>
              <w:t>Opening balance</w:t>
            </w:r>
          </w:p>
        </w:tc>
        <w:tc>
          <w:tcPr>
            <w:tcW w:w="1204" w:type="pct"/>
            <w:tcBorders>
              <w:top w:val="nil"/>
              <w:left w:val="nil"/>
              <w:bottom w:val="single" w:sz="4" w:space="0" w:color="auto"/>
              <w:right w:val="single" w:sz="4" w:space="0" w:color="auto"/>
            </w:tcBorders>
            <w:shd w:val="clear" w:color="auto" w:fill="auto"/>
            <w:noWrap/>
            <w:vAlign w:val="center"/>
            <w:hideMark/>
          </w:tcPr>
          <w:p w:rsidR="00A81A5E" w:rsidRPr="00D82A95" w:rsidRDefault="00A81A5E" w:rsidP="00D82A95">
            <w:pPr>
              <w:tabs>
                <w:tab w:val="clear" w:pos="567"/>
                <w:tab w:val="clear" w:pos="1134"/>
                <w:tab w:val="clear" w:pos="1701"/>
                <w:tab w:val="clear" w:pos="2268"/>
                <w:tab w:val="clear" w:pos="2835"/>
              </w:tabs>
              <w:overflowPunct/>
              <w:autoSpaceDE/>
              <w:autoSpaceDN/>
              <w:snapToGrid w:val="0"/>
              <w:spacing w:before="0"/>
              <w:jc w:val="right"/>
              <w:textAlignment w:val="auto"/>
              <w:rPr>
                <w:rFonts w:cs="Arial"/>
                <w:b/>
                <w:bCs/>
                <w:color w:val="000000"/>
                <w:sz w:val="18"/>
                <w:szCs w:val="18"/>
                <w:lang w:val="en-US" w:eastAsia="zh-CN"/>
              </w:rPr>
            </w:pPr>
            <w:r w:rsidRPr="00D82A95">
              <w:rPr>
                <w:rFonts w:cs="Arial"/>
                <w:b/>
                <w:bCs/>
                <w:color w:val="000000"/>
                <w:sz w:val="18"/>
                <w:szCs w:val="18"/>
                <w:lang w:val="en-US" w:eastAsia="zh-CN"/>
              </w:rPr>
              <w:t xml:space="preserve">               60 </w:t>
            </w:r>
          </w:p>
        </w:tc>
        <w:tc>
          <w:tcPr>
            <w:tcW w:w="1120" w:type="pct"/>
            <w:tcBorders>
              <w:top w:val="nil"/>
              <w:left w:val="nil"/>
              <w:bottom w:val="single" w:sz="4" w:space="0" w:color="auto"/>
              <w:right w:val="single" w:sz="4" w:space="0" w:color="auto"/>
            </w:tcBorders>
            <w:shd w:val="clear" w:color="auto" w:fill="auto"/>
            <w:noWrap/>
            <w:vAlign w:val="center"/>
            <w:hideMark/>
          </w:tcPr>
          <w:p w:rsidR="00A81A5E" w:rsidRPr="00D82A95" w:rsidRDefault="00A81A5E" w:rsidP="00D82A95">
            <w:pPr>
              <w:tabs>
                <w:tab w:val="clear" w:pos="567"/>
                <w:tab w:val="clear" w:pos="1134"/>
                <w:tab w:val="clear" w:pos="1701"/>
                <w:tab w:val="clear" w:pos="2268"/>
                <w:tab w:val="clear" w:pos="2835"/>
              </w:tabs>
              <w:overflowPunct/>
              <w:autoSpaceDE/>
              <w:autoSpaceDN/>
              <w:snapToGrid w:val="0"/>
              <w:spacing w:before="0"/>
              <w:jc w:val="right"/>
              <w:textAlignment w:val="auto"/>
              <w:rPr>
                <w:rFonts w:cs="Arial"/>
                <w:b/>
                <w:bCs/>
                <w:color w:val="000000"/>
                <w:sz w:val="18"/>
                <w:szCs w:val="18"/>
                <w:lang w:val="en-US" w:eastAsia="zh-CN"/>
              </w:rPr>
            </w:pPr>
            <w:r w:rsidRPr="00D82A95">
              <w:rPr>
                <w:rFonts w:cs="Arial"/>
                <w:b/>
                <w:bCs/>
                <w:color w:val="000000"/>
                <w:sz w:val="18"/>
                <w:szCs w:val="18"/>
                <w:lang w:val="en-US" w:eastAsia="zh-CN"/>
              </w:rPr>
              <w:t xml:space="preserve">                      1,034 </w:t>
            </w:r>
          </w:p>
        </w:tc>
        <w:tc>
          <w:tcPr>
            <w:tcW w:w="1344" w:type="pct"/>
            <w:tcBorders>
              <w:top w:val="nil"/>
              <w:left w:val="nil"/>
              <w:bottom w:val="single" w:sz="4" w:space="0" w:color="auto"/>
              <w:right w:val="single" w:sz="4" w:space="0" w:color="auto"/>
            </w:tcBorders>
            <w:shd w:val="clear" w:color="auto" w:fill="auto"/>
            <w:noWrap/>
            <w:vAlign w:val="center"/>
            <w:hideMark/>
          </w:tcPr>
          <w:p w:rsidR="00A81A5E" w:rsidRPr="00D82A95" w:rsidRDefault="00A81A5E" w:rsidP="00D82A95">
            <w:pPr>
              <w:tabs>
                <w:tab w:val="clear" w:pos="567"/>
                <w:tab w:val="clear" w:pos="1134"/>
                <w:tab w:val="clear" w:pos="1701"/>
                <w:tab w:val="clear" w:pos="2268"/>
                <w:tab w:val="clear" w:pos="2835"/>
              </w:tabs>
              <w:overflowPunct/>
              <w:autoSpaceDE/>
              <w:autoSpaceDN/>
              <w:snapToGrid w:val="0"/>
              <w:spacing w:before="0"/>
              <w:jc w:val="right"/>
              <w:textAlignment w:val="auto"/>
              <w:rPr>
                <w:rFonts w:cs="Arial"/>
                <w:b/>
                <w:bCs/>
                <w:color w:val="000000"/>
                <w:sz w:val="18"/>
                <w:szCs w:val="18"/>
                <w:lang w:val="en-US" w:eastAsia="zh-CN"/>
              </w:rPr>
            </w:pPr>
            <w:r w:rsidRPr="00D82A95">
              <w:rPr>
                <w:rFonts w:cs="Arial"/>
                <w:b/>
                <w:bCs/>
                <w:color w:val="000000"/>
                <w:sz w:val="18"/>
                <w:szCs w:val="18"/>
                <w:lang w:val="en-US" w:eastAsia="zh-CN"/>
              </w:rPr>
              <w:t xml:space="preserve">                      1,094 </w:t>
            </w:r>
          </w:p>
        </w:tc>
      </w:tr>
      <w:tr w:rsidR="00A81A5E" w:rsidRPr="00D82A95" w:rsidTr="00A81A5E">
        <w:trPr>
          <w:trHeight w:val="255"/>
        </w:trPr>
        <w:tc>
          <w:tcPr>
            <w:tcW w:w="1332" w:type="pct"/>
            <w:tcBorders>
              <w:top w:val="nil"/>
              <w:left w:val="single" w:sz="4" w:space="0" w:color="auto"/>
              <w:bottom w:val="nil"/>
              <w:right w:val="single" w:sz="4" w:space="0" w:color="auto"/>
            </w:tcBorders>
            <w:shd w:val="clear" w:color="auto" w:fill="auto"/>
            <w:noWrap/>
            <w:vAlign w:val="bottom"/>
            <w:hideMark/>
          </w:tcPr>
          <w:p w:rsidR="00A81A5E" w:rsidRPr="00D82A95" w:rsidRDefault="00A81A5E" w:rsidP="00D82A95">
            <w:pPr>
              <w:tabs>
                <w:tab w:val="clear" w:pos="567"/>
                <w:tab w:val="clear" w:pos="1134"/>
                <w:tab w:val="clear" w:pos="1701"/>
                <w:tab w:val="clear" w:pos="2268"/>
                <w:tab w:val="clear" w:pos="2835"/>
              </w:tabs>
              <w:overflowPunct/>
              <w:autoSpaceDE/>
              <w:autoSpaceDN/>
              <w:snapToGrid w:val="0"/>
              <w:spacing w:before="0"/>
              <w:textAlignment w:val="auto"/>
              <w:rPr>
                <w:rFonts w:cs="Arial"/>
                <w:color w:val="000000"/>
                <w:sz w:val="18"/>
                <w:szCs w:val="18"/>
                <w:lang w:val="en-US" w:eastAsia="zh-CN"/>
              </w:rPr>
            </w:pPr>
            <w:r w:rsidRPr="00D82A95">
              <w:rPr>
                <w:rFonts w:cs="Arial"/>
                <w:color w:val="000000"/>
                <w:sz w:val="18"/>
                <w:szCs w:val="18"/>
                <w:lang w:val="en-US" w:eastAsia="zh-CN"/>
              </w:rPr>
              <w:t>Increase</w:t>
            </w:r>
          </w:p>
        </w:tc>
        <w:tc>
          <w:tcPr>
            <w:tcW w:w="1204" w:type="pct"/>
            <w:tcBorders>
              <w:top w:val="nil"/>
              <w:left w:val="nil"/>
              <w:bottom w:val="nil"/>
              <w:right w:val="single" w:sz="4" w:space="0" w:color="auto"/>
            </w:tcBorders>
            <w:shd w:val="clear" w:color="auto" w:fill="auto"/>
            <w:noWrap/>
            <w:vAlign w:val="bottom"/>
            <w:hideMark/>
          </w:tcPr>
          <w:p w:rsidR="00A81A5E" w:rsidRPr="00D82A95" w:rsidRDefault="00A81A5E" w:rsidP="00D82A95">
            <w:pPr>
              <w:tabs>
                <w:tab w:val="clear" w:pos="567"/>
                <w:tab w:val="clear" w:pos="1134"/>
                <w:tab w:val="clear" w:pos="1701"/>
                <w:tab w:val="clear" w:pos="2268"/>
                <w:tab w:val="clear" w:pos="2835"/>
              </w:tabs>
              <w:overflowPunct/>
              <w:autoSpaceDE/>
              <w:autoSpaceDN/>
              <w:snapToGrid w:val="0"/>
              <w:spacing w:before="0"/>
              <w:jc w:val="right"/>
              <w:textAlignment w:val="auto"/>
              <w:rPr>
                <w:rFonts w:cs="Arial"/>
                <w:sz w:val="18"/>
                <w:szCs w:val="18"/>
                <w:lang w:val="en-US" w:eastAsia="zh-CN"/>
              </w:rPr>
            </w:pPr>
            <w:r w:rsidRPr="00D82A95">
              <w:rPr>
                <w:rFonts w:cs="Arial"/>
                <w:sz w:val="18"/>
                <w:szCs w:val="18"/>
                <w:lang w:val="en-US" w:eastAsia="zh-CN"/>
              </w:rPr>
              <w:t>51</w:t>
            </w:r>
          </w:p>
        </w:tc>
        <w:tc>
          <w:tcPr>
            <w:tcW w:w="1120" w:type="pct"/>
            <w:tcBorders>
              <w:top w:val="nil"/>
              <w:left w:val="nil"/>
              <w:bottom w:val="nil"/>
              <w:right w:val="single" w:sz="4" w:space="0" w:color="auto"/>
            </w:tcBorders>
            <w:shd w:val="clear" w:color="auto" w:fill="auto"/>
            <w:noWrap/>
            <w:vAlign w:val="bottom"/>
            <w:hideMark/>
          </w:tcPr>
          <w:p w:rsidR="00A81A5E" w:rsidRPr="00D82A95" w:rsidRDefault="00A81A5E" w:rsidP="00D82A95">
            <w:pPr>
              <w:tabs>
                <w:tab w:val="clear" w:pos="567"/>
                <w:tab w:val="clear" w:pos="1134"/>
                <w:tab w:val="clear" w:pos="1701"/>
                <w:tab w:val="clear" w:pos="2268"/>
                <w:tab w:val="clear" w:pos="2835"/>
              </w:tabs>
              <w:overflowPunct/>
              <w:autoSpaceDE/>
              <w:autoSpaceDN/>
              <w:snapToGrid w:val="0"/>
              <w:spacing w:before="0"/>
              <w:jc w:val="right"/>
              <w:textAlignment w:val="auto"/>
              <w:rPr>
                <w:rFonts w:cs="Arial"/>
                <w:color w:val="000000"/>
                <w:sz w:val="18"/>
                <w:szCs w:val="18"/>
                <w:lang w:val="en-US" w:eastAsia="zh-CN"/>
              </w:rPr>
            </w:pPr>
            <w:r w:rsidRPr="00D82A95">
              <w:rPr>
                <w:rFonts w:cs="Arial"/>
                <w:color w:val="000000"/>
                <w:sz w:val="18"/>
                <w:szCs w:val="18"/>
                <w:lang w:val="en-US" w:eastAsia="zh-CN"/>
              </w:rPr>
              <w:t>175</w:t>
            </w:r>
          </w:p>
        </w:tc>
        <w:tc>
          <w:tcPr>
            <w:tcW w:w="1344" w:type="pct"/>
            <w:tcBorders>
              <w:top w:val="nil"/>
              <w:left w:val="nil"/>
              <w:bottom w:val="nil"/>
              <w:right w:val="single" w:sz="4" w:space="0" w:color="auto"/>
            </w:tcBorders>
            <w:shd w:val="clear" w:color="auto" w:fill="auto"/>
            <w:noWrap/>
            <w:vAlign w:val="bottom"/>
            <w:hideMark/>
          </w:tcPr>
          <w:p w:rsidR="00A81A5E" w:rsidRPr="00D82A95" w:rsidRDefault="00A81A5E" w:rsidP="00D82A95">
            <w:pPr>
              <w:tabs>
                <w:tab w:val="clear" w:pos="567"/>
                <w:tab w:val="clear" w:pos="1134"/>
                <w:tab w:val="clear" w:pos="1701"/>
                <w:tab w:val="clear" w:pos="2268"/>
                <w:tab w:val="clear" w:pos="2835"/>
              </w:tabs>
              <w:overflowPunct/>
              <w:autoSpaceDE/>
              <w:autoSpaceDN/>
              <w:snapToGrid w:val="0"/>
              <w:spacing w:before="0"/>
              <w:jc w:val="right"/>
              <w:textAlignment w:val="auto"/>
              <w:rPr>
                <w:rFonts w:cs="Arial"/>
                <w:color w:val="000000"/>
                <w:sz w:val="18"/>
                <w:szCs w:val="18"/>
                <w:lang w:val="en-US" w:eastAsia="zh-CN"/>
              </w:rPr>
            </w:pPr>
            <w:r w:rsidRPr="00D82A95">
              <w:rPr>
                <w:rFonts w:cs="Arial"/>
                <w:color w:val="000000"/>
                <w:sz w:val="18"/>
                <w:szCs w:val="18"/>
                <w:lang w:val="en-US" w:eastAsia="zh-CN"/>
              </w:rPr>
              <w:t xml:space="preserve">                         226 </w:t>
            </w:r>
          </w:p>
        </w:tc>
      </w:tr>
      <w:tr w:rsidR="00A81A5E" w:rsidRPr="00D82A95" w:rsidTr="00A81A5E">
        <w:trPr>
          <w:trHeight w:val="255"/>
        </w:trPr>
        <w:tc>
          <w:tcPr>
            <w:tcW w:w="1332" w:type="pct"/>
            <w:tcBorders>
              <w:top w:val="nil"/>
              <w:left w:val="single" w:sz="4" w:space="0" w:color="auto"/>
              <w:bottom w:val="nil"/>
              <w:right w:val="single" w:sz="4" w:space="0" w:color="auto"/>
            </w:tcBorders>
            <w:shd w:val="clear" w:color="auto" w:fill="auto"/>
            <w:noWrap/>
            <w:vAlign w:val="bottom"/>
            <w:hideMark/>
          </w:tcPr>
          <w:p w:rsidR="00A81A5E" w:rsidRPr="00D82A95" w:rsidRDefault="00A81A5E" w:rsidP="00D82A95">
            <w:pPr>
              <w:tabs>
                <w:tab w:val="clear" w:pos="567"/>
                <w:tab w:val="clear" w:pos="1134"/>
                <w:tab w:val="clear" w:pos="1701"/>
                <w:tab w:val="clear" w:pos="2268"/>
                <w:tab w:val="clear" w:pos="2835"/>
              </w:tabs>
              <w:overflowPunct/>
              <w:autoSpaceDE/>
              <w:autoSpaceDN/>
              <w:snapToGrid w:val="0"/>
              <w:spacing w:before="0"/>
              <w:textAlignment w:val="auto"/>
              <w:rPr>
                <w:rFonts w:cs="Arial"/>
                <w:color w:val="000000"/>
                <w:sz w:val="18"/>
                <w:szCs w:val="18"/>
                <w:lang w:val="en-US" w:eastAsia="zh-CN"/>
              </w:rPr>
            </w:pPr>
            <w:r w:rsidRPr="00D82A95">
              <w:rPr>
                <w:rFonts w:cs="Arial"/>
                <w:color w:val="000000"/>
                <w:sz w:val="18"/>
                <w:szCs w:val="18"/>
                <w:lang w:val="en-US" w:eastAsia="zh-CN"/>
              </w:rPr>
              <w:t>Used during year</w:t>
            </w:r>
          </w:p>
        </w:tc>
        <w:tc>
          <w:tcPr>
            <w:tcW w:w="1204" w:type="pct"/>
            <w:tcBorders>
              <w:top w:val="nil"/>
              <w:left w:val="nil"/>
              <w:bottom w:val="nil"/>
              <w:right w:val="single" w:sz="4" w:space="0" w:color="auto"/>
            </w:tcBorders>
            <w:shd w:val="clear" w:color="auto" w:fill="auto"/>
            <w:noWrap/>
            <w:vAlign w:val="bottom"/>
            <w:hideMark/>
          </w:tcPr>
          <w:p w:rsidR="00A81A5E" w:rsidRPr="00D82A95" w:rsidRDefault="00A81A5E" w:rsidP="00D82A95">
            <w:pPr>
              <w:tabs>
                <w:tab w:val="clear" w:pos="567"/>
                <w:tab w:val="clear" w:pos="1134"/>
                <w:tab w:val="clear" w:pos="1701"/>
                <w:tab w:val="clear" w:pos="2268"/>
                <w:tab w:val="clear" w:pos="2835"/>
              </w:tabs>
              <w:overflowPunct/>
              <w:autoSpaceDE/>
              <w:autoSpaceDN/>
              <w:snapToGrid w:val="0"/>
              <w:spacing w:before="0"/>
              <w:jc w:val="right"/>
              <w:textAlignment w:val="auto"/>
              <w:rPr>
                <w:rFonts w:cs="Arial"/>
                <w:color w:val="000000"/>
                <w:sz w:val="18"/>
                <w:szCs w:val="18"/>
                <w:lang w:val="en-US" w:eastAsia="zh-CN"/>
              </w:rPr>
            </w:pPr>
            <w:r w:rsidRPr="00D82A95">
              <w:rPr>
                <w:rFonts w:cs="Arial"/>
                <w:color w:val="000000"/>
                <w:sz w:val="18"/>
                <w:szCs w:val="18"/>
                <w:lang w:val="en-US" w:eastAsia="zh-CN"/>
              </w:rPr>
              <w:t>-60</w:t>
            </w:r>
          </w:p>
        </w:tc>
        <w:tc>
          <w:tcPr>
            <w:tcW w:w="1120" w:type="pct"/>
            <w:tcBorders>
              <w:top w:val="nil"/>
              <w:left w:val="nil"/>
              <w:bottom w:val="nil"/>
              <w:right w:val="single" w:sz="4" w:space="0" w:color="auto"/>
            </w:tcBorders>
            <w:shd w:val="clear" w:color="auto" w:fill="auto"/>
            <w:noWrap/>
            <w:vAlign w:val="bottom"/>
            <w:hideMark/>
          </w:tcPr>
          <w:p w:rsidR="00A81A5E" w:rsidRPr="00D82A95" w:rsidRDefault="00A81A5E" w:rsidP="00D82A95">
            <w:pPr>
              <w:tabs>
                <w:tab w:val="clear" w:pos="567"/>
                <w:tab w:val="clear" w:pos="1134"/>
                <w:tab w:val="clear" w:pos="1701"/>
                <w:tab w:val="clear" w:pos="2268"/>
                <w:tab w:val="clear" w:pos="2835"/>
              </w:tabs>
              <w:overflowPunct/>
              <w:autoSpaceDE/>
              <w:autoSpaceDN/>
              <w:snapToGrid w:val="0"/>
              <w:spacing w:before="0"/>
              <w:jc w:val="right"/>
              <w:textAlignment w:val="auto"/>
              <w:rPr>
                <w:rFonts w:cs="Arial"/>
                <w:color w:val="000000"/>
                <w:sz w:val="18"/>
                <w:szCs w:val="18"/>
                <w:lang w:val="en-US" w:eastAsia="zh-CN"/>
              </w:rPr>
            </w:pPr>
            <w:r w:rsidRPr="00D82A95">
              <w:rPr>
                <w:rFonts w:cs="Arial"/>
                <w:color w:val="000000"/>
                <w:sz w:val="18"/>
                <w:szCs w:val="18"/>
                <w:lang w:val="en-US" w:eastAsia="zh-CN"/>
              </w:rPr>
              <w:t>-982</w:t>
            </w:r>
          </w:p>
        </w:tc>
        <w:tc>
          <w:tcPr>
            <w:tcW w:w="1344" w:type="pct"/>
            <w:tcBorders>
              <w:top w:val="nil"/>
              <w:left w:val="nil"/>
              <w:bottom w:val="nil"/>
              <w:right w:val="single" w:sz="4" w:space="0" w:color="auto"/>
            </w:tcBorders>
            <w:shd w:val="clear" w:color="auto" w:fill="auto"/>
            <w:noWrap/>
            <w:vAlign w:val="bottom"/>
            <w:hideMark/>
          </w:tcPr>
          <w:p w:rsidR="00A81A5E" w:rsidRPr="00D82A95" w:rsidRDefault="00A81A5E" w:rsidP="00D82A95">
            <w:pPr>
              <w:tabs>
                <w:tab w:val="clear" w:pos="567"/>
                <w:tab w:val="clear" w:pos="1134"/>
                <w:tab w:val="clear" w:pos="1701"/>
                <w:tab w:val="clear" w:pos="2268"/>
                <w:tab w:val="clear" w:pos="2835"/>
              </w:tabs>
              <w:overflowPunct/>
              <w:autoSpaceDE/>
              <w:autoSpaceDN/>
              <w:snapToGrid w:val="0"/>
              <w:spacing w:before="0"/>
              <w:jc w:val="right"/>
              <w:textAlignment w:val="auto"/>
              <w:rPr>
                <w:rFonts w:cs="Arial"/>
                <w:color w:val="000000"/>
                <w:sz w:val="18"/>
                <w:szCs w:val="18"/>
                <w:lang w:val="en-US" w:eastAsia="zh-CN"/>
              </w:rPr>
            </w:pPr>
            <w:r w:rsidRPr="00D82A95">
              <w:rPr>
                <w:rFonts w:cs="Arial"/>
                <w:color w:val="000000"/>
                <w:sz w:val="18"/>
                <w:szCs w:val="18"/>
                <w:lang w:val="en-US" w:eastAsia="zh-CN"/>
              </w:rPr>
              <w:t xml:space="preserve">                     -1,042 </w:t>
            </w:r>
          </w:p>
        </w:tc>
      </w:tr>
      <w:tr w:rsidR="00A81A5E" w:rsidRPr="00D82A95" w:rsidTr="00A81A5E">
        <w:trPr>
          <w:trHeight w:val="255"/>
        </w:trPr>
        <w:tc>
          <w:tcPr>
            <w:tcW w:w="1332" w:type="pct"/>
            <w:tcBorders>
              <w:top w:val="nil"/>
              <w:left w:val="single" w:sz="4" w:space="0" w:color="auto"/>
              <w:bottom w:val="nil"/>
              <w:right w:val="single" w:sz="4" w:space="0" w:color="auto"/>
            </w:tcBorders>
            <w:shd w:val="clear" w:color="auto" w:fill="auto"/>
            <w:noWrap/>
            <w:vAlign w:val="bottom"/>
            <w:hideMark/>
          </w:tcPr>
          <w:p w:rsidR="00A81A5E" w:rsidRPr="00D82A95" w:rsidRDefault="00A81A5E" w:rsidP="00D82A95">
            <w:pPr>
              <w:tabs>
                <w:tab w:val="clear" w:pos="567"/>
                <w:tab w:val="clear" w:pos="1134"/>
                <w:tab w:val="clear" w:pos="1701"/>
                <w:tab w:val="clear" w:pos="2268"/>
                <w:tab w:val="clear" w:pos="2835"/>
              </w:tabs>
              <w:overflowPunct/>
              <w:autoSpaceDE/>
              <w:autoSpaceDN/>
              <w:snapToGrid w:val="0"/>
              <w:spacing w:before="0"/>
              <w:textAlignment w:val="auto"/>
              <w:rPr>
                <w:rFonts w:cs="Arial"/>
                <w:color w:val="000000"/>
                <w:sz w:val="18"/>
                <w:szCs w:val="18"/>
                <w:lang w:val="en-US" w:eastAsia="zh-CN"/>
              </w:rPr>
            </w:pPr>
            <w:r w:rsidRPr="00D82A95">
              <w:rPr>
                <w:rFonts w:cs="Arial"/>
                <w:color w:val="000000"/>
                <w:sz w:val="18"/>
                <w:szCs w:val="18"/>
                <w:lang w:val="en-US" w:eastAsia="zh-CN"/>
              </w:rPr>
              <w:t>Release</w:t>
            </w:r>
          </w:p>
        </w:tc>
        <w:tc>
          <w:tcPr>
            <w:tcW w:w="1204" w:type="pct"/>
            <w:tcBorders>
              <w:top w:val="nil"/>
              <w:left w:val="nil"/>
              <w:bottom w:val="nil"/>
              <w:right w:val="single" w:sz="4" w:space="0" w:color="auto"/>
            </w:tcBorders>
            <w:shd w:val="clear" w:color="auto" w:fill="auto"/>
            <w:noWrap/>
            <w:vAlign w:val="bottom"/>
            <w:hideMark/>
          </w:tcPr>
          <w:p w:rsidR="00A81A5E" w:rsidRPr="00D82A95" w:rsidRDefault="00A81A5E" w:rsidP="00D82A95">
            <w:pPr>
              <w:tabs>
                <w:tab w:val="clear" w:pos="567"/>
                <w:tab w:val="clear" w:pos="1134"/>
                <w:tab w:val="clear" w:pos="1701"/>
                <w:tab w:val="clear" w:pos="2268"/>
                <w:tab w:val="clear" w:pos="2835"/>
              </w:tabs>
              <w:overflowPunct/>
              <w:autoSpaceDE/>
              <w:autoSpaceDN/>
              <w:snapToGrid w:val="0"/>
              <w:spacing w:before="0"/>
              <w:jc w:val="right"/>
              <w:textAlignment w:val="auto"/>
              <w:rPr>
                <w:rFonts w:cs="Arial"/>
                <w:color w:val="000000"/>
                <w:sz w:val="18"/>
                <w:szCs w:val="18"/>
                <w:lang w:val="en-US" w:eastAsia="zh-CN"/>
              </w:rPr>
            </w:pPr>
            <w:r w:rsidRPr="00D82A95">
              <w:rPr>
                <w:rFonts w:cs="Arial"/>
                <w:color w:val="000000"/>
                <w:sz w:val="18"/>
                <w:szCs w:val="18"/>
                <w:lang w:val="en-US" w:eastAsia="zh-CN"/>
              </w:rPr>
              <w:t> </w:t>
            </w:r>
          </w:p>
        </w:tc>
        <w:tc>
          <w:tcPr>
            <w:tcW w:w="1120" w:type="pct"/>
            <w:tcBorders>
              <w:top w:val="nil"/>
              <w:left w:val="nil"/>
              <w:bottom w:val="nil"/>
              <w:right w:val="single" w:sz="4" w:space="0" w:color="auto"/>
            </w:tcBorders>
            <w:shd w:val="clear" w:color="auto" w:fill="auto"/>
            <w:noWrap/>
            <w:vAlign w:val="bottom"/>
            <w:hideMark/>
          </w:tcPr>
          <w:p w:rsidR="00A81A5E" w:rsidRPr="00D82A95" w:rsidRDefault="00A81A5E" w:rsidP="00D82A95">
            <w:pPr>
              <w:tabs>
                <w:tab w:val="clear" w:pos="567"/>
                <w:tab w:val="clear" w:pos="1134"/>
                <w:tab w:val="clear" w:pos="1701"/>
                <w:tab w:val="clear" w:pos="2268"/>
                <w:tab w:val="clear" w:pos="2835"/>
              </w:tabs>
              <w:overflowPunct/>
              <w:autoSpaceDE/>
              <w:autoSpaceDN/>
              <w:snapToGrid w:val="0"/>
              <w:spacing w:before="0"/>
              <w:jc w:val="right"/>
              <w:textAlignment w:val="auto"/>
              <w:rPr>
                <w:rFonts w:cs="Arial"/>
                <w:color w:val="000000"/>
                <w:sz w:val="18"/>
                <w:szCs w:val="18"/>
                <w:lang w:val="en-US" w:eastAsia="zh-CN"/>
              </w:rPr>
            </w:pPr>
            <w:r w:rsidRPr="00D82A95">
              <w:rPr>
                <w:rFonts w:cs="Arial"/>
                <w:color w:val="000000"/>
                <w:sz w:val="18"/>
                <w:szCs w:val="18"/>
                <w:lang w:val="en-US" w:eastAsia="zh-CN"/>
              </w:rPr>
              <w:t> </w:t>
            </w:r>
          </w:p>
        </w:tc>
        <w:tc>
          <w:tcPr>
            <w:tcW w:w="1344" w:type="pct"/>
            <w:tcBorders>
              <w:top w:val="nil"/>
              <w:left w:val="nil"/>
              <w:bottom w:val="nil"/>
              <w:right w:val="single" w:sz="4" w:space="0" w:color="auto"/>
            </w:tcBorders>
            <w:shd w:val="clear" w:color="auto" w:fill="auto"/>
            <w:noWrap/>
            <w:vAlign w:val="bottom"/>
            <w:hideMark/>
          </w:tcPr>
          <w:p w:rsidR="00A81A5E" w:rsidRPr="00D82A95" w:rsidRDefault="00A81A5E" w:rsidP="00D82A95">
            <w:pPr>
              <w:tabs>
                <w:tab w:val="clear" w:pos="567"/>
                <w:tab w:val="clear" w:pos="1134"/>
                <w:tab w:val="clear" w:pos="1701"/>
                <w:tab w:val="clear" w:pos="2268"/>
                <w:tab w:val="clear" w:pos="2835"/>
              </w:tabs>
              <w:overflowPunct/>
              <w:autoSpaceDE/>
              <w:autoSpaceDN/>
              <w:snapToGrid w:val="0"/>
              <w:spacing w:before="0"/>
              <w:jc w:val="right"/>
              <w:textAlignment w:val="auto"/>
              <w:rPr>
                <w:rFonts w:cs="Arial"/>
                <w:color w:val="000000"/>
                <w:sz w:val="18"/>
                <w:szCs w:val="18"/>
                <w:lang w:val="en-US" w:eastAsia="zh-CN"/>
              </w:rPr>
            </w:pPr>
            <w:r w:rsidRPr="00D82A95">
              <w:rPr>
                <w:rFonts w:cs="Arial"/>
                <w:color w:val="000000"/>
                <w:sz w:val="18"/>
                <w:szCs w:val="18"/>
                <w:lang w:val="en-US" w:eastAsia="zh-CN"/>
              </w:rPr>
              <w:t xml:space="preserve">                           -   </w:t>
            </w:r>
          </w:p>
        </w:tc>
      </w:tr>
      <w:tr w:rsidR="00A81A5E" w:rsidRPr="00D82A95" w:rsidTr="00A81A5E">
        <w:trPr>
          <w:trHeight w:val="255"/>
        </w:trPr>
        <w:tc>
          <w:tcPr>
            <w:tcW w:w="1332" w:type="pct"/>
            <w:tcBorders>
              <w:top w:val="nil"/>
              <w:left w:val="single" w:sz="4" w:space="0" w:color="auto"/>
              <w:bottom w:val="nil"/>
              <w:right w:val="single" w:sz="4" w:space="0" w:color="auto"/>
            </w:tcBorders>
            <w:shd w:val="clear" w:color="auto" w:fill="auto"/>
            <w:noWrap/>
            <w:vAlign w:val="bottom"/>
            <w:hideMark/>
          </w:tcPr>
          <w:p w:rsidR="00A81A5E" w:rsidRPr="00D82A95" w:rsidRDefault="00A81A5E" w:rsidP="00D82A95">
            <w:pPr>
              <w:tabs>
                <w:tab w:val="clear" w:pos="567"/>
                <w:tab w:val="clear" w:pos="1134"/>
                <w:tab w:val="clear" w:pos="1701"/>
                <w:tab w:val="clear" w:pos="2268"/>
                <w:tab w:val="clear" w:pos="2835"/>
              </w:tabs>
              <w:overflowPunct/>
              <w:autoSpaceDE/>
              <w:autoSpaceDN/>
              <w:snapToGrid w:val="0"/>
              <w:spacing w:before="0"/>
              <w:textAlignment w:val="auto"/>
              <w:rPr>
                <w:rFonts w:cs="Arial"/>
                <w:color w:val="000000"/>
                <w:sz w:val="18"/>
                <w:szCs w:val="18"/>
                <w:lang w:val="en-US" w:eastAsia="zh-CN"/>
              </w:rPr>
            </w:pPr>
            <w:r w:rsidRPr="00D82A95">
              <w:rPr>
                <w:rFonts w:cs="Arial"/>
                <w:color w:val="000000"/>
                <w:sz w:val="18"/>
                <w:szCs w:val="18"/>
                <w:lang w:val="en-US" w:eastAsia="zh-CN"/>
              </w:rPr>
              <w:t>Transfer</w:t>
            </w:r>
          </w:p>
        </w:tc>
        <w:tc>
          <w:tcPr>
            <w:tcW w:w="1204" w:type="pct"/>
            <w:tcBorders>
              <w:top w:val="nil"/>
              <w:left w:val="nil"/>
              <w:bottom w:val="nil"/>
              <w:right w:val="single" w:sz="4" w:space="0" w:color="auto"/>
            </w:tcBorders>
            <w:shd w:val="clear" w:color="auto" w:fill="auto"/>
            <w:noWrap/>
            <w:vAlign w:val="bottom"/>
            <w:hideMark/>
          </w:tcPr>
          <w:p w:rsidR="00A81A5E" w:rsidRPr="00D82A95" w:rsidRDefault="00A81A5E" w:rsidP="00D82A95">
            <w:pPr>
              <w:tabs>
                <w:tab w:val="clear" w:pos="567"/>
                <w:tab w:val="clear" w:pos="1134"/>
                <w:tab w:val="clear" w:pos="1701"/>
                <w:tab w:val="clear" w:pos="2268"/>
                <w:tab w:val="clear" w:pos="2835"/>
              </w:tabs>
              <w:overflowPunct/>
              <w:autoSpaceDE/>
              <w:autoSpaceDN/>
              <w:snapToGrid w:val="0"/>
              <w:spacing w:before="0"/>
              <w:jc w:val="right"/>
              <w:textAlignment w:val="auto"/>
              <w:rPr>
                <w:rFonts w:cs="Arial"/>
                <w:color w:val="000000"/>
                <w:sz w:val="18"/>
                <w:szCs w:val="18"/>
                <w:lang w:val="en-US" w:eastAsia="zh-CN"/>
              </w:rPr>
            </w:pPr>
            <w:r w:rsidRPr="00D82A95">
              <w:rPr>
                <w:rFonts w:cs="Arial"/>
                <w:color w:val="000000"/>
                <w:sz w:val="18"/>
                <w:szCs w:val="18"/>
                <w:lang w:val="en-US" w:eastAsia="zh-CN"/>
              </w:rPr>
              <w:t> </w:t>
            </w:r>
          </w:p>
        </w:tc>
        <w:tc>
          <w:tcPr>
            <w:tcW w:w="1120" w:type="pct"/>
            <w:tcBorders>
              <w:top w:val="nil"/>
              <w:left w:val="nil"/>
              <w:bottom w:val="nil"/>
              <w:right w:val="single" w:sz="4" w:space="0" w:color="auto"/>
            </w:tcBorders>
            <w:shd w:val="clear" w:color="auto" w:fill="auto"/>
            <w:noWrap/>
            <w:vAlign w:val="bottom"/>
            <w:hideMark/>
          </w:tcPr>
          <w:p w:rsidR="00A81A5E" w:rsidRPr="00D82A95" w:rsidRDefault="00A81A5E" w:rsidP="00D82A95">
            <w:pPr>
              <w:tabs>
                <w:tab w:val="clear" w:pos="567"/>
                <w:tab w:val="clear" w:pos="1134"/>
                <w:tab w:val="clear" w:pos="1701"/>
                <w:tab w:val="clear" w:pos="2268"/>
                <w:tab w:val="clear" w:pos="2835"/>
              </w:tabs>
              <w:overflowPunct/>
              <w:autoSpaceDE/>
              <w:autoSpaceDN/>
              <w:snapToGrid w:val="0"/>
              <w:spacing w:before="0"/>
              <w:jc w:val="right"/>
              <w:textAlignment w:val="auto"/>
              <w:rPr>
                <w:rFonts w:cs="Arial"/>
                <w:color w:val="000000"/>
                <w:sz w:val="18"/>
                <w:szCs w:val="18"/>
                <w:lang w:val="en-US" w:eastAsia="zh-CN"/>
              </w:rPr>
            </w:pPr>
            <w:r w:rsidRPr="00D82A95">
              <w:rPr>
                <w:rFonts w:cs="Arial"/>
                <w:color w:val="000000"/>
                <w:sz w:val="18"/>
                <w:szCs w:val="18"/>
                <w:lang w:val="en-US" w:eastAsia="zh-CN"/>
              </w:rPr>
              <w:t>-52</w:t>
            </w:r>
          </w:p>
        </w:tc>
        <w:tc>
          <w:tcPr>
            <w:tcW w:w="1344" w:type="pct"/>
            <w:tcBorders>
              <w:top w:val="nil"/>
              <w:left w:val="nil"/>
              <w:bottom w:val="nil"/>
              <w:right w:val="single" w:sz="4" w:space="0" w:color="auto"/>
            </w:tcBorders>
            <w:shd w:val="clear" w:color="auto" w:fill="auto"/>
            <w:noWrap/>
            <w:vAlign w:val="bottom"/>
            <w:hideMark/>
          </w:tcPr>
          <w:p w:rsidR="00A81A5E" w:rsidRPr="00D82A95" w:rsidRDefault="00A81A5E" w:rsidP="00D82A95">
            <w:pPr>
              <w:tabs>
                <w:tab w:val="clear" w:pos="567"/>
                <w:tab w:val="clear" w:pos="1134"/>
                <w:tab w:val="clear" w:pos="1701"/>
                <w:tab w:val="clear" w:pos="2268"/>
                <w:tab w:val="clear" w:pos="2835"/>
              </w:tabs>
              <w:overflowPunct/>
              <w:autoSpaceDE/>
              <w:autoSpaceDN/>
              <w:snapToGrid w:val="0"/>
              <w:spacing w:before="0"/>
              <w:jc w:val="right"/>
              <w:textAlignment w:val="auto"/>
              <w:rPr>
                <w:rFonts w:cs="Arial"/>
                <w:color w:val="000000"/>
                <w:sz w:val="18"/>
                <w:szCs w:val="18"/>
                <w:lang w:val="en-US" w:eastAsia="zh-CN"/>
              </w:rPr>
            </w:pPr>
            <w:r w:rsidRPr="00D82A95">
              <w:rPr>
                <w:rFonts w:cs="Arial"/>
                <w:color w:val="000000"/>
                <w:sz w:val="18"/>
                <w:szCs w:val="18"/>
                <w:lang w:val="en-US" w:eastAsia="zh-CN"/>
              </w:rPr>
              <w:t xml:space="preserve">                          -52 </w:t>
            </w:r>
          </w:p>
        </w:tc>
      </w:tr>
      <w:tr w:rsidR="00A81A5E" w:rsidRPr="00D82A95" w:rsidTr="00A81A5E">
        <w:trPr>
          <w:trHeight w:val="255"/>
        </w:trPr>
        <w:tc>
          <w:tcPr>
            <w:tcW w:w="1332" w:type="pct"/>
            <w:tcBorders>
              <w:top w:val="nil"/>
              <w:left w:val="single" w:sz="4" w:space="0" w:color="auto"/>
              <w:bottom w:val="nil"/>
              <w:right w:val="nil"/>
            </w:tcBorders>
            <w:shd w:val="clear" w:color="auto" w:fill="auto"/>
            <w:noWrap/>
            <w:vAlign w:val="bottom"/>
            <w:hideMark/>
          </w:tcPr>
          <w:p w:rsidR="00A81A5E" w:rsidRPr="00D82A95" w:rsidRDefault="00A81A5E" w:rsidP="00D82A95">
            <w:pPr>
              <w:tabs>
                <w:tab w:val="clear" w:pos="567"/>
                <w:tab w:val="clear" w:pos="1134"/>
                <w:tab w:val="clear" w:pos="1701"/>
                <w:tab w:val="clear" w:pos="2268"/>
                <w:tab w:val="clear" w:pos="2835"/>
              </w:tabs>
              <w:overflowPunct/>
              <w:autoSpaceDE/>
              <w:autoSpaceDN/>
              <w:snapToGrid w:val="0"/>
              <w:spacing w:before="0"/>
              <w:textAlignment w:val="auto"/>
              <w:rPr>
                <w:rFonts w:cs="Arial"/>
                <w:color w:val="000000"/>
                <w:sz w:val="18"/>
                <w:szCs w:val="18"/>
                <w:lang w:val="en-US" w:eastAsia="zh-CN"/>
              </w:rPr>
            </w:pPr>
            <w:r w:rsidRPr="00D82A95">
              <w:rPr>
                <w:rFonts w:cs="Arial"/>
                <w:color w:val="000000"/>
                <w:sz w:val="18"/>
                <w:szCs w:val="18"/>
                <w:lang w:val="en-US" w:eastAsia="zh-CN"/>
              </w:rPr>
              <w:t>Unrealized exchange gain</w:t>
            </w:r>
          </w:p>
        </w:tc>
        <w:tc>
          <w:tcPr>
            <w:tcW w:w="1204" w:type="pct"/>
            <w:tcBorders>
              <w:top w:val="nil"/>
              <w:left w:val="single" w:sz="4" w:space="0" w:color="auto"/>
              <w:bottom w:val="nil"/>
              <w:right w:val="single" w:sz="4" w:space="0" w:color="auto"/>
            </w:tcBorders>
            <w:shd w:val="clear" w:color="auto" w:fill="auto"/>
            <w:noWrap/>
            <w:vAlign w:val="bottom"/>
            <w:hideMark/>
          </w:tcPr>
          <w:p w:rsidR="00A81A5E" w:rsidRPr="00D82A95" w:rsidRDefault="00A81A5E" w:rsidP="00D82A95">
            <w:pPr>
              <w:tabs>
                <w:tab w:val="clear" w:pos="567"/>
                <w:tab w:val="clear" w:pos="1134"/>
                <w:tab w:val="clear" w:pos="1701"/>
                <w:tab w:val="clear" w:pos="2268"/>
                <w:tab w:val="clear" w:pos="2835"/>
              </w:tabs>
              <w:overflowPunct/>
              <w:autoSpaceDE/>
              <w:autoSpaceDN/>
              <w:snapToGrid w:val="0"/>
              <w:spacing w:before="0"/>
              <w:jc w:val="right"/>
              <w:textAlignment w:val="auto"/>
              <w:rPr>
                <w:rFonts w:cs="Arial"/>
                <w:color w:val="000000"/>
                <w:sz w:val="18"/>
                <w:szCs w:val="18"/>
                <w:lang w:val="en-US" w:eastAsia="zh-CN"/>
              </w:rPr>
            </w:pPr>
            <w:r w:rsidRPr="00D82A95">
              <w:rPr>
                <w:rFonts w:cs="Arial"/>
                <w:color w:val="000000"/>
                <w:sz w:val="18"/>
                <w:szCs w:val="18"/>
                <w:lang w:val="en-US" w:eastAsia="zh-CN"/>
              </w:rPr>
              <w:t> </w:t>
            </w:r>
          </w:p>
        </w:tc>
        <w:tc>
          <w:tcPr>
            <w:tcW w:w="1120" w:type="pct"/>
            <w:tcBorders>
              <w:top w:val="nil"/>
              <w:left w:val="nil"/>
              <w:bottom w:val="nil"/>
              <w:right w:val="single" w:sz="4" w:space="0" w:color="auto"/>
            </w:tcBorders>
            <w:shd w:val="clear" w:color="auto" w:fill="auto"/>
            <w:noWrap/>
            <w:vAlign w:val="bottom"/>
            <w:hideMark/>
          </w:tcPr>
          <w:p w:rsidR="00A81A5E" w:rsidRPr="00D82A95" w:rsidRDefault="00A81A5E" w:rsidP="00D82A95">
            <w:pPr>
              <w:tabs>
                <w:tab w:val="clear" w:pos="567"/>
                <w:tab w:val="clear" w:pos="1134"/>
                <w:tab w:val="clear" w:pos="1701"/>
                <w:tab w:val="clear" w:pos="2268"/>
                <w:tab w:val="clear" w:pos="2835"/>
              </w:tabs>
              <w:overflowPunct/>
              <w:autoSpaceDE/>
              <w:autoSpaceDN/>
              <w:snapToGrid w:val="0"/>
              <w:spacing w:before="0"/>
              <w:jc w:val="right"/>
              <w:textAlignment w:val="auto"/>
              <w:rPr>
                <w:rFonts w:cs="Arial"/>
                <w:color w:val="000000"/>
                <w:sz w:val="18"/>
                <w:szCs w:val="18"/>
                <w:lang w:val="en-US" w:eastAsia="zh-CN"/>
              </w:rPr>
            </w:pPr>
            <w:r w:rsidRPr="00D82A95">
              <w:rPr>
                <w:rFonts w:cs="Arial"/>
                <w:color w:val="000000"/>
                <w:sz w:val="18"/>
                <w:szCs w:val="18"/>
                <w:lang w:val="en-US" w:eastAsia="zh-CN"/>
              </w:rPr>
              <w:t> </w:t>
            </w:r>
          </w:p>
        </w:tc>
        <w:tc>
          <w:tcPr>
            <w:tcW w:w="1344" w:type="pct"/>
            <w:tcBorders>
              <w:top w:val="nil"/>
              <w:left w:val="nil"/>
              <w:bottom w:val="nil"/>
              <w:right w:val="single" w:sz="4" w:space="0" w:color="auto"/>
            </w:tcBorders>
            <w:shd w:val="clear" w:color="auto" w:fill="auto"/>
            <w:noWrap/>
            <w:vAlign w:val="bottom"/>
            <w:hideMark/>
          </w:tcPr>
          <w:p w:rsidR="00A81A5E" w:rsidRPr="00D82A95" w:rsidRDefault="00A81A5E" w:rsidP="00D82A95">
            <w:pPr>
              <w:tabs>
                <w:tab w:val="clear" w:pos="567"/>
                <w:tab w:val="clear" w:pos="1134"/>
                <w:tab w:val="clear" w:pos="1701"/>
                <w:tab w:val="clear" w:pos="2268"/>
                <w:tab w:val="clear" w:pos="2835"/>
              </w:tabs>
              <w:overflowPunct/>
              <w:autoSpaceDE/>
              <w:autoSpaceDN/>
              <w:snapToGrid w:val="0"/>
              <w:spacing w:before="0"/>
              <w:jc w:val="right"/>
              <w:textAlignment w:val="auto"/>
              <w:rPr>
                <w:rFonts w:cs="Arial"/>
                <w:color w:val="000000"/>
                <w:sz w:val="18"/>
                <w:szCs w:val="18"/>
                <w:lang w:val="en-US" w:eastAsia="zh-CN"/>
              </w:rPr>
            </w:pPr>
            <w:r w:rsidRPr="00D82A95">
              <w:rPr>
                <w:rFonts w:cs="Arial"/>
                <w:color w:val="000000"/>
                <w:sz w:val="18"/>
                <w:szCs w:val="18"/>
                <w:lang w:val="en-US" w:eastAsia="zh-CN"/>
              </w:rPr>
              <w:t xml:space="preserve">                           -   </w:t>
            </w:r>
          </w:p>
        </w:tc>
      </w:tr>
      <w:tr w:rsidR="00A81A5E" w:rsidRPr="00D82A95" w:rsidTr="00A81A5E">
        <w:trPr>
          <w:trHeight w:val="499"/>
        </w:trPr>
        <w:tc>
          <w:tcPr>
            <w:tcW w:w="1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1A5E" w:rsidRPr="00D82A95" w:rsidRDefault="00A81A5E" w:rsidP="00D82A95">
            <w:pPr>
              <w:tabs>
                <w:tab w:val="clear" w:pos="567"/>
                <w:tab w:val="clear" w:pos="1134"/>
                <w:tab w:val="clear" w:pos="1701"/>
                <w:tab w:val="clear" w:pos="2268"/>
                <w:tab w:val="clear" w:pos="2835"/>
              </w:tabs>
              <w:overflowPunct/>
              <w:autoSpaceDE/>
              <w:autoSpaceDN/>
              <w:snapToGrid w:val="0"/>
              <w:spacing w:before="0"/>
              <w:textAlignment w:val="auto"/>
              <w:rPr>
                <w:rFonts w:cs="Arial"/>
                <w:b/>
                <w:bCs/>
                <w:color w:val="000000"/>
                <w:sz w:val="18"/>
                <w:szCs w:val="18"/>
                <w:lang w:val="en-US" w:eastAsia="zh-CN"/>
              </w:rPr>
            </w:pPr>
            <w:r w:rsidRPr="00D82A95">
              <w:rPr>
                <w:rFonts w:cs="Arial"/>
                <w:b/>
                <w:bCs/>
                <w:color w:val="000000"/>
                <w:sz w:val="18"/>
                <w:szCs w:val="18"/>
                <w:lang w:val="en-US" w:eastAsia="zh-CN"/>
              </w:rPr>
              <w:t>Closing balance</w:t>
            </w:r>
          </w:p>
        </w:tc>
        <w:tc>
          <w:tcPr>
            <w:tcW w:w="1204" w:type="pct"/>
            <w:tcBorders>
              <w:top w:val="single" w:sz="4" w:space="0" w:color="auto"/>
              <w:left w:val="nil"/>
              <w:bottom w:val="single" w:sz="4" w:space="0" w:color="auto"/>
              <w:right w:val="single" w:sz="4" w:space="0" w:color="auto"/>
            </w:tcBorders>
            <w:shd w:val="clear" w:color="auto" w:fill="auto"/>
            <w:noWrap/>
            <w:vAlign w:val="center"/>
            <w:hideMark/>
          </w:tcPr>
          <w:p w:rsidR="00A81A5E" w:rsidRPr="00D82A95" w:rsidRDefault="00A81A5E" w:rsidP="00D82A95">
            <w:pPr>
              <w:tabs>
                <w:tab w:val="clear" w:pos="567"/>
                <w:tab w:val="clear" w:pos="1134"/>
                <w:tab w:val="clear" w:pos="1701"/>
                <w:tab w:val="clear" w:pos="2268"/>
                <w:tab w:val="clear" w:pos="2835"/>
              </w:tabs>
              <w:overflowPunct/>
              <w:autoSpaceDE/>
              <w:autoSpaceDN/>
              <w:snapToGrid w:val="0"/>
              <w:spacing w:before="0"/>
              <w:jc w:val="right"/>
              <w:textAlignment w:val="auto"/>
              <w:rPr>
                <w:rFonts w:cs="Arial"/>
                <w:b/>
                <w:bCs/>
                <w:color w:val="000000"/>
                <w:sz w:val="18"/>
                <w:szCs w:val="18"/>
                <w:lang w:val="en-US" w:eastAsia="zh-CN"/>
              </w:rPr>
            </w:pPr>
            <w:r w:rsidRPr="00D82A95">
              <w:rPr>
                <w:rFonts w:cs="Arial"/>
                <w:b/>
                <w:bCs/>
                <w:color w:val="000000"/>
                <w:sz w:val="18"/>
                <w:szCs w:val="18"/>
                <w:lang w:val="en-US" w:eastAsia="zh-CN"/>
              </w:rPr>
              <w:t xml:space="preserve">               51 </w:t>
            </w:r>
          </w:p>
        </w:tc>
        <w:tc>
          <w:tcPr>
            <w:tcW w:w="1120" w:type="pct"/>
            <w:tcBorders>
              <w:top w:val="single" w:sz="4" w:space="0" w:color="auto"/>
              <w:left w:val="nil"/>
              <w:bottom w:val="single" w:sz="4" w:space="0" w:color="auto"/>
              <w:right w:val="single" w:sz="4" w:space="0" w:color="auto"/>
            </w:tcBorders>
            <w:shd w:val="clear" w:color="auto" w:fill="auto"/>
            <w:noWrap/>
            <w:vAlign w:val="center"/>
            <w:hideMark/>
          </w:tcPr>
          <w:p w:rsidR="00A81A5E" w:rsidRPr="00D82A95" w:rsidRDefault="00A81A5E" w:rsidP="00D82A95">
            <w:pPr>
              <w:tabs>
                <w:tab w:val="clear" w:pos="567"/>
                <w:tab w:val="clear" w:pos="1134"/>
                <w:tab w:val="clear" w:pos="1701"/>
                <w:tab w:val="clear" w:pos="2268"/>
                <w:tab w:val="clear" w:pos="2835"/>
              </w:tabs>
              <w:overflowPunct/>
              <w:autoSpaceDE/>
              <w:autoSpaceDN/>
              <w:snapToGrid w:val="0"/>
              <w:spacing w:before="0"/>
              <w:jc w:val="right"/>
              <w:textAlignment w:val="auto"/>
              <w:rPr>
                <w:rFonts w:cs="Arial"/>
                <w:b/>
                <w:bCs/>
                <w:color w:val="000000"/>
                <w:sz w:val="18"/>
                <w:szCs w:val="18"/>
                <w:lang w:val="en-US" w:eastAsia="zh-CN"/>
              </w:rPr>
            </w:pPr>
            <w:r w:rsidRPr="00D82A95">
              <w:rPr>
                <w:rFonts w:cs="Arial"/>
                <w:b/>
                <w:bCs/>
                <w:color w:val="000000"/>
                <w:sz w:val="18"/>
                <w:szCs w:val="18"/>
                <w:lang w:val="en-US" w:eastAsia="zh-CN"/>
              </w:rPr>
              <w:t xml:space="preserve">                        175 </w:t>
            </w:r>
          </w:p>
        </w:tc>
        <w:tc>
          <w:tcPr>
            <w:tcW w:w="1344" w:type="pct"/>
            <w:tcBorders>
              <w:top w:val="single" w:sz="4" w:space="0" w:color="auto"/>
              <w:left w:val="nil"/>
              <w:bottom w:val="single" w:sz="4" w:space="0" w:color="auto"/>
              <w:right w:val="single" w:sz="4" w:space="0" w:color="auto"/>
            </w:tcBorders>
            <w:shd w:val="clear" w:color="auto" w:fill="auto"/>
            <w:noWrap/>
            <w:vAlign w:val="center"/>
            <w:hideMark/>
          </w:tcPr>
          <w:p w:rsidR="00A81A5E" w:rsidRPr="00D82A95" w:rsidRDefault="00A81A5E" w:rsidP="00D82A95">
            <w:pPr>
              <w:tabs>
                <w:tab w:val="clear" w:pos="567"/>
                <w:tab w:val="clear" w:pos="1134"/>
                <w:tab w:val="clear" w:pos="1701"/>
                <w:tab w:val="clear" w:pos="2268"/>
                <w:tab w:val="clear" w:pos="2835"/>
              </w:tabs>
              <w:overflowPunct/>
              <w:autoSpaceDE/>
              <w:autoSpaceDN/>
              <w:snapToGrid w:val="0"/>
              <w:spacing w:before="0"/>
              <w:jc w:val="right"/>
              <w:textAlignment w:val="auto"/>
              <w:rPr>
                <w:rFonts w:cs="Arial"/>
                <w:b/>
                <w:bCs/>
                <w:color w:val="000000"/>
                <w:sz w:val="18"/>
                <w:szCs w:val="18"/>
                <w:lang w:val="en-US" w:eastAsia="zh-CN"/>
              </w:rPr>
            </w:pPr>
            <w:r w:rsidRPr="00D82A95">
              <w:rPr>
                <w:rFonts w:cs="Arial"/>
                <w:b/>
                <w:bCs/>
                <w:color w:val="000000"/>
                <w:sz w:val="18"/>
                <w:szCs w:val="18"/>
                <w:lang w:val="en-US" w:eastAsia="zh-CN"/>
              </w:rPr>
              <w:t xml:space="preserve">                         226 </w:t>
            </w:r>
          </w:p>
        </w:tc>
      </w:tr>
    </w:tbl>
    <w:p w:rsidR="00DA2ABD" w:rsidRPr="00D82A95" w:rsidRDefault="00DA2ABD" w:rsidP="00D82A95">
      <w:pPr>
        <w:keepNext/>
        <w:snapToGrid w:val="0"/>
        <w:spacing w:before="0"/>
        <w:rPr>
          <w:b/>
          <w:bCs/>
          <w:sz w:val="18"/>
          <w:szCs w:val="18"/>
          <w:lang w:val="en-US"/>
        </w:rPr>
      </w:pPr>
    </w:p>
    <w:p w:rsidR="00CF1FDC" w:rsidRPr="00CF1FDC" w:rsidRDefault="00CF1FDC" w:rsidP="00171543">
      <w:pPr>
        <w:keepNext/>
        <w:spacing w:before="0"/>
        <w:rPr>
          <w:rFonts w:cs="Arial"/>
          <w:szCs w:val="24"/>
          <w:lang w:val="en-US"/>
        </w:rPr>
      </w:pPr>
      <w:r w:rsidRPr="00CF1FDC">
        <w:rPr>
          <w:rFonts w:cs="Arial"/>
          <w:szCs w:val="24"/>
          <w:lang w:val="en-US" w:eastAsia="fr-FR"/>
        </w:rPr>
        <w:t xml:space="preserve">Overtime is calculated in accordance with </w:t>
      </w:r>
      <w:r w:rsidRPr="00CF1FDC">
        <w:rPr>
          <w:rFonts w:cs="Arial"/>
          <w:szCs w:val="24"/>
          <w:lang w:val="en-US"/>
        </w:rPr>
        <w:t>the conditions established in the Staff Regulations and Staff Rules on the basis of local conditions and practices of local organizations of the United Nations common system.</w:t>
      </w:r>
    </w:p>
    <w:p w:rsidR="00DA2ABD" w:rsidRDefault="0022373A" w:rsidP="002F3DDC">
      <w:pPr>
        <w:spacing w:after="120"/>
        <w:rPr>
          <w:rFonts w:cs="Arial"/>
          <w:szCs w:val="24"/>
          <w:lang w:val="en-US" w:eastAsia="fr-FR"/>
        </w:rPr>
      </w:pPr>
      <w:r w:rsidRPr="00CF1FDC">
        <w:rPr>
          <w:rFonts w:cs="Arial"/>
          <w:szCs w:val="24"/>
          <w:lang w:val="en-US" w:eastAsia="fr-FR"/>
        </w:rPr>
        <w:t>Accrued leave refers to leave accrued during the financial period.</w:t>
      </w:r>
    </w:p>
    <w:p w:rsidR="0022373A" w:rsidRPr="001C2A98" w:rsidRDefault="0022373A" w:rsidP="00284AFF">
      <w:pPr>
        <w:pStyle w:val="Heading5"/>
        <w:tabs>
          <w:tab w:val="clear" w:pos="1134"/>
          <w:tab w:val="left" w:pos="851"/>
        </w:tabs>
        <w:ind w:left="0" w:firstLine="0"/>
        <w:rPr>
          <w:lang w:val="en-US"/>
        </w:rPr>
      </w:pPr>
      <w:bookmarkStart w:id="93" w:name="_Toc305764092"/>
      <w:bookmarkStart w:id="94" w:name="_Toc329011643"/>
      <w:r w:rsidRPr="001C2A98">
        <w:rPr>
          <w:lang w:val="en-US"/>
        </w:rPr>
        <w:t>1</w:t>
      </w:r>
      <w:r w:rsidR="00284AFF">
        <w:rPr>
          <w:lang w:val="en-US"/>
        </w:rPr>
        <w:t>7</w:t>
      </w:r>
      <w:r w:rsidRPr="001C2A98">
        <w:rPr>
          <w:lang w:val="en-US"/>
        </w:rPr>
        <w:t xml:space="preserve">.2 </w:t>
      </w:r>
      <w:r w:rsidR="00165BEF">
        <w:rPr>
          <w:lang w:val="en-US"/>
        </w:rPr>
        <w:tab/>
      </w:r>
      <w:r w:rsidR="003E0EC2">
        <w:rPr>
          <w:lang w:val="en-US"/>
        </w:rPr>
        <w:tab/>
      </w:r>
      <w:r w:rsidRPr="001C2A98">
        <w:rPr>
          <w:lang w:val="en-US"/>
        </w:rPr>
        <w:t>Long-term employee benefits</w:t>
      </w:r>
      <w:bookmarkEnd w:id="93"/>
      <w:bookmarkEnd w:id="94"/>
    </w:p>
    <w:p w:rsidR="0022373A" w:rsidRDefault="00794B42" w:rsidP="00A81A5E">
      <w:pPr>
        <w:keepNext/>
        <w:spacing w:before="240" w:after="240"/>
        <w:rPr>
          <w:b/>
          <w:bCs/>
          <w:lang w:val="en-US"/>
        </w:rPr>
      </w:pPr>
      <w:r>
        <w:rPr>
          <w:b/>
          <w:bCs/>
          <w:lang w:val="en-US"/>
        </w:rPr>
        <w:t>Figures at 31.12.</w:t>
      </w:r>
      <w:r w:rsidR="00111BDD">
        <w:rPr>
          <w:b/>
          <w:bCs/>
          <w:lang w:val="en-US"/>
        </w:rPr>
        <w:t>201</w:t>
      </w:r>
      <w:r w:rsidR="00A81A5E">
        <w:rPr>
          <w:b/>
          <w:bCs/>
          <w:lang w:val="en-US"/>
        </w:rPr>
        <w:t>7</w:t>
      </w:r>
    </w:p>
    <w:tbl>
      <w:tblPr>
        <w:tblW w:w="5000" w:type="pct"/>
        <w:tblLayout w:type="fixed"/>
        <w:tblLook w:val="04A0" w:firstRow="1" w:lastRow="0" w:firstColumn="1" w:lastColumn="0" w:noHBand="0" w:noVBand="1"/>
      </w:tblPr>
      <w:tblGrid>
        <w:gridCol w:w="2695"/>
        <w:gridCol w:w="991"/>
        <w:gridCol w:w="1290"/>
        <w:gridCol w:w="1662"/>
        <w:gridCol w:w="1288"/>
        <w:gridCol w:w="1850"/>
      </w:tblGrid>
      <w:tr w:rsidR="00A81A5E" w:rsidRPr="00A81A5E" w:rsidTr="00A81A5E">
        <w:trPr>
          <w:trHeight w:val="855"/>
        </w:trPr>
        <w:tc>
          <w:tcPr>
            <w:tcW w:w="1378" w:type="pct"/>
            <w:tcBorders>
              <w:top w:val="nil"/>
              <w:left w:val="nil"/>
              <w:bottom w:val="nil"/>
              <w:right w:val="nil"/>
            </w:tcBorders>
            <w:shd w:val="clear" w:color="auto" w:fill="auto"/>
            <w:noWrap/>
            <w:vAlign w:val="bottom"/>
            <w:hideMark/>
          </w:tcPr>
          <w:p w:rsidR="00A81A5E" w:rsidRPr="00A81A5E" w:rsidRDefault="00A81A5E" w:rsidP="00A81A5E">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szCs w:val="24"/>
                <w:lang w:val="en-US" w:eastAsia="zh-CN"/>
              </w:rPr>
            </w:pPr>
          </w:p>
        </w:tc>
        <w:tc>
          <w:tcPr>
            <w:tcW w:w="3622"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A81A5E" w:rsidRPr="00A81A5E" w:rsidRDefault="00A81A5E" w:rsidP="00A81A5E">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20"/>
                <w:lang w:val="en-US" w:eastAsia="zh-CN"/>
              </w:rPr>
            </w:pPr>
            <w:r w:rsidRPr="00A81A5E">
              <w:rPr>
                <w:rFonts w:ascii="Arial" w:hAnsi="Arial" w:cs="Arial"/>
                <w:b/>
                <w:bCs/>
                <w:color w:val="000000"/>
                <w:sz w:val="20"/>
                <w:lang w:val="en-US" w:eastAsia="zh-CN"/>
              </w:rPr>
              <w:t>Employee benefits – long term</w:t>
            </w:r>
          </w:p>
        </w:tc>
      </w:tr>
      <w:tr w:rsidR="00A81A5E" w:rsidRPr="00A81A5E" w:rsidTr="00A81A5E">
        <w:trPr>
          <w:trHeight w:val="765"/>
        </w:trPr>
        <w:tc>
          <w:tcPr>
            <w:tcW w:w="1378" w:type="pct"/>
            <w:tcBorders>
              <w:top w:val="single" w:sz="4" w:space="0" w:color="auto"/>
              <w:left w:val="single" w:sz="4" w:space="0" w:color="auto"/>
              <w:bottom w:val="single" w:sz="4" w:space="0" w:color="auto"/>
              <w:right w:val="nil"/>
            </w:tcBorders>
            <w:shd w:val="clear" w:color="auto" w:fill="auto"/>
            <w:noWrap/>
            <w:vAlign w:val="center"/>
            <w:hideMark/>
          </w:tcPr>
          <w:p w:rsidR="00A81A5E" w:rsidRPr="00A81A5E" w:rsidRDefault="00A81A5E" w:rsidP="00A81A5E">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20"/>
                <w:lang w:val="en-US" w:eastAsia="zh-CN"/>
              </w:rPr>
            </w:pPr>
            <w:r w:rsidRPr="00A81A5E">
              <w:rPr>
                <w:rFonts w:ascii="Arial" w:hAnsi="Arial" w:cs="Arial"/>
                <w:b/>
                <w:bCs/>
                <w:color w:val="000000"/>
                <w:sz w:val="20"/>
                <w:lang w:val="en-US" w:eastAsia="zh-CN"/>
              </w:rPr>
              <w:t>In thousands of CHF</w:t>
            </w:r>
          </w:p>
        </w:tc>
        <w:tc>
          <w:tcPr>
            <w:tcW w:w="507" w:type="pct"/>
            <w:tcBorders>
              <w:top w:val="nil"/>
              <w:left w:val="single" w:sz="4" w:space="0" w:color="auto"/>
              <w:bottom w:val="single" w:sz="4" w:space="0" w:color="auto"/>
              <w:right w:val="single" w:sz="4" w:space="0" w:color="auto"/>
            </w:tcBorders>
            <w:shd w:val="clear" w:color="auto" w:fill="auto"/>
            <w:vAlign w:val="center"/>
            <w:hideMark/>
          </w:tcPr>
          <w:p w:rsidR="00A81A5E" w:rsidRPr="00A81A5E" w:rsidRDefault="00A81A5E" w:rsidP="00A81A5E">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20"/>
                <w:lang w:val="en-US" w:eastAsia="zh-CN"/>
              </w:rPr>
            </w:pPr>
            <w:r w:rsidRPr="00A81A5E">
              <w:rPr>
                <w:rFonts w:ascii="Arial" w:hAnsi="Arial" w:cs="Arial"/>
                <w:b/>
                <w:bCs/>
                <w:color w:val="000000"/>
                <w:sz w:val="20"/>
                <w:lang w:val="en-US" w:eastAsia="zh-CN"/>
              </w:rPr>
              <w:t>ASHI</w:t>
            </w:r>
          </w:p>
        </w:tc>
        <w:tc>
          <w:tcPr>
            <w:tcW w:w="660" w:type="pct"/>
            <w:tcBorders>
              <w:top w:val="nil"/>
              <w:left w:val="nil"/>
              <w:bottom w:val="single" w:sz="4" w:space="0" w:color="auto"/>
              <w:right w:val="single" w:sz="4" w:space="0" w:color="auto"/>
            </w:tcBorders>
            <w:shd w:val="clear" w:color="auto" w:fill="auto"/>
            <w:vAlign w:val="center"/>
            <w:hideMark/>
          </w:tcPr>
          <w:p w:rsidR="00A81A5E" w:rsidRPr="00A81A5E" w:rsidRDefault="00A81A5E" w:rsidP="00A81A5E">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20"/>
                <w:lang w:val="en-US" w:eastAsia="zh-CN"/>
              </w:rPr>
            </w:pPr>
            <w:r w:rsidRPr="00A81A5E">
              <w:rPr>
                <w:rFonts w:ascii="Arial" w:hAnsi="Arial" w:cs="Arial"/>
                <w:b/>
                <w:bCs/>
                <w:color w:val="000000"/>
                <w:sz w:val="20"/>
                <w:lang w:val="en-US" w:eastAsia="zh-CN"/>
              </w:rPr>
              <w:t>Pensions</w:t>
            </w:r>
          </w:p>
        </w:tc>
        <w:tc>
          <w:tcPr>
            <w:tcW w:w="850" w:type="pct"/>
            <w:tcBorders>
              <w:top w:val="nil"/>
              <w:left w:val="nil"/>
              <w:bottom w:val="single" w:sz="4" w:space="0" w:color="auto"/>
              <w:right w:val="single" w:sz="4" w:space="0" w:color="auto"/>
            </w:tcBorders>
            <w:shd w:val="clear" w:color="auto" w:fill="auto"/>
            <w:vAlign w:val="bottom"/>
            <w:hideMark/>
          </w:tcPr>
          <w:p w:rsidR="00A81A5E" w:rsidRPr="00A81A5E" w:rsidRDefault="00A81A5E" w:rsidP="00A81A5E">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20"/>
                <w:lang w:val="en-US" w:eastAsia="zh-CN"/>
              </w:rPr>
            </w:pPr>
            <w:r w:rsidRPr="00A81A5E">
              <w:rPr>
                <w:rFonts w:ascii="Arial" w:hAnsi="Arial" w:cs="Arial"/>
                <w:b/>
                <w:bCs/>
                <w:color w:val="000000"/>
                <w:sz w:val="20"/>
                <w:lang w:val="en-US" w:eastAsia="zh-CN"/>
              </w:rPr>
              <w:t>Installation/   repatriation</w:t>
            </w:r>
          </w:p>
        </w:tc>
        <w:tc>
          <w:tcPr>
            <w:tcW w:w="659" w:type="pct"/>
            <w:tcBorders>
              <w:top w:val="nil"/>
              <w:left w:val="nil"/>
              <w:bottom w:val="single" w:sz="4" w:space="0" w:color="auto"/>
              <w:right w:val="single" w:sz="4" w:space="0" w:color="auto"/>
            </w:tcBorders>
            <w:shd w:val="clear" w:color="auto" w:fill="auto"/>
            <w:vAlign w:val="center"/>
            <w:hideMark/>
          </w:tcPr>
          <w:p w:rsidR="00A81A5E" w:rsidRPr="00A81A5E" w:rsidRDefault="00A81A5E" w:rsidP="00A81A5E">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20"/>
                <w:lang w:val="en-US" w:eastAsia="zh-CN"/>
              </w:rPr>
            </w:pPr>
            <w:r w:rsidRPr="00A81A5E">
              <w:rPr>
                <w:rFonts w:ascii="Arial" w:hAnsi="Arial" w:cs="Arial"/>
                <w:b/>
                <w:bCs/>
                <w:color w:val="000000"/>
                <w:sz w:val="20"/>
                <w:lang w:val="en-US" w:eastAsia="zh-CN"/>
              </w:rPr>
              <w:t>Accumulated leave</w:t>
            </w:r>
          </w:p>
        </w:tc>
        <w:tc>
          <w:tcPr>
            <w:tcW w:w="946" w:type="pct"/>
            <w:tcBorders>
              <w:top w:val="nil"/>
              <w:left w:val="nil"/>
              <w:bottom w:val="single" w:sz="4" w:space="0" w:color="auto"/>
              <w:right w:val="single" w:sz="4" w:space="0" w:color="auto"/>
            </w:tcBorders>
            <w:shd w:val="clear" w:color="auto" w:fill="auto"/>
            <w:vAlign w:val="center"/>
            <w:hideMark/>
          </w:tcPr>
          <w:p w:rsidR="00A81A5E" w:rsidRPr="00A81A5E" w:rsidRDefault="00A81A5E" w:rsidP="00A81A5E">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20"/>
                <w:lang w:val="en-US" w:eastAsia="zh-CN"/>
              </w:rPr>
            </w:pPr>
            <w:r w:rsidRPr="00A81A5E">
              <w:rPr>
                <w:rFonts w:ascii="Arial" w:hAnsi="Arial" w:cs="Arial"/>
                <w:b/>
                <w:bCs/>
                <w:color w:val="000000"/>
                <w:sz w:val="20"/>
                <w:lang w:val="en-US" w:eastAsia="zh-CN"/>
              </w:rPr>
              <w:t>Total employee benefits long term</w:t>
            </w:r>
          </w:p>
        </w:tc>
      </w:tr>
      <w:tr w:rsidR="00A81A5E" w:rsidRPr="00A81A5E" w:rsidTr="00A81A5E">
        <w:trPr>
          <w:trHeight w:val="255"/>
        </w:trPr>
        <w:tc>
          <w:tcPr>
            <w:tcW w:w="1378" w:type="pct"/>
            <w:tcBorders>
              <w:top w:val="nil"/>
              <w:left w:val="single" w:sz="4" w:space="0" w:color="auto"/>
              <w:bottom w:val="single" w:sz="4" w:space="0" w:color="auto"/>
              <w:right w:val="nil"/>
            </w:tcBorders>
            <w:shd w:val="clear" w:color="auto" w:fill="auto"/>
            <w:noWrap/>
            <w:vAlign w:val="center"/>
            <w:hideMark/>
          </w:tcPr>
          <w:p w:rsidR="00A81A5E" w:rsidRPr="00A81A5E" w:rsidRDefault="00A81A5E" w:rsidP="00A81A5E">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20"/>
                <w:lang w:val="en-US" w:eastAsia="zh-CN"/>
              </w:rPr>
            </w:pPr>
            <w:r w:rsidRPr="00A81A5E">
              <w:rPr>
                <w:rFonts w:ascii="Arial" w:hAnsi="Arial" w:cs="Arial"/>
                <w:b/>
                <w:bCs/>
                <w:color w:val="000000"/>
                <w:sz w:val="20"/>
                <w:lang w:val="en-US" w:eastAsia="zh-CN"/>
              </w:rPr>
              <w:t>Opening balance</w:t>
            </w:r>
          </w:p>
        </w:tc>
        <w:tc>
          <w:tcPr>
            <w:tcW w:w="507" w:type="pct"/>
            <w:tcBorders>
              <w:top w:val="nil"/>
              <w:left w:val="single" w:sz="4" w:space="0" w:color="auto"/>
              <w:bottom w:val="single" w:sz="4" w:space="0" w:color="auto"/>
              <w:right w:val="single" w:sz="4" w:space="0" w:color="auto"/>
            </w:tcBorders>
            <w:shd w:val="clear" w:color="auto" w:fill="auto"/>
            <w:noWrap/>
            <w:vAlign w:val="center"/>
            <w:hideMark/>
          </w:tcPr>
          <w:p w:rsidR="00A81A5E" w:rsidRPr="00A81A5E" w:rsidRDefault="00A81A5E" w:rsidP="00A81A5E">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A81A5E">
              <w:rPr>
                <w:rFonts w:ascii="Arial" w:hAnsi="Arial" w:cs="Arial"/>
                <w:b/>
                <w:bCs/>
                <w:color w:val="000000"/>
                <w:sz w:val="20"/>
                <w:lang w:val="en-US" w:eastAsia="zh-CN"/>
              </w:rPr>
              <w:t xml:space="preserve">   551,911 </w:t>
            </w:r>
          </w:p>
        </w:tc>
        <w:tc>
          <w:tcPr>
            <w:tcW w:w="660" w:type="pct"/>
            <w:tcBorders>
              <w:top w:val="nil"/>
              <w:left w:val="nil"/>
              <w:bottom w:val="single" w:sz="4" w:space="0" w:color="auto"/>
              <w:right w:val="single" w:sz="4" w:space="0" w:color="auto"/>
            </w:tcBorders>
            <w:shd w:val="clear" w:color="auto" w:fill="auto"/>
            <w:noWrap/>
            <w:vAlign w:val="center"/>
            <w:hideMark/>
          </w:tcPr>
          <w:p w:rsidR="00A81A5E" w:rsidRPr="00A81A5E" w:rsidRDefault="00A81A5E" w:rsidP="00A81A5E">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A81A5E">
              <w:rPr>
                <w:rFonts w:ascii="Arial" w:hAnsi="Arial" w:cs="Arial"/>
                <w:b/>
                <w:bCs/>
                <w:color w:val="000000"/>
                <w:sz w:val="20"/>
                <w:lang w:val="en-US" w:eastAsia="zh-CN"/>
              </w:rPr>
              <w:t xml:space="preserve">                    54 </w:t>
            </w:r>
          </w:p>
        </w:tc>
        <w:tc>
          <w:tcPr>
            <w:tcW w:w="850" w:type="pct"/>
            <w:tcBorders>
              <w:top w:val="nil"/>
              <w:left w:val="nil"/>
              <w:bottom w:val="single" w:sz="4" w:space="0" w:color="auto"/>
              <w:right w:val="single" w:sz="4" w:space="0" w:color="auto"/>
            </w:tcBorders>
            <w:shd w:val="clear" w:color="auto" w:fill="auto"/>
            <w:noWrap/>
            <w:vAlign w:val="center"/>
            <w:hideMark/>
          </w:tcPr>
          <w:p w:rsidR="00A81A5E" w:rsidRPr="00A81A5E" w:rsidRDefault="00A81A5E" w:rsidP="00A81A5E">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A81A5E">
              <w:rPr>
                <w:rFonts w:ascii="Arial" w:hAnsi="Arial" w:cs="Arial"/>
                <w:b/>
                <w:bCs/>
                <w:color w:val="000000"/>
                <w:sz w:val="20"/>
                <w:lang w:val="en-US" w:eastAsia="zh-CN"/>
              </w:rPr>
              <w:t xml:space="preserve">               14,667 </w:t>
            </w:r>
          </w:p>
        </w:tc>
        <w:tc>
          <w:tcPr>
            <w:tcW w:w="659" w:type="pct"/>
            <w:tcBorders>
              <w:top w:val="nil"/>
              <w:left w:val="nil"/>
              <w:bottom w:val="single" w:sz="4" w:space="0" w:color="auto"/>
              <w:right w:val="single" w:sz="4" w:space="0" w:color="auto"/>
            </w:tcBorders>
            <w:shd w:val="clear" w:color="auto" w:fill="auto"/>
            <w:noWrap/>
            <w:vAlign w:val="center"/>
            <w:hideMark/>
          </w:tcPr>
          <w:p w:rsidR="00A81A5E" w:rsidRPr="00A81A5E" w:rsidRDefault="00A81A5E" w:rsidP="00A81A5E">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A81A5E">
              <w:rPr>
                <w:rFonts w:ascii="Arial" w:hAnsi="Arial" w:cs="Arial"/>
                <w:b/>
                <w:bCs/>
                <w:color w:val="000000"/>
                <w:sz w:val="20"/>
                <w:lang w:val="en-US" w:eastAsia="zh-CN"/>
              </w:rPr>
              <w:t xml:space="preserve">          8,491 </w:t>
            </w:r>
          </w:p>
        </w:tc>
        <w:tc>
          <w:tcPr>
            <w:tcW w:w="946" w:type="pct"/>
            <w:tcBorders>
              <w:top w:val="nil"/>
              <w:left w:val="nil"/>
              <w:bottom w:val="single" w:sz="4" w:space="0" w:color="auto"/>
              <w:right w:val="single" w:sz="4" w:space="0" w:color="auto"/>
            </w:tcBorders>
            <w:shd w:val="clear" w:color="auto" w:fill="auto"/>
            <w:noWrap/>
            <w:vAlign w:val="center"/>
            <w:hideMark/>
          </w:tcPr>
          <w:p w:rsidR="00A81A5E" w:rsidRPr="00A81A5E" w:rsidRDefault="00A81A5E" w:rsidP="00A81A5E">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A81A5E">
              <w:rPr>
                <w:rFonts w:ascii="Arial" w:hAnsi="Arial" w:cs="Arial"/>
                <w:b/>
                <w:bCs/>
                <w:color w:val="000000"/>
                <w:sz w:val="20"/>
                <w:lang w:val="en-US" w:eastAsia="zh-CN"/>
              </w:rPr>
              <w:t xml:space="preserve">                575,123 </w:t>
            </w:r>
          </w:p>
        </w:tc>
      </w:tr>
      <w:tr w:rsidR="00A81A5E" w:rsidRPr="00A81A5E" w:rsidTr="00A81A5E">
        <w:trPr>
          <w:trHeight w:val="255"/>
        </w:trPr>
        <w:tc>
          <w:tcPr>
            <w:tcW w:w="1378" w:type="pct"/>
            <w:tcBorders>
              <w:top w:val="nil"/>
              <w:left w:val="single" w:sz="4" w:space="0" w:color="auto"/>
              <w:bottom w:val="nil"/>
              <w:right w:val="single" w:sz="4" w:space="0" w:color="auto"/>
            </w:tcBorders>
            <w:shd w:val="clear" w:color="auto" w:fill="auto"/>
            <w:noWrap/>
            <w:vAlign w:val="bottom"/>
            <w:hideMark/>
          </w:tcPr>
          <w:p w:rsidR="00A81A5E" w:rsidRPr="00A81A5E" w:rsidRDefault="00A81A5E" w:rsidP="00A81A5E">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A81A5E">
              <w:rPr>
                <w:rFonts w:ascii="Arial" w:hAnsi="Arial" w:cs="Arial"/>
                <w:color w:val="000000"/>
                <w:sz w:val="20"/>
                <w:lang w:val="en-US" w:eastAsia="zh-CN"/>
              </w:rPr>
              <w:t>Increase</w:t>
            </w:r>
          </w:p>
        </w:tc>
        <w:tc>
          <w:tcPr>
            <w:tcW w:w="507" w:type="pct"/>
            <w:tcBorders>
              <w:top w:val="nil"/>
              <w:left w:val="nil"/>
              <w:bottom w:val="nil"/>
              <w:right w:val="single" w:sz="4" w:space="0" w:color="auto"/>
            </w:tcBorders>
            <w:shd w:val="clear" w:color="auto" w:fill="auto"/>
            <w:noWrap/>
            <w:vAlign w:val="bottom"/>
            <w:hideMark/>
          </w:tcPr>
          <w:p w:rsidR="00A81A5E" w:rsidRPr="00A81A5E" w:rsidRDefault="00A81A5E" w:rsidP="00A81A5E">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A81A5E">
              <w:rPr>
                <w:rFonts w:ascii="Arial" w:hAnsi="Arial" w:cs="Arial"/>
                <w:color w:val="000000"/>
                <w:sz w:val="20"/>
                <w:lang w:val="en-US" w:eastAsia="zh-CN"/>
              </w:rPr>
              <w:t xml:space="preserve">         65,339 </w:t>
            </w:r>
          </w:p>
        </w:tc>
        <w:tc>
          <w:tcPr>
            <w:tcW w:w="660" w:type="pct"/>
            <w:tcBorders>
              <w:top w:val="nil"/>
              <w:left w:val="nil"/>
              <w:bottom w:val="nil"/>
              <w:right w:val="single" w:sz="4" w:space="0" w:color="auto"/>
            </w:tcBorders>
            <w:shd w:val="clear" w:color="auto" w:fill="auto"/>
            <w:noWrap/>
            <w:vAlign w:val="bottom"/>
            <w:hideMark/>
          </w:tcPr>
          <w:p w:rsidR="00A81A5E" w:rsidRPr="00A81A5E" w:rsidRDefault="00A81A5E" w:rsidP="00A81A5E">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A81A5E">
              <w:rPr>
                <w:rFonts w:ascii="Arial" w:hAnsi="Arial" w:cs="Arial"/>
                <w:color w:val="000000"/>
                <w:sz w:val="20"/>
                <w:lang w:val="en-US" w:eastAsia="zh-CN"/>
              </w:rPr>
              <w:t> </w:t>
            </w:r>
          </w:p>
        </w:tc>
        <w:tc>
          <w:tcPr>
            <w:tcW w:w="850" w:type="pct"/>
            <w:tcBorders>
              <w:top w:val="nil"/>
              <w:left w:val="nil"/>
              <w:bottom w:val="nil"/>
              <w:right w:val="single" w:sz="4" w:space="0" w:color="auto"/>
            </w:tcBorders>
            <w:shd w:val="clear" w:color="auto" w:fill="auto"/>
            <w:noWrap/>
            <w:vAlign w:val="bottom"/>
            <w:hideMark/>
          </w:tcPr>
          <w:p w:rsidR="00A81A5E" w:rsidRPr="00A81A5E" w:rsidRDefault="00A81A5E" w:rsidP="00A81A5E">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A81A5E">
              <w:rPr>
                <w:rFonts w:ascii="Arial" w:hAnsi="Arial" w:cs="Arial"/>
                <w:color w:val="000000"/>
                <w:sz w:val="20"/>
                <w:lang w:val="en-US" w:eastAsia="zh-CN"/>
              </w:rPr>
              <w:t xml:space="preserve">                         809 </w:t>
            </w:r>
          </w:p>
        </w:tc>
        <w:tc>
          <w:tcPr>
            <w:tcW w:w="659" w:type="pct"/>
            <w:tcBorders>
              <w:top w:val="nil"/>
              <w:left w:val="nil"/>
              <w:bottom w:val="nil"/>
              <w:right w:val="single" w:sz="4" w:space="0" w:color="auto"/>
            </w:tcBorders>
            <w:shd w:val="clear" w:color="auto" w:fill="auto"/>
            <w:noWrap/>
            <w:vAlign w:val="bottom"/>
            <w:hideMark/>
          </w:tcPr>
          <w:p w:rsidR="00A81A5E" w:rsidRPr="00A81A5E" w:rsidRDefault="00A81A5E" w:rsidP="00A81A5E">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A81A5E">
              <w:rPr>
                <w:rFonts w:ascii="Arial" w:hAnsi="Arial" w:cs="Arial"/>
                <w:color w:val="000000"/>
                <w:sz w:val="20"/>
                <w:lang w:val="en-US" w:eastAsia="zh-CN"/>
              </w:rPr>
              <w:t xml:space="preserve">                 143 </w:t>
            </w:r>
          </w:p>
        </w:tc>
        <w:tc>
          <w:tcPr>
            <w:tcW w:w="946" w:type="pct"/>
            <w:tcBorders>
              <w:top w:val="nil"/>
              <w:left w:val="nil"/>
              <w:bottom w:val="nil"/>
              <w:right w:val="single" w:sz="4" w:space="0" w:color="auto"/>
            </w:tcBorders>
            <w:shd w:val="clear" w:color="auto" w:fill="auto"/>
            <w:noWrap/>
            <w:vAlign w:val="bottom"/>
            <w:hideMark/>
          </w:tcPr>
          <w:p w:rsidR="00A81A5E" w:rsidRPr="00A81A5E" w:rsidRDefault="00A81A5E" w:rsidP="00A81A5E">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A81A5E">
              <w:rPr>
                <w:rFonts w:ascii="Arial" w:hAnsi="Arial" w:cs="Arial"/>
                <w:color w:val="000000"/>
                <w:sz w:val="20"/>
                <w:lang w:val="en-US" w:eastAsia="zh-CN"/>
              </w:rPr>
              <w:t> </w:t>
            </w:r>
          </w:p>
        </w:tc>
      </w:tr>
      <w:tr w:rsidR="00A81A5E" w:rsidRPr="00A81A5E" w:rsidTr="00A81A5E">
        <w:trPr>
          <w:trHeight w:val="255"/>
        </w:trPr>
        <w:tc>
          <w:tcPr>
            <w:tcW w:w="1378" w:type="pct"/>
            <w:tcBorders>
              <w:top w:val="nil"/>
              <w:left w:val="single" w:sz="4" w:space="0" w:color="auto"/>
              <w:bottom w:val="nil"/>
              <w:right w:val="single" w:sz="4" w:space="0" w:color="auto"/>
            </w:tcBorders>
            <w:shd w:val="clear" w:color="auto" w:fill="auto"/>
            <w:noWrap/>
            <w:vAlign w:val="bottom"/>
            <w:hideMark/>
          </w:tcPr>
          <w:p w:rsidR="00A81A5E" w:rsidRPr="00A81A5E" w:rsidRDefault="00A81A5E" w:rsidP="00A81A5E">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A81A5E">
              <w:rPr>
                <w:rFonts w:ascii="Arial" w:hAnsi="Arial" w:cs="Arial"/>
                <w:color w:val="000000"/>
                <w:sz w:val="20"/>
                <w:lang w:val="en-US" w:eastAsia="zh-CN"/>
              </w:rPr>
              <w:t>Used during year</w:t>
            </w:r>
          </w:p>
        </w:tc>
        <w:tc>
          <w:tcPr>
            <w:tcW w:w="507" w:type="pct"/>
            <w:tcBorders>
              <w:top w:val="nil"/>
              <w:left w:val="nil"/>
              <w:bottom w:val="nil"/>
              <w:right w:val="single" w:sz="4" w:space="0" w:color="auto"/>
            </w:tcBorders>
            <w:shd w:val="clear" w:color="auto" w:fill="auto"/>
            <w:noWrap/>
            <w:vAlign w:val="bottom"/>
            <w:hideMark/>
          </w:tcPr>
          <w:p w:rsidR="00A81A5E" w:rsidRPr="00A81A5E" w:rsidRDefault="00A81A5E" w:rsidP="00A81A5E">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A81A5E">
              <w:rPr>
                <w:rFonts w:ascii="Arial" w:hAnsi="Arial" w:cs="Arial"/>
                <w:color w:val="000000"/>
                <w:sz w:val="20"/>
                <w:lang w:val="en-US" w:eastAsia="zh-CN"/>
              </w:rPr>
              <w:t> </w:t>
            </w:r>
          </w:p>
        </w:tc>
        <w:tc>
          <w:tcPr>
            <w:tcW w:w="660" w:type="pct"/>
            <w:tcBorders>
              <w:top w:val="nil"/>
              <w:left w:val="nil"/>
              <w:bottom w:val="nil"/>
              <w:right w:val="single" w:sz="4" w:space="0" w:color="auto"/>
            </w:tcBorders>
            <w:shd w:val="clear" w:color="auto" w:fill="auto"/>
            <w:noWrap/>
            <w:vAlign w:val="bottom"/>
            <w:hideMark/>
          </w:tcPr>
          <w:p w:rsidR="00A81A5E" w:rsidRPr="00A81A5E" w:rsidRDefault="00A81A5E" w:rsidP="00A81A5E">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A81A5E">
              <w:rPr>
                <w:rFonts w:ascii="Arial" w:hAnsi="Arial" w:cs="Arial"/>
                <w:color w:val="000000"/>
                <w:sz w:val="20"/>
                <w:lang w:val="en-US" w:eastAsia="zh-CN"/>
              </w:rPr>
              <w:t> </w:t>
            </w:r>
          </w:p>
        </w:tc>
        <w:tc>
          <w:tcPr>
            <w:tcW w:w="850" w:type="pct"/>
            <w:tcBorders>
              <w:top w:val="nil"/>
              <w:left w:val="nil"/>
              <w:bottom w:val="nil"/>
              <w:right w:val="single" w:sz="4" w:space="0" w:color="auto"/>
            </w:tcBorders>
            <w:shd w:val="clear" w:color="auto" w:fill="auto"/>
            <w:noWrap/>
            <w:vAlign w:val="bottom"/>
            <w:hideMark/>
          </w:tcPr>
          <w:p w:rsidR="00A81A5E" w:rsidRPr="00A81A5E" w:rsidRDefault="00A81A5E" w:rsidP="00A81A5E">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A81A5E">
              <w:rPr>
                <w:rFonts w:ascii="Arial" w:hAnsi="Arial" w:cs="Arial"/>
                <w:color w:val="000000"/>
                <w:sz w:val="20"/>
                <w:lang w:val="en-US" w:eastAsia="zh-CN"/>
              </w:rPr>
              <w:t xml:space="preserve">                  -914 </w:t>
            </w:r>
          </w:p>
        </w:tc>
        <w:tc>
          <w:tcPr>
            <w:tcW w:w="659" w:type="pct"/>
            <w:tcBorders>
              <w:top w:val="nil"/>
              <w:left w:val="nil"/>
              <w:bottom w:val="nil"/>
              <w:right w:val="single" w:sz="4" w:space="0" w:color="auto"/>
            </w:tcBorders>
            <w:shd w:val="clear" w:color="auto" w:fill="auto"/>
            <w:noWrap/>
            <w:vAlign w:val="bottom"/>
            <w:hideMark/>
          </w:tcPr>
          <w:p w:rsidR="00A81A5E" w:rsidRPr="00A81A5E" w:rsidRDefault="00A81A5E" w:rsidP="00A81A5E">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A81A5E">
              <w:rPr>
                <w:rFonts w:ascii="Arial" w:hAnsi="Arial" w:cs="Arial"/>
                <w:color w:val="000000"/>
                <w:sz w:val="20"/>
                <w:lang w:val="en-US" w:eastAsia="zh-CN"/>
              </w:rPr>
              <w:t xml:space="preserve">              -95 </w:t>
            </w:r>
          </w:p>
        </w:tc>
        <w:tc>
          <w:tcPr>
            <w:tcW w:w="946" w:type="pct"/>
            <w:tcBorders>
              <w:top w:val="nil"/>
              <w:left w:val="nil"/>
              <w:bottom w:val="nil"/>
              <w:right w:val="single" w:sz="4" w:space="0" w:color="auto"/>
            </w:tcBorders>
            <w:shd w:val="clear" w:color="auto" w:fill="auto"/>
            <w:noWrap/>
            <w:vAlign w:val="bottom"/>
            <w:hideMark/>
          </w:tcPr>
          <w:p w:rsidR="00A81A5E" w:rsidRPr="00A81A5E" w:rsidRDefault="00A81A5E" w:rsidP="00A81A5E">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A81A5E">
              <w:rPr>
                <w:rFonts w:ascii="Arial" w:hAnsi="Arial" w:cs="Arial"/>
                <w:color w:val="000000"/>
                <w:sz w:val="20"/>
                <w:lang w:val="en-US" w:eastAsia="zh-CN"/>
              </w:rPr>
              <w:t> </w:t>
            </w:r>
          </w:p>
        </w:tc>
      </w:tr>
      <w:tr w:rsidR="00A81A5E" w:rsidRPr="00A81A5E" w:rsidTr="00A81A5E">
        <w:trPr>
          <w:trHeight w:val="255"/>
        </w:trPr>
        <w:tc>
          <w:tcPr>
            <w:tcW w:w="1378" w:type="pct"/>
            <w:tcBorders>
              <w:top w:val="nil"/>
              <w:left w:val="single" w:sz="4" w:space="0" w:color="auto"/>
              <w:bottom w:val="nil"/>
              <w:right w:val="single" w:sz="4" w:space="0" w:color="auto"/>
            </w:tcBorders>
            <w:shd w:val="clear" w:color="auto" w:fill="auto"/>
            <w:noWrap/>
            <w:vAlign w:val="bottom"/>
            <w:hideMark/>
          </w:tcPr>
          <w:p w:rsidR="00A81A5E" w:rsidRPr="00A81A5E" w:rsidRDefault="00A81A5E" w:rsidP="00A81A5E">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A81A5E">
              <w:rPr>
                <w:rFonts w:ascii="Arial" w:hAnsi="Arial" w:cs="Arial"/>
                <w:color w:val="000000"/>
                <w:sz w:val="20"/>
                <w:lang w:val="en-US" w:eastAsia="zh-CN"/>
              </w:rPr>
              <w:t>Release</w:t>
            </w:r>
          </w:p>
        </w:tc>
        <w:tc>
          <w:tcPr>
            <w:tcW w:w="507" w:type="pct"/>
            <w:tcBorders>
              <w:top w:val="nil"/>
              <w:left w:val="nil"/>
              <w:bottom w:val="nil"/>
              <w:right w:val="single" w:sz="4" w:space="0" w:color="auto"/>
            </w:tcBorders>
            <w:shd w:val="clear" w:color="auto" w:fill="auto"/>
            <w:noWrap/>
            <w:vAlign w:val="bottom"/>
            <w:hideMark/>
          </w:tcPr>
          <w:p w:rsidR="00A81A5E" w:rsidRPr="00A81A5E" w:rsidRDefault="00A81A5E" w:rsidP="00A81A5E">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A81A5E">
              <w:rPr>
                <w:rFonts w:ascii="Arial" w:hAnsi="Arial" w:cs="Arial"/>
                <w:color w:val="000000"/>
                <w:sz w:val="20"/>
                <w:lang w:val="en-US" w:eastAsia="zh-CN"/>
              </w:rPr>
              <w:t> </w:t>
            </w:r>
          </w:p>
        </w:tc>
        <w:tc>
          <w:tcPr>
            <w:tcW w:w="660" w:type="pct"/>
            <w:tcBorders>
              <w:top w:val="nil"/>
              <w:left w:val="nil"/>
              <w:bottom w:val="nil"/>
              <w:right w:val="single" w:sz="4" w:space="0" w:color="auto"/>
            </w:tcBorders>
            <w:shd w:val="clear" w:color="auto" w:fill="auto"/>
            <w:noWrap/>
            <w:vAlign w:val="bottom"/>
            <w:hideMark/>
          </w:tcPr>
          <w:p w:rsidR="00A81A5E" w:rsidRPr="00A81A5E" w:rsidRDefault="00A81A5E" w:rsidP="00A81A5E">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A81A5E">
              <w:rPr>
                <w:rFonts w:ascii="Arial" w:hAnsi="Arial" w:cs="Arial"/>
                <w:color w:val="000000"/>
                <w:sz w:val="20"/>
                <w:lang w:val="en-US" w:eastAsia="zh-CN"/>
              </w:rPr>
              <w:t> </w:t>
            </w:r>
          </w:p>
        </w:tc>
        <w:tc>
          <w:tcPr>
            <w:tcW w:w="850" w:type="pct"/>
            <w:tcBorders>
              <w:top w:val="nil"/>
              <w:left w:val="nil"/>
              <w:bottom w:val="nil"/>
              <w:right w:val="single" w:sz="4" w:space="0" w:color="auto"/>
            </w:tcBorders>
            <w:shd w:val="clear" w:color="auto" w:fill="auto"/>
            <w:noWrap/>
            <w:vAlign w:val="bottom"/>
            <w:hideMark/>
          </w:tcPr>
          <w:p w:rsidR="00A81A5E" w:rsidRPr="00A81A5E" w:rsidRDefault="00A81A5E" w:rsidP="00A81A5E">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A81A5E">
              <w:rPr>
                <w:rFonts w:ascii="Arial" w:hAnsi="Arial" w:cs="Arial"/>
                <w:color w:val="000000"/>
                <w:sz w:val="20"/>
                <w:lang w:val="en-US" w:eastAsia="zh-CN"/>
              </w:rPr>
              <w:t xml:space="preserve">               -2,077 </w:t>
            </w:r>
          </w:p>
        </w:tc>
        <w:tc>
          <w:tcPr>
            <w:tcW w:w="659" w:type="pct"/>
            <w:tcBorders>
              <w:top w:val="nil"/>
              <w:left w:val="nil"/>
              <w:bottom w:val="nil"/>
              <w:right w:val="single" w:sz="4" w:space="0" w:color="auto"/>
            </w:tcBorders>
            <w:shd w:val="clear" w:color="auto" w:fill="auto"/>
            <w:noWrap/>
            <w:vAlign w:val="bottom"/>
            <w:hideMark/>
          </w:tcPr>
          <w:p w:rsidR="00A81A5E" w:rsidRPr="00A81A5E" w:rsidRDefault="00A81A5E" w:rsidP="00A81A5E">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A81A5E">
              <w:rPr>
                <w:rFonts w:ascii="Arial" w:hAnsi="Arial" w:cs="Arial"/>
                <w:color w:val="000000"/>
                <w:sz w:val="20"/>
                <w:lang w:val="en-US" w:eastAsia="zh-CN"/>
              </w:rPr>
              <w:t xml:space="preserve">              -27 </w:t>
            </w:r>
          </w:p>
        </w:tc>
        <w:tc>
          <w:tcPr>
            <w:tcW w:w="946" w:type="pct"/>
            <w:tcBorders>
              <w:top w:val="nil"/>
              <w:left w:val="nil"/>
              <w:bottom w:val="nil"/>
              <w:right w:val="single" w:sz="4" w:space="0" w:color="auto"/>
            </w:tcBorders>
            <w:shd w:val="clear" w:color="auto" w:fill="auto"/>
            <w:noWrap/>
            <w:vAlign w:val="bottom"/>
            <w:hideMark/>
          </w:tcPr>
          <w:p w:rsidR="00A81A5E" w:rsidRPr="00A81A5E" w:rsidRDefault="00A81A5E" w:rsidP="00A81A5E">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A81A5E">
              <w:rPr>
                <w:rFonts w:ascii="Arial" w:hAnsi="Arial" w:cs="Arial"/>
                <w:color w:val="000000"/>
                <w:sz w:val="20"/>
                <w:lang w:val="en-US" w:eastAsia="zh-CN"/>
              </w:rPr>
              <w:t> </w:t>
            </w:r>
          </w:p>
        </w:tc>
      </w:tr>
      <w:tr w:rsidR="00A81A5E" w:rsidRPr="00A81A5E" w:rsidTr="00A81A5E">
        <w:trPr>
          <w:trHeight w:val="255"/>
        </w:trPr>
        <w:tc>
          <w:tcPr>
            <w:tcW w:w="1378" w:type="pct"/>
            <w:tcBorders>
              <w:top w:val="nil"/>
              <w:left w:val="single" w:sz="4" w:space="0" w:color="auto"/>
              <w:bottom w:val="nil"/>
              <w:right w:val="nil"/>
            </w:tcBorders>
            <w:shd w:val="clear" w:color="auto" w:fill="auto"/>
            <w:noWrap/>
            <w:vAlign w:val="bottom"/>
            <w:hideMark/>
          </w:tcPr>
          <w:p w:rsidR="00A81A5E" w:rsidRPr="00A81A5E" w:rsidRDefault="00A81A5E" w:rsidP="00A81A5E">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A81A5E">
              <w:rPr>
                <w:rFonts w:ascii="Arial" w:hAnsi="Arial" w:cs="Arial"/>
                <w:color w:val="000000"/>
                <w:sz w:val="20"/>
                <w:lang w:val="en-US" w:eastAsia="zh-CN"/>
              </w:rPr>
              <w:t>Transfer to/from short term</w:t>
            </w:r>
          </w:p>
        </w:tc>
        <w:tc>
          <w:tcPr>
            <w:tcW w:w="507" w:type="pct"/>
            <w:tcBorders>
              <w:top w:val="nil"/>
              <w:left w:val="single" w:sz="4" w:space="0" w:color="auto"/>
              <w:bottom w:val="nil"/>
              <w:right w:val="single" w:sz="4" w:space="0" w:color="auto"/>
            </w:tcBorders>
            <w:shd w:val="clear" w:color="auto" w:fill="auto"/>
            <w:noWrap/>
            <w:vAlign w:val="bottom"/>
            <w:hideMark/>
          </w:tcPr>
          <w:p w:rsidR="00A81A5E" w:rsidRPr="00A81A5E" w:rsidRDefault="00A81A5E" w:rsidP="00A81A5E">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A81A5E">
              <w:rPr>
                <w:rFonts w:ascii="Arial" w:hAnsi="Arial" w:cs="Arial"/>
                <w:color w:val="000000"/>
                <w:sz w:val="20"/>
                <w:lang w:val="en-US" w:eastAsia="zh-CN"/>
              </w:rPr>
              <w:t> </w:t>
            </w:r>
          </w:p>
        </w:tc>
        <w:tc>
          <w:tcPr>
            <w:tcW w:w="660" w:type="pct"/>
            <w:tcBorders>
              <w:top w:val="nil"/>
              <w:left w:val="nil"/>
              <w:bottom w:val="nil"/>
              <w:right w:val="single" w:sz="4" w:space="0" w:color="auto"/>
            </w:tcBorders>
            <w:shd w:val="clear" w:color="auto" w:fill="auto"/>
            <w:noWrap/>
            <w:vAlign w:val="bottom"/>
            <w:hideMark/>
          </w:tcPr>
          <w:p w:rsidR="00A81A5E" w:rsidRPr="00A81A5E" w:rsidRDefault="00A81A5E" w:rsidP="00A81A5E">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A81A5E">
              <w:rPr>
                <w:rFonts w:ascii="Arial" w:hAnsi="Arial" w:cs="Arial"/>
                <w:color w:val="000000"/>
                <w:sz w:val="20"/>
                <w:lang w:val="en-US" w:eastAsia="zh-CN"/>
              </w:rPr>
              <w:t> </w:t>
            </w:r>
          </w:p>
        </w:tc>
        <w:tc>
          <w:tcPr>
            <w:tcW w:w="850" w:type="pct"/>
            <w:tcBorders>
              <w:top w:val="nil"/>
              <w:left w:val="nil"/>
              <w:bottom w:val="nil"/>
              <w:right w:val="single" w:sz="4" w:space="0" w:color="auto"/>
            </w:tcBorders>
            <w:shd w:val="clear" w:color="auto" w:fill="auto"/>
            <w:noWrap/>
            <w:vAlign w:val="bottom"/>
            <w:hideMark/>
          </w:tcPr>
          <w:p w:rsidR="00A81A5E" w:rsidRPr="00A81A5E" w:rsidRDefault="00A81A5E" w:rsidP="00A81A5E">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A81A5E">
              <w:rPr>
                <w:rFonts w:ascii="Arial" w:hAnsi="Arial" w:cs="Arial"/>
                <w:color w:val="000000"/>
                <w:sz w:val="20"/>
                <w:lang w:val="en-US" w:eastAsia="zh-CN"/>
              </w:rPr>
              <w:t> </w:t>
            </w:r>
          </w:p>
        </w:tc>
        <w:tc>
          <w:tcPr>
            <w:tcW w:w="659" w:type="pct"/>
            <w:tcBorders>
              <w:top w:val="nil"/>
              <w:left w:val="nil"/>
              <w:bottom w:val="nil"/>
              <w:right w:val="single" w:sz="4" w:space="0" w:color="auto"/>
            </w:tcBorders>
            <w:shd w:val="clear" w:color="auto" w:fill="auto"/>
            <w:noWrap/>
            <w:vAlign w:val="bottom"/>
            <w:hideMark/>
          </w:tcPr>
          <w:p w:rsidR="00A81A5E" w:rsidRPr="00A81A5E" w:rsidRDefault="00A81A5E" w:rsidP="00A81A5E">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A81A5E">
              <w:rPr>
                <w:rFonts w:ascii="Arial" w:hAnsi="Arial" w:cs="Arial"/>
                <w:color w:val="000000"/>
                <w:sz w:val="20"/>
                <w:lang w:val="en-US" w:eastAsia="zh-CN"/>
              </w:rPr>
              <w:t xml:space="preserve">               64 </w:t>
            </w:r>
          </w:p>
        </w:tc>
        <w:tc>
          <w:tcPr>
            <w:tcW w:w="946" w:type="pct"/>
            <w:tcBorders>
              <w:top w:val="nil"/>
              <w:left w:val="nil"/>
              <w:bottom w:val="nil"/>
              <w:right w:val="single" w:sz="4" w:space="0" w:color="auto"/>
            </w:tcBorders>
            <w:shd w:val="clear" w:color="auto" w:fill="auto"/>
            <w:noWrap/>
            <w:vAlign w:val="bottom"/>
            <w:hideMark/>
          </w:tcPr>
          <w:p w:rsidR="00A81A5E" w:rsidRPr="00A81A5E" w:rsidRDefault="00A81A5E" w:rsidP="00A81A5E">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A81A5E">
              <w:rPr>
                <w:rFonts w:ascii="Arial" w:hAnsi="Arial" w:cs="Arial"/>
                <w:color w:val="000000"/>
                <w:sz w:val="20"/>
                <w:lang w:val="en-US" w:eastAsia="zh-CN"/>
              </w:rPr>
              <w:t> </w:t>
            </w:r>
          </w:p>
        </w:tc>
      </w:tr>
      <w:tr w:rsidR="00A81A5E" w:rsidRPr="00A81A5E" w:rsidTr="00A81A5E">
        <w:trPr>
          <w:trHeight w:val="255"/>
        </w:trPr>
        <w:tc>
          <w:tcPr>
            <w:tcW w:w="1378" w:type="pct"/>
            <w:tcBorders>
              <w:top w:val="nil"/>
              <w:left w:val="single" w:sz="4" w:space="0" w:color="auto"/>
              <w:bottom w:val="nil"/>
              <w:right w:val="nil"/>
            </w:tcBorders>
            <w:shd w:val="clear" w:color="auto" w:fill="auto"/>
            <w:noWrap/>
            <w:vAlign w:val="bottom"/>
            <w:hideMark/>
          </w:tcPr>
          <w:p w:rsidR="00A81A5E" w:rsidRPr="00A81A5E" w:rsidRDefault="00A81A5E" w:rsidP="00A81A5E">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A81A5E">
              <w:rPr>
                <w:rFonts w:ascii="Arial" w:hAnsi="Arial" w:cs="Arial"/>
                <w:color w:val="000000"/>
                <w:sz w:val="20"/>
                <w:lang w:val="en-US" w:eastAsia="zh-CN"/>
              </w:rPr>
              <w:t>Unrealized exchange gain</w:t>
            </w:r>
          </w:p>
        </w:tc>
        <w:tc>
          <w:tcPr>
            <w:tcW w:w="507" w:type="pct"/>
            <w:tcBorders>
              <w:top w:val="nil"/>
              <w:left w:val="single" w:sz="4" w:space="0" w:color="auto"/>
              <w:bottom w:val="nil"/>
              <w:right w:val="single" w:sz="4" w:space="0" w:color="auto"/>
            </w:tcBorders>
            <w:shd w:val="clear" w:color="auto" w:fill="auto"/>
            <w:noWrap/>
            <w:vAlign w:val="bottom"/>
            <w:hideMark/>
          </w:tcPr>
          <w:p w:rsidR="00A81A5E" w:rsidRPr="00A81A5E" w:rsidRDefault="00A81A5E" w:rsidP="00A81A5E">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A81A5E">
              <w:rPr>
                <w:rFonts w:ascii="Arial" w:hAnsi="Arial" w:cs="Arial"/>
                <w:color w:val="000000"/>
                <w:sz w:val="20"/>
                <w:lang w:val="en-US" w:eastAsia="zh-CN"/>
              </w:rPr>
              <w:t> </w:t>
            </w:r>
          </w:p>
        </w:tc>
        <w:tc>
          <w:tcPr>
            <w:tcW w:w="660" w:type="pct"/>
            <w:tcBorders>
              <w:top w:val="nil"/>
              <w:left w:val="nil"/>
              <w:bottom w:val="nil"/>
              <w:right w:val="single" w:sz="4" w:space="0" w:color="auto"/>
            </w:tcBorders>
            <w:shd w:val="clear" w:color="auto" w:fill="auto"/>
            <w:noWrap/>
            <w:vAlign w:val="bottom"/>
            <w:hideMark/>
          </w:tcPr>
          <w:p w:rsidR="00A81A5E" w:rsidRPr="00A81A5E" w:rsidRDefault="00A81A5E" w:rsidP="00A81A5E">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A81A5E">
              <w:rPr>
                <w:rFonts w:ascii="Arial" w:hAnsi="Arial" w:cs="Arial"/>
                <w:color w:val="000000"/>
                <w:sz w:val="20"/>
                <w:lang w:val="en-US" w:eastAsia="zh-CN"/>
              </w:rPr>
              <w:t> </w:t>
            </w:r>
          </w:p>
        </w:tc>
        <w:tc>
          <w:tcPr>
            <w:tcW w:w="850" w:type="pct"/>
            <w:tcBorders>
              <w:top w:val="nil"/>
              <w:left w:val="nil"/>
              <w:bottom w:val="nil"/>
              <w:right w:val="single" w:sz="4" w:space="0" w:color="auto"/>
            </w:tcBorders>
            <w:shd w:val="clear" w:color="auto" w:fill="auto"/>
            <w:noWrap/>
            <w:vAlign w:val="bottom"/>
            <w:hideMark/>
          </w:tcPr>
          <w:p w:rsidR="00A81A5E" w:rsidRPr="00A81A5E" w:rsidRDefault="00A81A5E" w:rsidP="00A81A5E">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A81A5E">
              <w:rPr>
                <w:rFonts w:ascii="Arial" w:hAnsi="Arial" w:cs="Arial"/>
                <w:color w:val="000000"/>
                <w:sz w:val="20"/>
                <w:lang w:val="en-US" w:eastAsia="zh-CN"/>
              </w:rPr>
              <w:t> </w:t>
            </w:r>
          </w:p>
        </w:tc>
        <w:tc>
          <w:tcPr>
            <w:tcW w:w="659" w:type="pct"/>
            <w:tcBorders>
              <w:top w:val="nil"/>
              <w:left w:val="nil"/>
              <w:bottom w:val="nil"/>
              <w:right w:val="single" w:sz="4" w:space="0" w:color="auto"/>
            </w:tcBorders>
            <w:shd w:val="clear" w:color="auto" w:fill="auto"/>
            <w:noWrap/>
            <w:vAlign w:val="bottom"/>
            <w:hideMark/>
          </w:tcPr>
          <w:p w:rsidR="00A81A5E" w:rsidRPr="00A81A5E" w:rsidRDefault="00A81A5E" w:rsidP="00A81A5E">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A81A5E">
              <w:rPr>
                <w:rFonts w:ascii="Arial" w:hAnsi="Arial" w:cs="Arial"/>
                <w:color w:val="000000"/>
                <w:sz w:val="20"/>
                <w:lang w:val="en-US" w:eastAsia="zh-CN"/>
              </w:rPr>
              <w:t> </w:t>
            </w:r>
          </w:p>
        </w:tc>
        <w:tc>
          <w:tcPr>
            <w:tcW w:w="946" w:type="pct"/>
            <w:tcBorders>
              <w:top w:val="nil"/>
              <w:left w:val="nil"/>
              <w:bottom w:val="nil"/>
              <w:right w:val="single" w:sz="4" w:space="0" w:color="auto"/>
            </w:tcBorders>
            <w:shd w:val="clear" w:color="auto" w:fill="auto"/>
            <w:noWrap/>
            <w:vAlign w:val="bottom"/>
            <w:hideMark/>
          </w:tcPr>
          <w:p w:rsidR="00A81A5E" w:rsidRPr="00A81A5E" w:rsidRDefault="00A81A5E" w:rsidP="00A81A5E">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A81A5E">
              <w:rPr>
                <w:rFonts w:ascii="Arial" w:hAnsi="Arial" w:cs="Arial"/>
                <w:color w:val="000000"/>
                <w:sz w:val="20"/>
                <w:lang w:val="en-US" w:eastAsia="zh-CN"/>
              </w:rPr>
              <w:t> </w:t>
            </w:r>
          </w:p>
        </w:tc>
      </w:tr>
      <w:tr w:rsidR="00A81A5E" w:rsidRPr="00A81A5E" w:rsidTr="00A81A5E">
        <w:trPr>
          <w:trHeight w:val="255"/>
        </w:trPr>
        <w:tc>
          <w:tcPr>
            <w:tcW w:w="1378" w:type="pct"/>
            <w:tcBorders>
              <w:top w:val="nil"/>
              <w:left w:val="single" w:sz="4" w:space="0" w:color="auto"/>
              <w:bottom w:val="nil"/>
              <w:right w:val="nil"/>
            </w:tcBorders>
            <w:shd w:val="clear" w:color="auto" w:fill="auto"/>
            <w:noWrap/>
            <w:vAlign w:val="bottom"/>
            <w:hideMark/>
          </w:tcPr>
          <w:p w:rsidR="00A81A5E" w:rsidRPr="00A81A5E" w:rsidRDefault="00A81A5E" w:rsidP="00A81A5E">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A81A5E">
              <w:rPr>
                <w:rFonts w:ascii="Arial" w:hAnsi="Arial" w:cs="Arial"/>
                <w:color w:val="000000"/>
                <w:sz w:val="20"/>
                <w:lang w:val="en-US" w:eastAsia="zh-CN"/>
              </w:rPr>
              <w:t> </w:t>
            </w:r>
          </w:p>
        </w:tc>
        <w:tc>
          <w:tcPr>
            <w:tcW w:w="507" w:type="pct"/>
            <w:tcBorders>
              <w:top w:val="nil"/>
              <w:left w:val="single" w:sz="4" w:space="0" w:color="auto"/>
              <w:bottom w:val="single" w:sz="4" w:space="0" w:color="auto"/>
              <w:right w:val="single" w:sz="4" w:space="0" w:color="auto"/>
            </w:tcBorders>
            <w:shd w:val="clear" w:color="auto" w:fill="auto"/>
            <w:noWrap/>
            <w:vAlign w:val="bottom"/>
            <w:hideMark/>
          </w:tcPr>
          <w:p w:rsidR="00A81A5E" w:rsidRPr="00A81A5E" w:rsidRDefault="00A81A5E" w:rsidP="00A81A5E">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A81A5E">
              <w:rPr>
                <w:rFonts w:ascii="Arial" w:hAnsi="Arial" w:cs="Arial"/>
                <w:color w:val="000000"/>
                <w:sz w:val="20"/>
                <w:lang w:val="en-US" w:eastAsia="zh-CN"/>
              </w:rPr>
              <w:t> </w:t>
            </w:r>
          </w:p>
        </w:tc>
        <w:tc>
          <w:tcPr>
            <w:tcW w:w="660" w:type="pct"/>
            <w:tcBorders>
              <w:top w:val="nil"/>
              <w:left w:val="nil"/>
              <w:bottom w:val="single" w:sz="4" w:space="0" w:color="auto"/>
              <w:right w:val="single" w:sz="4" w:space="0" w:color="auto"/>
            </w:tcBorders>
            <w:shd w:val="clear" w:color="auto" w:fill="auto"/>
            <w:noWrap/>
            <w:vAlign w:val="bottom"/>
            <w:hideMark/>
          </w:tcPr>
          <w:p w:rsidR="00A81A5E" w:rsidRPr="00A81A5E" w:rsidRDefault="00A81A5E" w:rsidP="00A81A5E">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A81A5E">
              <w:rPr>
                <w:rFonts w:ascii="Arial" w:hAnsi="Arial" w:cs="Arial"/>
                <w:color w:val="000000"/>
                <w:sz w:val="20"/>
                <w:lang w:val="en-US" w:eastAsia="zh-CN"/>
              </w:rPr>
              <w:t> </w:t>
            </w:r>
          </w:p>
        </w:tc>
        <w:tc>
          <w:tcPr>
            <w:tcW w:w="850" w:type="pct"/>
            <w:tcBorders>
              <w:top w:val="nil"/>
              <w:left w:val="nil"/>
              <w:bottom w:val="single" w:sz="4" w:space="0" w:color="auto"/>
              <w:right w:val="single" w:sz="4" w:space="0" w:color="auto"/>
            </w:tcBorders>
            <w:shd w:val="clear" w:color="auto" w:fill="auto"/>
            <w:noWrap/>
            <w:vAlign w:val="bottom"/>
            <w:hideMark/>
          </w:tcPr>
          <w:p w:rsidR="00A81A5E" w:rsidRPr="00A81A5E" w:rsidRDefault="00A81A5E" w:rsidP="00A81A5E">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A81A5E">
              <w:rPr>
                <w:rFonts w:ascii="Arial" w:hAnsi="Arial" w:cs="Arial"/>
                <w:color w:val="000000"/>
                <w:sz w:val="20"/>
                <w:lang w:val="en-US" w:eastAsia="zh-CN"/>
              </w:rPr>
              <w:t> </w:t>
            </w:r>
          </w:p>
        </w:tc>
        <w:tc>
          <w:tcPr>
            <w:tcW w:w="659" w:type="pct"/>
            <w:tcBorders>
              <w:top w:val="nil"/>
              <w:left w:val="nil"/>
              <w:bottom w:val="single" w:sz="4" w:space="0" w:color="auto"/>
              <w:right w:val="single" w:sz="4" w:space="0" w:color="auto"/>
            </w:tcBorders>
            <w:shd w:val="clear" w:color="auto" w:fill="auto"/>
            <w:noWrap/>
            <w:vAlign w:val="bottom"/>
            <w:hideMark/>
          </w:tcPr>
          <w:p w:rsidR="00A81A5E" w:rsidRPr="00A81A5E" w:rsidRDefault="00A81A5E" w:rsidP="00A81A5E">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A81A5E">
              <w:rPr>
                <w:rFonts w:ascii="Arial" w:hAnsi="Arial" w:cs="Arial"/>
                <w:color w:val="000000"/>
                <w:sz w:val="20"/>
                <w:lang w:val="en-US" w:eastAsia="zh-CN"/>
              </w:rPr>
              <w:t> </w:t>
            </w:r>
          </w:p>
        </w:tc>
        <w:tc>
          <w:tcPr>
            <w:tcW w:w="946" w:type="pct"/>
            <w:tcBorders>
              <w:top w:val="nil"/>
              <w:left w:val="nil"/>
              <w:bottom w:val="single" w:sz="4" w:space="0" w:color="auto"/>
              <w:right w:val="single" w:sz="4" w:space="0" w:color="auto"/>
            </w:tcBorders>
            <w:shd w:val="clear" w:color="auto" w:fill="auto"/>
            <w:noWrap/>
            <w:vAlign w:val="bottom"/>
            <w:hideMark/>
          </w:tcPr>
          <w:p w:rsidR="00A81A5E" w:rsidRPr="00A81A5E" w:rsidRDefault="00A81A5E" w:rsidP="00A81A5E">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A81A5E">
              <w:rPr>
                <w:rFonts w:ascii="Arial" w:hAnsi="Arial" w:cs="Arial"/>
                <w:color w:val="000000"/>
                <w:sz w:val="20"/>
                <w:lang w:val="en-US" w:eastAsia="zh-CN"/>
              </w:rPr>
              <w:t> </w:t>
            </w:r>
          </w:p>
        </w:tc>
      </w:tr>
      <w:tr w:rsidR="00A81A5E" w:rsidRPr="00A81A5E" w:rsidTr="00A81A5E">
        <w:trPr>
          <w:trHeight w:val="255"/>
        </w:trPr>
        <w:tc>
          <w:tcPr>
            <w:tcW w:w="1378" w:type="pct"/>
            <w:tcBorders>
              <w:top w:val="single" w:sz="4" w:space="0" w:color="auto"/>
              <w:left w:val="single" w:sz="4" w:space="0" w:color="auto"/>
              <w:bottom w:val="single" w:sz="4" w:space="0" w:color="auto"/>
              <w:right w:val="nil"/>
            </w:tcBorders>
            <w:shd w:val="clear" w:color="auto" w:fill="auto"/>
            <w:noWrap/>
            <w:vAlign w:val="center"/>
            <w:hideMark/>
          </w:tcPr>
          <w:p w:rsidR="00A81A5E" w:rsidRPr="00A81A5E" w:rsidRDefault="00A81A5E" w:rsidP="00A81A5E">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20"/>
                <w:lang w:val="en-US" w:eastAsia="zh-CN"/>
              </w:rPr>
            </w:pPr>
            <w:r w:rsidRPr="00A81A5E">
              <w:rPr>
                <w:rFonts w:ascii="Arial" w:hAnsi="Arial" w:cs="Arial"/>
                <w:b/>
                <w:bCs/>
                <w:color w:val="000000"/>
                <w:sz w:val="20"/>
                <w:lang w:val="en-US" w:eastAsia="zh-CN"/>
              </w:rPr>
              <w:t>Closing balance</w:t>
            </w:r>
          </w:p>
        </w:tc>
        <w:tc>
          <w:tcPr>
            <w:tcW w:w="507" w:type="pct"/>
            <w:tcBorders>
              <w:top w:val="nil"/>
              <w:left w:val="single" w:sz="4" w:space="0" w:color="auto"/>
              <w:bottom w:val="single" w:sz="4" w:space="0" w:color="auto"/>
              <w:right w:val="single" w:sz="4" w:space="0" w:color="auto"/>
            </w:tcBorders>
            <w:shd w:val="clear" w:color="auto" w:fill="auto"/>
            <w:noWrap/>
            <w:vAlign w:val="center"/>
            <w:hideMark/>
          </w:tcPr>
          <w:p w:rsidR="00A81A5E" w:rsidRPr="00A81A5E" w:rsidRDefault="00A81A5E" w:rsidP="00A81A5E">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A81A5E">
              <w:rPr>
                <w:rFonts w:ascii="Arial" w:hAnsi="Arial" w:cs="Arial"/>
                <w:b/>
                <w:bCs/>
                <w:color w:val="000000"/>
                <w:sz w:val="20"/>
                <w:lang w:val="en-US" w:eastAsia="zh-CN"/>
              </w:rPr>
              <w:t xml:space="preserve">617,250 </w:t>
            </w:r>
          </w:p>
        </w:tc>
        <w:tc>
          <w:tcPr>
            <w:tcW w:w="660" w:type="pct"/>
            <w:tcBorders>
              <w:top w:val="nil"/>
              <w:left w:val="nil"/>
              <w:bottom w:val="single" w:sz="4" w:space="0" w:color="auto"/>
              <w:right w:val="single" w:sz="4" w:space="0" w:color="auto"/>
            </w:tcBorders>
            <w:shd w:val="clear" w:color="auto" w:fill="auto"/>
            <w:noWrap/>
            <w:vAlign w:val="center"/>
            <w:hideMark/>
          </w:tcPr>
          <w:p w:rsidR="00A81A5E" w:rsidRPr="00A81A5E" w:rsidRDefault="00A81A5E" w:rsidP="00A81A5E">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A81A5E">
              <w:rPr>
                <w:rFonts w:ascii="Arial" w:hAnsi="Arial" w:cs="Arial"/>
                <w:b/>
                <w:bCs/>
                <w:color w:val="000000"/>
                <w:sz w:val="20"/>
                <w:lang w:val="en-US" w:eastAsia="zh-CN"/>
              </w:rPr>
              <w:t xml:space="preserve">               54 </w:t>
            </w:r>
          </w:p>
        </w:tc>
        <w:tc>
          <w:tcPr>
            <w:tcW w:w="850" w:type="pct"/>
            <w:tcBorders>
              <w:top w:val="nil"/>
              <w:left w:val="nil"/>
              <w:bottom w:val="single" w:sz="4" w:space="0" w:color="auto"/>
              <w:right w:val="single" w:sz="4" w:space="0" w:color="auto"/>
            </w:tcBorders>
            <w:shd w:val="clear" w:color="auto" w:fill="auto"/>
            <w:noWrap/>
            <w:vAlign w:val="center"/>
            <w:hideMark/>
          </w:tcPr>
          <w:p w:rsidR="00A81A5E" w:rsidRPr="00A81A5E" w:rsidRDefault="00A81A5E" w:rsidP="00A81A5E">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A81A5E">
              <w:rPr>
                <w:rFonts w:ascii="Arial" w:hAnsi="Arial" w:cs="Arial"/>
                <w:b/>
                <w:bCs/>
                <w:color w:val="000000"/>
                <w:sz w:val="20"/>
                <w:lang w:val="en-US" w:eastAsia="zh-CN"/>
              </w:rPr>
              <w:t xml:space="preserve">               12,485 </w:t>
            </w:r>
          </w:p>
        </w:tc>
        <w:tc>
          <w:tcPr>
            <w:tcW w:w="659" w:type="pct"/>
            <w:tcBorders>
              <w:top w:val="nil"/>
              <w:left w:val="nil"/>
              <w:bottom w:val="single" w:sz="4" w:space="0" w:color="auto"/>
              <w:right w:val="single" w:sz="4" w:space="0" w:color="auto"/>
            </w:tcBorders>
            <w:shd w:val="clear" w:color="auto" w:fill="auto"/>
            <w:noWrap/>
            <w:vAlign w:val="center"/>
            <w:hideMark/>
          </w:tcPr>
          <w:p w:rsidR="00A81A5E" w:rsidRPr="00A81A5E" w:rsidRDefault="00A81A5E" w:rsidP="00A81A5E">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A81A5E">
              <w:rPr>
                <w:rFonts w:ascii="Arial" w:hAnsi="Arial" w:cs="Arial"/>
                <w:b/>
                <w:bCs/>
                <w:color w:val="000000"/>
                <w:sz w:val="20"/>
                <w:lang w:val="en-US" w:eastAsia="zh-CN"/>
              </w:rPr>
              <w:t xml:space="preserve">         8,576 </w:t>
            </w:r>
          </w:p>
        </w:tc>
        <w:tc>
          <w:tcPr>
            <w:tcW w:w="946" w:type="pct"/>
            <w:tcBorders>
              <w:top w:val="nil"/>
              <w:left w:val="nil"/>
              <w:bottom w:val="single" w:sz="4" w:space="0" w:color="auto"/>
              <w:right w:val="single" w:sz="4" w:space="0" w:color="auto"/>
            </w:tcBorders>
            <w:shd w:val="clear" w:color="auto" w:fill="auto"/>
            <w:noWrap/>
            <w:vAlign w:val="bottom"/>
            <w:hideMark/>
          </w:tcPr>
          <w:p w:rsidR="00A81A5E" w:rsidRPr="00A81A5E" w:rsidRDefault="00A81A5E" w:rsidP="00A81A5E">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A81A5E">
              <w:rPr>
                <w:rFonts w:ascii="Arial" w:hAnsi="Arial" w:cs="Arial"/>
                <w:b/>
                <w:bCs/>
                <w:color w:val="000000"/>
                <w:sz w:val="20"/>
                <w:lang w:val="en-US" w:eastAsia="zh-CN"/>
              </w:rPr>
              <w:t xml:space="preserve">                638,365 </w:t>
            </w:r>
          </w:p>
        </w:tc>
      </w:tr>
    </w:tbl>
    <w:p w:rsidR="00727AB6" w:rsidRPr="001C2A98" w:rsidRDefault="0022373A" w:rsidP="00727AB6">
      <w:pPr>
        <w:spacing w:before="200"/>
        <w:jc w:val="both"/>
        <w:rPr>
          <w:lang w:val="en-US"/>
        </w:rPr>
      </w:pPr>
      <w:r w:rsidRPr="00D570CC">
        <w:rPr>
          <w:lang w:val="en-US"/>
        </w:rPr>
        <w:t xml:space="preserve">Long-term benefits are post-employment benefits, namely the ASHI plan, repatriation grant, accrued </w:t>
      </w:r>
      <w:r w:rsidR="00716BCE" w:rsidRPr="00D570CC">
        <w:rPr>
          <w:lang w:val="en-US"/>
        </w:rPr>
        <w:t>leave, and</w:t>
      </w:r>
      <w:r w:rsidRPr="00D570CC">
        <w:rPr>
          <w:lang w:val="en-US"/>
        </w:rPr>
        <w:t xml:space="preserve"> obligations under former pension and health insurance plans for some former ITU employees.</w:t>
      </w:r>
    </w:p>
    <w:p w:rsidR="0022373A" w:rsidRPr="00D570CC" w:rsidRDefault="0022373A" w:rsidP="00284AFF">
      <w:pPr>
        <w:pStyle w:val="Headingi"/>
        <w:jc w:val="both"/>
        <w:rPr>
          <w:lang w:val="en-US"/>
        </w:rPr>
      </w:pPr>
      <w:bookmarkStart w:id="95" w:name="_Toc305764093"/>
      <w:r w:rsidRPr="00D570CC">
        <w:rPr>
          <w:lang w:val="en-US"/>
        </w:rPr>
        <w:t>1</w:t>
      </w:r>
      <w:r w:rsidR="00284AFF">
        <w:rPr>
          <w:lang w:val="en-US"/>
        </w:rPr>
        <w:t>7</w:t>
      </w:r>
      <w:r w:rsidRPr="00D570CC">
        <w:rPr>
          <w:lang w:val="en-US"/>
        </w:rPr>
        <w:t>.2.1</w:t>
      </w:r>
      <w:r w:rsidRPr="00D570CC">
        <w:rPr>
          <w:lang w:val="en-US"/>
        </w:rPr>
        <w:tab/>
        <w:t>Actuarial valuation of post-employment benefits under the ASHI plan</w:t>
      </w:r>
      <w:bookmarkEnd w:id="95"/>
    </w:p>
    <w:p w:rsidR="00B56B3A" w:rsidRPr="006D735A" w:rsidRDefault="0022373A" w:rsidP="00063D3A">
      <w:pPr>
        <w:jc w:val="both"/>
        <w:rPr>
          <w:iCs/>
          <w:lang w:val="en-US"/>
        </w:rPr>
      </w:pPr>
      <w:r w:rsidRPr="00D570CC">
        <w:rPr>
          <w:lang w:val="en-US"/>
        </w:rPr>
        <w:t>Th</w:t>
      </w:r>
      <w:r w:rsidR="00A825E2" w:rsidRPr="00D570CC">
        <w:rPr>
          <w:lang w:val="en-US"/>
        </w:rPr>
        <w:t xml:space="preserve">e </w:t>
      </w:r>
      <w:r w:rsidR="009070CC" w:rsidRPr="00D570CC">
        <w:rPr>
          <w:lang w:val="en-US"/>
        </w:rPr>
        <w:t>accounting for the A</w:t>
      </w:r>
      <w:r w:rsidR="008B6471" w:rsidRPr="00D570CC">
        <w:rPr>
          <w:lang w:val="en-US"/>
        </w:rPr>
        <w:t>SHI related</w:t>
      </w:r>
      <w:r w:rsidR="00A825E2" w:rsidRPr="00D570CC">
        <w:rPr>
          <w:lang w:val="en-US"/>
        </w:rPr>
        <w:t xml:space="preserve"> obligations is </w:t>
      </w:r>
      <w:r w:rsidR="009070CC" w:rsidRPr="00D570CC">
        <w:rPr>
          <w:lang w:val="en-US"/>
        </w:rPr>
        <w:t>based on</w:t>
      </w:r>
      <w:r w:rsidRPr="00D570CC">
        <w:rPr>
          <w:lang w:val="en-US"/>
        </w:rPr>
        <w:t xml:space="preserve"> an annual actuarial study carried out by an independen</w:t>
      </w:r>
      <w:r w:rsidR="00212CAA" w:rsidRPr="00D570CC">
        <w:rPr>
          <w:lang w:val="en-US"/>
        </w:rPr>
        <w:t>t consultancy</w:t>
      </w:r>
      <w:r w:rsidRPr="00D570CC">
        <w:rPr>
          <w:lang w:val="en-US"/>
        </w:rPr>
        <w:t>. The most recen</w:t>
      </w:r>
      <w:r w:rsidR="009070CC" w:rsidRPr="00D570CC">
        <w:rPr>
          <w:lang w:val="en-US"/>
        </w:rPr>
        <w:t>t valuat</w:t>
      </w:r>
      <w:r w:rsidR="00F46360" w:rsidRPr="00D570CC">
        <w:rPr>
          <w:lang w:val="en-US"/>
        </w:rPr>
        <w:t>ion, carried out in J</w:t>
      </w:r>
      <w:r w:rsidR="00E55D32" w:rsidRPr="00D570CC">
        <w:rPr>
          <w:lang w:val="en-US"/>
        </w:rPr>
        <w:t>anuary 201</w:t>
      </w:r>
      <w:r w:rsidR="00063D3A">
        <w:rPr>
          <w:lang w:val="en-US"/>
        </w:rPr>
        <w:t>8</w:t>
      </w:r>
      <w:r w:rsidR="00A825E2" w:rsidRPr="00D570CC">
        <w:rPr>
          <w:lang w:val="en-US"/>
        </w:rPr>
        <w:t xml:space="preserve">, established </w:t>
      </w:r>
      <w:r w:rsidR="00E55D32" w:rsidRPr="00D570CC">
        <w:rPr>
          <w:lang w:val="en-US"/>
        </w:rPr>
        <w:t xml:space="preserve">at CHF </w:t>
      </w:r>
      <w:r w:rsidR="00063D3A">
        <w:rPr>
          <w:lang w:val="en-US"/>
        </w:rPr>
        <w:t>617.25</w:t>
      </w:r>
      <w:r w:rsidRPr="00D570CC">
        <w:rPr>
          <w:lang w:val="en-US"/>
        </w:rPr>
        <w:t xml:space="preserve"> million ITU</w:t>
      </w:r>
      <w:r w:rsidR="007A552E" w:rsidRPr="00D570CC">
        <w:rPr>
          <w:lang w:val="en-US"/>
        </w:rPr>
        <w:t>’</w:t>
      </w:r>
      <w:r w:rsidRPr="00D570CC">
        <w:rPr>
          <w:lang w:val="en-US"/>
        </w:rPr>
        <w:t>s obligations in respect of post-employment sickness benefits due to employees meeting the specifie</w:t>
      </w:r>
      <w:r w:rsidR="00E55D32" w:rsidRPr="00D570CC">
        <w:rPr>
          <w:lang w:val="en-US"/>
        </w:rPr>
        <w:t xml:space="preserve">d conditions at 31 December </w:t>
      </w:r>
      <w:r w:rsidR="00111BDD" w:rsidRPr="00D570CC">
        <w:rPr>
          <w:lang w:val="en-US"/>
        </w:rPr>
        <w:t>201</w:t>
      </w:r>
      <w:r w:rsidR="00063D3A">
        <w:rPr>
          <w:lang w:val="en-US"/>
        </w:rPr>
        <w:t>7</w:t>
      </w:r>
      <w:r w:rsidRPr="00D570CC">
        <w:rPr>
          <w:lang w:val="en-US"/>
        </w:rPr>
        <w:t>.</w:t>
      </w:r>
      <w:r w:rsidR="00212CAA" w:rsidRPr="00D570CC">
        <w:rPr>
          <w:lang w:val="en-US"/>
        </w:rPr>
        <w:t xml:space="preserve"> The actuarial study was carried out based on data provided by </w:t>
      </w:r>
      <w:r w:rsidR="009B5694" w:rsidRPr="00D570CC">
        <w:rPr>
          <w:lang w:val="en-US"/>
        </w:rPr>
        <w:t>the ITU</w:t>
      </w:r>
      <w:r w:rsidR="00CB6E08" w:rsidRPr="00D570CC">
        <w:rPr>
          <w:lang w:val="en-US"/>
        </w:rPr>
        <w:t>.</w:t>
      </w:r>
      <w:bookmarkStart w:id="96" w:name="_Toc305764094"/>
    </w:p>
    <w:p w:rsidR="0022373A" w:rsidRPr="00D570CC" w:rsidRDefault="0022373A" w:rsidP="00284AFF">
      <w:pPr>
        <w:pStyle w:val="Headingi"/>
        <w:jc w:val="both"/>
        <w:rPr>
          <w:lang w:val="en-US"/>
        </w:rPr>
      </w:pPr>
      <w:r w:rsidRPr="00D570CC">
        <w:rPr>
          <w:lang w:val="en-US"/>
        </w:rPr>
        <w:t>1</w:t>
      </w:r>
      <w:r w:rsidR="00284AFF">
        <w:rPr>
          <w:lang w:val="en-US"/>
        </w:rPr>
        <w:t>7</w:t>
      </w:r>
      <w:r w:rsidRPr="00D570CC">
        <w:rPr>
          <w:lang w:val="en-US"/>
        </w:rPr>
        <w:t>.2.2</w:t>
      </w:r>
      <w:r w:rsidRPr="00D570CC">
        <w:rPr>
          <w:lang w:val="en-US"/>
        </w:rPr>
        <w:tab/>
        <w:t xml:space="preserve">Actuarial valuation </w:t>
      </w:r>
      <w:r w:rsidRPr="00D570CC">
        <w:rPr>
          <w:lang w:val="en-US"/>
        </w:rPr>
        <w:sym w:font="Symbol" w:char="F02D"/>
      </w:r>
      <w:r w:rsidRPr="00D570CC">
        <w:rPr>
          <w:lang w:val="en-US"/>
        </w:rPr>
        <w:t xml:space="preserve"> assumptions and methods</w:t>
      </w:r>
      <w:bookmarkEnd w:id="96"/>
    </w:p>
    <w:p w:rsidR="009735A7" w:rsidRDefault="0022373A" w:rsidP="006A30F6">
      <w:pPr>
        <w:snapToGrid w:val="0"/>
        <w:jc w:val="both"/>
        <w:rPr>
          <w:lang w:val="en-US"/>
        </w:rPr>
      </w:pPr>
      <w:r w:rsidRPr="00D570CC">
        <w:rPr>
          <w:lang w:val="en-US"/>
        </w:rPr>
        <w:t>Within the framework of the valuation of obligations relating to t</w:t>
      </w:r>
      <w:r w:rsidR="00D0631B" w:rsidRPr="00D570CC">
        <w:rPr>
          <w:lang w:val="en-US"/>
        </w:rPr>
        <w:t>he ASHI plan at 31 December</w:t>
      </w:r>
      <w:r w:rsidR="000144D1" w:rsidRPr="00D570CC">
        <w:rPr>
          <w:lang w:val="en-US"/>
        </w:rPr>
        <w:t> </w:t>
      </w:r>
      <w:r w:rsidR="00111BDD" w:rsidRPr="00D570CC">
        <w:rPr>
          <w:lang w:val="en-US"/>
        </w:rPr>
        <w:t>201</w:t>
      </w:r>
      <w:r w:rsidR="00063D3A">
        <w:rPr>
          <w:lang w:val="en-US"/>
        </w:rPr>
        <w:t>7</w:t>
      </w:r>
      <w:r w:rsidRPr="00D570CC">
        <w:rPr>
          <w:lang w:val="en-US"/>
        </w:rPr>
        <w:t xml:space="preserve"> and of the contribution fo</w:t>
      </w:r>
      <w:r w:rsidR="00E55D32" w:rsidRPr="00D570CC">
        <w:rPr>
          <w:lang w:val="en-US"/>
        </w:rPr>
        <w:t xml:space="preserve">r the </w:t>
      </w:r>
      <w:r w:rsidR="00111BDD" w:rsidRPr="00D570CC">
        <w:rPr>
          <w:lang w:val="en-US"/>
        </w:rPr>
        <w:t>201</w:t>
      </w:r>
      <w:r w:rsidR="00063D3A">
        <w:rPr>
          <w:lang w:val="en-US"/>
        </w:rPr>
        <w:t>7</w:t>
      </w:r>
      <w:r w:rsidRPr="00D570CC">
        <w:rPr>
          <w:lang w:val="en-US"/>
        </w:rPr>
        <w:t xml:space="preserve"> period, ITU validates the assumptions and methods used by the actuaries. The assumptions and methods used for</w:t>
      </w:r>
      <w:r w:rsidR="00DF1AC5" w:rsidRPr="00D570CC">
        <w:rPr>
          <w:lang w:val="en-US"/>
        </w:rPr>
        <w:t xml:space="preserve"> the valuation covering the </w:t>
      </w:r>
      <w:r w:rsidR="00111BDD" w:rsidRPr="00D570CC">
        <w:rPr>
          <w:lang w:val="en-US"/>
        </w:rPr>
        <w:t>201</w:t>
      </w:r>
      <w:r w:rsidR="00063D3A">
        <w:rPr>
          <w:lang w:val="en-US"/>
        </w:rPr>
        <w:t>7</w:t>
      </w:r>
      <w:r w:rsidR="00601A76" w:rsidRPr="00D570CC">
        <w:rPr>
          <w:lang w:val="en-US"/>
        </w:rPr>
        <w:t> </w:t>
      </w:r>
      <w:r w:rsidRPr="00D570CC">
        <w:rPr>
          <w:lang w:val="en-US"/>
        </w:rPr>
        <w:t>period are described below.</w:t>
      </w:r>
    </w:p>
    <w:p w:rsidR="006D735A" w:rsidRDefault="006D735A">
      <w:pPr>
        <w:tabs>
          <w:tab w:val="clear" w:pos="567"/>
          <w:tab w:val="clear" w:pos="1134"/>
          <w:tab w:val="clear" w:pos="1701"/>
          <w:tab w:val="clear" w:pos="2268"/>
          <w:tab w:val="clear" w:pos="2835"/>
        </w:tabs>
        <w:overflowPunct/>
        <w:autoSpaceDE/>
        <w:autoSpaceDN/>
        <w:adjustRightInd/>
        <w:spacing w:before="0"/>
        <w:textAlignment w:val="auto"/>
        <w:rPr>
          <w:lang w:val="en-US"/>
        </w:rPr>
      </w:pPr>
      <w:r>
        <w:rPr>
          <w:lang w:val="en-US"/>
        </w:rPr>
        <w:br w:type="page"/>
      </w:r>
    </w:p>
    <w:p w:rsidR="009735A7" w:rsidRDefault="009735A7" w:rsidP="009735A7">
      <w:pPr>
        <w:snapToGrid w:val="0"/>
        <w:spacing w:before="0"/>
        <w:jc w:val="both"/>
        <w:rPr>
          <w:lang w:val="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9"/>
        <w:gridCol w:w="6117"/>
      </w:tblGrid>
      <w:tr w:rsidR="00063D3A" w:rsidRPr="00DE5698" w:rsidTr="009735A7">
        <w:trPr>
          <w:trHeight w:val="276"/>
        </w:trPr>
        <w:tc>
          <w:tcPr>
            <w:tcW w:w="3659" w:type="dxa"/>
          </w:tcPr>
          <w:p w:rsidR="00063D3A" w:rsidRPr="009735A7" w:rsidRDefault="00063D3A" w:rsidP="00910855">
            <w:pPr>
              <w:pStyle w:val="Tabletext"/>
              <w:spacing w:before="20" w:after="20"/>
              <w:rPr>
                <w:sz w:val="18"/>
                <w:szCs w:val="18"/>
                <w:lang w:val="en-US"/>
              </w:rPr>
            </w:pPr>
            <w:r w:rsidRPr="009735A7">
              <w:rPr>
                <w:sz w:val="18"/>
                <w:szCs w:val="18"/>
                <w:lang w:val="en-US"/>
              </w:rPr>
              <w:t>Discount rate</w:t>
            </w:r>
          </w:p>
        </w:tc>
        <w:tc>
          <w:tcPr>
            <w:tcW w:w="6117" w:type="dxa"/>
          </w:tcPr>
          <w:p w:rsidR="00063D3A" w:rsidRPr="009735A7" w:rsidRDefault="00063D3A" w:rsidP="00910855">
            <w:pPr>
              <w:pStyle w:val="Tabletext"/>
              <w:spacing w:before="20" w:after="20"/>
              <w:rPr>
                <w:sz w:val="18"/>
                <w:szCs w:val="18"/>
                <w:lang w:val="en-US"/>
              </w:rPr>
            </w:pPr>
            <w:r w:rsidRPr="009735A7">
              <w:rPr>
                <w:sz w:val="18"/>
                <w:szCs w:val="18"/>
                <w:lang w:val="en-US"/>
              </w:rPr>
              <w:t xml:space="preserve">0.90% for 2017 and 0.92% for 2016. </w:t>
            </w:r>
          </w:p>
        </w:tc>
      </w:tr>
      <w:tr w:rsidR="00063D3A" w:rsidRPr="00DE5698" w:rsidTr="009735A7">
        <w:trPr>
          <w:trHeight w:val="262"/>
        </w:trPr>
        <w:tc>
          <w:tcPr>
            <w:tcW w:w="3659" w:type="dxa"/>
          </w:tcPr>
          <w:p w:rsidR="00063D3A" w:rsidRPr="009735A7" w:rsidRDefault="00063D3A" w:rsidP="00910855">
            <w:pPr>
              <w:pStyle w:val="Tabletext"/>
              <w:spacing w:before="20" w:after="20"/>
              <w:rPr>
                <w:sz w:val="18"/>
                <w:szCs w:val="18"/>
                <w:lang w:val="en-US"/>
              </w:rPr>
            </w:pPr>
            <w:r w:rsidRPr="009735A7">
              <w:rPr>
                <w:sz w:val="18"/>
                <w:szCs w:val="18"/>
                <w:lang w:val="en-US"/>
              </w:rPr>
              <w:t>Increase in medical costs</w:t>
            </w:r>
          </w:p>
        </w:tc>
        <w:tc>
          <w:tcPr>
            <w:tcW w:w="6117" w:type="dxa"/>
          </w:tcPr>
          <w:p w:rsidR="00063D3A" w:rsidRPr="009735A7" w:rsidRDefault="00063D3A" w:rsidP="00910855">
            <w:pPr>
              <w:pStyle w:val="Tabletext"/>
              <w:spacing w:before="20" w:after="20"/>
              <w:rPr>
                <w:sz w:val="18"/>
                <w:szCs w:val="18"/>
                <w:lang w:val="en-US"/>
              </w:rPr>
            </w:pPr>
            <w:r w:rsidRPr="009735A7">
              <w:rPr>
                <w:sz w:val="18"/>
                <w:szCs w:val="18"/>
                <w:lang w:val="en-US"/>
              </w:rPr>
              <w:t xml:space="preserve">4.20% for 2017, falling by 0.30% per year to 3.00%. </w:t>
            </w:r>
          </w:p>
        </w:tc>
      </w:tr>
      <w:tr w:rsidR="00063D3A" w:rsidRPr="00DE5698" w:rsidTr="009735A7">
        <w:trPr>
          <w:trHeight w:val="509"/>
        </w:trPr>
        <w:tc>
          <w:tcPr>
            <w:tcW w:w="3659" w:type="dxa"/>
          </w:tcPr>
          <w:p w:rsidR="00063D3A" w:rsidRPr="009735A7" w:rsidRDefault="00063D3A" w:rsidP="00910855">
            <w:pPr>
              <w:pStyle w:val="Tabletext"/>
              <w:spacing w:before="20" w:after="20"/>
              <w:rPr>
                <w:sz w:val="18"/>
                <w:szCs w:val="18"/>
                <w:lang w:val="en-US"/>
              </w:rPr>
            </w:pPr>
            <w:r w:rsidRPr="009735A7">
              <w:rPr>
                <w:sz w:val="18"/>
                <w:szCs w:val="18"/>
                <w:lang w:val="en-US"/>
              </w:rPr>
              <w:t>Expected accounting rate of return on assets</w:t>
            </w:r>
          </w:p>
        </w:tc>
        <w:tc>
          <w:tcPr>
            <w:tcW w:w="6117" w:type="dxa"/>
          </w:tcPr>
          <w:p w:rsidR="00063D3A" w:rsidRPr="009735A7" w:rsidRDefault="00B07252" w:rsidP="00B07252">
            <w:pPr>
              <w:pStyle w:val="Tabletext"/>
              <w:spacing w:before="20" w:after="20"/>
              <w:rPr>
                <w:sz w:val="18"/>
                <w:szCs w:val="18"/>
                <w:highlight w:val="yellow"/>
                <w:lang w:val="en-US"/>
              </w:rPr>
            </w:pPr>
            <w:r>
              <w:rPr>
                <w:sz w:val="18"/>
                <w:szCs w:val="18"/>
                <w:lang w:val="en-US"/>
              </w:rPr>
              <w:t>N</w:t>
            </w:r>
            <w:r w:rsidR="00063D3A" w:rsidRPr="009735A7">
              <w:rPr>
                <w:sz w:val="18"/>
                <w:szCs w:val="18"/>
                <w:lang w:val="en-US"/>
              </w:rPr>
              <w:t>/A for 2017</w:t>
            </w:r>
          </w:p>
        </w:tc>
      </w:tr>
      <w:tr w:rsidR="00063D3A" w:rsidRPr="00DE5698" w:rsidTr="009735A7">
        <w:trPr>
          <w:trHeight w:val="509"/>
        </w:trPr>
        <w:tc>
          <w:tcPr>
            <w:tcW w:w="3659" w:type="dxa"/>
          </w:tcPr>
          <w:p w:rsidR="00063D3A" w:rsidRPr="009735A7" w:rsidRDefault="00063D3A" w:rsidP="00910855">
            <w:pPr>
              <w:pStyle w:val="Tabletext"/>
              <w:spacing w:before="20" w:after="20"/>
              <w:rPr>
                <w:sz w:val="18"/>
                <w:szCs w:val="18"/>
                <w:lang w:val="en-US"/>
              </w:rPr>
            </w:pPr>
            <w:r w:rsidRPr="009735A7">
              <w:rPr>
                <w:sz w:val="18"/>
                <w:szCs w:val="18"/>
                <w:lang w:val="en-US"/>
              </w:rPr>
              <w:t>Salary increases</w:t>
            </w:r>
          </w:p>
        </w:tc>
        <w:tc>
          <w:tcPr>
            <w:tcW w:w="6117" w:type="dxa"/>
          </w:tcPr>
          <w:p w:rsidR="00063D3A" w:rsidRPr="009735A7" w:rsidRDefault="00063D3A" w:rsidP="00910855">
            <w:pPr>
              <w:pStyle w:val="Tabletext"/>
              <w:spacing w:before="20" w:after="20"/>
              <w:rPr>
                <w:sz w:val="18"/>
                <w:szCs w:val="18"/>
                <w:lang w:val="en-US"/>
              </w:rPr>
            </w:pPr>
            <w:r w:rsidRPr="009735A7">
              <w:rPr>
                <w:sz w:val="18"/>
                <w:szCs w:val="18"/>
                <w:lang w:val="en-US"/>
              </w:rPr>
              <w:t>3.5% assumptions used for the latest UNJSPF actuarial valuation / assumption used for 2014 Professional Staff and 3.32% for General Service Staff.</w:t>
            </w:r>
          </w:p>
        </w:tc>
      </w:tr>
      <w:tr w:rsidR="00063D3A" w:rsidRPr="00DE5698" w:rsidTr="009735A7">
        <w:trPr>
          <w:trHeight w:val="276"/>
        </w:trPr>
        <w:tc>
          <w:tcPr>
            <w:tcW w:w="3659" w:type="dxa"/>
          </w:tcPr>
          <w:p w:rsidR="00063D3A" w:rsidRPr="009735A7" w:rsidRDefault="00063D3A" w:rsidP="00910855">
            <w:pPr>
              <w:pStyle w:val="Tabletext"/>
              <w:spacing w:before="20" w:after="20"/>
              <w:rPr>
                <w:sz w:val="18"/>
                <w:szCs w:val="18"/>
                <w:lang w:val="en-US"/>
              </w:rPr>
            </w:pPr>
            <w:r w:rsidRPr="009735A7">
              <w:rPr>
                <w:sz w:val="18"/>
                <w:szCs w:val="18"/>
                <w:lang w:val="en-US"/>
              </w:rPr>
              <w:t>Pension increases</w:t>
            </w:r>
          </w:p>
        </w:tc>
        <w:tc>
          <w:tcPr>
            <w:tcW w:w="6117" w:type="dxa"/>
          </w:tcPr>
          <w:p w:rsidR="00063D3A" w:rsidRPr="009735A7" w:rsidRDefault="00063D3A" w:rsidP="00910855">
            <w:pPr>
              <w:pStyle w:val="Tabletext"/>
              <w:spacing w:before="20" w:after="20"/>
              <w:rPr>
                <w:sz w:val="18"/>
                <w:szCs w:val="18"/>
                <w:lang w:val="en-US"/>
              </w:rPr>
            </w:pPr>
            <w:r w:rsidRPr="009735A7">
              <w:rPr>
                <w:sz w:val="18"/>
                <w:szCs w:val="18"/>
                <w:lang w:val="en-US"/>
              </w:rPr>
              <w:t>3.00% for 2017 and 2016</w:t>
            </w:r>
          </w:p>
        </w:tc>
      </w:tr>
      <w:tr w:rsidR="00063D3A" w:rsidRPr="00DE5698" w:rsidTr="009735A7">
        <w:trPr>
          <w:trHeight w:val="1455"/>
        </w:trPr>
        <w:tc>
          <w:tcPr>
            <w:tcW w:w="3659" w:type="dxa"/>
          </w:tcPr>
          <w:p w:rsidR="00063D3A" w:rsidRPr="009735A7" w:rsidRDefault="00063D3A" w:rsidP="00910855">
            <w:pPr>
              <w:pStyle w:val="Tabletext"/>
              <w:spacing w:before="20" w:after="20"/>
              <w:rPr>
                <w:sz w:val="18"/>
                <w:szCs w:val="18"/>
                <w:lang w:val="en-US"/>
              </w:rPr>
            </w:pPr>
            <w:r w:rsidRPr="009735A7">
              <w:rPr>
                <w:sz w:val="18"/>
                <w:szCs w:val="18"/>
                <w:lang w:val="en-US"/>
              </w:rPr>
              <w:t>Estimated annual average cost of claims for reimbursement of medical expenses in 2015 and variation in medical expenses according to age</w:t>
            </w:r>
          </w:p>
        </w:tc>
        <w:tc>
          <w:tcPr>
            <w:tcW w:w="6117" w:type="dxa"/>
          </w:tcPr>
          <w:p w:rsidR="00063D3A" w:rsidRPr="009735A7" w:rsidRDefault="00063D3A" w:rsidP="00910855">
            <w:pPr>
              <w:pStyle w:val="Tabletext"/>
              <w:spacing w:before="20" w:after="20"/>
              <w:rPr>
                <w:sz w:val="18"/>
                <w:szCs w:val="18"/>
                <w:lang w:val="en-US"/>
              </w:rPr>
            </w:pPr>
            <w:r w:rsidRPr="009735A7">
              <w:rPr>
                <w:sz w:val="18"/>
                <w:szCs w:val="18"/>
                <w:lang w:val="en-US"/>
              </w:rPr>
              <w:t>The 2017 actuarial report is based on average cost of claims for reimbursement in CHF estimated at the end of the 2017 period as an average per age range of 50, 55, 60, 65, 70, 75 and 80 years at CHF 6’080, CHF 7’151, CHF 8’536, CHF 10’484, CHF 12’780, CHF 14’557, CHF 15’667 respectively, for men, and CHF 5’710, CHF 6’717, CHF 8’016, CHF 9’847, CHF 12’003, CHF 13’673, CHF 14’714, respectively, for women.</w:t>
            </w:r>
          </w:p>
        </w:tc>
      </w:tr>
      <w:tr w:rsidR="00063D3A" w:rsidRPr="00DE5698" w:rsidTr="009735A7">
        <w:trPr>
          <w:trHeight w:val="262"/>
        </w:trPr>
        <w:tc>
          <w:tcPr>
            <w:tcW w:w="3659" w:type="dxa"/>
          </w:tcPr>
          <w:p w:rsidR="00063D3A" w:rsidRPr="009735A7" w:rsidRDefault="00063D3A" w:rsidP="00910855">
            <w:pPr>
              <w:pStyle w:val="Tabletext"/>
              <w:spacing w:before="20" w:after="20"/>
              <w:rPr>
                <w:sz w:val="18"/>
                <w:szCs w:val="18"/>
                <w:lang w:val="en-US"/>
              </w:rPr>
            </w:pPr>
            <w:r w:rsidRPr="009735A7">
              <w:rPr>
                <w:sz w:val="18"/>
                <w:szCs w:val="18"/>
                <w:lang w:val="en-US"/>
              </w:rPr>
              <w:t>Administrative expenses</w:t>
            </w:r>
          </w:p>
        </w:tc>
        <w:tc>
          <w:tcPr>
            <w:tcW w:w="6117" w:type="dxa"/>
          </w:tcPr>
          <w:p w:rsidR="00063D3A" w:rsidRPr="009735A7" w:rsidRDefault="00063D3A" w:rsidP="00910855">
            <w:pPr>
              <w:pStyle w:val="Tabletext"/>
              <w:spacing w:before="20" w:after="20"/>
              <w:rPr>
                <w:sz w:val="18"/>
                <w:szCs w:val="18"/>
                <w:lang w:val="en-US"/>
              </w:rPr>
            </w:pPr>
            <w:r w:rsidRPr="009735A7">
              <w:rPr>
                <w:sz w:val="18"/>
                <w:szCs w:val="18"/>
                <w:lang w:val="en-US"/>
              </w:rPr>
              <w:t>The annual average administrative cost per person was estimated at CHF 222.92</w:t>
            </w:r>
          </w:p>
        </w:tc>
      </w:tr>
      <w:tr w:rsidR="00063D3A" w:rsidRPr="00DE5698" w:rsidTr="009735A7">
        <w:trPr>
          <w:trHeight w:val="1455"/>
        </w:trPr>
        <w:tc>
          <w:tcPr>
            <w:tcW w:w="3659" w:type="dxa"/>
          </w:tcPr>
          <w:p w:rsidR="00063D3A" w:rsidRPr="009735A7" w:rsidRDefault="00063D3A" w:rsidP="00910855">
            <w:pPr>
              <w:pStyle w:val="Tabletext"/>
              <w:spacing w:before="20" w:after="20"/>
              <w:rPr>
                <w:sz w:val="18"/>
                <w:szCs w:val="18"/>
                <w:lang w:val="en-US"/>
              </w:rPr>
            </w:pPr>
            <w:r w:rsidRPr="009735A7">
              <w:rPr>
                <w:sz w:val="18"/>
                <w:szCs w:val="18"/>
                <w:lang w:val="en-US"/>
              </w:rPr>
              <w:t>Mortality</w:t>
            </w:r>
          </w:p>
        </w:tc>
        <w:tc>
          <w:tcPr>
            <w:tcW w:w="6117" w:type="dxa"/>
          </w:tcPr>
          <w:p w:rsidR="00063D3A" w:rsidRPr="009735A7" w:rsidRDefault="00063D3A" w:rsidP="00910855">
            <w:pPr>
              <w:pStyle w:val="Tabletext"/>
              <w:spacing w:before="20" w:after="20"/>
              <w:rPr>
                <w:sz w:val="18"/>
                <w:szCs w:val="18"/>
                <w:lang w:val="en-US"/>
              </w:rPr>
            </w:pPr>
            <w:r w:rsidRPr="009735A7">
              <w:rPr>
                <w:sz w:val="18"/>
                <w:szCs w:val="18"/>
                <w:lang w:val="en-US"/>
              </w:rPr>
              <w:t>The mortality is based on the 2017 United Nations Mortality Tables respectively for current Actives, for Service Pensioners, Widows and Widowers and for Disability Pensioners. Base year is 2017 with generational improvement scale applied through 2037 for Current Healthy Inactive. No generational improvement scale is applied for Current Disabled Inactive.</w:t>
            </w:r>
          </w:p>
        </w:tc>
      </w:tr>
      <w:tr w:rsidR="00063D3A" w:rsidRPr="00DE5698" w:rsidTr="009735A7">
        <w:trPr>
          <w:trHeight w:val="374"/>
        </w:trPr>
        <w:tc>
          <w:tcPr>
            <w:tcW w:w="3659" w:type="dxa"/>
          </w:tcPr>
          <w:p w:rsidR="00063D3A" w:rsidRPr="009735A7" w:rsidRDefault="00063D3A" w:rsidP="00910855">
            <w:pPr>
              <w:pStyle w:val="Tabletext"/>
              <w:spacing w:before="20" w:after="20"/>
              <w:rPr>
                <w:sz w:val="18"/>
                <w:szCs w:val="18"/>
                <w:lang w:val="en-US"/>
              </w:rPr>
            </w:pPr>
            <w:r w:rsidRPr="009735A7">
              <w:rPr>
                <w:sz w:val="18"/>
                <w:szCs w:val="18"/>
                <w:lang w:val="en-US"/>
              </w:rPr>
              <w:t>Valuation of assets</w:t>
            </w:r>
          </w:p>
        </w:tc>
        <w:tc>
          <w:tcPr>
            <w:tcW w:w="6117" w:type="dxa"/>
          </w:tcPr>
          <w:p w:rsidR="00063D3A" w:rsidRPr="009735A7" w:rsidRDefault="00063D3A" w:rsidP="00910855">
            <w:pPr>
              <w:pStyle w:val="Tabletext"/>
              <w:spacing w:before="20" w:after="20"/>
              <w:rPr>
                <w:sz w:val="18"/>
                <w:szCs w:val="18"/>
                <w:lang w:val="en-US"/>
              </w:rPr>
            </w:pPr>
            <w:r w:rsidRPr="009735A7">
              <w:rPr>
                <w:sz w:val="18"/>
                <w:szCs w:val="18"/>
                <w:lang w:val="en-US"/>
              </w:rPr>
              <w:t>ITU has no more asset under the Guarantee Funds as of 31 December 2017.</w:t>
            </w:r>
          </w:p>
        </w:tc>
      </w:tr>
      <w:tr w:rsidR="00063D3A" w:rsidRPr="00DE5698" w:rsidTr="009735A7">
        <w:trPr>
          <w:trHeight w:val="742"/>
        </w:trPr>
        <w:tc>
          <w:tcPr>
            <w:tcW w:w="3659" w:type="dxa"/>
          </w:tcPr>
          <w:p w:rsidR="00063D3A" w:rsidRPr="009735A7" w:rsidRDefault="00063D3A" w:rsidP="00910855">
            <w:pPr>
              <w:pStyle w:val="Tabletext"/>
              <w:spacing w:before="20" w:after="20"/>
              <w:rPr>
                <w:sz w:val="18"/>
                <w:szCs w:val="18"/>
                <w:lang w:val="en-US"/>
              </w:rPr>
            </w:pPr>
            <w:r w:rsidRPr="009735A7">
              <w:rPr>
                <w:sz w:val="18"/>
                <w:szCs w:val="18"/>
                <w:lang w:val="en-US"/>
              </w:rPr>
              <w:t>Disability rate</w:t>
            </w:r>
          </w:p>
        </w:tc>
        <w:tc>
          <w:tcPr>
            <w:tcW w:w="6117" w:type="dxa"/>
          </w:tcPr>
          <w:p w:rsidR="00063D3A" w:rsidRPr="009735A7" w:rsidRDefault="00063D3A" w:rsidP="00910855">
            <w:pPr>
              <w:pStyle w:val="Tabletext"/>
              <w:spacing w:before="20" w:after="20"/>
              <w:rPr>
                <w:sz w:val="18"/>
                <w:szCs w:val="18"/>
                <w:lang w:val="en-US"/>
              </w:rPr>
            </w:pPr>
            <w:r w:rsidRPr="009735A7">
              <w:rPr>
                <w:sz w:val="18"/>
                <w:szCs w:val="18"/>
                <w:lang w:val="en-US"/>
              </w:rPr>
              <w:t>Varies according to age and gender and for Professional Staff and General Service Staff and increases with age. The rate is based on the United Nations Disability table.</w:t>
            </w:r>
          </w:p>
        </w:tc>
      </w:tr>
      <w:tr w:rsidR="00063D3A" w:rsidRPr="00DE5698" w:rsidTr="009735A7">
        <w:trPr>
          <w:trHeight w:val="509"/>
        </w:trPr>
        <w:tc>
          <w:tcPr>
            <w:tcW w:w="3659" w:type="dxa"/>
          </w:tcPr>
          <w:p w:rsidR="00063D3A" w:rsidRPr="009735A7" w:rsidRDefault="00063D3A" w:rsidP="00910855">
            <w:pPr>
              <w:pStyle w:val="Tabletext"/>
              <w:spacing w:before="20" w:after="20"/>
              <w:rPr>
                <w:sz w:val="18"/>
                <w:szCs w:val="18"/>
                <w:lang w:val="en-US"/>
              </w:rPr>
            </w:pPr>
            <w:r w:rsidRPr="009735A7">
              <w:rPr>
                <w:sz w:val="18"/>
                <w:szCs w:val="18"/>
                <w:lang w:val="en-US"/>
              </w:rPr>
              <w:t>Rates of conversion of benefit rights</w:t>
            </w:r>
          </w:p>
        </w:tc>
        <w:tc>
          <w:tcPr>
            <w:tcW w:w="6117" w:type="dxa"/>
          </w:tcPr>
          <w:p w:rsidR="00063D3A" w:rsidRPr="009735A7" w:rsidRDefault="00063D3A" w:rsidP="00910855">
            <w:pPr>
              <w:pStyle w:val="Tabletext"/>
              <w:spacing w:before="20" w:after="20"/>
              <w:rPr>
                <w:sz w:val="18"/>
                <w:szCs w:val="18"/>
                <w:lang w:val="en-US"/>
              </w:rPr>
            </w:pPr>
            <w:r w:rsidRPr="009735A7">
              <w:rPr>
                <w:sz w:val="18"/>
                <w:szCs w:val="18"/>
                <w:lang w:val="en-US"/>
              </w:rPr>
              <w:t>Vary according to age and number of years of service, with requests for conversion being more frequent in the first year.</w:t>
            </w:r>
          </w:p>
        </w:tc>
      </w:tr>
      <w:tr w:rsidR="00063D3A" w:rsidRPr="00DE5698" w:rsidTr="009735A7">
        <w:trPr>
          <w:trHeight w:val="509"/>
        </w:trPr>
        <w:tc>
          <w:tcPr>
            <w:tcW w:w="3659" w:type="dxa"/>
          </w:tcPr>
          <w:p w:rsidR="00063D3A" w:rsidRPr="009735A7" w:rsidRDefault="00063D3A" w:rsidP="00910855">
            <w:pPr>
              <w:pStyle w:val="Tabletext"/>
              <w:spacing w:before="20" w:after="20"/>
              <w:rPr>
                <w:sz w:val="18"/>
                <w:szCs w:val="18"/>
                <w:lang w:val="en-US"/>
              </w:rPr>
            </w:pPr>
            <w:r w:rsidRPr="009735A7">
              <w:rPr>
                <w:sz w:val="18"/>
                <w:szCs w:val="18"/>
                <w:lang w:val="en-US"/>
              </w:rPr>
              <w:t>Employee turnover</w:t>
            </w:r>
          </w:p>
        </w:tc>
        <w:tc>
          <w:tcPr>
            <w:tcW w:w="6117" w:type="dxa"/>
          </w:tcPr>
          <w:p w:rsidR="00063D3A" w:rsidRPr="009735A7" w:rsidRDefault="00063D3A" w:rsidP="00910855">
            <w:pPr>
              <w:pStyle w:val="Tabletext"/>
              <w:spacing w:before="20" w:after="20"/>
              <w:rPr>
                <w:sz w:val="18"/>
                <w:szCs w:val="18"/>
                <w:lang w:val="en-US"/>
              </w:rPr>
            </w:pPr>
            <w:r w:rsidRPr="009735A7">
              <w:rPr>
                <w:sz w:val="18"/>
                <w:szCs w:val="18"/>
                <w:lang w:val="en-US"/>
              </w:rPr>
              <w:t>The separation rate for employees leaving the organizations considered in the valuation varies according to age and gender.</w:t>
            </w:r>
          </w:p>
        </w:tc>
      </w:tr>
      <w:tr w:rsidR="00063D3A" w:rsidRPr="00DE5698" w:rsidTr="009735A7">
        <w:trPr>
          <w:trHeight w:val="509"/>
        </w:trPr>
        <w:tc>
          <w:tcPr>
            <w:tcW w:w="3659" w:type="dxa"/>
          </w:tcPr>
          <w:p w:rsidR="00063D3A" w:rsidRPr="009735A7" w:rsidRDefault="00063D3A" w:rsidP="00910855">
            <w:pPr>
              <w:pStyle w:val="Tabletext"/>
              <w:spacing w:before="20" w:after="20"/>
              <w:rPr>
                <w:sz w:val="18"/>
                <w:szCs w:val="18"/>
                <w:lang w:val="en-US"/>
              </w:rPr>
            </w:pPr>
            <w:r w:rsidRPr="009735A7">
              <w:rPr>
                <w:sz w:val="18"/>
                <w:szCs w:val="18"/>
                <w:lang w:val="en-US"/>
              </w:rPr>
              <w:t>Retirement rate</w:t>
            </w:r>
          </w:p>
        </w:tc>
        <w:tc>
          <w:tcPr>
            <w:tcW w:w="6117" w:type="dxa"/>
          </w:tcPr>
          <w:p w:rsidR="00063D3A" w:rsidRPr="009735A7" w:rsidRDefault="00063D3A" w:rsidP="00910855">
            <w:pPr>
              <w:pStyle w:val="Tabletext"/>
              <w:spacing w:before="20" w:after="20"/>
              <w:rPr>
                <w:sz w:val="18"/>
                <w:szCs w:val="18"/>
                <w:lang w:val="en-US"/>
              </w:rPr>
            </w:pPr>
            <w:r w:rsidRPr="009735A7">
              <w:rPr>
                <w:sz w:val="18"/>
                <w:szCs w:val="18"/>
                <w:lang w:val="en-US"/>
              </w:rPr>
              <w:t>For all staff, retirement rates are set equal to the rates from the 31 December 2015 valuation of UNJSPF. Rates vary according to age, with a higher probability for employees aged 60 and over.</w:t>
            </w:r>
          </w:p>
        </w:tc>
      </w:tr>
      <w:tr w:rsidR="00063D3A" w:rsidRPr="00DE5698" w:rsidTr="009735A7">
        <w:trPr>
          <w:trHeight w:val="262"/>
        </w:trPr>
        <w:tc>
          <w:tcPr>
            <w:tcW w:w="3659" w:type="dxa"/>
          </w:tcPr>
          <w:p w:rsidR="00063D3A" w:rsidRPr="009735A7" w:rsidRDefault="00063D3A" w:rsidP="00910855">
            <w:pPr>
              <w:pStyle w:val="Tabletext"/>
              <w:spacing w:before="20" w:after="20"/>
              <w:rPr>
                <w:sz w:val="18"/>
                <w:szCs w:val="18"/>
                <w:lang w:val="en-US"/>
              </w:rPr>
            </w:pPr>
            <w:r w:rsidRPr="009735A7">
              <w:rPr>
                <w:sz w:val="18"/>
                <w:szCs w:val="18"/>
                <w:lang w:val="en-US"/>
              </w:rPr>
              <w:t>Participation</w:t>
            </w:r>
          </w:p>
        </w:tc>
        <w:tc>
          <w:tcPr>
            <w:tcW w:w="6117" w:type="dxa"/>
          </w:tcPr>
          <w:p w:rsidR="00063D3A" w:rsidRPr="009735A7" w:rsidRDefault="00063D3A" w:rsidP="00910855">
            <w:pPr>
              <w:pStyle w:val="Tabletext"/>
              <w:spacing w:before="20" w:after="20"/>
              <w:rPr>
                <w:sz w:val="18"/>
                <w:szCs w:val="18"/>
                <w:lang w:val="en-US"/>
              </w:rPr>
            </w:pPr>
            <w:r w:rsidRPr="009735A7">
              <w:rPr>
                <w:sz w:val="18"/>
                <w:szCs w:val="18"/>
                <w:lang w:val="en-US"/>
              </w:rPr>
              <w:t>97.5% of future retirees will opt to participate in the CMIP.</w:t>
            </w:r>
          </w:p>
        </w:tc>
      </w:tr>
      <w:tr w:rsidR="00063D3A" w:rsidRPr="00DE5698" w:rsidTr="009735A7">
        <w:trPr>
          <w:trHeight w:val="509"/>
        </w:trPr>
        <w:tc>
          <w:tcPr>
            <w:tcW w:w="3659" w:type="dxa"/>
          </w:tcPr>
          <w:p w:rsidR="00063D3A" w:rsidRPr="009735A7" w:rsidRDefault="00063D3A" w:rsidP="00910855">
            <w:pPr>
              <w:pStyle w:val="Tabletext"/>
              <w:spacing w:before="20" w:after="20"/>
              <w:rPr>
                <w:sz w:val="18"/>
                <w:szCs w:val="18"/>
                <w:lang w:val="en-US"/>
              </w:rPr>
            </w:pPr>
            <w:r w:rsidRPr="009735A7">
              <w:rPr>
                <w:sz w:val="18"/>
                <w:szCs w:val="18"/>
                <w:lang w:val="en-US"/>
              </w:rPr>
              <w:t>Spouse coverage</w:t>
            </w:r>
          </w:p>
        </w:tc>
        <w:tc>
          <w:tcPr>
            <w:tcW w:w="6117" w:type="dxa"/>
          </w:tcPr>
          <w:p w:rsidR="00063D3A" w:rsidRPr="009735A7" w:rsidRDefault="00063D3A" w:rsidP="00910855">
            <w:pPr>
              <w:pStyle w:val="Tabletext"/>
              <w:spacing w:before="20" w:after="20"/>
              <w:rPr>
                <w:sz w:val="18"/>
                <w:szCs w:val="18"/>
                <w:lang w:val="en-US"/>
              </w:rPr>
            </w:pPr>
            <w:r w:rsidRPr="009735A7">
              <w:rPr>
                <w:sz w:val="18"/>
                <w:szCs w:val="18"/>
                <w:lang w:val="en-US"/>
              </w:rPr>
              <w:t>75% and 25% of male and female retirees have a spouse having requested affiliation to CMIP. Men are assumed to be five years older than their spouse.</w:t>
            </w:r>
          </w:p>
        </w:tc>
      </w:tr>
      <w:tr w:rsidR="00063D3A" w:rsidRPr="00DE5698" w:rsidTr="009735A7">
        <w:trPr>
          <w:trHeight w:val="756"/>
        </w:trPr>
        <w:tc>
          <w:tcPr>
            <w:tcW w:w="3659" w:type="dxa"/>
          </w:tcPr>
          <w:p w:rsidR="00063D3A" w:rsidRPr="009735A7" w:rsidRDefault="00063D3A" w:rsidP="00910855">
            <w:pPr>
              <w:pStyle w:val="Tabletext"/>
              <w:spacing w:before="20" w:after="20"/>
              <w:rPr>
                <w:sz w:val="18"/>
                <w:szCs w:val="18"/>
                <w:lang w:val="en-US"/>
              </w:rPr>
            </w:pPr>
            <w:r w:rsidRPr="009735A7">
              <w:rPr>
                <w:sz w:val="18"/>
                <w:szCs w:val="18"/>
                <w:lang w:val="en-US"/>
              </w:rPr>
              <w:t>Actuarial method</w:t>
            </w:r>
          </w:p>
        </w:tc>
        <w:tc>
          <w:tcPr>
            <w:tcW w:w="6117" w:type="dxa"/>
          </w:tcPr>
          <w:p w:rsidR="00063D3A" w:rsidRPr="009735A7" w:rsidRDefault="00063D3A" w:rsidP="00910855">
            <w:pPr>
              <w:pStyle w:val="Tabletext"/>
              <w:spacing w:before="20" w:after="20"/>
              <w:rPr>
                <w:sz w:val="18"/>
                <w:szCs w:val="18"/>
                <w:lang w:val="en-US"/>
              </w:rPr>
            </w:pPr>
            <w:r w:rsidRPr="009735A7">
              <w:rPr>
                <w:sz w:val="18"/>
                <w:szCs w:val="18"/>
                <w:lang w:val="en-US"/>
              </w:rPr>
              <w:t>Projected unit credit method with an allocation period beginning at 45 years of age to reflect the fact that employees must be at least 55 years old and have completed 10 years of service in order to be eligible.</w:t>
            </w:r>
          </w:p>
        </w:tc>
      </w:tr>
      <w:tr w:rsidR="00063D3A" w:rsidRPr="00DE5698" w:rsidTr="009735A7">
        <w:trPr>
          <w:trHeight w:val="742"/>
        </w:trPr>
        <w:tc>
          <w:tcPr>
            <w:tcW w:w="3659" w:type="dxa"/>
          </w:tcPr>
          <w:p w:rsidR="00063D3A" w:rsidRPr="009735A7" w:rsidRDefault="00063D3A" w:rsidP="00910855">
            <w:pPr>
              <w:pStyle w:val="Tabletext"/>
              <w:spacing w:before="20" w:after="20"/>
              <w:rPr>
                <w:sz w:val="18"/>
                <w:szCs w:val="18"/>
                <w:lang w:val="en-US"/>
              </w:rPr>
            </w:pPr>
            <w:r w:rsidRPr="009735A7">
              <w:rPr>
                <w:sz w:val="18"/>
                <w:szCs w:val="18"/>
                <w:lang w:val="en-US"/>
              </w:rPr>
              <w:t>OCI approach</w:t>
            </w:r>
          </w:p>
        </w:tc>
        <w:tc>
          <w:tcPr>
            <w:tcW w:w="6117" w:type="dxa"/>
          </w:tcPr>
          <w:p w:rsidR="00063D3A" w:rsidRPr="009735A7" w:rsidRDefault="00063D3A" w:rsidP="00910855">
            <w:pPr>
              <w:pStyle w:val="Tabletext"/>
              <w:spacing w:before="20" w:after="20"/>
              <w:rPr>
                <w:sz w:val="18"/>
                <w:szCs w:val="18"/>
                <w:lang w:val="en-US"/>
              </w:rPr>
            </w:pPr>
            <w:r w:rsidRPr="009735A7">
              <w:rPr>
                <w:sz w:val="18"/>
                <w:szCs w:val="18"/>
                <w:lang w:val="en-US"/>
              </w:rPr>
              <w:t>Net gains and losses resulting from variations due to the gap between assumptions and actual values and to changes in calculation assumptions are a component of net assets, in accordance with the option proposed in IPSAS 39.</w:t>
            </w:r>
          </w:p>
        </w:tc>
      </w:tr>
    </w:tbl>
    <w:p w:rsidR="00303CCC" w:rsidRDefault="0022373A" w:rsidP="00E20CED">
      <w:pPr>
        <w:spacing w:before="240"/>
        <w:jc w:val="both"/>
        <w:rPr>
          <w:lang w:val="en-US"/>
        </w:rPr>
      </w:pPr>
      <w:r w:rsidRPr="00EE7C7D">
        <w:rPr>
          <w:lang w:val="en-US"/>
        </w:rPr>
        <w:t xml:space="preserve">Staff members (and their spouses, dependent children and survivors) separating from service at age 55 or over are entitled to </w:t>
      </w:r>
      <w:r w:rsidR="00745575" w:rsidRPr="00EE7C7D">
        <w:rPr>
          <w:lang w:val="en-US"/>
        </w:rPr>
        <w:t>after</w:t>
      </w:r>
      <w:r w:rsidR="00063B70">
        <w:rPr>
          <w:lang w:val="en-US"/>
        </w:rPr>
        <w:t>-</w:t>
      </w:r>
      <w:r w:rsidR="00745575" w:rsidRPr="00EE7C7D">
        <w:rPr>
          <w:lang w:val="en-US"/>
        </w:rPr>
        <w:t>service</w:t>
      </w:r>
      <w:r w:rsidRPr="00EE7C7D">
        <w:rPr>
          <w:lang w:val="en-US"/>
        </w:rPr>
        <w:t xml:space="preserve"> health insurance coverage provided they have completed at least ten years</w:t>
      </w:r>
      <w:r w:rsidR="007A552E">
        <w:rPr>
          <w:lang w:val="en-US"/>
        </w:rPr>
        <w:t>’</w:t>
      </w:r>
      <w:r w:rsidRPr="00EE7C7D">
        <w:rPr>
          <w:lang w:val="en-US"/>
        </w:rPr>
        <w:t xml:space="preserve"> service with the United Nations or a specialized agency and were insured under the Staff Health Insurance Fund (</w:t>
      </w:r>
      <w:r w:rsidR="007F4321">
        <w:rPr>
          <w:lang w:val="en-US"/>
        </w:rPr>
        <w:t xml:space="preserve">CMIP) </w:t>
      </w:r>
      <w:r w:rsidRPr="00EE7C7D">
        <w:rPr>
          <w:lang w:val="en-US"/>
        </w:rPr>
        <w:t>during the five years immediately preceding their separation from service. The same benefits apply to staff members in receipt of a disability allowance from the United Nations Joint Staff Pension Fund. This regime is jointly financed, with ITU contributing 2/3 and the insured person 1/3.</w:t>
      </w:r>
    </w:p>
    <w:p w:rsidR="000C2557" w:rsidRDefault="0022373A" w:rsidP="00063D3A">
      <w:pPr>
        <w:spacing w:after="120"/>
        <w:jc w:val="both"/>
        <w:rPr>
          <w:lang w:val="en-US"/>
        </w:rPr>
      </w:pPr>
      <w:r w:rsidRPr="00EE7C7D">
        <w:rPr>
          <w:lang w:val="en-US"/>
        </w:rPr>
        <w:t>The following tables provide additional information and analyses concerning the liabilities arising from employee allowances, as well as valuation of the assets held by the Fund</w:t>
      </w:r>
      <w:r w:rsidR="00D0631B" w:rsidRPr="00EE7C7D">
        <w:rPr>
          <w:lang w:val="en-US"/>
        </w:rPr>
        <w:t xml:space="preserve"> according to the</w:t>
      </w:r>
      <w:r w:rsidRPr="00EE7C7D">
        <w:rPr>
          <w:lang w:val="en-US"/>
        </w:rPr>
        <w:t xml:space="preserve"> actuarial study performed to obtain</w:t>
      </w:r>
      <w:r w:rsidR="00EE7C7D">
        <w:rPr>
          <w:lang w:val="en-US"/>
        </w:rPr>
        <w:t xml:space="preserve"> the amounts at 31 December </w:t>
      </w:r>
      <w:r w:rsidR="00111BDD">
        <w:rPr>
          <w:lang w:val="en-US"/>
        </w:rPr>
        <w:t>201</w:t>
      </w:r>
      <w:r w:rsidR="00063D3A">
        <w:rPr>
          <w:lang w:val="en-US"/>
        </w:rPr>
        <w:t>7</w:t>
      </w:r>
      <w:r w:rsidRPr="00EE7C7D">
        <w:rPr>
          <w:lang w:val="en-US"/>
        </w:rPr>
        <w:t>.</w:t>
      </w:r>
    </w:p>
    <w:p w:rsidR="006D735A" w:rsidRDefault="006D735A">
      <w:r>
        <w:br w:type="page"/>
      </w:r>
    </w:p>
    <w:tbl>
      <w:tblPr>
        <w:tblW w:w="9541" w:type="dxa"/>
        <w:jc w:val="center"/>
        <w:tblLook w:val="04A0" w:firstRow="1" w:lastRow="0" w:firstColumn="1" w:lastColumn="0" w:noHBand="0" w:noVBand="1"/>
      </w:tblPr>
      <w:tblGrid>
        <w:gridCol w:w="6374"/>
        <w:gridCol w:w="1559"/>
        <w:gridCol w:w="1608"/>
      </w:tblGrid>
      <w:tr w:rsidR="00063D3A" w:rsidRPr="001C2A98" w:rsidTr="00063D3A">
        <w:trPr>
          <w:trHeight w:val="528"/>
          <w:jc w:val="center"/>
        </w:trPr>
        <w:tc>
          <w:tcPr>
            <w:tcW w:w="6374" w:type="dxa"/>
            <w:tcBorders>
              <w:top w:val="single" w:sz="4" w:space="0" w:color="auto"/>
              <w:left w:val="single" w:sz="4" w:space="0" w:color="auto"/>
              <w:bottom w:val="single" w:sz="4" w:space="0" w:color="auto"/>
              <w:right w:val="nil"/>
            </w:tcBorders>
            <w:shd w:val="clear" w:color="auto" w:fill="auto"/>
            <w:vAlign w:val="center"/>
            <w:hideMark/>
          </w:tcPr>
          <w:p w:rsidR="00063D3A" w:rsidRPr="000D7C4D" w:rsidRDefault="00063D3A" w:rsidP="00063D3A">
            <w:pPr>
              <w:widowControl w:val="0"/>
              <w:kinsoku w:val="0"/>
              <w:rPr>
                <w:b/>
                <w:color w:val="000000"/>
                <w:sz w:val="22"/>
                <w:szCs w:val="18"/>
                <w:lang w:val="en-US"/>
              </w:rPr>
            </w:pPr>
            <w:r w:rsidRPr="000D7C4D">
              <w:rPr>
                <w:b/>
                <w:color w:val="000000"/>
                <w:sz w:val="22"/>
                <w:szCs w:val="18"/>
                <w:lang w:val="en-US"/>
              </w:rPr>
              <w:t>Amount of obligations under the ASHI plan at 31 December </w:t>
            </w:r>
            <w:r>
              <w:rPr>
                <w:b/>
                <w:color w:val="000000"/>
                <w:sz w:val="22"/>
                <w:szCs w:val="18"/>
                <w:lang w:val="en-US"/>
              </w:rPr>
              <w:t>2017</w:t>
            </w:r>
            <w:r w:rsidRPr="000D7C4D">
              <w:rPr>
                <w:b/>
                <w:color w:val="000000"/>
                <w:sz w:val="22"/>
                <w:szCs w:val="18"/>
                <w:lang w:val="en-US"/>
              </w:rPr>
              <w:t xml:space="preserve"> and 201</w:t>
            </w:r>
            <w:r>
              <w:rPr>
                <w:b/>
                <w:color w:val="000000"/>
                <w:sz w:val="22"/>
                <w:szCs w:val="18"/>
                <w:lang w:val="en-US"/>
              </w:rPr>
              <w:t>6</w:t>
            </w:r>
            <w:r w:rsidRPr="000D7C4D">
              <w:rPr>
                <w:b/>
                <w:color w:val="000000"/>
                <w:sz w:val="22"/>
                <w:szCs w:val="18"/>
                <w:lang w:val="en-US"/>
              </w:rPr>
              <w:t xml:space="preserve"> in the statement of</w:t>
            </w:r>
            <w:r>
              <w:rPr>
                <w:b/>
                <w:color w:val="000000"/>
                <w:sz w:val="22"/>
                <w:szCs w:val="18"/>
                <w:lang w:val="en-US"/>
              </w:rPr>
              <w:t xml:space="preserve"> </w:t>
            </w:r>
            <w:r w:rsidRPr="000D7C4D">
              <w:rPr>
                <w:b/>
                <w:color w:val="000000"/>
                <w:sz w:val="22"/>
                <w:szCs w:val="18"/>
                <w:lang w:val="en-US"/>
              </w:rPr>
              <w:t>financial position</w:t>
            </w:r>
          </w:p>
          <w:p w:rsidR="00063D3A" w:rsidRPr="000D7C4D" w:rsidRDefault="00063D3A" w:rsidP="00910855">
            <w:pPr>
              <w:widowControl w:val="0"/>
              <w:kinsoku w:val="0"/>
              <w:spacing w:before="60"/>
              <w:rPr>
                <w:bCs/>
                <w:color w:val="000000"/>
                <w:sz w:val="22"/>
                <w:szCs w:val="18"/>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3D3A" w:rsidRPr="000D7C4D" w:rsidRDefault="00063D3A" w:rsidP="00910855">
            <w:pPr>
              <w:widowControl w:val="0"/>
              <w:kinsoku w:val="0"/>
              <w:spacing w:before="60"/>
              <w:jc w:val="center"/>
              <w:rPr>
                <w:b/>
                <w:color w:val="000000"/>
                <w:sz w:val="22"/>
                <w:szCs w:val="18"/>
                <w:lang w:val="en-US"/>
              </w:rPr>
            </w:pPr>
            <w:r w:rsidRPr="000D7C4D">
              <w:rPr>
                <w:b/>
                <w:bCs/>
                <w:i/>
                <w:iCs/>
                <w:color w:val="000000"/>
                <w:sz w:val="22"/>
                <w:szCs w:val="18"/>
                <w:lang w:val="en-US"/>
              </w:rPr>
              <w:t>In thousands of CHF</w:t>
            </w:r>
            <w:r w:rsidRPr="000D7C4D">
              <w:rPr>
                <w:b/>
                <w:bCs/>
                <w:i/>
                <w:iCs/>
                <w:color w:val="000000"/>
                <w:sz w:val="22"/>
                <w:szCs w:val="18"/>
                <w:lang w:val="en-US"/>
              </w:rPr>
              <w:br/>
            </w:r>
            <w:r w:rsidRPr="000D7C4D">
              <w:rPr>
                <w:b/>
                <w:bCs/>
                <w:color w:val="000000"/>
                <w:sz w:val="22"/>
                <w:szCs w:val="18"/>
                <w:lang w:val="en-US"/>
              </w:rPr>
              <w:t>31.12.</w:t>
            </w:r>
            <w:r>
              <w:rPr>
                <w:b/>
                <w:bCs/>
                <w:color w:val="000000"/>
                <w:sz w:val="22"/>
                <w:szCs w:val="18"/>
                <w:lang w:val="en-US"/>
              </w:rPr>
              <w:t>2017</w:t>
            </w:r>
          </w:p>
        </w:tc>
        <w:tc>
          <w:tcPr>
            <w:tcW w:w="1608" w:type="dxa"/>
            <w:tcBorders>
              <w:top w:val="single" w:sz="4" w:space="0" w:color="auto"/>
              <w:left w:val="single" w:sz="4" w:space="0" w:color="auto"/>
              <w:bottom w:val="single" w:sz="4" w:space="0" w:color="auto"/>
              <w:right w:val="single" w:sz="4" w:space="0" w:color="auto"/>
            </w:tcBorders>
            <w:vAlign w:val="center"/>
          </w:tcPr>
          <w:p w:rsidR="00063D3A" w:rsidRPr="000D7C4D" w:rsidRDefault="00063D3A" w:rsidP="00910855">
            <w:pPr>
              <w:widowControl w:val="0"/>
              <w:kinsoku w:val="0"/>
              <w:spacing w:before="60"/>
              <w:jc w:val="center"/>
              <w:rPr>
                <w:b/>
                <w:color w:val="000000"/>
                <w:sz w:val="22"/>
                <w:szCs w:val="18"/>
                <w:lang w:val="en-US"/>
              </w:rPr>
            </w:pPr>
            <w:r w:rsidRPr="000D7C4D">
              <w:rPr>
                <w:b/>
                <w:bCs/>
                <w:i/>
                <w:iCs/>
                <w:color w:val="000000"/>
                <w:sz w:val="22"/>
                <w:szCs w:val="18"/>
                <w:lang w:val="en-US"/>
              </w:rPr>
              <w:t>In thousands of CHF</w:t>
            </w:r>
            <w:r w:rsidRPr="000D7C4D">
              <w:rPr>
                <w:b/>
                <w:bCs/>
                <w:i/>
                <w:iCs/>
                <w:color w:val="000000"/>
                <w:sz w:val="22"/>
                <w:szCs w:val="18"/>
                <w:lang w:val="en-US"/>
              </w:rPr>
              <w:br/>
            </w:r>
            <w:r w:rsidRPr="000D7C4D">
              <w:rPr>
                <w:b/>
                <w:bCs/>
                <w:color w:val="000000"/>
                <w:sz w:val="22"/>
                <w:szCs w:val="18"/>
                <w:lang w:val="en-US"/>
              </w:rPr>
              <w:t>31.12.201</w:t>
            </w:r>
            <w:r>
              <w:rPr>
                <w:b/>
                <w:bCs/>
                <w:color w:val="000000"/>
                <w:sz w:val="22"/>
                <w:szCs w:val="18"/>
                <w:lang w:val="en-US"/>
              </w:rPr>
              <w:t>6</w:t>
            </w:r>
          </w:p>
        </w:tc>
      </w:tr>
      <w:tr w:rsidR="00063D3A" w:rsidRPr="001C2A98" w:rsidTr="00063D3A">
        <w:trPr>
          <w:trHeight w:val="264"/>
          <w:jc w:val="center"/>
        </w:trPr>
        <w:tc>
          <w:tcPr>
            <w:tcW w:w="6374" w:type="dxa"/>
            <w:tcBorders>
              <w:top w:val="nil"/>
              <w:left w:val="single" w:sz="4" w:space="0" w:color="auto"/>
              <w:bottom w:val="nil"/>
              <w:right w:val="single" w:sz="4" w:space="0" w:color="auto"/>
            </w:tcBorders>
            <w:shd w:val="clear" w:color="auto" w:fill="auto"/>
            <w:hideMark/>
          </w:tcPr>
          <w:p w:rsidR="00063D3A" w:rsidRPr="000D7C4D" w:rsidRDefault="00063D3A" w:rsidP="00910855">
            <w:pPr>
              <w:widowControl w:val="0"/>
              <w:kinsoku w:val="0"/>
              <w:spacing w:before="60" w:after="60"/>
              <w:rPr>
                <w:b/>
                <w:color w:val="000000"/>
                <w:sz w:val="22"/>
                <w:szCs w:val="18"/>
                <w:lang w:val="en-US"/>
              </w:rPr>
            </w:pPr>
            <w:r w:rsidRPr="000D7C4D">
              <w:rPr>
                <w:bCs/>
                <w:color w:val="000000"/>
                <w:sz w:val="22"/>
                <w:szCs w:val="18"/>
                <w:lang w:val="en-US"/>
              </w:rPr>
              <w:t>Balance at 31 December 201</w:t>
            </w:r>
            <w:r>
              <w:rPr>
                <w:bCs/>
                <w:color w:val="000000"/>
                <w:sz w:val="22"/>
                <w:szCs w:val="18"/>
                <w:lang w:val="en-US"/>
              </w:rPr>
              <w:t>7</w:t>
            </w:r>
            <w:r w:rsidRPr="000D7C4D">
              <w:rPr>
                <w:bCs/>
                <w:color w:val="000000"/>
                <w:sz w:val="22"/>
                <w:szCs w:val="18"/>
                <w:lang w:val="en-US"/>
              </w:rPr>
              <w:t>-201</w:t>
            </w:r>
            <w:r>
              <w:rPr>
                <w:bCs/>
                <w:color w:val="000000"/>
                <w:sz w:val="22"/>
                <w:szCs w:val="18"/>
                <w:lang w:val="en-US"/>
              </w:rPr>
              <w:t>6</w:t>
            </w:r>
          </w:p>
        </w:tc>
        <w:tc>
          <w:tcPr>
            <w:tcW w:w="1559" w:type="dxa"/>
            <w:tcBorders>
              <w:top w:val="single" w:sz="4" w:space="0" w:color="auto"/>
              <w:left w:val="single" w:sz="4" w:space="0" w:color="auto"/>
              <w:bottom w:val="nil"/>
              <w:right w:val="single" w:sz="4" w:space="0" w:color="auto"/>
            </w:tcBorders>
            <w:shd w:val="clear" w:color="auto" w:fill="auto"/>
          </w:tcPr>
          <w:p w:rsidR="00063D3A" w:rsidRPr="00972D89" w:rsidRDefault="00063D3A" w:rsidP="00910855">
            <w:pPr>
              <w:widowControl w:val="0"/>
              <w:tabs>
                <w:tab w:val="clear" w:pos="1701"/>
              </w:tabs>
              <w:kinsoku w:val="0"/>
              <w:ind w:right="210"/>
              <w:jc w:val="right"/>
              <w:rPr>
                <w:color w:val="000000"/>
                <w:sz w:val="22"/>
                <w:szCs w:val="18"/>
                <w:lang w:val="en-US"/>
              </w:rPr>
            </w:pPr>
            <w:r w:rsidRPr="00972D89">
              <w:rPr>
                <w:color w:val="000000"/>
                <w:sz w:val="22"/>
                <w:szCs w:val="18"/>
                <w:lang w:val="en-US"/>
              </w:rPr>
              <w:t>551’911</w:t>
            </w:r>
          </w:p>
        </w:tc>
        <w:tc>
          <w:tcPr>
            <w:tcW w:w="1608" w:type="dxa"/>
            <w:tcBorders>
              <w:top w:val="single" w:sz="4" w:space="0" w:color="auto"/>
              <w:left w:val="single" w:sz="4" w:space="0" w:color="auto"/>
              <w:bottom w:val="nil"/>
              <w:right w:val="single" w:sz="4" w:space="0" w:color="auto"/>
            </w:tcBorders>
          </w:tcPr>
          <w:p w:rsidR="00063D3A" w:rsidRPr="00972D89" w:rsidRDefault="00063D3A" w:rsidP="00910855">
            <w:pPr>
              <w:widowControl w:val="0"/>
              <w:tabs>
                <w:tab w:val="clear" w:pos="1701"/>
              </w:tabs>
              <w:kinsoku w:val="0"/>
              <w:ind w:right="210"/>
              <w:jc w:val="right"/>
              <w:rPr>
                <w:color w:val="000000"/>
                <w:sz w:val="22"/>
                <w:szCs w:val="18"/>
                <w:lang w:val="en-US"/>
              </w:rPr>
            </w:pPr>
            <w:r w:rsidRPr="00972D89">
              <w:rPr>
                <w:color w:val="000000"/>
                <w:sz w:val="22"/>
                <w:szCs w:val="18"/>
                <w:lang w:val="en-US"/>
              </w:rPr>
              <w:t>472’801</w:t>
            </w:r>
          </w:p>
        </w:tc>
      </w:tr>
      <w:tr w:rsidR="00063D3A" w:rsidRPr="001C2A98" w:rsidTr="00063D3A">
        <w:trPr>
          <w:trHeight w:val="336"/>
          <w:jc w:val="center"/>
        </w:trPr>
        <w:tc>
          <w:tcPr>
            <w:tcW w:w="6374" w:type="dxa"/>
            <w:tcBorders>
              <w:top w:val="nil"/>
              <w:left w:val="single" w:sz="4" w:space="0" w:color="auto"/>
              <w:bottom w:val="nil"/>
              <w:right w:val="single" w:sz="4" w:space="0" w:color="auto"/>
            </w:tcBorders>
            <w:shd w:val="clear" w:color="auto" w:fill="auto"/>
            <w:hideMark/>
          </w:tcPr>
          <w:p w:rsidR="00063D3A" w:rsidRPr="000D7C4D" w:rsidRDefault="00063D3A" w:rsidP="00910855">
            <w:pPr>
              <w:widowControl w:val="0"/>
              <w:kinsoku w:val="0"/>
              <w:spacing w:before="60" w:after="60"/>
              <w:rPr>
                <w:b/>
                <w:color w:val="000000"/>
                <w:sz w:val="22"/>
                <w:szCs w:val="18"/>
                <w:lang w:val="en-US"/>
              </w:rPr>
            </w:pPr>
            <w:r w:rsidRPr="000D7C4D">
              <w:rPr>
                <w:color w:val="000000"/>
                <w:sz w:val="22"/>
                <w:szCs w:val="18"/>
                <w:lang w:val="en-US"/>
              </w:rPr>
              <w:t>Total expenses recognized in the statement of financial performance</w:t>
            </w:r>
          </w:p>
        </w:tc>
        <w:tc>
          <w:tcPr>
            <w:tcW w:w="1559" w:type="dxa"/>
            <w:tcBorders>
              <w:top w:val="nil"/>
              <w:left w:val="single" w:sz="4" w:space="0" w:color="auto"/>
              <w:bottom w:val="nil"/>
              <w:right w:val="single" w:sz="4" w:space="0" w:color="auto"/>
            </w:tcBorders>
            <w:shd w:val="clear" w:color="auto" w:fill="auto"/>
          </w:tcPr>
          <w:p w:rsidR="00063D3A" w:rsidRPr="00972D89" w:rsidRDefault="00063D3A" w:rsidP="00910855">
            <w:pPr>
              <w:widowControl w:val="0"/>
              <w:tabs>
                <w:tab w:val="clear" w:pos="1701"/>
              </w:tabs>
              <w:kinsoku w:val="0"/>
              <w:ind w:right="210"/>
              <w:jc w:val="right"/>
              <w:rPr>
                <w:color w:val="000000"/>
                <w:sz w:val="22"/>
                <w:szCs w:val="18"/>
                <w:lang w:val="en-US"/>
              </w:rPr>
            </w:pPr>
            <w:r w:rsidRPr="00972D89">
              <w:rPr>
                <w:color w:val="000000"/>
                <w:sz w:val="22"/>
                <w:szCs w:val="18"/>
                <w:lang w:val="en-US"/>
              </w:rPr>
              <w:t>25’375</w:t>
            </w:r>
          </w:p>
        </w:tc>
        <w:tc>
          <w:tcPr>
            <w:tcW w:w="1608" w:type="dxa"/>
            <w:tcBorders>
              <w:top w:val="nil"/>
              <w:left w:val="single" w:sz="4" w:space="0" w:color="auto"/>
              <w:bottom w:val="nil"/>
              <w:right w:val="single" w:sz="4" w:space="0" w:color="auto"/>
            </w:tcBorders>
          </w:tcPr>
          <w:p w:rsidR="00063D3A" w:rsidRPr="00972D89" w:rsidRDefault="00063D3A" w:rsidP="00910855">
            <w:pPr>
              <w:widowControl w:val="0"/>
              <w:tabs>
                <w:tab w:val="clear" w:pos="1701"/>
              </w:tabs>
              <w:kinsoku w:val="0"/>
              <w:ind w:right="210"/>
              <w:jc w:val="right"/>
              <w:rPr>
                <w:color w:val="000000"/>
                <w:sz w:val="22"/>
                <w:szCs w:val="18"/>
                <w:lang w:val="en-US"/>
              </w:rPr>
            </w:pPr>
            <w:r w:rsidRPr="00972D89">
              <w:rPr>
                <w:color w:val="000000"/>
                <w:sz w:val="22"/>
                <w:szCs w:val="18"/>
                <w:lang w:val="en-US"/>
              </w:rPr>
              <w:t>22’229</w:t>
            </w:r>
          </w:p>
        </w:tc>
      </w:tr>
      <w:tr w:rsidR="00063D3A" w:rsidRPr="001C2A98" w:rsidTr="00063D3A">
        <w:trPr>
          <w:trHeight w:val="264"/>
          <w:jc w:val="center"/>
        </w:trPr>
        <w:tc>
          <w:tcPr>
            <w:tcW w:w="6374" w:type="dxa"/>
            <w:tcBorders>
              <w:top w:val="nil"/>
              <w:left w:val="single" w:sz="4" w:space="0" w:color="auto"/>
              <w:bottom w:val="nil"/>
              <w:right w:val="single" w:sz="4" w:space="0" w:color="auto"/>
            </w:tcBorders>
            <w:shd w:val="clear" w:color="auto" w:fill="auto"/>
            <w:hideMark/>
          </w:tcPr>
          <w:p w:rsidR="00063D3A" w:rsidRPr="000D7C4D" w:rsidRDefault="00063D3A" w:rsidP="00910855">
            <w:pPr>
              <w:widowControl w:val="0"/>
              <w:kinsoku w:val="0"/>
              <w:spacing w:before="60" w:after="60"/>
              <w:rPr>
                <w:b/>
                <w:color w:val="000000"/>
                <w:sz w:val="22"/>
                <w:szCs w:val="18"/>
                <w:lang w:val="en-US"/>
              </w:rPr>
            </w:pPr>
            <w:r w:rsidRPr="000D7C4D">
              <w:rPr>
                <w:color w:val="000000"/>
                <w:sz w:val="22"/>
                <w:szCs w:val="18"/>
                <w:lang w:val="en-US"/>
              </w:rPr>
              <w:t>Actuarial losses recognized in net assets</w:t>
            </w:r>
          </w:p>
        </w:tc>
        <w:tc>
          <w:tcPr>
            <w:tcW w:w="1559" w:type="dxa"/>
            <w:tcBorders>
              <w:top w:val="nil"/>
              <w:left w:val="single" w:sz="4" w:space="0" w:color="auto"/>
              <w:bottom w:val="nil"/>
              <w:right w:val="single" w:sz="4" w:space="0" w:color="auto"/>
            </w:tcBorders>
            <w:shd w:val="clear" w:color="auto" w:fill="auto"/>
          </w:tcPr>
          <w:p w:rsidR="00063D3A" w:rsidRPr="00972D89" w:rsidRDefault="00063D3A" w:rsidP="00910855">
            <w:pPr>
              <w:widowControl w:val="0"/>
              <w:tabs>
                <w:tab w:val="clear" w:pos="1701"/>
              </w:tabs>
              <w:kinsoku w:val="0"/>
              <w:ind w:right="210"/>
              <w:jc w:val="right"/>
              <w:rPr>
                <w:color w:val="000000"/>
                <w:sz w:val="22"/>
                <w:szCs w:val="18"/>
                <w:lang w:val="en-US"/>
              </w:rPr>
            </w:pPr>
            <w:r w:rsidRPr="00972D89">
              <w:rPr>
                <w:color w:val="000000"/>
                <w:sz w:val="22"/>
                <w:szCs w:val="18"/>
                <w:lang w:val="en-US"/>
              </w:rPr>
              <w:t>47’125</w:t>
            </w:r>
          </w:p>
        </w:tc>
        <w:tc>
          <w:tcPr>
            <w:tcW w:w="1608" w:type="dxa"/>
            <w:tcBorders>
              <w:top w:val="nil"/>
              <w:left w:val="single" w:sz="4" w:space="0" w:color="auto"/>
              <w:bottom w:val="nil"/>
              <w:right w:val="single" w:sz="4" w:space="0" w:color="auto"/>
            </w:tcBorders>
          </w:tcPr>
          <w:p w:rsidR="00063D3A" w:rsidRPr="00972D89" w:rsidRDefault="00063D3A" w:rsidP="00910855">
            <w:pPr>
              <w:widowControl w:val="0"/>
              <w:tabs>
                <w:tab w:val="clear" w:pos="1701"/>
              </w:tabs>
              <w:kinsoku w:val="0"/>
              <w:ind w:right="210"/>
              <w:jc w:val="right"/>
              <w:rPr>
                <w:color w:val="000000"/>
                <w:sz w:val="22"/>
                <w:szCs w:val="18"/>
                <w:lang w:val="en-US"/>
              </w:rPr>
            </w:pPr>
            <w:r w:rsidRPr="00972D89">
              <w:rPr>
                <w:color w:val="000000"/>
                <w:sz w:val="22"/>
                <w:szCs w:val="18"/>
                <w:lang w:val="en-US"/>
              </w:rPr>
              <w:t>65’443</w:t>
            </w:r>
          </w:p>
        </w:tc>
      </w:tr>
      <w:tr w:rsidR="00063D3A" w:rsidRPr="001C2A98" w:rsidTr="00063D3A">
        <w:trPr>
          <w:trHeight w:val="264"/>
          <w:jc w:val="center"/>
        </w:trPr>
        <w:tc>
          <w:tcPr>
            <w:tcW w:w="6374" w:type="dxa"/>
            <w:tcBorders>
              <w:top w:val="nil"/>
              <w:left w:val="single" w:sz="4" w:space="0" w:color="auto"/>
              <w:bottom w:val="nil"/>
              <w:right w:val="single" w:sz="4" w:space="0" w:color="auto"/>
            </w:tcBorders>
            <w:shd w:val="clear" w:color="auto" w:fill="auto"/>
            <w:vAlign w:val="bottom"/>
            <w:hideMark/>
          </w:tcPr>
          <w:p w:rsidR="00063D3A" w:rsidRPr="000D7C4D" w:rsidRDefault="00063D3A" w:rsidP="00910855">
            <w:pPr>
              <w:widowControl w:val="0"/>
              <w:kinsoku w:val="0"/>
              <w:spacing w:before="60" w:after="60"/>
              <w:rPr>
                <w:b/>
                <w:color w:val="000000"/>
                <w:sz w:val="22"/>
                <w:szCs w:val="18"/>
                <w:lang w:val="en-US"/>
              </w:rPr>
            </w:pPr>
            <w:r w:rsidRPr="000D7C4D">
              <w:rPr>
                <w:color w:val="000000"/>
                <w:sz w:val="22"/>
                <w:szCs w:val="18"/>
                <w:lang w:val="en-US"/>
              </w:rPr>
              <w:t>Contributions during the period</w:t>
            </w:r>
          </w:p>
        </w:tc>
        <w:tc>
          <w:tcPr>
            <w:tcW w:w="1559" w:type="dxa"/>
            <w:tcBorders>
              <w:top w:val="nil"/>
              <w:left w:val="single" w:sz="4" w:space="0" w:color="auto"/>
              <w:bottom w:val="nil"/>
              <w:right w:val="single" w:sz="4" w:space="0" w:color="auto"/>
            </w:tcBorders>
            <w:shd w:val="clear" w:color="auto" w:fill="auto"/>
          </w:tcPr>
          <w:p w:rsidR="00063D3A" w:rsidRPr="00972D89" w:rsidRDefault="00063D3A" w:rsidP="00910855">
            <w:pPr>
              <w:widowControl w:val="0"/>
              <w:tabs>
                <w:tab w:val="clear" w:pos="1701"/>
              </w:tabs>
              <w:kinsoku w:val="0"/>
              <w:ind w:right="210"/>
              <w:jc w:val="right"/>
              <w:rPr>
                <w:color w:val="000000"/>
                <w:sz w:val="22"/>
                <w:szCs w:val="18"/>
                <w:lang w:val="en-US"/>
              </w:rPr>
            </w:pPr>
            <w:r w:rsidRPr="00972D89">
              <w:rPr>
                <w:color w:val="000000"/>
                <w:sz w:val="22"/>
                <w:szCs w:val="18"/>
                <w:lang w:val="en-US"/>
              </w:rPr>
              <w:t>-7’161</w:t>
            </w:r>
          </w:p>
        </w:tc>
        <w:tc>
          <w:tcPr>
            <w:tcW w:w="1608" w:type="dxa"/>
            <w:tcBorders>
              <w:top w:val="nil"/>
              <w:left w:val="single" w:sz="4" w:space="0" w:color="auto"/>
              <w:bottom w:val="nil"/>
              <w:right w:val="single" w:sz="4" w:space="0" w:color="auto"/>
            </w:tcBorders>
          </w:tcPr>
          <w:p w:rsidR="00063D3A" w:rsidRPr="00972D89" w:rsidRDefault="00063D3A" w:rsidP="00910855">
            <w:pPr>
              <w:widowControl w:val="0"/>
              <w:tabs>
                <w:tab w:val="clear" w:pos="1701"/>
              </w:tabs>
              <w:kinsoku w:val="0"/>
              <w:ind w:right="210"/>
              <w:jc w:val="right"/>
              <w:rPr>
                <w:color w:val="000000"/>
                <w:sz w:val="22"/>
                <w:szCs w:val="18"/>
                <w:lang w:val="en-US"/>
              </w:rPr>
            </w:pPr>
            <w:r w:rsidRPr="00972D89">
              <w:rPr>
                <w:color w:val="000000"/>
                <w:sz w:val="22"/>
                <w:szCs w:val="18"/>
                <w:lang w:val="en-US"/>
              </w:rPr>
              <w:t>-8’562</w:t>
            </w:r>
          </w:p>
        </w:tc>
      </w:tr>
      <w:tr w:rsidR="00063D3A" w:rsidRPr="001C2A98" w:rsidTr="00063D3A">
        <w:trPr>
          <w:trHeight w:val="264"/>
          <w:jc w:val="center"/>
        </w:trPr>
        <w:tc>
          <w:tcPr>
            <w:tcW w:w="6374" w:type="dxa"/>
            <w:tcBorders>
              <w:top w:val="nil"/>
              <w:left w:val="single" w:sz="4" w:space="0" w:color="auto"/>
              <w:right w:val="single" w:sz="4" w:space="0" w:color="auto"/>
            </w:tcBorders>
            <w:shd w:val="clear" w:color="auto" w:fill="auto"/>
            <w:hideMark/>
          </w:tcPr>
          <w:p w:rsidR="00063D3A" w:rsidRPr="000D7C4D" w:rsidRDefault="00063D3A" w:rsidP="00910855">
            <w:pPr>
              <w:widowControl w:val="0"/>
              <w:kinsoku w:val="0"/>
              <w:spacing w:before="60" w:after="120"/>
              <w:rPr>
                <w:b/>
                <w:color w:val="000000"/>
                <w:sz w:val="22"/>
                <w:szCs w:val="18"/>
                <w:lang w:val="en-US"/>
              </w:rPr>
            </w:pPr>
            <w:r w:rsidRPr="000D7C4D">
              <w:rPr>
                <w:color w:val="000000"/>
                <w:sz w:val="22"/>
                <w:szCs w:val="18"/>
                <w:lang w:val="en-US"/>
              </w:rPr>
              <w:t>Unrealized exchange-rate loss / (gain)</w:t>
            </w:r>
          </w:p>
        </w:tc>
        <w:tc>
          <w:tcPr>
            <w:tcW w:w="1559" w:type="dxa"/>
            <w:tcBorders>
              <w:top w:val="nil"/>
              <w:left w:val="single" w:sz="4" w:space="0" w:color="auto"/>
              <w:right w:val="single" w:sz="4" w:space="0" w:color="auto"/>
            </w:tcBorders>
            <w:shd w:val="clear" w:color="auto" w:fill="auto"/>
          </w:tcPr>
          <w:p w:rsidR="00063D3A" w:rsidRPr="00972D89" w:rsidRDefault="00063D3A" w:rsidP="00910855">
            <w:pPr>
              <w:widowControl w:val="0"/>
              <w:tabs>
                <w:tab w:val="clear" w:pos="1701"/>
              </w:tabs>
              <w:kinsoku w:val="0"/>
              <w:ind w:right="210"/>
              <w:jc w:val="right"/>
              <w:rPr>
                <w:color w:val="000000"/>
                <w:sz w:val="22"/>
                <w:szCs w:val="18"/>
                <w:lang w:val="en-US"/>
              </w:rPr>
            </w:pPr>
            <w:r w:rsidRPr="00972D89">
              <w:rPr>
                <w:color w:val="000000"/>
                <w:sz w:val="22"/>
                <w:szCs w:val="18"/>
                <w:lang w:val="en-US"/>
              </w:rPr>
              <w:t>0</w:t>
            </w:r>
          </w:p>
        </w:tc>
        <w:tc>
          <w:tcPr>
            <w:tcW w:w="1608" w:type="dxa"/>
            <w:tcBorders>
              <w:top w:val="nil"/>
              <w:left w:val="single" w:sz="4" w:space="0" w:color="auto"/>
              <w:right w:val="single" w:sz="4" w:space="0" w:color="auto"/>
            </w:tcBorders>
          </w:tcPr>
          <w:p w:rsidR="00063D3A" w:rsidRPr="00972D89" w:rsidRDefault="00063D3A" w:rsidP="00910855">
            <w:pPr>
              <w:widowControl w:val="0"/>
              <w:tabs>
                <w:tab w:val="clear" w:pos="1701"/>
              </w:tabs>
              <w:kinsoku w:val="0"/>
              <w:ind w:right="210"/>
              <w:jc w:val="right"/>
              <w:rPr>
                <w:color w:val="000000"/>
                <w:sz w:val="22"/>
                <w:szCs w:val="18"/>
                <w:lang w:val="en-US"/>
              </w:rPr>
            </w:pPr>
            <w:r w:rsidRPr="00972D89">
              <w:rPr>
                <w:color w:val="000000"/>
                <w:sz w:val="22"/>
                <w:szCs w:val="18"/>
                <w:lang w:val="en-US"/>
              </w:rPr>
              <w:t>0</w:t>
            </w:r>
          </w:p>
        </w:tc>
      </w:tr>
      <w:tr w:rsidR="00063D3A" w:rsidRPr="001C2A98" w:rsidTr="00063D3A">
        <w:trPr>
          <w:trHeight w:val="336"/>
          <w:jc w:val="center"/>
        </w:trPr>
        <w:tc>
          <w:tcPr>
            <w:tcW w:w="6374" w:type="dxa"/>
            <w:tcBorders>
              <w:top w:val="nil"/>
              <w:left w:val="single" w:sz="4" w:space="0" w:color="auto"/>
              <w:bottom w:val="single" w:sz="4" w:space="0" w:color="auto"/>
              <w:right w:val="single" w:sz="4" w:space="0" w:color="auto"/>
            </w:tcBorders>
            <w:shd w:val="clear" w:color="auto" w:fill="auto"/>
            <w:hideMark/>
          </w:tcPr>
          <w:p w:rsidR="00063D3A" w:rsidRPr="000D7C4D" w:rsidRDefault="00063D3A" w:rsidP="00910855">
            <w:pPr>
              <w:widowControl w:val="0"/>
              <w:kinsoku w:val="0"/>
              <w:rPr>
                <w:bCs/>
                <w:color w:val="000000"/>
                <w:sz w:val="22"/>
                <w:szCs w:val="18"/>
                <w:lang w:val="en-US"/>
              </w:rPr>
            </w:pPr>
            <w:r w:rsidRPr="000D7C4D">
              <w:rPr>
                <w:bCs/>
                <w:color w:val="000000"/>
                <w:sz w:val="22"/>
                <w:szCs w:val="18"/>
                <w:lang w:val="en-US"/>
              </w:rPr>
              <w:t xml:space="preserve">Amount of obligations under the ASHI plan at 31 December </w:t>
            </w:r>
            <w:r>
              <w:rPr>
                <w:bCs/>
                <w:color w:val="000000"/>
                <w:sz w:val="22"/>
                <w:szCs w:val="18"/>
                <w:lang w:val="en-US"/>
              </w:rPr>
              <w:t>2017</w:t>
            </w:r>
            <w:r w:rsidRPr="000D7C4D">
              <w:rPr>
                <w:bCs/>
                <w:color w:val="000000"/>
                <w:sz w:val="22"/>
                <w:szCs w:val="18"/>
                <w:lang w:val="en-US"/>
              </w:rPr>
              <w:t>-201</w:t>
            </w:r>
            <w:r>
              <w:rPr>
                <w:bCs/>
                <w:color w:val="000000"/>
                <w:sz w:val="22"/>
                <w:szCs w:val="18"/>
                <w:lang w:val="en-US"/>
              </w:rPr>
              <w:t>6</w:t>
            </w:r>
          </w:p>
        </w:tc>
        <w:tc>
          <w:tcPr>
            <w:tcW w:w="1559" w:type="dxa"/>
            <w:tcBorders>
              <w:top w:val="nil"/>
              <w:left w:val="single" w:sz="4" w:space="0" w:color="auto"/>
              <w:bottom w:val="single" w:sz="4" w:space="0" w:color="auto"/>
              <w:right w:val="single" w:sz="4" w:space="0" w:color="auto"/>
            </w:tcBorders>
            <w:shd w:val="clear" w:color="auto" w:fill="auto"/>
          </w:tcPr>
          <w:p w:rsidR="00063D3A" w:rsidRPr="00972D89" w:rsidRDefault="00063D3A" w:rsidP="00910855">
            <w:pPr>
              <w:widowControl w:val="0"/>
              <w:tabs>
                <w:tab w:val="clear" w:pos="1701"/>
              </w:tabs>
              <w:kinsoku w:val="0"/>
              <w:ind w:right="210"/>
              <w:jc w:val="right"/>
              <w:rPr>
                <w:b/>
                <w:bCs/>
                <w:color w:val="000000"/>
                <w:sz w:val="22"/>
                <w:szCs w:val="18"/>
                <w:lang w:val="en-US"/>
              </w:rPr>
            </w:pPr>
            <w:r w:rsidRPr="00972D89">
              <w:rPr>
                <w:b/>
                <w:bCs/>
                <w:color w:val="000000"/>
                <w:sz w:val="22"/>
                <w:szCs w:val="18"/>
                <w:lang w:val="en-US"/>
              </w:rPr>
              <w:t>617’250</w:t>
            </w:r>
          </w:p>
        </w:tc>
        <w:tc>
          <w:tcPr>
            <w:tcW w:w="1608" w:type="dxa"/>
            <w:tcBorders>
              <w:top w:val="nil"/>
              <w:left w:val="single" w:sz="4" w:space="0" w:color="auto"/>
              <w:bottom w:val="single" w:sz="4" w:space="0" w:color="auto"/>
              <w:right w:val="single" w:sz="4" w:space="0" w:color="auto"/>
            </w:tcBorders>
          </w:tcPr>
          <w:p w:rsidR="00063D3A" w:rsidRPr="00972D89" w:rsidRDefault="00063D3A" w:rsidP="00910855">
            <w:pPr>
              <w:widowControl w:val="0"/>
              <w:tabs>
                <w:tab w:val="clear" w:pos="1701"/>
              </w:tabs>
              <w:kinsoku w:val="0"/>
              <w:ind w:right="210"/>
              <w:jc w:val="right"/>
              <w:rPr>
                <w:b/>
                <w:bCs/>
                <w:color w:val="000000"/>
                <w:sz w:val="22"/>
                <w:szCs w:val="18"/>
                <w:lang w:val="en-US"/>
              </w:rPr>
            </w:pPr>
            <w:r w:rsidRPr="00972D89">
              <w:rPr>
                <w:b/>
                <w:bCs/>
                <w:color w:val="000000"/>
                <w:sz w:val="22"/>
                <w:szCs w:val="18"/>
                <w:lang w:val="en-US"/>
              </w:rPr>
              <w:t>551’911</w:t>
            </w:r>
          </w:p>
        </w:tc>
      </w:tr>
    </w:tbl>
    <w:p w:rsidR="00EE61B8" w:rsidRDefault="009E13BD" w:rsidP="00F87AD3">
      <w:pPr>
        <w:spacing w:before="240"/>
        <w:jc w:val="both"/>
        <w:rPr>
          <w:lang w:val="en-US"/>
        </w:rPr>
      </w:pPr>
      <w:r w:rsidRPr="006E7601">
        <w:rPr>
          <w:szCs w:val="24"/>
        </w:rPr>
        <w:t>The ASHI</w:t>
      </w:r>
      <w:r>
        <w:rPr>
          <w:szCs w:val="24"/>
        </w:rPr>
        <w:t>-</w:t>
      </w:r>
      <w:r w:rsidRPr="006E7601">
        <w:rPr>
          <w:szCs w:val="24"/>
        </w:rPr>
        <w:t xml:space="preserve">related obligation </w:t>
      </w:r>
      <w:r w:rsidR="0020696D">
        <w:rPr>
          <w:szCs w:val="24"/>
        </w:rPr>
        <w:t>at</w:t>
      </w:r>
      <w:r w:rsidRPr="006E7601">
        <w:rPr>
          <w:szCs w:val="24"/>
        </w:rPr>
        <w:t xml:space="preserve"> 31 </w:t>
      </w:r>
      <w:r>
        <w:rPr>
          <w:szCs w:val="24"/>
        </w:rPr>
        <w:t>December 201</w:t>
      </w:r>
      <w:r w:rsidR="00063D3A">
        <w:rPr>
          <w:szCs w:val="24"/>
        </w:rPr>
        <w:t>7</w:t>
      </w:r>
      <w:r>
        <w:rPr>
          <w:szCs w:val="24"/>
        </w:rPr>
        <w:t xml:space="preserve"> amounts to CHF </w:t>
      </w:r>
      <w:r w:rsidR="00063D3A">
        <w:rPr>
          <w:szCs w:val="24"/>
        </w:rPr>
        <w:t>617.25</w:t>
      </w:r>
      <w:r w:rsidRPr="006E7601">
        <w:rPr>
          <w:szCs w:val="24"/>
        </w:rPr>
        <w:t xml:space="preserve"> million. Thi</w:t>
      </w:r>
      <w:r>
        <w:rPr>
          <w:szCs w:val="24"/>
        </w:rPr>
        <w:t>s significant increase from CHF </w:t>
      </w:r>
      <w:r w:rsidR="00063D3A">
        <w:rPr>
          <w:szCs w:val="24"/>
        </w:rPr>
        <w:t>551.9</w:t>
      </w:r>
      <w:r w:rsidRPr="006E7601">
        <w:rPr>
          <w:szCs w:val="24"/>
        </w:rPr>
        <w:t xml:space="preserve"> million at the end of 201</w:t>
      </w:r>
      <w:r w:rsidR="00063D3A">
        <w:rPr>
          <w:szCs w:val="24"/>
        </w:rPr>
        <w:t>6</w:t>
      </w:r>
      <w:r w:rsidRPr="006E7601">
        <w:rPr>
          <w:szCs w:val="24"/>
        </w:rPr>
        <w:t xml:space="preserve"> is mainly due to the </w:t>
      </w:r>
      <w:r w:rsidR="00063D3A">
        <w:rPr>
          <w:szCs w:val="24"/>
        </w:rPr>
        <w:t>update of the demographic assumptions</w:t>
      </w:r>
      <w:r w:rsidR="00F87AD3">
        <w:rPr>
          <w:szCs w:val="24"/>
        </w:rPr>
        <w:t xml:space="preserve"> base on the table provided by the United Nations</w:t>
      </w:r>
      <w:r w:rsidR="00063D3A">
        <w:rPr>
          <w:szCs w:val="24"/>
        </w:rPr>
        <w:t xml:space="preserve"> and also </w:t>
      </w:r>
      <w:r w:rsidR="006D735A">
        <w:rPr>
          <w:szCs w:val="24"/>
        </w:rPr>
        <w:t xml:space="preserve">the </w:t>
      </w:r>
      <w:r w:rsidRPr="006E7601">
        <w:rPr>
          <w:szCs w:val="24"/>
        </w:rPr>
        <w:t xml:space="preserve">decrease </w:t>
      </w:r>
      <w:r w:rsidR="0020696D">
        <w:rPr>
          <w:szCs w:val="24"/>
        </w:rPr>
        <w:t>in</w:t>
      </w:r>
      <w:r w:rsidRPr="006E7601">
        <w:rPr>
          <w:szCs w:val="24"/>
        </w:rPr>
        <w:t xml:space="preserve"> the discount rate used to calculate the present value of the future cumulated claim</w:t>
      </w:r>
      <w:r w:rsidRPr="009E13BD">
        <w:rPr>
          <w:szCs w:val="24"/>
        </w:rPr>
        <w:t>s</w:t>
      </w:r>
      <w:r w:rsidR="002F3DDC" w:rsidRPr="009E13BD">
        <w:rPr>
          <w:lang w:val="en-US"/>
        </w:rPr>
        <w:t>.</w:t>
      </w:r>
    </w:p>
    <w:p w:rsidR="0022373A" w:rsidRDefault="0022373A" w:rsidP="0004198C">
      <w:pPr>
        <w:snapToGrid w:val="0"/>
        <w:spacing w:after="240"/>
        <w:jc w:val="both"/>
        <w:rPr>
          <w:lang w:val="en-US"/>
        </w:rPr>
      </w:pPr>
      <w:r w:rsidRPr="000D7C4D">
        <w:rPr>
          <w:lang w:val="en-US"/>
        </w:rPr>
        <w:t>The actuarial loss due to changes in actuarial estimates is recognized in net assets using the OCI method.</w:t>
      </w:r>
    </w:p>
    <w:tbl>
      <w:tblPr>
        <w:tblW w:w="8260" w:type="dxa"/>
        <w:jc w:val="center"/>
        <w:tblLook w:val="04A0" w:firstRow="1" w:lastRow="0" w:firstColumn="1" w:lastColumn="0" w:noHBand="0" w:noVBand="1"/>
      </w:tblPr>
      <w:tblGrid>
        <w:gridCol w:w="4947"/>
        <w:gridCol w:w="2087"/>
        <w:gridCol w:w="1226"/>
      </w:tblGrid>
      <w:tr w:rsidR="00972D89" w:rsidRPr="00972D89" w:rsidTr="00972D89">
        <w:trPr>
          <w:trHeight w:val="315"/>
          <w:jc w:val="center"/>
        </w:trPr>
        <w:tc>
          <w:tcPr>
            <w:tcW w:w="50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72D89" w:rsidRPr="00972D89" w:rsidRDefault="00972D89" w:rsidP="00972D89">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972D89">
              <w:rPr>
                <w:color w:val="000000"/>
                <w:sz w:val="22"/>
                <w:szCs w:val="22"/>
                <w:lang w:val="en-US" w:eastAsia="zh-CN"/>
              </w:rPr>
              <w:t>Analysis of actuarial losses recognized in net assets</w:t>
            </w:r>
          </w:p>
        </w:tc>
        <w:tc>
          <w:tcPr>
            <w:tcW w:w="3180" w:type="dxa"/>
            <w:gridSpan w:val="2"/>
            <w:tcBorders>
              <w:top w:val="single" w:sz="8" w:space="0" w:color="auto"/>
              <w:left w:val="nil"/>
              <w:bottom w:val="single" w:sz="8" w:space="0" w:color="auto"/>
              <w:right w:val="single" w:sz="8" w:space="0" w:color="000000"/>
            </w:tcBorders>
            <w:shd w:val="clear" w:color="auto" w:fill="auto"/>
            <w:vAlign w:val="center"/>
            <w:hideMark/>
          </w:tcPr>
          <w:p w:rsidR="00972D89" w:rsidRPr="00972D89" w:rsidRDefault="00972D89" w:rsidP="00972D89">
            <w:pPr>
              <w:tabs>
                <w:tab w:val="clear" w:pos="567"/>
                <w:tab w:val="clear" w:pos="1134"/>
                <w:tab w:val="clear" w:pos="1701"/>
                <w:tab w:val="clear" w:pos="2268"/>
                <w:tab w:val="clear" w:pos="2835"/>
              </w:tabs>
              <w:overflowPunct/>
              <w:autoSpaceDE/>
              <w:autoSpaceDN/>
              <w:adjustRightInd/>
              <w:spacing w:before="0"/>
              <w:jc w:val="center"/>
              <w:textAlignment w:val="auto"/>
              <w:rPr>
                <w:b/>
                <w:bCs/>
                <w:i/>
                <w:iCs/>
                <w:color w:val="000000"/>
                <w:sz w:val="22"/>
                <w:szCs w:val="22"/>
                <w:lang w:val="en-US" w:eastAsia="zh-CN"/>
              </w:rPr>
            </w:pPr>
            <w:r w:rsidRPr="00972D89">
              <w:rPr>
                <w:b/>
                <w:bCs/>
                <w:i/>
                <w:iCs/>
                <w:color w:val="000000"/>
                <w:sz w:val="22"/>
                <w:szCs w:val="22"/>
                <w:lang w:val="en-US" w:eastAsia="zh-CN"/>
              </w:rPr>
              <w:t>In thousands of CHF</w:t>
            </w:r>
          </w:p>
        </w:tc>
      </w:tr>
      <w:tr w:rsidR="00972D89" w:rsidRPr="00972D89" w:rsidTr="00972D89">
        <w:trPr>
          <w:trHeight w:val="300"/>
          <w:jc w:val="center"/>
        </w:trPr>
        <w:tc>
          <w:tcPr>
            <w:tcW w:w="5080" w:type="dxa"/>
            <w:tcBorders>
              <w:top w:val="nil"/>
              <w:left w:val="single" w:sz="8" w:space="0" w:color="auto"/>
              <w:bottom w:val="nil"/>
              <w:right w:val="single" w:sz="8" w:space="0" w:color="auto"/>
            </w:tcBorders>
            <w:shd w:val="clear" w:color="auto" w:fill="auto"/>
            <w:hideMark/>
          </w:tcPr>
          <w:p w:rsidR="00972D89" w:rsidRPr="00972D89" w:rsidRDefault="00972D89" w:rsidP="00972D89">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color w:val="000000"/>
                <w:sz w:val="20"/>
                <w:lang w:val="en-US" w:eastAsia="zh-CN"/>
              </w:rPr>
            </w:pPr>
            <w:r w:rsidRPr="00972D89">
              <w:rPr>
                <w:rFonts w:ascii="Times New Roman" w:hAnsi="Times New Roman"/>
                <w:color w:val="000000"/>
                <w:sz w:val="20"/>
                <w:lang w:val="en-US" w:eastAsia="zh-CN"/>
              </w:rPr>
              <w:t> </w:t>
            </w:r>
          </w:p>
        </w:tc>
        <w:tc>
          <w:tcPr>
            <w:tcW w:w="2120" w:type="dxa"/>
            <w:tcBorders>
              <w:top w:val="nil"/>
              <w:left w:val="nil"/>
              <w:bottom w:val="nil"/>
              <w:right w:val="nil"/>
            </w:tcBorders>
            <w:shd w:val="clear" w:color="auto" w:fill="auto"/>
            <w:vAlign w:val="center"/>
            <w:hideMark/>
          </w:tcPr>
          <w:p w:rsidR="00972D89" w:rsidRPr="00972D89" w:rsidRDefault="00972D89" w:rsidP="00972D89">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r w:rsidRPr="00972D89">
              <w:rPr>
                <w:b/>
                <w:bCs/>
                <w:color w:val="000000"/>
                <w:sz w:val="22"/>
                <w:szCs w:val="22"/>
                <w:lang w:val="en-US" w:eastAsia="zh-CN"/>
              </w:rPr>
              <w:t>31.12.2017</w:t>
            </w:r>
          </w:p>
        </w:tc>
        <w:tc>
          <w:tcPr>
            <w:tcW w:w="1060" w:type="dxa"/>
            <w:tcBorders>
              <w:top w:val="nil"/>
              <w:left w:val="single" w:sz="8" w:space="0" w:color="auto"/>
              <w:bottom w:val="nil"/>
              <w:right w:val="single" w:sz="8" w:space="0" w:color="auto"/>
            </w:tcBorders>
            <w:shd w:val="clear" w:color="auto" w:fill="auto"/>
            <w:vAlign w:val="center"/>
            <w:hideMark/>
          </w:tcPr>
          <w:p w:rsidR="00972D89" w:rsidRPr="00972D89" w:rsidRDefault="00972D89" w:rsidP="00972D89">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r w:rsidRPr="00972D89">
              <w:rPr>
                <w:b/>
                <w:bCs/>
                <w:color w:val="000000"/>
                <w:sz w:val="22"/>
                <w:szCs w:val="22"/>
                <w:lang w:val="en-US" w:eastAsia="zh-CN"/>
              </w:rPr>
              <w:t>31.12.2016</w:t>
            </w:r>
          </w:p>
        </w:tc>
      </w:tr>
      <w:tr w:rsidR="00972D89" w:rsidRPr="00972D89" w:rsidTr="00972D89">
        <w:trPr>
          <w:trHeight w:val="300"/>
          <w:jc w:val="center"/>
        </w:trPr>
        <w:tc>
          <w:tcPr>
            <w:tcW w:w="5080" w:type="dxa"/>
            <w:tcBorders>
              <w:top w:val="nil"/>
              <w:left w:val="single" w:sz="8" w:space="0" w:color="auto"/>
              <w:bottom w:val="nil"/>
              <w:right w:val="single" w:sz="8" w:space="0" w:color="auto"/>
            </w:tcBorders>
            <w:shd w:val="clear" w:color="auto" w:fill="auto"/>
            <w:vAlign w:val="center"/>
            <w:hideMark/>
          </w:tcPr>
          <w:p w:rsidR="00972D89" w:rsidRPr="00972D89" w:rsidRDefault="00972D89" w:rsidP="00972D89">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972D89">
              <w:rPr>
                <w:color w:val="000000"/>
                <w:sz w:val="22"/>
                <w:szCs w:val="22"/>
                <w:lang w:val="en-US" w:eastAsia="zh-CN"/>
              </w:rPr>
              <w:t>Obligation due to changes in assumptions</w:t>
            </w:r>
          </w:p>
        </w:tc>
        <w:tc>
          <w:tcPr>
            <w:tcW w:w="2120" w:type="dxa"/>
            <w:tcBorders>
              <w:top w:val="nil"/>
              <w:left w:val="nil"/>
              <w:bottom w:val="nil"/>
              <w:right w:val="nil"/>
            </w:tcBorders>
            <w:shd w:val="clear" w:color="auto" w:fill="auto"/>
            <w:vAlign w:val="center"/>
            <w:hideMark/>
          </w:tcPr>
          <w:p w:rsidR="00972D89" w:rsidRPr="00972D89" w:rsidRDefault="00972D89" w:rsidP="00972D89">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972D89">
              <w:rPr>
                <w:color w:val="000000"/>
                <w:sz w:val="22"/>
                <w:szCs w:val="22"/>
                <w:lang w:val="en-US" w:eastAsia="zh-CN"/>
              </w:rPr>
              <w:t>75,452</w:t>
            </w:r>
          </w:p>
        </w:tc>
        <w:tc>
          <w:tcPr>
            <w:tcW w:w="1060" w:type="dxa"/>
            <w:tcBorders>
              <w:top w:val="nil"/>
              <w:left w:val="single" w:sz="8" w:space="0" w:color="auto"/>
              <w:bottom w:val="nil"/>
              <w:right w:val="single" w:sz="8" w:space="0" w:color="auto"/>
            </w:tcBorders>
            <w:shd w:val="clear" w:color="auto" w:fill="auto"/>
            <w:vAlign w:val="center"/>
            <w:hideMark/>
          </w:tcPr>
          <w:p w:rsidR="00972D89" w:rsidRPr="00972D89" w:rsidRDefault="00972D89" w:rsidP="00972D89">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972D89">
              <w:rPr>
                <w:color w:val="000000"/>
                <w:sz w:val="22"/>
                <w:szCs w:val="22"/>
                <w:lang w:val="en-US" w:eastAsia="zh-CN"/>
              </w:rPr>
              <w:t>42’746</w:t>
            </w:r>
          </w:p>
        </w:tc>
      </w:tr>
      <w:tr w:rsidR="00972D89" w:rsidRPr="00972D89" w:rsidTr="00972D89">
        <w:trPr>
          <w:trHeight w:val="300"/>
          <w:jc w:val="center"/>
        </w:trPr>
        <w:tc>
          <w:tcPr>
            <w:tcW w:w="5080" w:type="dxa"/>
            <w:tcBorders>
              <w:top w:val="nil"/>
              <w:left w:val="single" w:sz="8" w:space="0" w:color="auto"/>
              <w:bottom w:val="nil"/>
              <w:right w:val="single" w:sz="8" w:space="0" w:color="auto"/>
            </w:tcBorders>
            <w:shd w:val="clear" w:color="auto" w:fill="auto"/>
            <w:vAlign w:val="center"/>
            <w:hideMark/>
          </w:tcPr>
          <w:p w:rsidR="00972D89" w:rsidRPr="00972D89" w:rsidRDefault="00972D89" w:rsidP="00972D89">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972D89">
              <w:rPr>
                <w:color w:val="000000"/>
                <w:sz w:val="22"/>
                <w:szCs w:val="22"/>
                <w:lang w:val="en-US" w:eastAsia="zh-CN"/>
              </w:rPr>
              <w:t>Obligation due to experience during the period</w:t>
            </w:r>
          </w:p>
        </w:tc>
        <w:tc>
          <w:tcPr>
            <w:tcW w:w="2120" w:type="dxa"/>
            <w:tcBorders>
              <w:top w:val="nil"/>
              <w:left w:val="nil"/>
              <w:bottom w:val="nil"/>
              <w:right w:val="nil"/>
            </w:tcBorders>
            <w:shd w:val="clear" w:color="auto" w:fill="auto"/>
            <w:vAlign w:val="center"/>
            <w:hideMark/>
          </w:tcPr>
          <w:p w:rsidR="00972D89" w:rsidRPr="00972D89" w:rsidRDefault="00972D89" w:rsidP="00972D89">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972D89">
              <w:rPr>
                <w:color w:val="000000"/>
                <w:sz w:val="22"/>
                <w:szCs w:val="22"/>
                <w:lang w:val="en-US" w:eastAsia="zh-CN"/>
              </w:rPr>
              <w:t>-28,327</w:t>
            </w:r>
          </w:p>
        </w:tc>
        <w:tc>
          <w:tcPr>
            <w:tcW w:w="1060" w:type="dxa"/>
            <w:tcBorders>
              <w:top w:val="nil"/>
              <w:left w:val="single" w:sz="8" w:space="0" w:color="auto"/>
              <w:bottom w:val="nil"/>
              <w:right w:val="single" w:sz="8" w:space="0" w:color="auto"/>
            </w:tcBorders>
            <w:shd w:val="clear" w:color="auto" w:fill="auto"/>
            <w:vAlign w:val="center"/>
            <w:hideMark/>
          </w:tcPr>
          <w:p w:rsidR="00972D89" w:rsidRPr="00972D89" w:rsidRDefault="00972D89" w:rsidP="00972D89">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972D89">
              <w:rPr>
                <w:color w:val="000000"/>
                <w:sz w:val="22"/>
                <w:szCs w:val="22"/>
                <w:lang w:val="en-US" w:eastAsia="zh-CN"/>
              </w:rPr>
              <w:t>22’697</w:t>
            </w:r>
          </w:p>
        </w:tc>
      </w:tr>
      <w:tr w:rsidR="00972D89" w:rsidRPr="00972D89" w:rsidTr="00972D89">
        <w:trPr>
          <w:trHeight w:val="300"/>
          <w:jc w:val="center"/>
        </w:trPr>
        <w:tc>
          <w:tcPr>
            <w:tcW w:w="5080" w:type="dxa"/>
            <w:tcBorders>
              <w:top w:val="nil"/>
              <w:left w:val="single" w:sz="8" w:space="0" w:color="auto"/>
              <w:bottom w:val="nil"/>
              <w:right w:val="single" w:sz="8" w:space="0" w:color="auto"/>
            </w:tcBorders>
            <w:shd w:val="clear" w:color="auto" w:fill="auto"/>
            <w:vAlign w:val="center"/>
            <w:hideMark/>
          </w:tcPr>
          <w:p w:rsidR="00972D89" w:rsidRPr="00972D89" w:rsidRDefault="00972D89" w:rsidP="00972D89">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972D89">
              <w:rPr>
                <w:color w:val="000000"/>
                <w:sz w:val="22"/>
                <w:szCs w:val="22"/>
                <w:lang w:val="en-US" w:eastAsia="zh-CN"/>
              </w:rPr>
              <w:t>Variation over the period</w:t>
            </w:r>
          </w:p>
        </w:tc>
        <w:tc>
          <w:tcPr>
            <w:tcW w:w="2120" w:type="dxa"/>
            <w:tcBorders>
              <w:top w:val="nil"/>
              <w:left w:val="nil"/>
              <w:bottom w:val="nil"/>
              <w:right w:val="nil"/>
            </w:tcBorders>
            <w:shd w:val="clear" w:color="auto" w:fill="auto"/>
            <w:vAlign w:val="center"/>
            <w:hideMark/>
          </w:tcPr>
          <w:p w:rsidR="00972D89" w:rsidRPr="00972D89" w:rsidRDefault="00972D89" w:rsidP="00972D89">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972D89">
              <w:rPr>
                <w:color w:val="000000"/>
                <w:sz w:val="22"/>
                <w:szCs w:val="22"/>
                <w:lang w:val="en-US" w:eastAsia="zh-CN"/>
              </w:rPr>
              <w:t>47,125</w:t>
            </w:r>
          </w:p>
        </w:tc>
        <w:tc>
          <w:tcPr>
            <w:tcW w:w="1060" w:type="dxa"/>
            <w:tcBorders>
              <w:top w:val="nil"/>
              <w:left w:val="single" w:sz="8" w:space="0" w:color="auto"/>
              <w:bottom w:val="nil"/>
              <w:right w:val="single" w:sz="8" w:space="0" w:color="auto"/>
            </w:tcBorders>
            <w:shd w:val="clear" w:color="auto" w:fill="auto"/>
            <w:vAlign w:val="center"/>
            <w:hideMark/>
          </w:tcPr>
          <w:p w:rsidR="00972D89" w:rsidRPr="00972D89" w:rsidRDefault="00972D89" w:rsidP="00972D89">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972D89">
              <w:rPr>
                <w:color w:val="000000"/>
                <w:sz w:val="22"/>
                <w:szCs w:val="22"/>
                <w:lang w:val="en-US" w:eastAsia="zh-CN"/>
              </w:rPr>
              <w:t xml:space="preserve"> 65’433</w:t>
            </w:r>
          </w:p>
        </w:tc>
      </w:tr>
      <w:tr w:rsidR="00972D89" w:rsidRPr="00972D89" w:rsidTr="00972D89">
        <w:trPr>
          <w:trHeight w:val="615"/>
          <w:jc w:val="center"/>
        </w:trPr>
        <w:tc>
          <w:tcPr>
            <w:tcW w:w="5080" w:type="dxa"/>
            <w:tcBorders>
              <w:top w:val="nil"/>
              <w:left w:val="single" w:sz="8" w:space="0" w:color="auto"/>
              <w:bottom w:val="single" w:sz="8" w:space="0" w:color="auto"/>
              <w:right w:val="single" w:sz="8" w:space="0" w:color="auto"/>
            </w:tcBorders>
            <w:shd w:val="clear" w:color="auto" w:fill="auto"/>
            <w:vAlign w:val="center"/>
            <w:hideMark/>
          </w:tcPr>
          <w:p w:rsidR="00972D89" w:rsidRPr="00972D89" w:rsidRDefault="00972D89" w:rsidP="00972D89">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972D89">
              <w:rPr>
                <w:color w:val="000000"/>
                <w:sz w:val="22"/>
                <w:szCs w:val="22"/>
                <w:lang w:val="en-US" w:eastAsia="zh-CN"/>
              </w:rPr>
              <w:t>Cumulative amount recognized in net assets at 31 December </w:t>
            </w:r>
          </w:p>
        </w:tc>
        <w:tc>
          <w:tcPr>
            <w:tcW w:w="2120" w:type="dxa"/>
            <w:tcBorders>
              <w:top w:val="nil"/>
              <w:left w:val="nil"/>
              <w:bottom w:val="single" w:sz="8" w:space="0" w:color="auto"/>
              <w:right w:val="nil"/>
            </w:tcBorders>
            <w:shd w:val="clear" w:color="auto" w:fill="auto"/>
            <w:vAlign w:val="center"/>
            <w:hideMark/>
          </w:tcPr>
          <w:p w:rsidR="00972D89" w:rsidRPr="00972D89" w:rsidRDefault="00972D89" w:rsidP="00972D89">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972D89">
              <w:rPr>
                <w:color w:val="000000"/>
                <w:sz w:val="22"/>
                <w:szCs w:val="22"/>
                <w:lang w:val="en-US" w:eastAsia="zh-CN"/>
              </w:rPr>
              <w:t>369,704</w:t>
            </w:r>
          </w:p>
        </w:tc>
        <w:tc>
          <w:tcPr>
            <w:tcW w:w="1060" w:type="dxa"/>
            <w:tcBorders>
              <w:top w:val="nil"/>
              <w:left w:val="single" w:sz="8" w:space="0" w:color="auto"/>
              <w:bottom w:val="single" w:sz="8" w:space="0" w:color="auto"/>
              <w:right w:val="single" w:sz="8" w:space="0" w:color="auto"/>
            </w:tcBorders>
            <w:shd w:val="clear" w:color="auto" w:fill="auto"/>
            <w:vAlign w:val="center"/>
            <w:hideMark/>
          </w:tcPr>
          <w:p w:rsidR="00972D89" w:rsidRPr="00972D89" w:rsidRDefault="00972D89" w:rsidP="00972D89">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972D89">
              <w:rPr>
                <w:color w:val="000000"/>
                <w:sz w:val="22"/>
                <w:szCs w:val="22"/>
                <w:lang w:val="en-US" w:eastAsia="zh-CN"/>
              </w:rPr>
              <w:t>322’ 579</w:t>
            </w:r>
          </w:p>
        </w:tc>
      </w:tr>
    </w:tbl>
    <w:p w:rsidR="00972D89" w:rsidRDefault="00273504" w:rsidP="00D87C36">
      <w:pPr>
        <w:snapToGrid w:val="0"/>
        <w:spacing w:before="240"/>
        <w:jc w:val="both"/>
        <w:rPr>
          <w:lang w:val="en-US"/>
        </w:rPr>
      </w:pPr>
      <w:r>
        <w:rPr>
          <w:lang w:val="en-US"/>
        </w:rPr>
        <w:t>Since the ITU separation from the SHIF in 2014, there is a litigation between ITU and ILO regarding the splitting of the guarantee fund. The arbitration took place in March and the result of this arbitration should be know during the year.</w:t>
      </w:r>
    </w:p>
    <w:p w:rsidR="003D31F2" w:rsidRDefault="003D31F2" w:rsidP="006D735A">
      <w:pPr>
        <w:snapToGrid w:val="0"/>
        <w:spacing w:after="120"/>
        <w:jc w:val="both"/>
        <w:rPr>
          <w:lang w:val="en-US"/>
        </w:rPr>
      </w:pPr>
      <w:r w:rsidRPr="001C2A98">
        <w:rPr>
          <w:lang w:val="en-US"/>
        </w:rPr>
        <w:t>The following table shows the change in the net amount of the obligation at the end of the financial period.</w:t>
      </w:r>
    </w:p>
    <w:tbl>
      <w:tblPr>
        <w:tblW w:w="9493"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5816"/>
        <w:gridCol w:w="1701"/>
        <w:gridCol w:w="1976"/>
      </w:tblGrid>
      <w:tr w:rsidR="003D31F2" w:rsidRPr="006D735A" w:rsidTr="00D87C36">
        <w:trPr>
          <w:trHeight w:val="567"/>
          <w:jc w:val="center"/>
        </w:trPr>
        <w:tc>
          <w:tcPr>
            <w:tcW w:w="5816" w:type="dxa"/>
            <w:tcBorders>
              <w:top w:val="single" w:sz="4" w:space="0" w:color="auto"/>
              <w:bottom w:val="single" w:sz="4" w:space="0" w:color="auto"/>
            </w:tcBorders>
            <w:shd w:val="clear" w:color="auto" w:fill="auto"/>
            <w:vAlign w:val="center"/>
            <w:hideMark/>
          </w:tcPr>
          <w:p w:rsidR="003D31F2" w:rsidRPr="006D735A" w:rsidRDefault="003D31F2" w:rsidP="00104965">
            <w:pPr>
              <w:widowControl w:val="0"/>
              <w:kinsoku w:val="0"/>
              <w:spacing w:before="20"/>
              <w:rPr>
                <w:b/>
                <w:color w:val="000000"/>
                <w:sz w:val="20"/>
                <w:lang w:val="en-US"/>
              </w:rPr>
            </w:pPr>
            <w:r w:rsidRPr="006D735A">
              <w:rPr>
                <w:b/>
                <w:color w:val="000000"/>
                <w:sz w:val="20"/>
                <w:lang w:val="en-US"/>
              </w:rPr>
              <w:t>Net amount of the obligation under the ASHI plan, as recognized in the statement of financial position</w:t>
            </w:r>
          </w:p>
        </w:tc>
        <w:tc>
          <w:tcPr>
            <w:tcW w:w="3677" w:type="dxa"/>
            <w:gridSpan w:val="2"/>
            <w:tcBorders>
              <w:top w:val="single" w:sz="4" w:space="0" w:color="auto"/>
              <w:bottom w:val="single" w:sz="4" w:space="0" w:color="auto"/>
            </w:tcBorders>
            <w:shd w:val="clear" w:color="auto" w:fill="auto"/>
            <w:noWrap/>
            <w:vAlign w:val="center"/>
            <w:hideMark/>
          </w:tcPr>
          <w:p w:rsidR="003D31F2" w:rsidRPr="006D735A" w:rsidRDefault="003D31F2" w:rsidP="00104965">
            <w:pPr>
              <w:widowControl w:val="0"/>
              <w:kinsoku w:val="0"/>
              <w:spacing w:before="20"/>
              <w:jc w:val="center"/>
              <w:rPr>
                <w:bCs/>
                <w:color w:val="000000"/>
                <w:sz w:val="20"/>
                <w:lang w:val="en-US"/>
              </w:rPr>
            </w:pPr>
            <w:r w:rsidRPr="006D735A">
              <w:rPr>
                <w:b/>
                <w:bCs/>
                <w:i/>
                <w:iCs/>
                <w:color w:val="000000"/>
                <w:sz w:val="20"/>
                <w:lang w:val="en-US"/>
              </w:rPr>
              <w:t>In thousands of CHF</w:t>
            </w:r>
          </w:p>
        </w:tc>
      </w:tr>
      <w:tr w:rsidR="003D31F2" w:rsidRPr="006D735A" w:rsidTr="00D87C36">
        <w:trPr>
          <w:trHeight w:val="360"/>
          <w:jc w:val="center"/>
        </w:trPr>
        <w:tc>
          <w:tcPr>
            <w:tcW w:w="5816" w:type="dxa"/>
            <w:tcBorders>
              <w:top w:val="single" w:sz="4" w:space="0" w:color="auto"/>
            </w:tcBorders>
            <w:shd w:val="clear" w:color="auto" w:fill="auto"/>
            <w:vAlign w:val="bottom"/>
            <w:hideMark/>
          </w:tcPr>
          <w:p w:rsidR="003D31F2" w:rsidRPr="006D735A" w:rsidRDefault="003D31F2" w:rsidP="00104965">
            <w:pPr>
              <w:widowControl w:val="0"/>
              <w:kinsoku w:val="0"/>
              <w:spacing w:before="20"/>
              <w:rPr>
                <w:bCs/>
                <w:color w:val="000000"/>
                <w:sz w:val="20"/>
                <w:lang w:val="en-US"/>
              </w:rPr>
            </w:pPr>
          </w:p>
        </w:tc>
        <w:tc>
          <w:tcPr>
            <w:tcW w:w="1701" w:type="dxa"/>
            <w:tcBorders>
              <w:top w:val="single" w:sz="4" w:space="0" w:color="auto"/>
              <w:bottom w:val="nil"/>
              <w:right w:val="single" w:sz="4" w:space="0" w:color="auto"/>
            </w:tcBorders>
            <w:shd w:val="clear" w:color="auto" w:fill="auto"/>
            <w:noWrap/>
            <w:vAlign w:val="bottom"/>
            <w:hideMark/>
          </w:tcPr>
          <w:p w:rsidR="003D31F2" w:rsidRPr="006D735A" w:rsidRDefault="003D31F2" w:rsidP="00972D89">
            <w:pPr>
              <w:widowControl w:val="0"/>
              <w:tabs>
                <w:tab w:val="clear" w:pos="1701"/>
              </w:tabs>
              <w:kinsoku w:val="0"/>
              <w:spacing w:before="20"/>
              <w:jc w:val="center"/>
              <w:rPr>
                <w:b/>
                <w:color w:val="000000"/>
                <w:sz w:val="20"/>
                <w:lang w:val="en-US"/>
              </w:rPr>
            </w:pPr>
            <w:r w:rsidRPr="006D735A">
              <w:rPr>
                <w:b/>
                <w:color w:val="000000"/>
                <w:sz w:val="20"/>
                <w:lang w:val="en-US"/>
              </w:rPr>
              <w:t>31.12.</w:t>
            </w:r>
            <w:r w:rsidR="00111BDD" w:rsidRPr="006D735A">
              <w:rPr>
                <w:b/>
                <w:color w:val="000000"/>
                <w:sz w:val="20"/>
                <w:lang w:val="en-US"/>
              </w:rPr>
              <w:t>201</w:t>
            </w:r>
            <w:r w:rsidR="00972D89" w:rsidRPr="006D735A">
              <w:rPr>
                <w:b/>
                <w:color w:val="000000"/>
                <w:sz w:val="20"/>
                <w:lang w:val="en-US"/>
              </w:rPr>
              <w:t>7</w:t>
            </w:r>
          </w:p>
        </w:tc>
        <w:tc>
          <w:tcPr>
            <w:tcW w:w="1976" w:type="dxa"/>
            <w:tcBorders>
              <w:top w:val="single" w:sz="4" w:space="0" w:color="auto"/>
              <w:left w:val="single" w:sz="4" w:space="0" w:color="auto"/>
              <w:bottom w:val="nil"/>
            </w:tcBorders>
            <w:shd w:val="clear" w:color="auto" w:fill="auto"/>
            <w:noWrap/>
            <w:vAlign w:val="bottom"/>
            <w:hideMark/>
          </w:tcPr>
          <w:p w:rsidR="003D31F2" w:rsidRPr="006D735A" w:rsidRDefault="003D31F2" w:rsidP="00972D89">
            <w:pPr>
              <w:widowControl w:val="0"/>
              <w:tabs>
                <w:tab w:val="clear" w:pos="1134"/>
                <w:tab w:val="clear" w:pos="1701"/>
              </w:tabs>
              <w:kinsoku w:val="0"/>
              <w:spacing w:before="20"/>
              <w:jc w:val="center"/>
              <w:rPr>
                <w:b/>
                <w:color w:val="000000"/>
                <w:sz w:val="20"/>
                <w:lang w:val="en-US"/>
              </w:rPr>
            </w:pPr>
            <w:r w:rsidRPr="006D735A">
              <w:rPr>
                <w:b/>
                <w:color w:val="000000"/>
                <w:sz w:val="20"/>
                <w:lang w:val="en-US"/>
              </w:rPr>
              <w:t>31.12.201</w:t>
            </w:r>
            <w:r w:rsidR="00972D89" w:rsidRPr="006D735A">
              <w:rPr>
                <w:b/>
                <w:color w:val="000000"/>
                <w:sz w:val="20"/>
                <w:lang w:val="en-US"/>
              </w:rPr>
              <w:t>6</w:t>
            </w:r>
          </w:p>
        </w:tc>
      </w:tr>
      <w:tr w:rsidR="00972D89" w:rsidRPr="006D735A" w:rsidTr="00D87C36">
        <w:trPr>
          <w:trHeight w:val="264"/>
          <w:jc w:val="center"/>
        </w:trPr>
        <w:tc>
          <w:tcPr>
            <w:tcW w:w="5816" w:type="dxa"/>
            <w:shd w:val="clear" w:color="auto" w:fill="auto"/>
            <w:hideMark/>
          </w:tcPr>
          <w:p w:rsidR="00972D89" w:rsidRPr="006D735A" w:rsidRDefault="00972D89" w:rsidP="00972D89">
            <w:pPr>
              <w:widowControl w:val="0"/>
              <w:kinsoku w:val="0"/>
              <w:spacing w:before="20"/>
              <w:rPr>
                <w:b/>
                <w:color w:val="000000"/>
                <w:sz w:val="20"/>
                <w:lang w:val="en-US"/>
              </w:rPr>
            </w:pPr>
            <w:r w:rsidRPr="006D735A">
              <w:rPr>
                <w:color w:val="000000"/>
                <w:sz w:val="20"/>
                <w:lang w:val="en-US"/>
              </w:rPr>
              <w:t>Present value</w:t>
            </w:r>
          </w:p>
        </w:tc>
        <w:tc>
          <w:tcPr>
            <w:tcW w:w="1701" w:type="dxa"/>
            <w:tcBorders>
              <w:top w:val="nil"/>
            </w:tcBorders>
            <w:shd w:val="clear" w:color="auto" w:fill="auto"/>
          </w:tcPr>
          <w:p w:rsidR="00972D89" w:rsidRPr="006D735A" w:rsidRDefault="00972D89" w:rsidP="00972D89">
            <w:pPr>
              <w:widowControl w:val="0"/>
              <w:tabs>
                <w:tab w:val="clear" w:pos="1701"/>
              </w:tabs>
              <w:kinsoku w:val="0"/>
              <w:spacing w:before="20"/>
              <w:ind w:right="105"/>
              <w:jc w:val="right"/>
              <w:rPr>
                <w:bCs/>
                <w:color w:val="000000"/>
                <w:sz w:val="20"/>
                <w:lang w:val="en-US"/>
              </w:rPr>
            </w:pPr>
            <w:r w:rsidRPr="006D735A">
              <w:rPr>
                <w:bCs/>
                <w:color w:val="000000"/>
                <w:sz w:val="20"/>
                <w:lang w:val="en-US"/>
              </w:rPr>
              <w:t>617’250</w:t>
            </w:r>
          </w:p>
        </w:tc>
        <w:tc>
          <w:tcPr>
            <w:tcW w:w="1976" w:type="dxa"/>
            <w:tcBorders>
              <w:top w:val="nil"/>
            </w:tcBorders>
            <w:shd w:val="clear" w:color="auto" w:fill="auto"/>
          </w:tcPr>
          <w:p w:rsidR="00972D89" w:rsidRPr="006D735A" w:rsidRDefault="00972D89" w:rsidP="00972D89">
            <w:pPr>
              <w:widowControl w:val="0"/>
              <w:tabs>
                <w:tab w:val="clear" w:pos="1701"/>
              </w:tabs>
              <w:kinsoku w:val="0"/>
              <w:spacing w:before="20"/>
              <w:ind w:right="105"/>
              <w:jc w:val="right"/>
              <w:rPr>
                <w:bCs/>
                <w:color w:val="000000"/>
                <w:sz w:val="20"/>
                <w:lang w:val="en-US"/>
              </w:rPr>
            </w:pPr>
            <w:r w:rsidRPr="006D735A">
              <w:rPr>
                <w:bCs/>
                <w:color w:val="000000"/>
                <w:sz w:val="20"/>
                <w:lang w:val="en-US"/>
              </w:rPr>
              <w:t>551’911</w:t>
            </w:r>
          </w:p>
        </w:tc>
      </w:tr>
      <w:tr w:rsidR="00972D89" w:rsidRPr="006D735A" w:rsidTr="00D87C36">
        <w:trPr>
          <w:trHeight w:val="264"/>
          <w:jc w:val="center"/>
        </w:trPr>
        <w:tc>
          <w:tcPr>
            <w:tcW w:w="5816" w:type="dxa"/>
            <w:shd w:val="clear" w:color="auto" w:fill="auto"/>
            <w:hideMark/>
          </w:tcPr>
          <w:p w:rsidR="00972D89" w:rsidRPr="006D735A" w:rsidRDefault="00972D89" w:rsidP="00972D89">
            <w:pPr>
              <w:widowControl w:val="0"/>
              <w:kinsoku w:val="0"/>
              <w:spacing w:before="20"/>
              <w:rPr>
                <w:b/>
                <w:color w:val="000000"/>
                <w:sz w:val="20"/>
                <w:lang w:val="en-US"/>
              </w:rPr>
            </w:pPr>
            <w:r w:rsidRPr="006D735A">
              <w:rPr>
                <w:color w:val="000000"/>
                <w:sz w:val="20"/>
                <w:lang w:val="en-US"/>
              </w:rPr>
              <w:t>Fair value of assets under the plan</w:t>
            </w:r>
          </w:p>
        </w:tc>
        <w:tc>
          <w:tcPr>
            <w:tcW w:w="1701" w:type="dxa"/>
            <w:shd w:val="clear" w:color="auto" w:fill="auto"/>
          </w:tcPr>
          <w:p w:rsidR="00972D89" w:rsidRPr="006D735A" w:rsidRDefault="00972D89" w:rsidP="00972D89">
            <w:pPr>
              <w:widowControl w:val="0"/>
              <w:tabs>
                <w:tab w:val="clear" w:pos="1701"/>
              </w:tabs>
              <w:kinsoku w:val="0"/>
              <w:spacing w:before="20"/>
              <w:ind w:right="105"/>
              <w:jc w:val="right"/>
              <w:rPr>
                <w:bCs/>
                <w:color w:val="000000"/>
                <w:sz w:val="20"/>
                <w:lang w:val="en-US"/>
              </w:rPr>
            </w:pPr>
            <w:r w:rsidRPr="006D735A">
              <w:rPr>
                <w:bCs/>
                <w:color w:val="000000"/>
                <w:sz w:val="20"/>
                <w:lang w:val="en-US"/>
              </w:rPr>
              <w:t>0</w:t>
            </w:r>
          </w:p>
        </w:tc>
        <w:tc>
          <w:tcPr>
            <w:tcW w:w="1976" w:type="dxa"/>
            <w:shd w:val="clear" w:color="auto" w:fill="auto"/>
          </w:tcPr>
          <w:p w:rsidR="00972D89" w:rsidRPr="006D735A" w:rsidRDefault="00972D89" w:rsidP="00972D89">
            <w:pPr>
              <w:widowControl w:val="0"/>
              <w:tabs>
                <w:tab w:val="clear" w:pos="1701"/>
              </w:tabs>
              <w:kinsoku w:val="0"/>
              <w:spacing w:before="20"/>
              <w:ind w:right="105"/>
              <w:jc w:val="right"/>
              <w:rPr>
                <w:bCs/>
                <w:color w:val="000000"/>
                <w:sz w:val="20"/>
                <w:lang w:val="en-US"/>
              </w:rPr>
            </w:pPr>
            <w:r w:rsidRPr="006D735A">
              <w:rPr>
                <w:bCs/>
                <w:color w:val="000000"/>
                <w:sz w:val="20"/>
                <w:lang w:val="en-US"/>
              </w:rPr>
              <w:t>0</w:t>
            </w:r>
          </w:p>
        </w:tc>
      </w:tr>
      <w:tr w:rsidR="00972D89" w:rsidRPr="006D735A" w:rsidTr="00D87C36">
        <w:trPr>
          <w:jc w:val="center"/>
        </w:trPr>
        <w:tc>
          <w:tcPr>
            <w:tcW w:w="5816" w:type="dxa"/>
            <w:shd w:val="clear" w:color="auto" w:fill="auto"/>
            <w:vAlign w:val="bottom"/>
            <w:hideMark/>
          </w:tcPr>
          <w:p w:rsidR="00972D89" w:rsidRPr="006D735A" w:rsidRDefault="00972D89" w:rsidP="00972D89">
            <w:pPr>
              <w:widowControl w:val="0"/>
              <w:kinsoku w:val="0"/>
              <w:spacing w:before="20"/>
              <w:rPr>
                <w:sz w:val="20"/>
                <w:lang w:val="en-US"/>
              </w:rPr>
            </w:pPr>
            <w:r w:rsidRPr="006D735A">
              <w:rPr>
                <w:color w:val="000000"/>
                <w:sz w:val="20"/>
                <w:lang w:val="en-US"/>
              </w:rPr>
              <w:t>Obligation</w:t>
            </w:r>
            <w:r w:rsidRPr="006D735A">
              <w:rPr>
                <w:bCs/>
                <w:color w:val="000000"/>
                <w:sz w:val="20"/>
                <w:lang w:val="en-US"/>
              </w:rPr>
              <w:t xml:space="preserve"> recognized in balance sheet at</w:t>
            </w:r>
            <w:r w:rsidRPr="006D735A">
              <w:rPr>
                <w:bCs/>
                <w:color w:val="000000"/>
                <w:sz w:val="20"/>
                <w:lang w:val="en-US"/>
              </w:rPr>
              <w:br/>
              <w:t>31 December </w:t>
            </w:r>
          </w:p>
        </w:tc>
        <w:tc>
          <w:tcPr>
            <w:tcW w:w="1701" w:type="dxa"/>
            <w:shd w:val="clear" w:color="auto" w:fill="auto"/>
          </w:tcPr>
          <w:p w:rsidR="00972D89" w:rsidRPr="006D735A" w:rsidRDefault="00972D89" w:rsidP="00972D89">
            <w:pPr>
              <w:widowControl w:val="0"/>
              <w:tabs>
                <w:tab w:val="clear" w:pos="1701"/>
              </w:tabs>
              <w:kinsoku w:val="0"/>
              <w:spacing w:before="20"/>
              <w:ind w:right="105"/>
              <w:jc w:val="right"/>
              <w:rPr>
                <w:bCs/>
                <w:color w:val="000000"/>
                <w:sz w:val="20"/>
                <w:lang w:val="en-US"/>
              </w:rPr>
            </w:pPr>
            <w:r w:rsidRPr="006D735A">
              <w:rPr>
                <w:bCs/>
                <w:color w:val="000000"/>
                <w:sz w:val="20"/>
                <w:lang w:val="en-US"/>
              </w:rPr>
              <w:t>617’250</w:t>
            </w:r>
          </w:p>
        </w:tc>
        <w:tc>
          <w:tcPr>
            <w:tcW w:w="1976" w:type="dxa"/>
            <w:shd w:val="clear" w:color="auto" w:fill="auto"/>
          </w:tcPr>
          <w:p w:rsidR="00972D89" w:rsidRPr="006D735A" w:rsidRDefault="00972D89" w:rsidP="00972D89">
            <w:pPr>
              <w:widowControl w:val="0"/>
              <w:tabs>
                <w:tab w:val="clear" w:pos="1701"/>
              </w:tabs>
              <w:kinsoku w:val="0"/>
              <w:spacing w:before="20"/>
              <w:ind w:right="105"/>
              <w:jc w:val="right"/>
              <w:rPr>
                <w:bCs/>
                <w:color w:val="000000"/>
                <w:sz w:val="20"/>
                <w:lang w:val="en-US"/>
              </w:rPr>
            </w:pPr>
            <w:r w:rsidRPr="006D735A">
              <w:rPr>
                <w:bCs/>
                <w:color w:val="000000"/>
                <w:sz w:val="20"/>
                <w:lang w:val="en-US"/>
              </w:rPr>
              <w:t>551’911</w:t>
            </w:r>
          </w:p>
        </w:tc>
      </w:tr>
    </w:tbl>
    <w:p w:rsidR="008617E3" w:rsidRPr="006D735A" w:rsidRDefault="008617E3" w:rsidP="00D2288C">
      <w:pPr>
        <w:tabs>
          <w:tab w:val="left" w:pos="794"/>
          <w:tab w:val="left" w:pos="1191"/>
          <w:tab w:val="left" w:pos="1588"/>
          <w:tab w:val="left" w:pos="1985"/>
          <w:tab w:val="left" w:pos="5157"/>
        </w:tabs>
        <w:snapToGrid w:val="0"/>
        <w:spacing w:before="0"/>
        <w:rPr>
          <w:rFonts w:cs="Arial"/>
          <w:sz w:val="20"/>
          <w:lang w:val="en-US"/>
        </w:rPr>
      </w:pPr>
    </w:p>
    <w:tbl>
      <w:tblPr>
        <w:tblW w:w="9533" w:type="dxa"/>
        <w:jc w:val="center"/>
        <w:tblLook w:val="04A0" w:firstRow="1" w:lastRow="0" w:firstColumn="1" w:lastColumn="0" w:noHBand="0" w:noVBand="1"/>
      </w:tblPr>
      <w:tblGrid>
        <w:gridCol w:w="5811"/>
        <w:gridCol w:w="1861"/>
        <w:gridCol w:w="1861"/>
      </w:tblGrid>
      <w:tr w:rsidR="0022373A" w:rsidRPr="006D735A" w:rsidTr="000E536A">
        <w:trPr>
          <w:trHeight w:val="567"/>
          <w:jc w:val="center"/>
        </w:trPr>
        <w:tc>
          <w:tcPr>
            <w:tcW w:w="5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73A" w:rsidRPr="006D735A" w:rsidRDefault="008617E3" w:rsidP="000E536A">
            <w:pPr>
              <w:widowControl w:val="0"/>
              <w:kinsoku w:val="0"/>
              <w:spacing w:before="20"/>
              <w:rPr>
                <w:b/>
                <w:color w:val="000000"/>
                <w:sz w:val="20"/>
                <w:lang w:val="en-US"/>
              </w:rPr>
            </w:pPr>
            <w:r w:rsidRPr="006D735A">
              <w:rPr>
                <w:rFonts w:cs="Arial"/>
                <w:sz w:val="20"/>
                <w:lang w:val="en-US"/>
              </w:rPr>
              <w:br w:type="page"/>
            </w:r>
            <w:r w:rsidR="0022373A" w:rsidRPr="006D735A">
              <w:rPr>
                <w:b/>
                <w:color w:val="000000"/>
                <w:sz w:val="20"/>
                <w:lang w:val="en-US"/>
              </w:rPr>
              <w:t>Amounts recognized in the statement of financial performance</w:t>
            </w:r>
          </w:p>
        </w:tc>
        <w:tc>
          <w:tcPr>
            <w:tcW w:w="3722" w:type="dxa"/>
            <w:gridSpan w:val="2"/>
            <w:tcBorders>
              <w:top w:val="single" w:sz="4" w:space="0" w:color="auto"/>
              <w:left w:val="nil"/>
              <w:bottom w:val="single" w:sz="4" w:space="0" w:color="auto"/>
              <w:right w:val="single" w:sz="4" w:space="0" w:color="auto"/>
            </w:tcBorders>
            <w:shd w:val="clear" w:color="auto" w:fill="auto"/>
            <w:noWrap/>
            <w:vAlign w:val="center"/>
            <w:hideMark/>
          </w:tcPr>
          <w:p w:rsidR="0022373A" w:rsidRPr="006D735A" w:rsidRDefault="0022373A" w:rsidP="000E536A">
            <w:pPr>
              <w:widowControl w:val="0"/>
              <w:kinsoku w:val="0"/>
              <w:spacing w:before="20"/>
              <w:jc w:val="center"/>
              <w:rPr>
                <w:b/>
                <w:bCs/>
                <w:i/>
                <w:iCs/>
                <w:color w:val="000000"/>
                <w:sz w:val="20"/>
                <w:lang w:val="en-US"/>
              </w:rPr>
            </w:pPr>
            <w:r w:rsidRPr="006D735A">
              <w:rPr>
                <w:b/>
                <w:bCs/>
                <w:i/>
                <w:iCs/>
                <w:color w:val="000000"/>
                <w:sz w:val="20"/>
                <w:lang w:val="en-US"/>
              </w:rPr>
              <w:t>In thousands of CHF</w:t>
            </w:r>
          </w:p>
        </w:tc>
      </w:tr>
      <w:tr w:rsidR="0022373A" w:rsidRPr="006D735A" w:rsidTr="00BE52DF">
        <w:trPr>
          <w:trHeight w:val="264"/>
          <w:jc w:val="center"/>
        </w:trPr>
        <w:tc>
          <w:tcPr>
            <w:tcW w:w="5811" w:type="dxa"/>
            <w:tcBorders>
              <w:top w:val="single" w:sz="4" w:space="0" w:color="auto"/>
              <w:left w:val="single" w:sz="4" w:space="0" w:color="auto"/>
              <w:bottom w:val="nil"/>
              <w:right w:val="single" w:sz="4" w:space="0" w:color="auto"/>
            </w:tcBorders>
            <w:shd w:val="clear" w:color="auto" w:fill="auto"/>
            <w:hideMark/>
          </w:tcPr>
          <w:p w:rsidR="0022373A" w:rsidRPr="006D735A" w:rsidRDefault="0022373A" w:rsidP="005D3458">
            <w:pPr>
              <w:widowControl w:val="0"/>
              <w:kinsoku w:val="0"/>
              <w:spacing w:before="20"/>
              <w:jc w:val="center"/>
              <w:rPr>
                <w:b/>
                <w:i/>
                <w:iCs/>
                <w:color w:val="000000"/>
                <w:sz w:val="20"/>
                <w:lang w:val="en-US"/>
              </w:rPr>
            </w:pPr>
          </w:p>
        </w:tc>
        <w:tc>
          <w:tcPr>
            <w:tcW w:w="1861" w:type="dxa"/>
            <w:tcBorders>
              <w:top w:val="single" w:sz="4" w:space="0" w:color="auto"/>
              <w:left w:val="nil"/>
              <w:bottom w:val="nil"/>
              <w:right w:val="single" w:sz="4" w:space="0" w:color="auto"/>
            </w:tcBorders>
            <w:shd w:val="clear" w:color="auto" w:fill="auto"/>
            <w:noWrap/>
            <w:vAlign w:val="bottom"/>
            <w:hideMark/>
          </w:tcPr>
          <w:p w:rsidR="0022373A" w:rsidRPr="006D735A" w:rsidRDefault="008F6441" w:rsidP="00F02CCC">
            <w:pPr>
              <w:widowControl w:val="0"/>
              <w:kinsoku w:val="0"/>
              <w:spacing w:before="20"/>
              <w:jc w:val="center"/>
              <w:rPr>
                <w:b/>
                <w:color w:val="000000"/>
                <w:sz w:val="20"/>
                <w:lang w:val="en-US"/>
              </w:rPr>
            </w:pPr>
            <w:r w:rsidRPr="006D735A">
              <w:rPr>
                <w:b/>
                <w:color w:val="000000"/>
                <w:sz w:val="20"/>
                <w:lang w:val="en-US"/>
              </w:rPr>
              <w:t>31.12.</w:t>
            </w:r>
            <w:r w:rsidR="00111BDD" w:rsidRPr="006D735A">
              <w:rPr>
                <w:b/>
                <w:color w:val="000000"/>
                <w:sz w:val="20"/>
                <w:lang w:val="en-US"/>
              </w:rPr>
              <w:t>201</w:t>
            </w:r>
            <w:r w:rsidR="00F02CCC" w:rsidRPr="006D735A">
              <w:rPr>
                <w:b/>
                <w:color w:val="000000"/>
                <w:sz w:val="20"/>
                <w:lang w:val="en-US"/>
              </w:rPr>
              <w:t>7</w:t>
            </w:r>
          </w:p>
        </w:tc>
        <w:tc>
          <w:tcPr>
            <w:tcW w:w="1861" w:type="dxa"/>
            <w:tcBorders>
              <w:top w:val="single" w:sz="4" w:space="0" w:color="auto"/>
              <w:left w:val="nil"/>
              <w:bottom w:val="nil"/>
              <w:right w:val="single" w:sz="4" w:space="0" w:color="auto"/>
            </w:tcBorders>
            <w:vAlign w:val="bottom"/>
          </w:tcPr>
          <w:p w:rsidR="0022373A" w:rsidRPr="006D735A" w:rsidRDefault="008F6441" w:rsidP="00F02CCC">
            <w:pPr>
              <w:widowControl w:val="0"/>
              <w:kinsoku w:val="0"/>
              <w:spacing w:before="20"/>
              <w:jc w:val="center"/>
              <w:rPr>
                <w:b/>
                <w:color w:val="000000"/>
                <w:sz w:val="20"/>
                <w:lang w:val="en-US"/>
              </w:rPr>
            </w:pPr>
            <w:r w:rsidRPr="006D735A">
              <w:rPr>
                <w:b/>
                <w:color w:val="000000"/>
                <w:sz w:val="20"/>
                <w:lang w:val="en-US"/>
              </w:rPr>
              <w:t>31.12.</w:t>
            </w:r>
            <w:r w:rsidR="0022373A" w:rsidRPr="006D735A">
              <w:rPr>
                <w:b/>
                <w:color w:val="000000"/>
                <w:sz w:val="20"/>
                <w:lang w:val="en-US"/>
              </w:rPr>
              <w:t>201</w:t>
            </w:r>
            <w:r w:rsidR="00F02CCC" w:rsidRPr="006D735A">
              <w:rPr>
                <w:b/>
                <w:color w:val="000000"/>
                <w:sz w:val="20"/>
                <w:lang w:val="en-US"/>
              </w:rPr>
              <w:t>6</w:t>
            </w:r>
          </w:p>
        </w:tc>
      </w:tr>
      <w:tr w:rsidR="00334F08" w:rsidRPr="006D735A" w:rsidTr="00BE52DF">
        <w:trPr>
          <w:trHeight w:val="336"/>
          <w:jc w:val="center"/>
        </w:trPr>
        <w:tc>
          <w:tcPr>
            <w:tcW w:w="5811" w:type="dxa"/>
            <w:tcBorders>
              <w:top w:val="nil"/>
              <w:left w:val="single" w:sz="4" w:space="0" w:color="auto"/>
              <w:bottom w:val="nil"/>
              <w:right w:val="single" w:sz="4" w:space="0" w:color="auto"/>
            </w:tcBorders>
            <w:shd w:val="clear" w:color="auto" w:fill="auto"/>
            <w:hideMark/>
          </w:tcPr>
          <w:p w:rsidR="00334F08" w:rsidRPr="006D735A" w:rsidRDefault="00334F08" w:rsidP="00334F08">
            <w:pPr>
              <w:widowControl w:val="0"/>
              <w:kinsoku w:val="0"/>
              <w:spacing w:before="20" w:after="60"/>
              <w:rPr>
                <w:bCs/>
                <w:color w:val="000000"/>
                <w:sz w:val="20"/>
                <w:lang w:val="en-US"/>
              </w:rPr>
            </w:pPr>
            <w:r w:rsidRPr="006D735A">
              <w:rPr>
                <w:bCs/>
                <w:color w:val="000000"/>
                <w:sz w:val="20"/>
                <w:lang w:val="en-US"/>
              </w:rPr>
              <w:t>Updating of obligation and contributions for the period</w:t>
            </w:r>
          </w:p>
        </w:tc>
        <w:tc>
          <w:tcPr>
            <w:tcW w:w="1861" w:type="dxa"/>
            <w:tcBorders>
              <w:top w:val="nil"/>
              <w:left w:val="nil"/>
              <w:bottom w:val="nil"/>
              <w:right w:val="single" w:sz="4" w:space="0" w:color="auto"/>
            </w:tcBorders>
            <w:shd w:val="clear" w:color="auto" w:fill="auto"/>
            <w:noWrap/>
            <w:vAlign w:val="bottom"/>
          </w:tcPr>
          <w:p w:rsidR="00334F08" w:rsidRPr="006D735A" w:rsidRDefault="00334F08" w:rsidP="00BB1F01">
            <w:pPr>
              <w:widowControl w:val="0"/>
              <w:tabs>
                <w:tab w:val="clear" w:pos="1701"/>
              </w:tabs>
              <w:kinsoku w:val="0"/>
              <w:spacing w:before="20"/>
              <w:ind w:right="60"/>
              <w:jc w:val="right"/>
              <w:rPr>
                <w:bCs/>
                <w:i/>
                <w:iCs/>
                <w:color w:val="000000"/>
                <w:sz w:val="20"/>
                <w:lang w:val="en-US"/>
              </w:rPr>
            </w:pPr>
          </w:p>
        </w:tc>
        <w:tc>
          <w:tcPr>
            <w:tcW w:w="1861" w:type="dxa"/>
            <w:tcBorders>
              <w:top w:val="nil"/>
              <w:left w:val="nil"/>
              <w:bottom w:val="nil"/>
              <w:right w:val="single" w:sz="4" w:space="0" w:color="auto"/>
            </w:tcBorders>
          </w:tcPr>
          <w:p w:rsidR="00334F08" w:rsidRPr="006D735A" w:rsidRDefault="00334F08" w:rsidP="00BB1F01">
            <w:pPr>
              <w:widowControl w:val="0"/>
              <w:tabs>
                <w:tab w:val="clear" w:pos="1701"/>
              </w:tabs>
              <w:kinsoku w:val="0"/>
              <w:spacing w:before="20"/>
              <w:ind w:right="60"/>
              <w:jc w:val="right"/>
              <w:rPr>
                <w:bCs/>
                <w:i/>
                <w:iCs/>
                <w:color w:val="000000"/>
                <w:sz w:val="20"/>
                <w:lang w:val="en-US"/>
              </w:rPr>
            </w:pPr>
          </w:p>
        </w:tc>
      </w:tr>
      <w:tr w:rsidR="00972D89" w:rsidRPr="006D735A" w:rsidTr="008A2F0A">
        <w:trPr>
          <w:trHeight w:val="264"/>
          <w:jc w:val="center"/>
        </w:trPr>
        <w:tc>
          <w:tcPr>
            <w:tcW w:w="5811" w:type="dxa"/>
            <w:tcBorders>
              <w:top w:val="nil"/>
              <w:left w:val="single" w:sz="4" w:space="0" w:color="auto"/>
              <w:bottom w:val="nil"/>
              <w:right w:val="single" w:sz="4" w:space="0" w:color="auto"/>
            </w:tcBorders>
            <w:shd w:val="clear" w:color="auto" w:fill="auto"/>
            <w:vAlign w:val="bottom"/>
            <w:hideMark/>
          </w:tcPr>
          <w:p w:rsidR="00972D89" w:rsidRPr="006D735A" w:rsidRDefault="00972D89" w:rsidP="00972D89">
            <w:pPr>
              <w:widowControl w:val="0"/>
              <w:kinsoku w:val="0"/>
              <w:spacing w:before="20" w:after="60"/>
              <w:rPr>
                <w:b/>
                <w:color w:val="000000"/>
                <w:sz w:val="20"/>
                <w:lang w:val="en-US"/>
              </w:rPr>
            </w:pPr>
            <w:r w:rsidRPr="006D735A">
              <w:rPr>
                <w:color w:val="000000"/>
                <w:sz w:val="20"/>
                <w:lang w:val="en-US"/>
              </w:rPr>
              <w:t>Service costs</w:t>
            </w:r>
          </w:p>
        </w:tc>
        <w:tc>
          <w:tcPr>
            <w:tcW w:w="1861" w:type="dxa"/>
            <w:tcBorders>
              <w:top w:val="nil"/>
              <w:left w:val="nil"/>
              <w:bottom w:val="nil"/>
              <w:right w:val="single" w:sz="4" w:space="0" w:color="auto"/>
            </w:tcBorders>
            <w:shd w:val="clear" w:color="auto" w:fill="auto"/>
            <w:vAlign w:val="bottom"/>
          </w:tcPr>
          <w:p w:rsidR="00972D89" w:rsidRPr="006D735A" w:rsidRDefault="00972D89" w:rsidP="007E3570">
            <w:pPr>
              <w:tabs>
                <w:tab w:val="clear" w:pos="567"/>
                <w:tab w:val="clear" w:pos="1134"/>
                <w:tab w:val="clear" w:pos="1701"/>
                <w:tab w:val="clear" w:pos="2268"/>
                <w:tab w:val="clear" w:pos="2835"/>
              </w:tabs>
              <w:overflowPunct/>
              <w:autoSpaceDE/>
              <w:autoSpaceDN/>
              <w:adjustRightInd/>
              <w:spacing w:before="0"/>
              <w:jc w:val="right"/>
              <w:textAlignment w:val="auto"/>
              <w:rPr>
                <w:bCs/>
                <w:color w:val="000000"/>
                <w:sz w:val="20"/>
                <w:lang w:val="en-US"/>
              </w:rPr>
            </w:pPr>
            <w:r w:rsidRPr="006D735A">
              <w:rPr>
                <w:bCs/>
                <w:color w:val="000000"/>
                <w:sz w:val="20"/>
                <w:lang w:val="en-US"/>
              </w:rPr>
              <w:t>20</w:t>
            </w:r>
            <w:r w:rsidR="00F02CCC" w:rsidRPr="006D735A">
              <w:rPr>
                <w:bCs/>
                <w:color w:val="000000"/>
                <w:sz w:val="20"/>
                <w:lang w:val="en-US"/>
              </w:rPr>
              <w:t>’</w:t>
            </w:r>
            <w:r w:rsidRPr="006D735A">
              <w:rPr>
                <w:bCs/>
                <w:color w:val="000000"/>
                <w:sz w:val="20"/>
                <w:lang w:val="en-US"/>
              </w:rPr>
              <w:t>337</w:t>
            </w:r>
          </w:p>
        </w:tc>
        <w:tc>
          <w:tcPr>
            <w:tcW w:w="1861" w:type="dxa"/>
            <w:tcBorders>
              <w:top w:val="nil"/>
              <w:left w:val="nil"/>
              <w:bottom w:val="nil"/>
              <w:right w:val="single" w:sz="4" w:space="0" w:color="auto"/>
            </w:tcBorders>
            <w:vAlign w:val="bottom"/>
          </w:tcPr>
          <w:p w:rsidR="00972D89" w:rsidRPr="006D735A" w:rsidRDefault="00972D89" w:rsidP="007E3570">
            <w:pPr>
              <w:widowControl w:val="0"/>
              <w:tabs>
                <w:tab w:val="clear" w:pos="1701"/>
              </w:tabs>
              <w:kinsoku w:val="0"/>
              <w:spacing w:before="20"/>
              <w:ind w:right="60"/>
              <w:jc w:val="right"/>
              <w:rPr>
                <w:bCs/>
                <w:color w:val="000000"/>
                <w:sz w:val="20"/>
                <w:lang w:val="en-US"/>
              </w:rPr>
            </w:pPr>
            <w:r w:rsidRPr="006D735A">
              <w:rPr>
                <w:bCs/>
                <w:color w:val="000000"/>
                <w:sz w:val="20"/>
                <w:lang w:val="en-US"/>
              </w:rPr>
              <w:t>16’042</w:t>
            </w:r>
          </w:p>
        </w:tc>
      </w:tr>
      <w:tr w:rsidR="00972D89" w:rsidRPr="006D735A" w:rsidTr="008A2F0A">
        <w:trPr>
          <w:trHeight w:val="264"/>
          <w:jc w:val="center"/>
        </w:trPr>
        <w:tc>
          <w:tcPr>
            <w:tcW w:w="5811" w:type="dxa"/>
            <w:tcBorders>
              <w:top w:val="nil"/>
              <w:left w:val="single" w:sz="4" w:space="0" w:color="auto"/>
              <w:bottom w:val="nil"/>
              <w:right w:val="single" w:sz="4" w:space="0" w:color="auto"/>
            </w:tcBorders>
            <w:shd w:val="clear" w:color="auto" w:fill="auto"/>
            <w:vAlign w:val="bottom"/>
            <w:hideMark/>
          </w:tcPr>
          <w:p w:rsidR="00972D89" w:rsidRPr="006D735A" w:rsidRDefault="00972D89" w:rsidP="00972D89">
            <w:pPr>
              <w:widowControl w:val="0"/>
              <w:kinsoku w:val="0"/>
              <w:spacing w:before="20" w:after="60"/>
              <w:rPr>
                <w:b/>
                <w:color w:val="000000"/>
                <w:sz w:val="20"/>
                <w:lang w:val="en-US"/>
              </w:rPr>
            </w:pPr>
            <w:r w:rsidRPr="006D735A">
              <w:rPr>
                <w:color w:val="000000"/>
                <w:sz w:val="20"/>
                <w:lang w:val="en-US"/>
              </w:rPr>
              <w:t>Finance charge</w:t>
            </w:r>
          </w:p>
        </w:tc>
        <w:tc>
          <w:tcPr>
            <w:tcW w:w="1861" w:type="dxa"/>
            <w:tcBorders>
              <w:top w:val="nil"/>
              <w:left w:val="nil"/>
              <w:bottom w:val="nil"/>
              <w:right w:val="single" w:sz="4" w:space="0" w:color="auto"/>
            </w:tcBorders>
            <w:shd w:val="clear" w:color="auto" w:fill="auto"/>
            <w:vAlign w:val="bottom"/>
          </w:tcPr>
          <w:p w:rsidR="00972D89" w:rsidRPr="006D735A" w:rsidRDefault="00972D89" w:rsidP="007E3570">
            <w:pPr>
              <w:jc w:val="right"/>
              <w:rPr>
                <w:bCs/>
                <w:color w:val="000000"/>
                <w:sz w:val="20"/>
                <w:lang w:val="en-US"/>
              </w:rPr>
            </w:pPr>
            <w:r w:rsidRPr="006D735A">
              <w:rPr>
                <w:bCs/>
                <w:color w:val="000000"/>
                <w:sz w:val="20"/>
                <w:lang w:val="en-US"/>
              </w:rPr>
              <w:t>5</w:t>
            </w:r>
            <w:r w:rsidR="00F02CCC" w:rsidRPr="006D735A">
              <w:rPr>
                <w:bCs/>
                <w:color w:val="000000"/>
                <w:sz w:val="20"/>
                <w:lang w:val="en-US"/>
              </w:rPr>
              <w:t>’</w:t>
            </w:r>
            <w:r w:rsidRPr="006D735A">
              <w:rPr>
                <w:bCs/>
                <w:color w:val="000000"/>
                <w:sz w:val="20"/>
                <w:lang w:val="en-US"/>
              </w:rPr>
              <w:t>038</w:t>
            </w:r>
          </w:p>
        </w:tc>
        <w:tc>
          <w:tcPr>
            <w:tcW w:w="1861" w:type="dxa"/>
            <w:tcBorders>
              <w:top w:val="nil"/>
              <w:left w:val="nil"/>
              <w:bottom w:val="nil"/>
              <w:right w:val="single" w:sz="4" w:space="0" w:color="auto"/>
            </w:tcBorders>
            <w:vAlign w:val="bottom"/>
          </w:tcPr>
          <w:p w:rsidR="00972D89" w:rsidRPr="006D735A" w:rsidRDefault="00972D89" w:rsidP="007E3570">
            <w:pPr>
              <w:widowControl w:val="0"/>
              <w:tabs>
                <w:tab w:val="clear" w:pos="1701"/>
              </w:tabs>
              <w:kinsoku w:val="0"/>
              <w:spacing w:before="20"/>
              <w:ind w:right="60"/>
              <w:jc w:val="right"/>
              <w:rPr>
                <w:bCs/>
                <w:color w:val="000000"/>
                <w:sz w:val="20"/>
                <w:lang w:val="en-US"/>
              </w:rPr>
            </w:pPr>
            <w:r w:rsidRPr="006D735A">
              <w:rPr>
                <w:bCs/>
                <w:color w:val="000000"/>
                <w:sz w:val="20"/>
                <w:lang w:val="en-US"/>
              </w:rPr>
              <w:t>6’187</w:t>
            </w:r>
          </w:p>
        </w:tc>
      </w:tr>
      <w:tr w:rsidR="00972D89" w:rsidRPr="006D735A" w:rsidTr="00477E6D">
        <w:trPr>
          <w:trHeight w:val="264"/>
          <w:jc w:val="center"/>
        </w:trPr>
        <w:tc>
          <w:tcPr>
            <w:tcW w:w="5811" w:type="dxa"/>
            <w:tcBorders>
              <w:top w:val="nil"/>
              <w:left w:val="single" w:sz="4" w:space="0" w:color="auto"/>
              <w:right w:val="single" w:sz="4" w:space="0" w:color="auto"/>
            </w:tcBorders>
            <w:shd w:val="clear" w:color="auto" w:fill="auto"/>
            <w:vAlign w:val="bottom"/>
            <w:hideMark/>
          </w:tcPr>
          <w:p w:rsidR="00972D89" w:rsidRPr="006D735A" w:rsidRDefault="00972D89" w:rsidP="00972D89">
            <w:pPr>
              <w:widowControl w:val="0"/>
              <w:kinsoku w:val="0"/>
              <w:spacing w:before="20" w:after="60"/>
              <w:rPr>
                <w:b/>
                <w:color w:val="000000"/>
                <w:sz w:val="20"/>
                <w:lang w:val="en-US"/>
              </w:rPr>
            </w:pPr>
            <w:r w:rsidRPr="006D735A">
              <w:rPr>
                <w:color w:val="000000"/>
                <w:sz w:val="20"/>
                <w:lang w:val="en-US"/>
              </w:rPr>
              <w:t>Expected return on assets under the ASHI plan</w:t>
            </w:r>
          </w:p>
        </w:tc>
        <w:tc>
          <w:tcPr>
            <w:tcW w:w="1861" w:type="dxa"/>
            <w:tcBorders>
              <w:top w:val="nil"/>
              <w:left w:val="nil"/>
              <w:bottom w:val="single" w:sz="4" w:space="0" w:color="auto"/>
              <w:right w:val="single" w:sz="4" w:space="0" w:color="auto"/>
            </w:tcBorders>
            <w:shd w:val="clear" w:color="auto" w:fill="auto"/>
            <w:vAlign w:val="bottom"/>
          </w:tcPr>
          <w:p w:rsidR="00972D89" w:rsidRPr="006D735A" w:rsidRDefault="00972D89" w:rsidP="007E3570">
            <w:pPr>
              <w:widowControl w:val="0"/>
              <w:tabs>
                <w:tab w:val="clear" w:pos="1701"/>
              </w:tabs>
              <w:kinsoku w:val="0"/>
              <w:spacing w:before="20"/>
              <w:ind w:right="60"/>
              <w:jc w:val="right"/>
              <w:rPr>
                <w:bCs/>
                <w:color w:val="000000"/>
                <w:sz w:val="20"/>
                <w:lang w:val="en-US"/>
              </w:rPr>
            </w:pPr>
            <w:r w:rsidRPr="006D735A">
              <w:rPr>
                <w:bCs/>
                <w:color w:val="000000"/>
                <w:sz w:val="20"/>
                <w:lang w:val="en-US"/>
              </w:rPr>
              <w:t>0</w:t>
            </w:r>
          </w:p>
        </w:tc>
        <w:tc>
          <w:tcPr>
            <w:tcW w:w="1861" w:type="dxa"/>
            <w:tcBorders>
              <w:top w:val="nil"/>
              <w:left w:val="nil"/>
              <w:bottom w:val="single" w:sz="4" w:space="0" w:color="auto"/>
              <w:right w:val="single" w:sz="4" w:space="0" w:color="auto"/>
            </w:tcBorders>
            <w:vAlign w:val="bottom"/>
          </w:tcPr>
          <w:p w:rsidR="00972D89" w:rsidRPr="006D735A" w:rsidRDefault="00972D89" w:rsidP="007E3570">
            <w:pPr>
              <w:widowControl w:val="0"/>
              <w:tabs>
                <w:tab w:val="clear" w:pos="1701"/>
              </w:tabs>
              <w:kinsoku w:val="0"/>
              <w:spacing w:before="20"/>
              <w:ind w:right="60"/>
              <w:jc w:val="right"/>
              <w:rPr>
                <w:bCs/>
                <w:color w:val="000000"/>
                <w:sz w:val="20"/>
                <w:lang w:val="en-US"/>
              </w:rPr>
            </w:pPr>
            <w:r w:rsidRPr="006D735A">
              <w:rPr>
                <w:bCs/>
                <w:color w:val="000000"/>
                <w:sz w:val="20"/>
                <w:lang w:val="en-US"/>
              </w:rPr>
              <w:t>0</w:t>
            </w:r>
          </w:p>
        </w:tc>
      </w:tr>
      <w:tr w:rsidR="00972D89" w:rsidRPr="006D735A" w:rsidTr="00477E6D">
        <w:trPr>
          <w:trHeight w:val="300"/>
          <w:jc w:val="center"/>
        </w:trPr>
        <w:tc>
          <w:tcPr>
            <w:tcW w:w="5811" w:type="dxa"/>
            <w:tcBorders>
              <w:top w:val="nil"/>
              <w:left w:val="single" w:sz="4" w:space="0" w:color="auto"/>
              <w:bottom w:val="single" w:sz="4" w:space="0" w:color="auto"/>
              <w:right w:val="single" w:sz="4" w:space="0" w:color="auto"/>
            </w:tcBorders>
            <w:shd w:val="clear" w:color="auto" w:fill="auto"/>
            <w:vAlign w:val="center"/>
            <w:hideMark/>
          </w:tcPr>
          <w:p w:rsidR="00972D89" w:rsidRPr="006D735A" w:rsidRDefault="00972D89" w:rsidP="00972D89">
            <w:pPr>
              <w:widowControl w:val="0"/>
              <w:kinsoku w:val="0"/>
              <w:spacing w:before="20" w:after="20"/>
              <w:rPr>
                <w:b/>
                <w:color w:val="000000"/>
                <w:sz w:val="20"/>
                <w:lang w:val="en-US"/>
              </w:rPr>
            </w:pPr>
            <w:r w:rsidRPr="006D735A">
              <w:rPr>
                <w:color w:val="000000"/>
                <w:sz w:val="20"/>
                <w:lang w:val="en-US"/>
              </w:rPr>
              <w:t>Total</w:t>
            </w:r>
          </w:p>
        </w:tc>
        <w:tc>
          <w:tcPr>
            <w:tcW w:w="1861" w:type="dxa"/>
            <w:tcBorders>
              <w:top w:val="single" w:sz="4" w:space="0" w:color="auto"/>
              <w:left w:val="nil"/>
              <w:bottom w:val="single" w:sz="4" w:space="0" w:color="auto"/>
              <w:right w:val="single" w:sz="4" w:space="0" w:color="auto"/>
            </w:tcBorders>
            <w:shd w:val="clear" w:color="auto" w:fill="auto"/>
            <w:vAlign w:val="center"/>
          </w:tcPr>
          <w:p w:rsidR="00972D89" w:rsidRPr="006D735A" w:rsidRDefault="00F02CCC" w:rsidP="007E3570">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6D735A">
              <w:rPr>
                <w:rFonts w:cs="Arial"/>
                <w:color w:val="000000"/>
                <w:sz w:val="20"/>
              </w:rPr>
              <w:t>25’375</w:t>
            </w:r>
          </w:p>
        </w:tc>
        <w:tc>
          <w:tcPr>
            <w:tcW w:w="1861" w:type="dxa"/>
            <w:tcBorders>
              <w:top w:val="single" w:sz="4" w:space="0" w:color="auto"/>
              <w:left w:val="nil"/>
              <w:bottom w:val="single" w:sz="4" w:space="0" w:color="auto"/>
              <w:right w:val="single" w:sz="4" w:space="0" w:color="auto"/>
            </w:tcBorders>
            <w:vAlign w:val="center"/>
          </w:tcPr>
          <w:p w:rsidR="00972D89" w:rsidRPr="006D735A" w:rsidRDefault="00972D89" w:rsidP="007E3570">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rPr>
            </w:pPr>
            <w:r w:rsidRPr="006D735A">
              <w:rPr>
                <w:rFonts w:cs="Arial"/>
                <w:color w:val="000000"/>
                <w:sz w:val="20"/>
              </w:rPr>
              <w:t>22’229</w:t>
            </w:r>
          </w:p>
        </w:tc>
      </w:tr>
    </w:tbl>
    <w:p w:rsidR="0022373A" w:rsidRPr="003A5446" w:rsidRDefault="0022373A" w:rsidP="00284AFF">
      <w:pPr>
        <w:pStyle w:val="Headingi"/>
        <w:spacing w:before="240"/>
        <w:jc w:val="both"/>
        <w:rPr>
          <w:lang w:val="en-US"/>
        </w:rPr>
      </w:pPr>
      <w:bookmarkStart w:id="97" w:name="_Toc305764095"/>
      <w:r w:rsidRPr="001C2A98">
        <w:rPr>
          <w:lang w:val="en-US"/>
        </w:rPr>
        <w:t>1</w:t>
      </w:r>
      <w:r w:rsidR="00284AFF">
        <w:rPr>
          <w:lang w:val="en-US"/>
        </w:rPr>
        <w:t>7</w:t>
      </w:r>
      <w:r w:rsidRPr="001C2A98">
        <w:rPr>
          <w:lang w:val="en-US"/>
        </w:rPr>
        <w:t>.2.3</w:t>
      </w:r>
      <w:r w:rsidRPr="001C2A98">
        <w:rPr>
          <w:lang w:val="en-US"/>
        </w:rPr>
        <w:tab/>
      </w:r>
      <w:r w:rsidRPr="003A5446">
        <w:rPr>
          <w:lang w:val="en-US"/>
        </w:rPr>
        <w:t>ASHI plan, cost estimat</w:t>
      </w:r>
      <w:r w:rsidR="000A4526" w:rsidRPr="003A5446">
        <w:rPr>
          <w:lang w:val="en-US"/>
        </w:rPr>
        <w:t xml:space="preserve">es for the </w:t>
      </w:r>
      <w:r w:rsidR="00876DAD" w:rsidRPr="003A5446">
        <w:rPr>
          <w:lang w:val="en-US"/>
        </w:rPr>
        <w:t>201</w:t>
      </w:r>
      <w:r w:rsidR="00B71E09">
        <w:rPr>
          <w:lang w:val="en-US"/>
        </w:rPr>
        <w:t>7</w:t>
      </w:r>
      <w:r w:rsidRPr="003A5446">
        <w:rPr>
          <w:lang w:val="en-US"/>
        </w:rPr>
        <w:t xml:space="preserve"> period</w:t>
      </w:r>
      <w:bookmarkEnd w:id="97"/>
    </w:p>
    <w:p w:rsidR="00B202DD" w:rsidRPr="003A5446" w:rsidRDefault="0022373A" w:rsidP="00B71E09">
      <w:pPr>
        <w:jc w:val="both"/>
        <w:rPr>
          <w:lang w:val="en-US"/>
        </w:rPr>
      </w:pPr>
      <w:r w:rsidRPr="003A5446">
        <w:rPr>
          <w:lang w:val="en-US"/>
        </w:rPr>
        <w:t>A 1 per cent increase in healthcare costs would result in a rise in the aggregate of service cost and interest costs of CHF </w:t>
      </w:r>
      <w:r w:rsidR="00D04A12">
        <w:rPr>
          <w:lang w:val="en-US"/>
        </w:rPr>
        <w:t>1</w:t>
      </w:r>
      <w:r w:rsidR="00B71E09">
        <w:rPr>
          <w:lang w:val="en-US"/>
        </w:rPr>
        <w:t>2</w:t>
      </w:r>
      <w:r w:rsidR="00D04A12">
        <w:rPr>
          <w:lang w:val="en-US"/>
        </w:rPr>
        <w:t>.</w:t>
      </w:r>
      <w:r w:rsidR="00B71E09">
        <w:rPr>
          <w:lang w:val="en-US"/>
        </w:rPr>
        <w:t>631</w:t>
      </w:r>
      <w:r w:rsidR="004239A3" w:rsidRPr="003A5446">
        <w:rPr>
          <w:lang w:val="en-US"/>
        </w:rPr>
        <w:t> </w:t>
      </w:r>
      <w:r w:rsidR="000927AB" w:rsidRPr="003A5446">
        <w:rPr>
          <w:lang w:val="en-US"/>
        </w:rPr>
        <w:t>million</w:t>
      </w:r>
      <w:r w:rsidRPr="003A5446">
        <w:rPr>
          <w:lang w:val="en-US"/>
        </w:rPr>
        <w:t xml:space="preserve"> and have an impact on the defined-benefit obligation of CHF </w:t>
      </w:r>
      <w:r w:rsidR="003A5446" w:rsidRPr="003A5446">
        <w:rPr>
          <w:lang w:val="en-US"/>
        </w:rPr>
        <w:t>1</w:t>
      </w:r>
      <w:r w:rsidR="00B71E09">
        <w:rPr>
          <w:lang w:val="en-US"/>
        </w:rPr>
        <w:t>60</w:t>
      </w:r>
      <w:r w:rsidR="003A5446" w:rsidRPr="003A5446">
        <w:rPr>
          <w:lang w:val="en-US"/>
        </w:rPr>
        <w:t>.</w:t>
      </w:r>
      <w:r w:rsidR="00B71E09">
        <w:rPr>
          <w:lang w:val="en-US"/>
        </w:rPr>
        <w:t>972</w:t>
      </w:r>
      <w:r w:rsidR="004239A3" w:rsidRPr="003A5446">
        <w:rPr>
          <w:lang w:val="en-US"/>
        </w:rPr>
        <w:t> </w:t>
      </w:r>
      <w:r w:rsidR="000927AB" w:rsidRPr="003A5446">
        <w:rPr>
          <w:lang w:val="en-US"/>
        </w:rPr>
        <w:t>million</w:t>
      </w:r>
      <w:r w:rsidRPr="003A5446">
        <w:rPr>
          <w:lang w:val="en-US"/>
        </w:rPr>
        <w:t xml:space="preserve">. A 1 per cent </w:t>
      </w:r>
      <w:r w:rsidR="00B00F6F" w:rsidRPr="003A5446">
        <w:rPr>
          <w:lang w:val="en-US"/>
        </w:rPr>
        <w:t xml:space="preserve">decrease </w:t>
      </w:r>
      <w:r w:rsidRPr="003A5446">
        <w:rPr>
          <w:lang w:val="en-US"/>
        </w:rPr>
        <w:t xml:space="preserve">would result in a </w:t>
      </w:r>
      <w:r w:rsidR="00B00F6F" w:rsidRPr="003A5446">
        <w:rPr>
          <w:lang w:val="en-US"/>
        </w:rPr>
        <w:t>reduction</w:t>
      </w:r>
      <w:r w:rsidR="000927AB" w:rsidRPr="003A5446">
        <w:rPr>
          <w:lang w:val="en-US"/>
        </w:rPr>
        <w:t xml:space="preserve"> </w:t>
      </w:r>
      <w:r w:rsidRPr="003A5446">
        <w:rPr>
          <w:lang w:val="en-US"/>
        </w:rPr>
        <w:t>of CHF </w:t>
      </w:r>
      <w:r w:rsidR="00B71E09">
        <w:rPr>
          <w:lang w:val="en-US"/>
        </w:rPr>
        <w:t>9</w:t>
      </w:r>
      <w:r w:rsidR="003A5446" w:rsidRPr="003A5446">
        <w:rPr>
          <w:lang w:val="en-US"/>
        </w:rPr>
        <w:t>.</w:t>
      </w:r>
      <w:r w:rsidR="00B71E09">
        <w:rPr>
          <w:lang w:val="en-US"/>
        </w:rPr>
        <w:t>091</w:t>
      </w:r>
      <w:r w:rsidR="000927AB" w:rsidRPr="003A5446">
        <w:rPr>
          <w:lang w:val="en-US"/>
        </w:rPr>
        <w:t xml:space="preserve"> million</w:t>
      </w:r>
      <w:r w:rsidRPr="003A5446">
        <w:rPr>
          <w:lang w:val="en-US"/>
        </w:rPr>
        <w:t xml:space="preserve"> in service cost and interest costs and of CHF </w:t>
      </w:r>
      <w:r w:rsidR="00D04A12">
        <w:rPr>
          <w:lang w:val="en-US"/>
        </w:rPr>
        <w:t>1</w:t>
      </w:r>
      <w:r w:rsidR="00B71E09">
        <w:rPr>
          <w:lang w:val="en-US"/>
        </w:rPr>
        <w:t>23</w:t>
      </w:r>
      <w:r w:rsidR="003A5446" w:rsidRPr="003A5446">
        <w:rPr>
          <w:lang w:val="en-US"/>
        </w:rPr>
        <w:t>.</w:t>
      </w:r>
      <w:r w:rsidR="00D04A12">
        <w:rPr>
          <w:lang w:val="en-US"/>
        </w:rPr>
        <w:t>0</w:t>
      </w:r>
      <w:r w:rsidR="00B71E09">
        <w:rPr>
          <w:lang w:val="en-US"/>
        </w:rPr>
        <w:t>79</w:t>
      </w:r>
      <w:r w:rsidR="004239A3" w:rsidRPr="003A5446">
        <w:rPr>
          <w:lang w:val="en-US"/>
        </w:rPr>
        <w:t> </w:t>
      </w:r>
      <w:r w:rsidR="000927AB" w:rsidRPr="003A5446">
        <w:rPr>
          <w:lang w:val="en-US"/>
        </w:rPr>
        <w:t>million</w:t>
      </w:r>
      <w:r w:rsidRPr="003A5446">
        <w:rPr>
          <w:lang w:val="en-US"/>
        </w:rPr>
        <w:t xml:space="preserve"> in the defined-benefit obligation.</w:t>
      </w:r>
    </w:p>
    <w:p w:rsidR="0022373A" w:rsidRPr="001C2A98" w:rsidRDefault="0022373A" w:rsidP="00284AFF">
      <w:pPr>
        <w:pStyle w:val="Headingi"/>
        <w:jc w:val="both"/>
        <w:rPr>
          <w:lang w:val="en-US"/>
        </w:rPr>
      </w:pPr>
      <w:bookmarkStart w:id="98" w:name="_Toc305764096"/>
      <w:r w:rsidRPr="003A5446">
        <w:rPr>
          <w:lang w:val="en-US"/>
        </w:rPr>
        <w:t>1</w:t>
      </w:r>
      <w:r w:rsidR="00284AFF">
        <w:rPr>
          <w:lang w:val="en-US"/>
        </w:rPr>
        <w:t>7</w:t>
      </w:r>
      <w:r w:rsidRPr="003A5446">
        <w:rPr>
          <w:lang w:val="en-US"/>
        </w:rPr>
        <w:t>.2.4</w:t>
      </w:r>
      <w:r w:rsidRPr="003A5446">
        <w:rPr>
          <w:lang w:val="en-US"/>
        </w:rPr>
        <w:tab/>
        <w:t>Repatriation</w:t>
      </w:r>
      <w:bookmarkEnd w:id="98"/>
    </w:p>
    <w:p w:rsidR="0022373A" w:rsidRPr="001C2A98" w:rsidRDefault="0022373A" w:rsidP="005C41A5">
      <w:pPr>
        <w:jc w:val="both"/>
        <w:rPr>
          <w:lang w:val="en-US"/>
        </w:rPr>
      </w:pPr>
      <w:r w:rsidRPr="001C2A98">
        <w:rPr>
          <w:lang w:val="en-US"/>
        </w:rPr>
        <w:t>In principle, a repatriation grant shall be payable to staff members whom the Union is obliged to repatriate. Detailed conditions and definitions relating to eligibility and requisite evidence of relocation shall be determined by the Secretary-General.</w:t>
      </w:r>
    </w:p>
    <w:p w:rsidR="0022373A" w:rsidRPr="001C2A98" w:rsidRDefault="0022373A" w:rsidP="006A5037">
      <w:pPr>
        <w:jc w:val="both"/>
        <w:rPr>
          <w:lang w:val="en-US"/>
        </w:rPr>
      </w:pPr>
      <w:r w:rsidRPr="00735886">
        <w:rPr>
          <w:lang w:val="en-US"/>
        </w:rPr>
        <w:t>Length of service, base salary and any language allowances were taken into account in calculating the total amount of th</w:t>
      </w:r>
      <w:r w:rsidR="00876DAD">
        <w:rPr>
          <w:lang w:val="en-US"/>
        </w:rPr>
        <w:t xml:space="preserve">e obligation at 31 </w:t>
      </w:r>
      <w:r w:rsidR="00876DAD" w:rsidRPr="00AD563E">
        <w:rPr>
          <w:lang w:val="en-US"/>
        </w:rPr>
        <w:t xml:space="preserve">December </w:t>
      </w:r>
      <w:r w:rsidR="00111BDD">
        <w:rPr>
          <w:lang w:val="en-US"/>
        </w:rPr>
        <w:t>201</w:t>
      </w:r>
      <w:r w:rsidR="008F4145">
        <w:rPr>
          <w:lang w:val="en-US"/>
        </w:rPr>
        <w:t>7</w:t>
      </w:r>
      <w:r w:rsidRPr="00AD563E">
        <w:rPr>
          <w:lang w:val="en-US"/>
        </w:rPr>
        <w:t xml:space="preserve">. The economic </w:t>
      </w:r>
      <w:r w:rsidRPr="003A5446">
        <w:rPr>
          <w:lang w:val="en-US"/>
        </w:rPr>
        <w:t xml:space="preserve">assumptions used are a discount rate of </w:t>
      </w:r>
      <w:r w:rsidR="00F57FAF">
        <w:rPr>
          <w:lang w:val="en-US"/>
        </w:rPr>
        <w:t>0.9</w:t>
      </w:r>
      <w:r w:rsidR="00FC4FE4">
        <w:rPr>
          <w:lang w:val="en-US"/>
        </w:rPr>
        <w:t>0</w:t>
      </w:r>
      <w:r w:rsidR="00AD563E" w:rsidRPr="003A5446">
        <w:rPr>
          <w:lang w:val="en-US"/>
        </w:rPr>
        <w:t xml:space="preserve"> </w:t>
      </w:r>
      <w:r w:rsidRPr="003A5446">
        <w:rPr>
          <w:lang w:val="en-US"/>
        </w:rPr>
        <w:t xml:space="preserve">per cent </w:t>
      </w:r>
      <w:r w:rsidR="00876DAD" w:rsidRPr="003A5446">
        <w:rPr>
          <w:lang w:val="en-US"/>
        </w:rPr>
        <w:t>(</w:t>
      </w:r>
      <w:r w:rsidR="00FC4FE4">
        <w:rPr>
          <w:lang w:val="en-US"/>
        </w:rPr>
        <w:t>0.92</w:t>
      </w:r>
      <w:r w:rsidR="00876DAD" w:rsidRPr="003A5446">
        <w:rPr>
          <w:lang w:val="en-US"/>
        </w:rPr>
        <w:t xml:space="preserve"> per cent in 201</w:t>
      </w:r>
      <w:r w:rsidR="00FC4FE4">
        <w:rPr>
          <w:lang w:val="en-US"/>
        </w:rPr>
        <w:t>6</w:t>
      </w:r>
      <w:r w:rsidR="00735886" w:rsidRPr="003A5446">
        <w:rPr>
          <w:lang w:val="en-US"/>
        </w:rPr>
        <w:t xml:space="preserve">) </w:t>
      </w:r>
      <w:r w:rsidRPr="003A5446">
        <w:rPr>
          <w:lang w:val="en-US"/>
        </w:rPr>
        <w:t xml:space="preserve">and a rate of salary increase of </w:t>
      </w:r>
      <w:r w:rsidR="009F32CA">
        <w:rPr>
          <w:lang w:val="en-US"/>
        </w:rPr>
        <w:t>3.5</w:t>
      </w:r>
      <w:r w:rsidRPr="003A5446">
        <w:rPr>
          <w:lang w:val="en-US"/>
        </w:rPr>
        <w:t xml:space="preserve"> per</w:t>
      </w:r>
      <w:r w:rsidR="004239A3" w:rsidRPr="003A5446">
        <w:rPr>
          <w:lang w:val="en-US"/>
        </w:rPr>
        <w:t> </w:t>
      </w:r>
      <w:r w:rsidRPr="003A5446">
        <w:rPr>
          <w:lang w:val="en-US"/>
        </w:rPr>
        <w:t>cent</w:t>
      </w:r>
      <w:r w:rsidR="00735886" w:rsidRPr="003A5446">
        <w:rPr>
          <w:lang w:val="en-US"/>
        </w:rPr>
        <w:t xml:space="preserve"> </w:t>
      </w:r>
      <w:r w:rsidR="00F83061">
        <w:rPr>
          <w:lang w:val="en-US"/>
        </w:rPr>
        <w:t xml:space="preserve">(similar to </w:t>
      </w:r>
      <w:r w:rsidR="00FC4FE4">
        <w:rPr>
          <w:lang w:val="en-US"/>
        </w:rPr>
        <w:t>2016</w:t>
      </w:r>
      <w:r w:rsidR="00F83061">
        <w:rPr>
          <w:lang w:val="en-US"/>
        </w:rPr>
        <w:t>)</w:t>
      </w:r>
      <w:r w:rsidR="009F32CA">
        <w:rPr>
          <w:lang w:val="en-US"/>
        </w:rPr>
        <w:t xml:space="preserve">. </w:t>
      </w:r>
      <w:r w:rsidR="00E64449">
        <w:rPr>
          <w:lang w:val="en-US"/>
        </w:rPr>
        <w:t xml:space="preserve"> </w:t>
      </w:r>
      <w:r w:rsidR="009F32CA">
        <w:rPr>
          <w:lang w:val="en-US"/>
        </w:rPr>
        <w:t>For the valuation of 201</w:t>
      </w:r>
      <w:r w:rsidR="00FC4FE4">
        <w:rPr>
          <w:lang w:val="en-US"/>
        </w:rPr>
        <w:t>7</w:t>
      </w:r>
      <w:r w:rsidR="00E64449">
        <w:rPr>
          <w:lang w:val="en-US"/>
        </w:rPr>
        <w:t>,</w:t>
      </w:r>
      <w:r w:rsidR="009F32CA">
        <w:rPr>
          <w:lang w:val="en-US"/>
        </w:rPr>
        <w:t xml:space="preserve"> the assumption</w:t>
      </w:r>
      <w:r w:rsidR="00E64449">
        <w:rPr>
          <w:lang w:val="en-US"/>
        </w:rPr>
        <w:t>s</w:t>
      </w:r>
      <w:r w:rsidR="009F32CA">
        <w:rPr>
          <w:lang w:val="en-US"/>
        </w:rPr>
        <w:t xml:space="preserve"> for the actuarial study on the repatriation grant ha</w:t>
      </w:r>
      <w:r w:rsidR="00E64449">
        <w:rPr>
          <w:lang w:val="en-US"/>
        </w:rPr>
        <w:t>ve</w:t>
      </w:r>
      <w:r w:rsidR="009F32CA">
        <w:rPr>
          <w:lang w:val="en-US"/>
        </w:rPr>
        <w:t xml:space="preserve"> been aligned with the ASHI assumptions.</w:t>
      </w:r>
    </w:p>
    <w:p w:rsidR="0022373A" w:rsidRPr="001C2A98" w:rsidRDefault="0022373A" w:rsidP="00284AFF">
      <w:pPr>
        <w:pStyle w:val="Headingi"/>
        <w:jc w:val="both"/>
        <w:rPr>
          <w:lang w:val="en-US"/>
        </w:rPr>
      </w:pPr>
      <w:bookmarkStart w:id="99" w:name="_Toc305764097"/>
      <w:r w:rsidRPr="001C2A98">
        <w:rPr>
          <w:lang w:val="en-US"/>
        </w:rPr>
        <w:t>1</w:t>
      </w:r>
      <w:r w:rsidR="00284AFF">
        <w:rPr>
          <w:lang w:val="en-US"/>
        </w:rPr>
        <w:t>7</w:t>
      </w:r>
      <w:r w:rsidRPr="001C2A98">
        <w:rPr>
          <w:lang w:val="en-US"/>
        </w:rPr>
        <w:t>.2.5</w:t>
      </w:r>
      <w:r w:rsidRPr="001C2A98">
        <w:rPr>
          <w:lang w:val="en-US"/>
        </w:rPr>
        <w:tab/>
        <w:t>Payment of the repatriation grant</w:t>
      </w:r>
      <w:bookmarkEnd w:id="99"/>
    </w:p>
    <w:p w:rsidR="0022373A" w:rsidRPr="00DE25A3" w:rsidRDefault="0022373A" w:rsidP="00B34F0F">
      <w:pPr>
        <w:jc w:val="both"/>
        <w:rPr>
          <w:lang w:val="en-US"/>
        </w:rPr>
      </w:pPr>
      <w:r w:rsidRPr="001C2A98">
        <w:rPr>
          <w:lang w:val="en-US"/>
        </w:rPr>
        <w:t xml:space="preserve">Payment of the repatriation grant is governed by the conditions and definitions set out in the Staff Regulations and Staff </w:t>
      </w:r>
      <w:r w:rsidRPr="003A5446">
        <w:rPr>
          <w:lang w:val="en-US"/>
        </w:rPr>
        <w:t>Rules.</w:t>
      </w:r>
      <w:r w:rsidR="006424AE">
        <w:rPr>
          <w:lang w:val="en-US"/>
        </w:rPr>
        <w:t xml:space="preserve"> </w:t>
      </w:r>
      <w:r w:rsidR="0020696D">
        <w:rPr>
          <w:lang w:val="en-US"/>
        </w:rPr>
        <w:t xml:space="preserve"> </w:t>
      </w:r>
      <w:r w:rsidR="00546F2F">
        <w:rPr>
          <w:lang w:val="en-US"/>
        </w:rPr>
        <w:t>As of December 201</w:t>
      </w:r>
      <w:r w:rsidR="00FC4FE4">
        <w:rPr>
          <w:lang w:val="en-US"/>
        </w:rPr>
        <w:t>7</w:t>
      </w:r>
      <w:r w:rsidR="0020696D">
        <w:rPr>
          <w:lang w:val="en-US"/>
        </w:rPr>
        <w:t>,</w:t>
      </w:r>
      <w:r w:rsidR="00546F2F">
        <w:rPr>
          <w:lang w:val="en-US"/>
        </w:rPr>
        <w:t xml:space="preserve"> the provision amounted </w:t>
      </w:r>
      <w:r w:rsidR="0020696D">
        <w:rPr>
          <w:lang w:val="en-US"/>
        </w:rPr>
        <w:t xml:space="preserve">to </w:t>
      </w:r>
      <w:r w:rsidR="00546F2F">
        <w:rPr>
          <w:lang w:val="en-US"/>
        </w:rPr>
        <w:t>CHF</w:t>
      </w:r>
      <w:r w:rsidR="0020696D">
        <w:rPr>
          <w:lang w:val="en-US"/>
        </w:rPr>
        <w:t> </w:t>
      </w:r>
      <w:r w:rsidR="00546F2F">
        <w:rPr>
          <w:lang w:val="en-US"/>
        </w:rPr>
        <w:t>1</w:t>
      </w:r>
      <w:r w:rsidR="00FC4FE4">
        <w:rPr>
          <w:lang w:val="en-US"/>
        </w:rPr>
        <w:t>2</w:t>
      </w:r>
      <w:r w:rsidR="00546F2F">
        <w:rPr>
          <w:lang w:val="en-US"/>
        </w:rPr>
        <w:t>.</w:t>
      </w:r>
      <w:r w:rsidR="00FC4FE4">
        <w:rPr>
          <w:lang w:val="en-US"/>
        </w:rPr>
        <w:t>3</w:t>
      </w:r>
      <w:r w:rsidR="00546F2F">
        <w:rPr>
          <w:lang w:val="en-US"/>
        </w:rPr>
        <w:t xml:space="preserve"> m</w:t>
      </w:r>
      <w:r w:rsidR="0020696D">
        <w:rPr>
          <w:lang w:val="en-US"/>
        </w:rPr>
        <w:t xml:space="preserve">illion </w:t>
      </w:r>
      <w:r w:rsidR="00546F2F">
        <w:rPr>
          <w:lang w:val="en-US"/>
        </w:rPr>
        <w:t>against CHF 1</w:t>
      </w:r>
      <w:r w:rsidR="00FC4FE4">
        <w:rPr>
          <w:lang w:val="en-US"/>
        </w:rPr>
        <w:t>4</w:t>
      </w:r>
      <w:r w:rsidR="00546F2F">
        <w:rPr>
          <w:lang w:val="en-US"/>
        </w:rPr>
        <w:t>.</w:t>
      </w:r>
      <w:r w:rsidR="00FC4FE4">
        <w:rPr>
          <w:lang w:val="en-US"/>
        </w:rPr>
        <w:t>6</w:t>
      </w:r>
      <w:r w:rsidR="00546F2F">
        <w:rPr>
          <w:lang w:val="en-US"/>
        </w:rPr>
        <w:t xml:space="preserve"> m</w:t>
      </w:r>
      <w:r w:rsidR="0020696D">
        <w:rPr>
          <w:lang w:val="en-US"/>
        </w:rPr>
        <w:t xml:space="preserve">illion </w:t>
      </w:r>
      <w:r w:rsidR="00546F2F">
        <w:rPr>
          <w:lang w:val="en-US"/>
        </w:rPr>
        <w:t>in 201</w:t>
      </w:r>
      <w:r w:rsidR="00FC4FE4">
        <w:rPr>
          <w:lang w:val="en-US"/>
        </w:rPr>
        <w:t>6</w:t>
      </w:r>
      <w:r w:rsidR="00546F2F">
        <w:rPr>
          <w:lang w:val="en-US"/>
        </w:rPr>
        <w:t>.</w:t>
      </w:r>
      <w:r w:rsidR="00FC4FE4">
        <w:rPr>
          <w:lang w:val="en-US"/>
        </w:rPr>
        <w:t xml:space="preserve"> </w:t>
      </w:r>
      <w:r w:rsidR="00FC4FE4" w:rsidRPr="00DE25A3">
        <w:rPr>
          <w:lang w:val="en-US"/>
        </w:rPr>
        <w:t xml:space="preserve">This decrease </w:t>
      </w:r>
      <w:r w:rsidR="00DE25A3" w:rsidRPr="00DE25A3">
        <w:rPr>
          <w:lang w:val="en-US"/>
        </w:rPr>
        <w:t xml:space="preserve">is mostly </w:t>
      </w:r>
      <w:r w:rsidR="00FC4FE4" w:rsidRPr="00DE25A3">
        <w:rPr>
          <w:lang w:val="en-US"/>
        </w:rPr>
        <w:t>explained by</w:t>
      </w:r>
      <w:r w:rsidR="00FC4FE4">
        <w:rPr>
          <w:lang w:val="en-US"/>
        </w:rPr>
        <w:t xml:space="preserve"> </w:t>
      </w:r>
      <w:r w:rsidR="00DE25A3">
        <w:rPr>
          <w:lang w:val="en-US"/>
        </w:rPr>
        <w:t xml:space="preserve">the reduction of the base salary for </w:t>
      </w:r>
      <w:r w:rsidR="00DE25A3" w:rsidRPr="00DE25A3">
        <w:rPr>
          <w:lang w:val="en-US"/>
        </w:rPr>
        <w:t>Professional Staff (6</w:t>
      </w:r>
      <w:r w:rsidR="00B34F0F">
        <w:rPr>
          <w:lang w:val="en-US"/>
        </w:rPr>
        <w:t xml:space="preserve"> per cent </w:t>
      </w:r>
      <w:r w:rsidR="00DE25A3" w:rsidRPr="00DE25A3">
        <w:rPr>
          <w:lang w:val="en-US"/>
        </w:rPr>
        <w:t>reduction on average)</w:t>
      </w:r>
      <w:r w:rsidR="00DE25A3">
        <w:rPr>
          <w:lang w:val="en-US"/>
        </w:rPr>
        <w:t>.</w:t>
      </w:r>
    </w:p>
    <w:p w:rsidR="0022373A" w:rsidRPr="002C6FAF" w:rsidRDefault="0022373A" w:rsidP="00B34F0F">
      <w:pPr>
        <w:jc w:val="both"/>
        <w:rPr>
          <w:lang w:val="en-US"/>
        </w:rPr>
      </w:pPr>
      <w:r w:rsidRPr="003A5446">
        <w:rPr>
          <w:lang w:val="en-US"/>
        </w:rPr>
        <w:t>This provisi</w:t>
      </w:r>
      <w:r w:rsidR="007D0104" w:rsidRPr="003A5446">
        <w:rPr>
          <w:lang w:val="en-US"/>
        </w:rPr>
        <w:t>on</w:t>
      </w:r>
      <w:r w:rsidR="00A84A98" w:rsidRPr="003A5446">
        <w:rPr>
          <w:lang w:val="en-US"/>
        </w:rPr>
        <w:t xml:space="preserve"> is funded by a deduction of 1</w:t>
      </w:r>
      <w:r w:rsidRPr="003A5446">
        <w:rPr>
          <w:lang w:val="en-US"/>
        </w:rPr>
        <w:t xml:space="preserve"> </w:t>
      </w:r>
      <w:r w:rsidR="00B34F0F">
        <w:rPr>
          <w:lang w:val="en-US"/>
        </w:rPr>
        <w:t xml:space="preserve">per cent </w:t>
      </w:r>
      <w:r w:rsidRPr="003A5446">
        <w:rPr>
          <w:lang w:val="en-US"/>
        </w:rPr>
        <w:t>from the remuneration of staff members other than those engaged for conferences and other short-term service.</w:t>
      </w:r>
    </w:p>
    <w:p w:rsidR="00303CCC" w:rsidRDefault="0022373A" w:rsidP="0045089E">
      <w:pPr>
        <w:jc w:val="both"/>
        <w:rPr>
          <w:lang w:val="en-US"/>
        </w:rPr>
      </w:pPr>
      <w:r w:rsidRPr="002C6FAF">
        <w:rPr>
          <w:lang w:val="en-US"/>
        </w:rPr>
        <w:t>An IPSAS-compliant actuarial valuation is carried out each year by an independent consultancy.</w:t>
      </w:r>
    </w:p>
    <w:p w:rsidR="009053D6" w:rsidRPr="00367B82" w:rsidRDefault="0022373A" w:rsidP="00910855">
      <w:pPr>
        <w:pStyle w:val="Headingi"/>
        <w:jc w:val="both"/>
        <w:rPr>
          <w:lang w:val="en-US"/>
        </w:rPr>
      </w:pPr>
      <w:bookmarkStart w:id="100" w:name="_Toc305764098"/>
      <w:r w:rsidRPr="001C2A98">
        <w:rPr>
          <w:lang w:val="en-US"/>
        </w:rPr>
        <w:t>1</w:t>
      </w:r>
      <w:r w:rsidR="00284AFF">
        <w:rPr>
          <w:lang w:val="en-US"/>
        </w:rPr>
        <w:t>7</w:t>
      </w:r>
      <w:r w:rsidRPr="001C2A98">
        <w:rPr>
          <w:lang w:val="en-US"/>
        </w:rPr>
        <w:t>.2.6</w:t>
      </w:r>
      <w:r w:rsidRPr="001C2A98">
        <w:rPr>
          <w:lang w:val="en-US"/>
        </w:rPr>
        <w:tab/>
      </w:r>
      <w:r w:rsidRPr="00367B82">
        <w:rPr>
          <w:lang w:val="en-US"/>
        </w:rPr>
        <w:t>Employee benefits under the United Nations staff pension plan</w:t>
      </w:r>
      <w:bookmarkEnd w:id="100"/>
    </w:p>
    <w:p w:rsidR="009053D6" w:rsidRPr="00367B82" w:rsidRDefault="009053D6" w:rsidP="00D87C36">
      <w:pPr>
        <w:pStyle w:val="BodyText"/>
        <w:jc w:val="both"/>
      </w:pPr>
      <w:bookmarkStart w:id="101" w:name="_Toc351382638"/>
      <w:bookmarkStart w:id="102" w:name="_Toc320705895"/>
      <w:r w:rsidRPr="00367B82">
        <w:t xml:space="preserve">The Fund’s Regulations state that the Pension Board shall have an actuarial valuation made of the Fund at least once every three years by the Consulting Actuary. The practice of the Pension Board has been to carry out an actuarial valuation every two years using the Open Group Aggregate Method. The primary purpose of the actuarial valuation is to determine whether the current and estimated future assets of the Pension Fund will be sufficient to meet its liabilities. </w:t>
      </w:r>
    </w:p>
    <w:p w:rsidR="009053D6" w:rsidRPr="00367B82" w:rsidRDefault="00910855" w:rsidP="006F05F5">
      <w:pPr>
        <w:pStyle w:val="BodyText"/>
        <w:jc w:val="both"/>
      </w:pPr>
      <w:r w:rsidRPr="00367B82">
        <w:t>ITU</w:t>
      </w:r>
      <w:r w:rsidR="009053D6" w:rsidRPr="00367B82">
        <w:t>’s financial obligation to the UNJSPF consists of its mandated contribution, at the rate established by the United Nations General Assembly (currently at 7.9</w:t>
      </w:r>
      <w:r w:rsidR="00B34F0F">
        <w:t xml:space="preserve"> per cent </w:t>
      </w:r>
      <w:r w:rsidR="009053D6" w:rsidRPr="00367B82">
        <w:t>for participants and 15.8</w:t>
      </w:r>
      <w:r w:rsidR="00B34F0F">
        <w:t xml:space="preserve"> per cent</w:t>
      </w:r>
      <w:r w:rsidR="009053D6" w:rsidRPr="00367B82">
        <w:t xml:space="preserve"> for member organizations) together with any share of any actuarial deficiency payments under Article</w:t>
      </w:r>
      <w:r w:rsidR="00B34F0F">
        <w:t> </w:t>
      </w:r>
      <w:r w:rsidR="009053D6" w:rsidRPr="00367B82">
        <w:t>26 of the Regulations of the Pension Fund. Such deficiency payments are only payable if and when the United Nations General Assembly has invoked the provision of Article 26, following determination that there is a requirement for deficiency payments based on an assessment of the actuarial sufficiency of the Fund as of the valuation date. Each member organization shall contribute to this deficiency an amount proportionate to the total contributions which each paid during the three years preceding the valuation date.</w:t>
      </w:r>
    </w:p>
    <w:p w:rsidR="009053D6" w:rsidRPr="00367B82" w:rsidRDefault="009053D6" w:rsidP="006F05F5">
      <w:pPr>
        <w:pStyle w:val="BodyText"/>
        <w:jc w:val="both"/>
      </w:pPr>
      <w:r w:rsidRPr="00367B82">
        <w:t xml:space="preserve">During 2017, the Fund identified that there were anomalies in the census data utilized in the actuarial valuation performed as of 31 December 2015. </w:t>
      </w:r>
      <w:r w:rsidR="006F05F5">
        <w:t xml:space="preserve"> </w:t>
      </w:r>
      <w:r w:rsidR="006F05F5" w:rsidRPr="000209BE">
        <w:t xml:space="preserve">Therefore, </w:t>
      </w:r>
      <w:r w:rsidRPr="000209BE">
        <w:t>an exception to the normal biennial cycle</w:t>
      </w:r>
      <w:r w:rsidR="006F05F5" w:rsidRPr="000209BE">
        <w:t xml:space="preserve"> was made and</w:t>
      </w:r>
      <w:r w:rsidRPr="000209BE">
        <w:t xml:space="preserve"> a roll forward of the participation data as of 31 December 2013 to 31 December 2016 was used by the Fund for their 2016 financial statements. An actuarial valuation as of 31</w:t>
      </w:r>
      <w:r w:rsidR="006F05F5" w:rsidRPr="000209BE">
        <w:t> </w:t>
      </w:r>
      <w:r w:rsidRPr="000209BE">
        <w:t>December</w:t>
      </w:r>
      <w:r w:rsidR="006F05F5" w:rsidRPr="000209BE">
        <w:t> </w:t>
      </w:r>
      <w:r w:rsidRPr="000209BE">
        <w:t>2017 is currently being performed.</w:t>
      </w:r>
    </w:p>
    <w:p w:rsidR="00603FE9" w:rsidRDefault="00603FE9">
      <w:pPr>
        <w:tabs>
          <w:tab w:val="clear" w:pos="567"/>
          <w:tab w:val="clear" w:pos="1134"/>
          <w:tab w:val="clear" w:pos="1701"/>
          <w:tab w:val="clear" w:pos="2268"/>
          <w:tab w:val="clear" w:pos="2835"/>
        </w:tabs>
        <w:overflowPunct/>
        <w:autoSpaceDE/>
        <w:autoSpaceDN/>
        <w:adjustRightInd/>
        <w:spacing w:before="0"/>
        <w:textAlignment w:val="auto"/>
      </w:pPr>
      <w:r>
        <w:br w:type="page"/>
      </w:r>
    </w:p>
    <w:p w:rsidR="009053D6" w:rsidRPr="00367B82" w:rsidRDefault="009053D6" w:rsidP="00603FE9">
      <w:pPr>
        <w:pStyle w:val="BodyText"/>
        <w:jc w:val="both"/>
      </w:pPr>
      <w:r w:rsidRPr="006F1A96">
        <w:t>The roll forward of the participation data as of 31 December 2013 to 31 December 2016 resulted in a funded ratio of actuarial assets to actuarial liabilities</w:t>
      </w:r>
      <w:r w:rsidR="00603FE9" w:rsidRPr="006F1A96">
        <w:t xml:space="preserve"> of 150.1 per cent (127.5% in the 2013 valuation)</w:t>
      </w:r>
      <w:r w:rsidRPr="006F1A96">
        <w:t xml:space="preserve"> </w:t>
      </w:r>
      <w:r w:rsidR="00603FE9" w:rsidRPr="006F1A96">
        <w:t xml:space="preserve">with the assumption that there would be </w:t>
      </w:r>
      <w:r w:rsidRPr="006F1A96">
        <w:t>no future pension adjustments</w:t>
      </w:r>
      <w:r w:rsidR="00603FE9" w:rsidRPr="006F1A96">
        <w:t>.</w:t>
      </w:r>
      <w:r w:rsidRPr="006F1A96">
        <w:t xml:space="preserve"> The funded ratio was 101.4</w:t>
      </w:r>
      <w:r w:rsidR="00603FE9" w:rsidRPr="006F1A96">
        <w:t xml:space="preserve"> per cent </w:t>
      </w:r>
      <w:r w:rsidRPr="006F1A96">
        <w:t>(91.2</w:t>
      </w:r>
      <w:r w:rsidR="00603FE9" w:rsidRPr="006F1A96">
        <w:t xml:space="preserve"> per cent </w:t>
      </w:r>
      <w:r w:rsidRPr="006F1A96">
        <w:t>in the 2013 valuation) when the current system of pension adjustments was taken into account.</w:t>
      </w:r>
    </w:p>
    <w:p w:rsidR="009053D6" w:rsidRPr="00367B82" w:rsidRDefault="009053D6" w:rsidP="00D87C36">
      <w:pPr>
        <w:pStyle w:val="BodyText"/>
        <w:jc w:val="both"/>
      </w:pPr>
      <w:r w:rsidRPr="00367B82">
        <w:t>After assessing the actuarial sufficiency of the Fund, the Consulting Actuary concluded that there was no requirement, as of 31 December 2016, for deficiency payments under Article 26 of the Regulations of the Fund as the actuarial value of assets exceeded the actuarial value of all accrued liabilities under the plan. In addition, the market value of assets also exceeded the actuarial value of all accrued liabilities as of the valuation date. At the time of this report, the General Assembly has not invoked the provision of Article 26.</w:t>
      </w:r>
    </w:p>
    <w:p w:rsidR="009053D6" w:rsidRPr="00367B82" w:rsidRDefault="009053D6" w:rsidP="00D87C36">
      <w:pPr>
        <w:pStyle w:val="BodyText"/>
        <w:jc w:val="both"/>
      </w:pPr>
      <w:r w:rsidRPr="00367B82">
        <w:t xml:space="preserve">Should Article 26 be invoked due to an actuarial deficiency, either during the ongoing operation or due to the termination of the UNJSPF pension plan, deficiency payments required from each member organization would be based upon the proportion of that member organization’s contributions to the total contributions paid to the Fund during the three years preceding the valuation </w:t>
      </w:r>
      <w:proofErr w:type="gramStart"/>
      <w:r w:rsidRPr="00367B82">
        <w:t>date.</w:t>
      </w:r>
      <w:proofErr w:type="gramEnd"/>
      <w:r w:rsidRPr="00367B82">
        <w:t xml:space="preserve"> Total contributions paid to the UNJSPF during the preceding three years (2014, 2015 and 2016) amounted to USD 6,750.98 million, of which </w:t>
      </w:r>
      <w:r w:rsidR="00340AD4" w:rsidRPr="00367B82">
        <w:t>1.1</w:t>
      </w:r>
      <w:r w:rsidRPr="00367B82">
        <w:t xml:space="preserve">% was contributed by </w:t>
      </w:r>
      <w:r w:rsidR="00910855" w:rsidRPr="00367B82">
        <w:t>ITU</w:t>
      </w:r>
      <w:r w:rsidRPr="00367B82">
        <w:t>.</w:t>
      </w:r>
    </w:p>
    <w:p w:rsidR="009053D6" w:rsidRPr="00367B82" w:rsidRDefault="009053D6" w:rsidP="00D87C36">
      <w:pPr>
        <w:pStyle w:val="BodyText"/>
        <w:jc w:val="both"/>
      </w:pPr>
      <w:r w:rsidRPr="00367B82">
        <w:t xml:space="preserve">During 2017, contributions paid to UNJSPF amounted to </w:t>
      </w:r>
      <w:r w:rsidR="000D35B7">
        <w:t>USD</w:t>
      </w:r>
      <w:r w:rsidRPr="00367B82">
        <w:t xml:space="preserve"> </w:t>
      </w:r>
      <w:r w:rsidR="0001593F">
        <w:t xml:space="preserve">23.8 million </w:t>
      </w:r>
      <w:r w:rsidRPr="00367B82">
        <w:t>(2016 </w:t>
      </w:r>
      <w:r w:rsidR="000D35B7">
        <w:t xml:space="preserve">24.4 </w:t>
      </w:r>
      <w:r w:rsidRPr="00367B82">
        <w:t xml:space="preserve">million). </w:t>
      </w:r>
      <w:r w:rsidRPr="007E3570">
        <w:t xml:space="preserve">Expected contributions </w:t>
      </w:r>
      <w:r w:rsidR="007E3570" w:rsidRPr="007E3570">
        <w:t>due in 2018 are approximately USD 24</w:t>
      </w:r>
      <w:r w:rsidRPr="007E3570">
        <w:t> million.</w:t>
      </w:r>
    </w:p>
    <w:p w:rsidR="009053D6" w:rsidRPr="00367B82" w:rsidRDefault="009053D6" w:rsidP="00D87C36">
      <w:pPr>
        <w:pStyle w:val="BodyText"/>
        <w:jc w:val="both"/>
      </w:pPr>
      <w:r w:rsidRPr="00367B82">
        <w:t>Membership of the Fund may be terminated by decision of the United Nations General Assembly, upon the affirmative recommendation of the Pension Board.  A proportionate share of the total assets of the Fund at the date of termination shall be paid to the former member organization for the exclusive benefit of its staff who were participants in the Fund at that date, pursuant to an arrangement mutually agreed between the organization and the Fund.  The amount is determined by the United Nations Joint Staff Pension Board based on an actuarial valuation of the assets and liabilities of the Fund on the date of termination; no part of the assets which are in excess of the liabilities are included in the amount.</w:t>
      </w:r>
    </w:p>
    <w:p w:rsidR="009053D6" w:rsidRPr="00801F29" w:rsidRDefault="009053D6" w:rsidP="00D87C36">
      <w:pPr>
        <w:pStyle w:val="BodyText"/>
        <w:jc w:val="both"/>
      </w:pPr>
      <w:r w:rsidRPr="00367B82">
        <w:t xml:space="preserve">The United Nations Board of Auditors carries out an annual audit of the UNJSPF and reports to the UNJSPF Pension Board and to the United Nations General Assembly on the audit every year. The UNJSPF publishes quarterly reports on its investments and these can be viewed by visiting the UNJSPF at </w:t>
      </w:r>
      <w:hyperlink r:id="rId41" w:history="1">
        <w:r w:rsidRPr="00367B82">
          <w:rPr>
            <w:rFonts w:eastAsia="Calibri"/>
            <w:color w:val="0000FF"/>
            <w:u w:val="single"/>
          </w:rPr>
          <w:t>www.unjspf.org</w:t>
        </w:r>
      </w:hyperlink>
      <w:r w:rsidRPr="00367B82">
        <w:t>.</w:t>
      </w:r>
      <w:bookmarkEnd w:id="101"/>
      <w:bookmarkEnd w:id="102"/>
    </w:p>
    <w:p w:rsidR="00C02AE0" w:rsidRDefault="0022373A" w:rsidP="00D87C36">
      <w:pPr>
        <w:jc w:val="both"/>
        <w:rPr>
          <w:lang w:val="en-US"/>
        </w:rPr>
      </w:pPr>
      <w:r w:rsidRPr="00BC57AC">
        <w:rPr>
          <w:lang w:val="en-US"/>
        </w:rPr>
        <w:t xml:space="preserve">In accordance with the Administrative Rules of UNJSPF, the Union submits a statement at the end of each financial year to the </w:t>
      </w:r>
      <w:r w:rsidR="0093576A">
        <w:rPr>
          <w:lang w:val="en-US"/>
        </w:rPr>
        <w:t>S</w:t>
      </w:r>
      <w:r w:rsidRPr="00BC57AC">
        <w:rPr>
          <w:lang w:val="en-US"/>
        </w:rPr>
        <w:t>ecretariat of the Fund showing, in respect of each participant, the total contributions of every kind paid into the Fund, the total pensionable remuneration earned and any changes made in the amount of pensionable remuneration, with the dates on which they became effective. The movements of employees participating in the Fund during the year in question (including staff engaged for technical assistance projects) and the number of benefits granted and contributions paid are shown below.</w:t>
      </w:r>
    </w:p>
    <w:p w:rsidR="00F57FAF" w:rsidRDefault="0022373A" w:rsidP="00BA42A2">
      <w:pPr>
        <w:widowControl w:val="0"/>
        <w:kinsoku w:val="0"/>
        <w:jc w:val="both"/>
        <w:rPr>
          <w:lang w:val="en-US"/>
        </w:rPr>
      </w:pPr>
      <w:r w:rsidRPr="00BC57AC">
        <w:rPr>
          <w:lang w:val="en-US"/>
        </w:rPr>
        <w:t>The figures are taken from the Union</w:t>
      </w:r>
      <w:r w:rsidR="007A552E">
        <w:rPr>
          <w:lang w:val="en-US"/>
        </w:rPr>
        <w:t>’</w:t>
      </w:r>
      <w:r w:rsidRPr="00BC57AC">
        <w:rPr>
          <w:lang w:val="en-US"/>
        </w:rPr>
        <w:t>s files and accounts.</w:t>
      </w:r>
    </w:p>
    <w:p w:rsidR="0022373A" w:rsidRPr="008B436A" w:rsidRDefault="00876DAD" w:rsidP="003B2C52">
      <w:pPr>
        <w:tabs>
          <w:tab w:val="left" w:pos="794"/>
          <w:tab w:val="left" w:pos="1191"/>
          <w:tab w:val="left" w:pos="1588"/>
          <w:tab w:val="left" w:pos="1985"/>
        </w:tabs>
        <w:ind w:left="720"/>
        <w:jc w:val="center"/>
        <w:rPr>
          <w:b/>
          <w:caps/>
          <w:color w:val="000000"/>
          <w:sz w:val="22"/>
          <w:szCs w:val="22"/>
          <w:lang w:val="en-US"/>
        </w:rPr>
      </w:pPr>
      <w:r w:rsidRPr="008B436A">
        <w:rPr>
          <w:b/>
          <w:caps/>
          <w:sz w:val="22"/>
          <w:szCs w:val="22"/>
          <w:lang w:val="en-US"/>
        </w:rPr>
        <w:t xml:space="preserve">POSITION AT 31 dEcembEr </w:t>
      </w:r>
      <w:r w:rsidR="00111BDD" w:rsidRPr="008B436A">
        <w:rPr>
          <w:b/>
          <w:caps/>
          <w:sz w:val="22"/>
          <w:szCs w:val="22"/>
          <w:lang w:val="en-US"/>
        </w:rPr>
        <w:t>201</w:t>
      </w:r>
      <w:r w:rsidR="003B2C52">
        <w:rPr>
          <w:b/>
          <w:caps/>
          <w:sz w:val="22"/>
          <w:szCs w:val="22"/>
          <w:lang w:val="en-US"/>
        </w:rPr>
        <w:t>7</w:t>
      </w:r>
      <w:r w:rsidR="0022373A" w:rsidRPr="008B436A">
        <w:rPr>
          <w:b/>
          <w:caps/>
          <w:sz w:val="22"/>
          <w:szCs w:val="22"/>
          <w:lang w:val="en-US"/>
        </w:rPr>
        <w:br/>
      </w:r>
      <w:r w:rsidR="0022373A" w:rsidRPr="008B436A">
        <w:rPr>
          <w:b/>
          <w:caps/>
          <w:color w:val="000000"/>
          <w:sz w:val="22"/>
          <w:szCs w:val="22"/>
          <w:lang w:val="en-US"/>
        </w:rPr>
        <w:t xml:space="preserve">NUMBER OF </w:t>
      </w:r>
      <w:r w:rsidRPr="008B436A">
        <w:rPr>
          <w:b/>
          <w:caps/>
          <w:color w:val="000000"/>
          <w:sz w:val="22"/>
          <w:szCs w:val="22"/>
          <w:lang w:val="en-US"/>
        </w:rPr>
        <w:t xml:space="preserve">PARTICIPANTS AT 31 DECEMBER </w:t>
      </w:r>
      <w:r w:rsidR="00111BDD" w:rsidRPr="008B436A">
        <w:rPr>
          <w:b/>
          <w:caps/>
          <w:color w:val="000000"/>
          <w:sz w:val="22"/>
          <w:szCs w:val="22"/>
          <w:lang w:val="en-US"/>
        </w:rPr>
        <w:t>201</w:t>
      </w:r>
      <w:r w:rsidR="003B2C52">
        <w:rPr>
          <w:b/>
          <w:caps/>
          <w:color w:val="000000"/>
          <w:sz w:val="22"/>
          <w:szCs w:val="22"/>
          <w:lang w:val="en-US"/>
        </w:rPr>
        <w:t>7</w:t>
      </w:r>
    </w:p>
    <w:tbl>
      <w:tblPr>
        <w:tblW w:w="4873" w:type="pct"/>
        <w:jc w:val="center"/>
        <w:tblLook w:val="0000" w:firstRow="0" w:lastRow="0" w:firstColumn="0" w:lastColumn="0" w:noHBand="0" w:noVBand="0"/>
      </w:tblPr>
      <w:tblGrid>
        <w:gridCol w:w="1381"/>
        <w:gridCol w:w="1627"/>
        <w:gridCol w:w="1627"/>
        <w:gridCol w:w="1629"/>
        <w:gridCol w:w="1627"/>
        <w:gridCol w:w="1626"/>
      </w:tblGrid>
      <w:tr w:rsidR="0022373A" w:rsidRPr="008B436A" w:rsidTr="00BE52DF">
        <w:trPr>
          <w:cantSplit/>
          <w:jc w:val="center"/>
        </w:trPr>
        <w:tc>
          <w:tcPr>
            <w:tcW w:w="725" w:type="pct"/>
            <w:vMerge w:val="restart"/>
            <w:tcBorders>
              <w:top w:val="single" w:sz="6" w:space="0" w:color="auto"/>
              <w:left w:val="single" w:sz="6" w:space="0" w:color="auto"/>
              <w:right w:val="single" w:sz="6" w:space="0" w:color="auto"/>
            </w:tcBorders>
            <w:vAlign w:val="center"/>
          </w:tcPr>
          <w:p w:rsidR="0022373A" w:rsidRPr="008B436A" w:rsidRDefault="0022373A" w:rsidP="00505853">
            <w:pPr>
              <w:spacing w:after="120"/>
              <w:jc w:val="center"/>
              <w:rPr>
                <w:b/>
                <w:sz w:val="22"/>
                <w:szCs w:val="22"/>
                <w:lang w:val="en-US"/>
              </w:rPr>
            </w:pPr>
            <w:r w:rsidRPr="008B436A">
              <w:rPr>
                <w:b/>
                <w:sz w:val="22"/>
                <w:szCs w:val="22"/>
                <w:lang w:val="en-US"/>
              </w:rPr>
              <w:t>Number of participants at 31.12.201</w:t>
            </w:r>
            <w:r w:rsidR="00505853">
              <w:rPr>
                <w:b/>
                <w:sz w:val="22"/>
                <w:szCs w:val="22"/>
                <w:lang w:val="en-US"/>
              </w:rPr>
              <w:t>6</w:t>
            </w:r>
          </w:p>
        </w:tc>
        <w:tc>
          <w:tcPr>
            <w:tcW w:w="855" w:type="pct"/>
            <w:vMerge w:val="restart"/>
            <w:tcBorders>
              <w:top w:val="single" w:sz="6" w:space="0" w:color="auto"/>
              <w:left w:val="single" w:sz="6" w:space="0" w:color="auto"/>
              <w:right w:val="single" w:sz="6" w:space="0" w:color="auto"/>
            </w:tcBorders>
            <w:vAlign w:val="center"/>
          </w:tcPr>
          <w:p w:rsidR="0022373A" w:rsidRPr="008B436A" w:rsidRDefault="0022373A" w:rsidP="005D3458">
            <w:pPr>
              <w:spacing w:after="120"/>
              <w:jc w:val="center"/>
              <w:rPr>
                <w:b/>
                <w:sz w:val="22"/>
                <w:szCs w:val="22"/>
                <w:lang w:val="en-US"/>
              </w:rPr>
            </w:pPr>
            <w:r w:rsidRPr="008B436A">
              <w:rPr>
                <w:b/>
                <w:sz w:val="22"/>
                <w:szCs w:val="22"/>
                <w:lang w:val="en-US"/>
              </w:rPr>
              <w:t>New participants</w:t>
            </w:r>
          </w:p>
        </w:tc>
        <w:tc>
          <w:tcPr>
            <w:tcW w:w="1711" w:type="pct"/>
            <w:gridSpan w:val="2"/>
            <w:tcBorders>
              <w:top w:val="single" w:sz="6" w:space="0" w:color="auto"/>
              <w:left w:val="single" w:sz="6" w:space="0" w:color="auto"/>
              <w:bottom w:val="single" w:sz="6" w:space="0" w:color="auto"/>
              <w:right w:val="single" w:sz="6" w:space="0" w:color="auto"/>
            </w:tcBorders>
            <w:vAlign w:val="center"/>
          </w:tcPr>
          <w:p w:rsidR="0022373A" w:rsidRPr="008B436A" w:rsidRDefault="0022373A" w:rsidP="005D3458">
            <w:pPr>
              <w:spacing w:after="120"/>
              <w:jc w:val="center"/>
              <w:rPr>
                <w:b/>
                <w:sz w:val="22"/>
                <w:szCs w:val="22"/>
                <w:lang w:val="en-US"/>
              </w:rPr>
            </w:pPr>
            <w:r w:rsidRPr="008B436A">
              <w:rPr>
                <w:b/>
                <w:sz w:val="22"/>
                <w:szCs w:val="22"/>
                <w:lang w:val="en-US"/>
              </w:rPr>
              <w:t>Transfers</w:t>
            </w:r>
          </w:p>
        </w:tc>
        <w:tc>
          <w:tcPr>
            <w:tcW w:w="855" w:type="pct"/>
            <w:vMerge w:val="restart"/>
            <w:tcBorders>
              <w:top w:val="single" w:sz="6" w:space="0" w:color="auto"/>
              <w:left w:val="single" w:sz="6" w:space="0" w:color="auto"/>
              <w:right w:val="single" w:sz="6" w:space="0" w:color="auto"/>
            </w:tcBorders>
            <w:vAlign w:val="center"/>
          </w:tcPr>
          <w:p w:rsidR="0022373A" w:rsidRPr="008B436A" w:rsidRDefault="0022373A" w:rsidP="005D3458">
            <w:pPr>
              <w:spacing w:after="120"/>
              <w:jc w:val="center"/>
              <w:rPr>
                <w:b/>
                <w:sz w:val="22"/>
                <w:szCs w:val="22"/>
                <w:lang w:val="en-US"/>
              </w:rPr>
            </w:pPr>
            <w:r w:rsidRPr="008B436A">
              <w:rPr>
                <w:b/>
                <w:sz w:val="22"/>
                <w:szCs w:val="22"/>
                <w:lang w:val="en-US"/>
              </w:rPr>
              <w:t>Withdrawals</w:t>
            </w:r>
          </w:p>
        </w:tc>
        <w:tc>
          <w:tcPr>
            <w:tcW w:w="855" w:type="pct"/>
            <w:vMerge w:val="restart"/>
            <w:tcBorders>
              <w:top w:val="single" w:sz="6" w:space="0" w:color="auto"/>
              <w:left w:val="single" w:sz="6" w:space="0" w:color="auto"/>
              <w:right w:val="single" w:sz="6" w:space="0" w:color="auto"/>
            </w:tcBorders>
            <w:vAlign w:val="center"/>
          </w:tcPr>
          <w:p w:rsidR="0022373A" w:rsidRPr="008B436A" w:rsidRDefault="0022373A" w:rsidP="003B2C52">
            <w:pPr>
              <w:spacing w:after="120"/>
              <w:jc w:val="center"/>
              <w:rPr>
                <w:b/>
                <w:sz w:val="22"/>
                <w:szCs w:val="22"/>
                <w:lang w:val="en-US"/>
              </w:rPr>
            </w:pPr>
            <w:r w:rsidRPr="008B436A">
              <w:rPr>
                <w:b/>
                <w:sz w:val="22"/>
                <w:szCs w:val="22"/>
                <w:lang w:val="en-US"/>
              </w:rPr>
              <w:t>Number of participants at 31.12.</w:t>
            </w:r>
            <w:r w:rsidR="00111BDD" w:rsidRPr="008B436A">
              <w:rPr>
                <w:b/>
                <w:sz w:val="22"/>
                <w:szCs w:val="22"/>
                <w:lang w:val="en-US"/>
              </w:rPr>
              <w:t>201</w:t>
            </w:r>
            <w:r w:rsidR="003B2C52">
              <w:rPr>
                <w:b/>
                <w:sz w:val="22"/>
                <w:szCs w:val="22"/>
                <w:lang w:val="en-US"/>
              </w:rPr>
              <w:t>7</w:t>
            </w:r>
          </w:p>
        </w:tc>
      </w:tr>
      <w:tr w:rsidR="0022373A" w:rsidRPr="008B436A" w:rsidTr="00BE52DF">
        <w:trPr>
          <w:cantSplit/>
          <w:jc w:val="center"/>
        </w:trPr>
        <w:tc>
          <w:tcPr>
            <w:tcW w:w="725" w:type="pct"/>
            <w:vMerge/>
            <w:tcBorders>
              <w:left w:val="single" w:sz="6" w:space="0" w:color="auto"/>
              <w:bottom w:val="single" w:sz="6" w:space="0" w:color="auto"/>
              <w:right w:val="single" w:sz="6" w:space="0" w:color="auto"/>
            </w:tcBorders>
          </w:tcPr>
          <w:p w:rsidR="0022373A" w:rsidRPr="008B436A" w:rsidRDefault="0022373A" w:rsidP="005D3458">
            <w:pPr>
              <w:spacing w:after="120"/>
              <w:jc w:val="center"/>
              <w:rPr>
                <w:b/>
                <w:sz w:val="22"/>
                <w:szCs w:val="22"/>
                <w:lang w:val="en-US"/>
              </w:rPr>
            </w:pPr>
          </w:p>
        </w:tc>
        <w:tc>
          <w:tcPr>
            <w:tcW w:w="855" w:type="pct"/>
            <w:vMerge/>
            <w:tcBorders>
              <w:left w:val="single" w:sz="6" w:space="0" w:color="auto"/>
              <w:bottom w:val="single" w:sz="6" w:space="0" w:color="auto"/>
              <w:right w:val="single" w:sz="6" w:space="0" w:color="auto"/>
            </w:tcBorders>
          </w:tcPr>
          <w:p w:rsidR="0022373A" w:rsidRPr="008B436A" w:rsidRDefault="0022373A" w:rsidP="005D3458">
            <w:pPr>
              <w:spacing w:after="120"/>
              <w:jc w:val="center"/>
              <w:rPr>
                <w:b/>
                <w:sz w:val="22"/>
                <w:szCs w:val="22"/>
                <w:lang w:val="en-US"/>
              </w:rPr>
            </w:pPr>
          </w:p>
        </w:tc>
        <w:tc>
          <w:tcPr>
            <w:tcW w:w="855" w:type="pct"/>
            <w:tcBorders>
              <w:top w:val="single" w:sz="6" w:space="0" w:color="auto"/>
              <w:left w:val="single" w:sz="6" w:space="0" w:color="auto"/>
              <w:bottom w:val="single" w:sz="6" w:space="0" w:color="auto"/>
              <w:right w:val="single" w:sz="6" w:space="0" w:color="auto"/>
            </w:tcBorders>
          </w:tcPr>
          <w:p w:rsidR="0022373A" w:rsidRPr="008B436A" w:rsidRDefault="0022373A" w:rsidP="005D3458">
            <w:pPr>
              <w:spacing w:after="120"/>
              <w:jc w:val="center"/>
              <w:rPr>
                <w:b/>
                <w:sz w:val="22"/>
                <w:szCs w:val="22"/>
                <w:lang w:val="en-US"/>
              </w:rPr>
            </w:pPr>
            <w:r w:rsidRPr="008B436A">
              <w:rPr>
                <w:b/>
                <w:sz w:val="22"/>
                <w:szCs w:val="22"/>
                <w:lang w:val="en-US"/>
              </w:rPr>
              <w:t>to ITU</w:t>
            </w:r>
          </w:p>
        </w:tc>
        <w:tc>
          <w:tcPr>
            <w:tcW w:w="856" w:type="pct"/>
            <w:tcBorders>
              <w:top w:val="single" w:sz="6" w:space="0" w:color="auto"/>
              <w:left w:val="single" w:sz="6" w:space="0" w:color="auto"/>
              <w:bottom w:val="single" w:sz="6" w:space="0" w:color="auto"/>
              <w:right w:val="single" w:sz="6" w:space="0" w:color="auto"/>
            </w:tcBorders>
          </w:tcPr>
          <w:p w:rsidR="0022373A" w:rsidRPr="008B436A" w:rsidRDefault="0022373A" w:rsidP="005D3458">
            <w:pPr>
              <w:spacing w:after="120"/>
              <w:jc w:val="center"/>
              <w:rPr>
                <w:b/>
                <w:sz w:val="22"/>
                <w:szCs w:val="22"/>
                <w:lang w:val="en-US"/>
              </w:rPr>
            </w:pPr>
            <w:r w:rsidRPr="008B436A">
              <w:rPr>
                <w:b/>
                <w:sz w:val="22"/>
                <w:szCs w:val="22"/>
                <w:lang w:val="en-US"/>
              </w:rPr>
              <w:t>to another organization</w:t>
            </w:r>
          </w:p>
        </w:tc>
        <w:tc>
          <w:tcPr>
            <w:tcW w:w="855" w:type="pct"/>
            <w:vMerge/>
            <w:tcBorders>
              <w:left w:val="single" w:sz="6" w:space="0" w:color="auto"/>
              <w:bottom w:val="single" w:sz="6" w:space="0" w:color="auto"/>
              <w:right w:val="single" w:sz="6" w:space="0" w:color="auto"/>
            </w:tcBorders>
          </w:tcPr>
          <w:p w:rsidR="0022373A" w:rsidRPr="008B436A" w:rsidRDefault="0022373A" w:rsidP="005D3458">
            <w:pPr>
              <w:spacing w:after="120"/>
              <w:jc w:val="center"/>
              <w:rPr>
                <w:b/>
                <w:sz w:val="22"/>
                <w:szCs w:val="22"/>
                <w:lang w:val="en-US"/>
              </w:rPr>
            </w:pPr>
          </w:p>
        </w:tc>
        <w:tc>
          <w:tcPr>
            <w:tcW w:w="855" w:type="pct"/>
            <w:vMerge/>
            <w:tcBorders>
              <w:left w:val="single" w:sz="6" w:space="0" w:color="auto"/>
              <w:bottom w:val="single" w:sz="6" w:space="0" w:color="auto"/>
              <w:right w:val="single" w:sz="6" w:space="0" w:color="auto"/>
            </w:tcBorders>
          </w:tcPr>
          <w:p w:rsidR="0022373A" w:rsidRPr="008B436A" w:rsidRDefault="0022373A" w:rsidP="005D3458">
            <w:pPr>
              <w:spacing w:after="120"/>
              <w:jc w:val="center"/>
              <w:rPr>
                <w:b/>
                <w:sz w:val="22"/>
                <w:szCs w:val="22"/>
                <w:lang w:val="en-US"/>
              </w:rPr>
            </w:pPr>
          </w:p>
        </w:tc>
      </w:tr>
      <w:tr w:rsidR="00B202DD" w:rsidRPr="008B436A" w:rsidTr="00BE52DF">
        <w:trPr>
          <w:cantSplit/>
          <w:jc w:val="center"/>
        </w:trPr>
        <w:tc>
          <w:tcPr>
            <w:tcW w:w="725" w:type="pct"/>
            <w:tcBorders>
              <w:top w:val="single" w:sz="6" w:space="0" w:color="auto"/>
              <w:left w:val="single" w:sz="6" w:space="0" w:color="auto"/>
              <w:bottom w:val="single" w:sz="6" w:space="0" w:color="auto"/>
              <w:right w:val="single" w:sz="6" w:space="0" w:color="auto"/>
            </w:tcBorders>
            <w:vAlign w:val="center"/>
          </w:tcPr>
          <w:p w:rsidR="00B202DD" w:rsidRPr="008B436A" w:rsidRDefault="00F5680E" w:rsidP="00297C74">
            <w:pPr>
              <w:pStyle w:val="TableText0"/>
              <w:jc w:val="center"/>
              <w:rPr>
                <w:rFonts w:ascii="Calibri" w:hAnsi="Calibri"/>
                <w:szCs w:val="22"/>
                <w:lang w:val="en-US"/>
              </w:rPr>
            </w:pPr>
            <w:r w:rsidRPr="008B436A">
              <w:rPr>
                <w:rFonts w:ascii="Calibri" w:hAnsi="Calibri"/>
                <w:szCs w:val="22"/>
                <w:lang w:val="en-US"/>
              </w:rPr>
              <w:t>7</w:t>
            </w:r>
            <w:r w:rsidR="00297C74">
              <w:rPr>
                <w:rFonts w:ascii="Calibri" w:hAnsi="Calibri"/>
                <w:szCs w:val="22"/>
                <w:lang w:val="en-US"/>
              </w:rPr>
              <w:t>37</w:t>
            </w:r>
          </w:p>
        </w:tc>
        <w:tc>
          <w:tcPr>
            <w:tcW w:w="855" w:type="pct"/>
            <w:tcBorders>
              <w:top w:val="single" w:sz="6" w:space="0" w:color="auto"/>
              <w:left w:val="single" w:sz="6" w:space="0" w:color="auto"/>
              <w:bottom w:val="single" w:sz="6" w:space="0" w:color="auto"/>
              <w:right w:val="single" w:sz="6" w:space="0" w:color="auto"/>
            </w:tcBorders>
            <w:vAlign w:val="center"/>
          </w:tcPr>
          <w:p w:rsidR="00B202DD" w:rsidRPr="008B436A" w:rsidRDefault="00505853" w:rsidP="00505853">
            <w:pPr>
              <w:pStyle w:val="TableText0"/>
              <w:jc w:val="center"/>
              <w:rPr>
                <w:rFonts w:ascii="Calibri" w:hAnsi="Calibri"/>
                <w:szCs w:val="22"/>
                <w:lang w:val="en-US"/>
              </w:rPr>
            </w:pPr>
            <w:r>
              <w:rPr>
                <w:rFonts w:ascii="Calibri" w:hAnsi="Calibri"/>
                <w:szCs w:val="22"/>
                <w:lang w:val="en-US"/>
              </w:rPr>
              <w:t>37</w:t>
            </w:r>
          </w:p>
        </w:tc>
        <w:tc>
          <w:tcPr>
            <w:tcW w:w="855" w:type="pct"/>
            <w:tcBorders>
              <w:top w:val="single" w:sz="6" w:space="0" w:color="auto"/>
              <w:left w:val="single" w:sz="6" w:space="0" w:color="auto"/>
              <w:bottom w:val="single" w:sz="6" w:space="0" w:color="auto"/>
              <w:right w:val="single" w:sz="6" w:space="0" w:color="auto"/>
            </w:tcBorders>
            <w:vAlign w:val="center"/>
          </w:tcPr>
          <w:p w:rsidR="00B202DD" w:rsidRPr="008B436A" w:rsidRDefault="00505853" w:rsidP="00505853">
            <w:pPr>
              <w:pStyle w:val="TableText0"/>
              <w:jc w:val="center"/>
              <w:rPr>
                <w:rFonts w:ascii="Calibri" w:hAnsi="Calibri"/>
                <w:szCs w:val="22"/>
                <w:lang w:val="en-US"/>
              </w:rPr>
            </w:pPr>
            <w:r>
              <w:rPr>
                <w:rFonts w:ascii="Calibri" w:hAnsi="Calibri"/>
                <w:szCs w:val="22"/>
                <w:lang w:val="en-US"/>
              </w:rPr>
              <w:t>4</w:t>
            </w:r>
          </w:p>
        </w:tc>
        <w:tc>
          <w:tcPr>
            <w:tcW w:w="856" w:type="pct"/>
            <w:tcBorders>
              <w:top w:val="single" w:sz="6" w:space="0" w:color="auto"/>
              <w:left w:val="single" w:sz="6" w:space="0" w:color="auto"/>
              <w:bottom w:val="single" w:sz="6" w:space="0" w:color="auto"/>
              <w:right w:val="single" w:sz="6" w:space="0" w:color="auto"/>
            </w:tcBorders>
            <w:vAlign w:val="center"/>
          </w:tcPr>
          <w:p w:rsidR="00B202DD" w:rsidRPr="008B436A" w:rsidRDefault="00505853" w:rsidP="00505853">
            <w:pPr>
              <w:pStyle w:val="TableText0"/>
              <w:jc w:val="center"/>
              <w:rPr>
                <w:rFonts w:ascii="Calibri" w:hAnsi="Calibri"/>
                <w:szCs w:val="22"/>
                <w:lang w:val="en-US"/>
              </w:rPr>
            </w:pPr>
            <w:r>
              <w:rPr>
                <w:rFonts w:ascii="Calibri" w:hAnsi="Calibri"/>
                <w:szCs w:val="22"/>
                <w:lang w:val="en-US"/>
              </w:rPr>
              <w:t>2</w:t>
            </w:r>
          </w:p>
        </w:tc>
        <w:tc>
          <w:tcPr>
            <w:tcW w:w="855" w:type="pct"/>
            <w:tcBorders>
              <w:top w:val="single" w:sz="6" w:space="0" w:color="auto"/>
              <w:left w:val="single" w:sz="6" w:space="0" w:color="auto"/>
              <w:bottom w:val="single" w:sz="6" w:space="0" w:color="auto"/>
              <w:right w:val="single" w:sz="6" w:space="0" w:color="auto"/>
            </w:tcBorders>
            <w:vAlign w:val="center"/>
          </w:tcPr>
          <w:p w:rsidR="00B202DD" w:rsidRPr="008B436A" w:rsidRDefault="00BA31CD" w:rsidP="00505853">
            <w:pPr>
              <w:pStyle w:val="TableText0"/>
              <w:jc w:val="center"/>
              <w:rPr>
                <w:rFonts w:ascii="Calibri" w:hAnsi="Calibri"/>
                <w:szCs w:val="22"/>
                <w:lang w:val="en-US"/>
              </w:rPr>
            </w:pPr>
            <w:r>
              <w:rPr>
                <w:rFonts w:ascii="Calibri" w:hAnsi="Calibri"/>
                <w:szCs w:val="22"/>
                <w:lang w:val="en-US"/>
              </w:rPr>
              <w:t>57</w:t>
            </w:r>
          </w:p>
        </w:tc>
        <w:tc>
          <w:tcPr>
            <w:tcW w:w="855" w:type="pct"/>
            <w:tcBorders>
              <w:top w:val="single" w:sz="6" w:space="0" w:color="auto"/>
              <w:left w:val="single" w:sz="6" w:space="0" w:color="auto"/>
              <w:bottom w:val="single" w:sz="6" w:space="0" w:color="auto"/>
              <w:right w:val="single" w:sz="6" w:space="0" w:color="auto"/>
            </w:tcBorders>
            <w:vAlign w:val="center"/>
          </w:tcPr>
          <w:p w:rsidR="00B202DD" w:rsidRPr="008B436A" w:rsidRDefault="00F20995" w:rsidP="003B2C52">
            <w:pPr>
              <w:pStyle w:val="TableText0"/>
              <w:jc w:val="center"/>
              <w:rPr>
                <w:rFonts w:ascii="Calibri" w:hAnsi="Calibri"/>
                <w:szCs w:val="22"/>
                <w:lang w:val="en-US"/>
              </w:rPr>
            </w:pPr>
            <w:r w:rsidRPr="008B436A">
              <w:rPr>
                <w:rFonts w:ascii="Calibri" w:hAnsi="Calibri"/>
                <w:szCs w:val="22"/>
                <w:lang w:val="en-US"/>
              </w:rPr>
              <w:t>7</w:t>
            </w:r>
            <w:r w:rsidR="003B2C52">
              <w:rPr>
                <w:rFonts w:ascii="Calibri" w:hAnsi="Calibri"/>
                <w:szCs w:val="22"/>
                <w:lang w:val="en-US"/>
              </w:rPr>
              <w:t>19</w:t>
            </w:r>
          </w:p>
        </w:tc>
      </w:tr>
    </w:tbl>
    <w:p w:rsidR="0022373A" w:rsidRPr="008B436A" w:rsidRDefault="0022373A" w:rsidP="003B2C52">
      <w:pPr>
        <w:keepNext/>
        <w:tabs>
          <w:tab w:val="left" w:pos="794"/>
          <w:tab w:val="left" w:pos="1191"/>
          <w:tab w:val="left" w:pos="1588"/>
          <w:tab w:val="left" w:pos="1985"/>
        </w:tabs>
        <w:ind w:left="720"/>
        <w:jc w:val="center"/>
        <w:outlineLvl w:val="0"/>
        <w:rPr>
          <w:b/>
          <w:sz w:val="22"/>
          <w:szCs w:val="22"/>
          <w:lang w:val="en-US"/>
        </w:rPr>
      </w:pPr>
      <w:bookmarkStart w:id="103" w:name="_Toc305764099"/>
      <w:r w:rsidRPr="00F63C41">
        <w:rPr>
          <w:b/>
          <w:sz w:val="22"/>
          <w:szCs w:val="22"/>
          <w:lang w:val="en-US"/>
        </w:rPr>
        <w:t xml:space="preserve">Number of benefits paid during the financial year ending 31 December </w:t>
      </w:r>
      <w:bookmarkEnd w:id="103"/>
      <w:r w:rsidR="00111BDD" w:rsidRPr="00F63C41">
        <w:rPr>
          <w:b/>
          <w:sz w:val="22"/>
          <w:szCs w:val="22"/>
          <w:lang w:val="en-US"/>
        </w:rPr>
        <w:t>201</w:t>
      </w:r>
      <w:r w:rsidR="003B2C52" w:rsidRPr="00F63C41">
        <w:rPr>
          <w:b/>
          <w:sz w:val="22"/>
          <w:szCs w:val="22"/>
          <w:lang w:val="en-US"/>
        </w:rPr>
        <w:t>7</w:t>
      </w:r>
    </w:p>
    <w:tbl>
      <w:tblPr>
        <w:tblW w:w="4909" w:type="pct"/>
        <w:jc w:val="center"/>
        <w:tblCellMar>
          <w:left w:w="79" w:type="dxa"/>
          <w:right w:w="79" w:type="dxa"/>
        </w:tblCellMar>
        <w:tblLook w:val="0000" w:firstRow="0" w:lastRow="0" w:firstColumn="0" w:lastColumn="0" w:noHBand="0" w:noVBand="0"/>
      </w:tblPr>
      <w:tblGrid>
        <w:gridCol w:w="1215"/>
        <w:gridCol w:w="1396"/>
        <w:gridCol w:w="1396"/>
        <w:gridCol w:w="1394"/>
        <w:gridCol w:w="1394"/>
        <w:gridCol w:w="1308"/>
        <w:gridCol w:w="15"/>
        <w:gridCol w:w="1469"/>
      </w:tblGrid>
      <w:tr w:rsidR="00B354AF" w:rsidRPr="008B436A" w:rsidTr="00B354AF">
        <w:trPr>
          <w:cantSplit/>
          <w:trHeight w:val="397"/>
          <w:jc w:val="center"/>
        </w:trPr>
        <w:tc>
          <w:tcPr>
            <w:tcW w:w="633" w:type="pct"/>
            <w:vMerge w:val="restart"/>
            <w:tcBorders>
              <w:top w:val="single" w:sz="6" w:space="0" w:color="auto"/>
              <w:left w:val="single" w:sz="6" w:space="0" w:color="auto"/>
              <w:right w:val="single" w:sz="6" w:space="0" w:color="auto"/>
            </w:tcBorders>
            <w:vAlign w:val="center"/>
          </w:tcPr>
          <w:p w:rsidR="00B354AF" w:rsidRPr="008B436A" w:rsidRDefault="00B354AF" w:rsidP="005D3458">
            <w:pPr>
              <w:pStyle w:val="TableHead0"/>
              <w:spacing w:before="0"/>
              <w:rPr>
                <w:rFonts w:ascii="Calibri" w:hAnsi="Calibri"/>
                <w:bCs/>
                <w:szCs w:val="22"/>
                <w:lang w:val="en-US"/>
              </w:rPr>
            </w:pPr>
            <w:r w:rsidRPr="008B436A">
              <w:rPr>
                <w:rFonts w:ascii="Calibri" w:hAnsi="Calibri"/>
                <w:bCs/>
                <w:szCs w:val="22"/>
                <w:lang w:val="en-US"/>
              </w:rPr>
              <w:t xml:space="preserve">Retirement benefits </w:t>
            </w:r>
          </w:p>
        </w:tc>
        <w:tc>
          <w:tcPr>
            <w:tcW w:w="728" w:type="pct"/>
            <w:vMerge w:val="restart"/>
            <w:tcBorders>
              <w:top w:val="single" w:sz="6" w:space="0" w:color="auto"/>
              <w:left w:val="single" w:sz="6" w:space="0" w:color="auto"/>
              <w:right w:val="single" w:sz="6" w:space="0" w:color="auto"/>
            </w:tcBorders>
            <w:vAlign w:val="center"/>
          </w:tcPr>
          <w:p w:rsidR="00B354AF" w:rsidRPr="008B436A" w:rsidRDefault="00B354AF" w:rsidP="005D3458">
            <w:pPr>
              <w:pStyle w:val="TableHead0"/>
              <w:spacing w:before="0"/>
              <w:rPr>
                <w:rFonts w:ascii="Calibri" w:hAnsi="Calibri"/>
                <w:bCs/>
                <w:szCs w:val="22"/>
                <w:lang w:val="en-US"/>
              </w:rPr>
            </w:pPr>
            <w:r w:rsidRPr="008B436A">
              <w:rPr>
                <w:rFonts w:ascii="Calibri" w:hAnsi="Calibri"/>
                <w:bCs/>
                <w:szCs w:val="22"/>
                <w:lang w:val="en-US"/>
              </w:rPr>
              <w:t xml:space="preserve">Disability benefits </w:t>
            </w:r>
          </w:p>
        </w:tc>
        <w:tc>
          <w:tcPr>
            <w:tcW w:w="728" w:type="pct"/>
            <w:vMerge w:val="restart"/>
            <w:tcBorders>
              <w:top w:val="single" w:sz="6" w:space="0" w:color="auto"/>
              <w:left w:val="single" w:sz="6" w:space="0" w:color="auto"/>
              <w:right w:val="single" w:sz="6" w:space="0" w:color="auto"/>
            </w:tcBorders>
            <w:vAlign w:val="center"/>
          </w:tcPr>
          <w:p w:rsidR="00B354AF" w:rsidRPr="008B436A" w:rsidRDefault="00B354AF" w:rsidP="005D3458">
            <w:pPr>
              <w:pStyle w:val="TableHead0"/>
              <w:spacing w:before="0"/>
              <w:rPr>
                <w:rFonts w:ascii="Calibri" w:hAnsi="Calibri"/>
                <w:bCs/>
                <w:szCs w:val="22"/>
                <w:lang w:val="en-US"/>
              </w:rPr>
            </w:pPr>
            <w:r w:rsidRPr="008B436A">
              <w:rPr>
                <w:rFonts w:ascii="Calibri" w:hAnsi="Calibri"/>
                <w:bCs/>
                <w:szCs w:val="22"/>
                <w:lang w:val="en-US"/>
              </w:rPr>
              <w:t xml:space="preserve">Survivor’s benefits </w:t>
            </w:r>
          </w:p>
        </w:tc>
        <w:tc>
          <w:tcPr>
            <w:tcW w:w="727" w:type="pct"/>
            <w:vMerge w:val="restart"/>
            <w:tcBorders>
              <w:top w:val="single" w:sz="6" w:space="0" w:color="auto"/>
              <w:left w:val="single" w:sz="6" w:space="0" w:color="auto"/>
              <w:right w:val="single" w:sz="6" w:space="0" w:color="auto"/>
            </w:tcBorders>
            <w:vAlign w:val="center"/>
          </w:tcPr>
          <w:p w:rsidR="00B354AF" w:rsidRPr="008B436A" w:rsidRDefault="00B354AF" w:rsidP="005D3458">
            <w:pPr>
              <w:pStyle w:val="TableHead0"/>
              <w:spacing w:before="0"/>
              <w:rPr>
                <w:rFonts w:ascii="Calibri" w:hAnsi="Calibri"/>
                <w:bCs/>
                <w:szCs w:val="22"/>
                <w:lang w:val="en-US"/>
              </w:rPr>
            </w:pPr>
            <w:r w:rsidRPr="008B436A">
              <w:rPr>
                <w:rFonts w:ascii="Calibri" w:hAnsi="Calibri"/>
                <w:bCs/>
                <w:szCs w:val="22"/>
                <w:lang w:val="en-US"/>
              </w:rPr>
              <w:t>Child’s benefits</w:t>
            </w:r>
          </w:p>
        </w:tc>
        <w:tc>
          <w:tcPr>
            <w:tcW w:w="727" w:type="pct"/>
            <w:vMerge w:val="restart"/>
            <w:tcBorders>
              <w:top w:val="single" w:sz="6" w:space="0" w:color="auto"/>
              <w:left w:val="single" w:sz="6" w:space="0" w:color="auto"/>
              <w:right w:val="single" w:sz="6" w:space="0" w:color="auto"/>
            </w:tcBorders>
            <w:vAlign w:val="center"/>
          </w:tcPr>
          <w:p w:rsidR="00B354AF" w:rsidRPr="008B436A" w:rsidRDefault="00B354AF" w:rsidP="005D3458">
            <w:pPr>
              <w:pStyle w:val="TableHead0"/>
              <w:spacing w:before="0"/>
              <w:rPr>
                <w:rFonts w:ascii="Calibri" w:hAnsi="Calibri"/>
                <w:bCs/>
                <w:szCs w:val="22"/>
                <w:lang w:val="en-US"/>
              </w:rPr>
            </w:pPr>
            <w:r w:rsidRPr="008B436A">
              <w:rPr>
                <w:rFonts w:ascii="Calibri" w:hAnsi="Calibri"/>
                <w:bCs/>
                <w:szCs w:val="22"/>
                <w:lang w:val="en-US"/>
              </w:rPr>
              <w:t>Other benefits</w:t>
            </w:r>
          </w:p>
        </w:tc>
        <w:tc>
          <w:tcPr>
            <w:tcW w:w="682" w:type="pct"/>
            <w:tcBorders>
              <w:top w:val="single" w:sz="6" w:space="0" w:color="auto"/>
              <w:left w:val="single" w:sz="6" w:space="0" w:color="auto"/>
              <w:bottom w:val="single" w:sz="6" w:space="0" w:color="auto"/>
              <w:right w:val="single" w:sz="6" w:space="0" w:color="auto"/>
            </w:tcBorders>
            <w:vAlign w:val="center"/>
          </w:tcPr>
          <w:p w:rsidR="00B354AF" w:rsidRPr="008B436A" w:rsidRDefault="00B354AF" w:rsidP="005D3458">
            <w:pPr>
              <w:pStyle w:val="TableHead0"/>
              <w:spacing w:before="0"/>
              <w:rPr>
                <w:rFonts w:ascii="Calibri" w:hAnsi="Calibri"/>
                <w:bCs/>
                <w:szCs w:val="22"/>
                <w:lang w:val="en-US"/>
              </w:rPr>
            </w:pPr>
          </w:p>
        </w:tc>
        <w:tc>
          <w:tcPr>
            <w:tcW w:w="774" w:type="pct"/>
            <w:gridSpan w:val="2"/>
            <w:tcBorders>
              <w:top w:val="single" w:sz="6" w:space="0" w:color="auto"/>
              <w:left w:val="single" w:sz="6" w:space="0" w:color="auto"/>
              <w:bottom w:val="single" w:sz="6" w:space="0" w:color="auto"/>
              <w:right w:val="single" w:sz="6" w:space="0" w:color="auto"/>
            </w:tcBorders>
            <w:vAlign w:val="center"/>
          </w:tcPr>
          <w:p w:rsidR="00B354AF" w:rsidRPr="008B436A" w:rsidRDefault="00B354AF" w:rsidP="005D3458">
            <w:pPr>
              <w:pStyle w:val="TableHead0"/>
              <w:spacing w:before="0"/>
              <w:rPr>
                <w:rFonts w:ascii="Calibri" w:hAnsi="Calibri"/>
                <w:bCs/>
                <w:szCs w:val="22"/>
                <w:lang w:val="en-US"/>
              </w:rPr>
            </w:pPr>
          </w:p>
        </w:tc>
      </w:tr>
      <w:tr w:rsidR="0022373A" w:rsidRPr="008B436A" w:rsidTr="00B354AF">
        <w:trPr>
          <w:cantSplit/>
          <w:trHeight w:val="397"/>
          <w:jc w:val="center"/>
        </w:trPr>
        <w:tc>
          <w:tcPr>
            <w:tcW w:w="633" w:type="pct"/>
            <w:vMerge/>
            <w:tcBorders>
              <w:left w:val="single" w:sz="6" w:space="0" w:color="auto"/>
              <w:bottom w:val="single" w:sz="6" w:space="0" w:color="auto"/>
              <w:right w:val="single" w:sz="6" w:space="0" w:color="auto"/>
            </w:tcBorders>
            <w:vAlign w:val="center"/>
          </w:tcPr>
          <w:p w:rsidR="0022373A" w:rsidRPr="008B436A" w:rsidRDefault="0022373A" w:rsidP="005D3458">
            <w:pPr>
              <w:pStyle w:val="TableHead0"/>
              <w:spacing w:before="0"/>
              <w:rPr>
                <w:rFonts w:ascii="Calibri" w:hAnsi="Calibri"/>
                <w:bCs/>
                <w:szCs w:val="22"/>
                <w:lang w:val="en-US"/>
              </w:rPr>
            </w:pPr>
          </w:p>
        </w:tc>
        <w:tc>
          <w:tcPr>
            <w:tcW w:w="728" w:type="pct"/>
            <w:vMerge/>
            <w:tcBorders>
              <w:left w:val="single" w:sz="6" w:space="0" w:color="auto"/>
              <w:bottom w:val="single" w:sz="6" w:space="0" w:color="auto"/>
              <w:right w:val="single" w:sz="6" w:space="0" w:color="auto"/>
            </w:tcBorders>
            <w:vAlign w:val="center"/>
          </w:tcPr>
          <w:p w:rsidR="0022373A" w:rsidRPr="008B436A" w:rsidRDefault="0022373A" w:rsidP="005D3458">
            <w:pPr>
              <w:pStyle w:val="TableHead0"/>
              <w:spacing w:before="0"/>
              <w:rPr>
                <w:rFonts w:ascii="Calibri" w:hAnsi="Calibri"/>
                <w:bCs/>
                <w:szCs w:val="22"/>
                <w:lang w:val="en-US"/>
              </w:rPr>
            </w:pPr>
          </w:p>
        </w:tc>
        <w:tc>
          <w:tcPr>
            <w:tcW w:w="728" w:type="pct"/>
            <w:vMerge/>
            <w:tcBorders>
              <w:left w:val="single" w:sz="6" w:space="0" w:color="auto"/>
              <w:bottom w:val="single" w:sz="6" w:space="0" w:color="auto"/>
              <w:right w:val="single" w:sz="6" w:space="0" w:color="auto"/>
            </w:tcBorders>
            <w:vAlign w:val="center"/>
          </w:tcPr>
          <w:p w:rsidR="0022373A" w:rsidRPr="008B436A" w:rsidRDefault="0022373A" w:rsidP="005D3458">
            <w:pPr>
              <w:pStyle w:val="TableHead0"/>
              <w:spacing w:before="0"/>
              <w:rPr>
                <w:rFonts w:ascii="Calibri" w:hAnsi="Calibri"/>
                <w:bCs/>
                <w:szCs w:val="22"/>
                <w:lang w:val="en-US"/>
              </w:rPr>
            </w:pPr>
          </w:p>
        </w:tc>
        <w:tc>
          <w:tcPr>
            <w:tcW w:w="727" w:type="pct"/>
            <w:vMerge/>
            <w:tcBorders>
              <w:left w:val="single" w:sz="6" w:space="0" w:color="auto"/>
              <w:bottom w:val="single" w:sz="6" w:space="0" w:color="auto"/>
              <w:right w:val="single" w:sz="6" w:space="0" w:color="auto"/>
            </w:tcBorders>
            <w:vAlign w:val="center"/>
          </w:tcPr>
          <w:p w:rsidR="0022373A" w:rsidRPr="008B436A" w:rsidRDefault="0022373A" w:rsidP="005D3458">
            <w:pPr>
              <w:pStyle w:val="TableHead0"/>
              <w:spacing w:before="0"/>
              <w:rPr>
                <w:rFonts w:ascii="Calibri" w:hAnsi="Calibri"/>
                <w:bCs/>
                <w:szCs w:val="22"/>
                <w:lang w:val="en-US"/>
              </w:rPr>
            </w:pPr>
          </w:p>
        </w:tc>
        <w:tc>
          <w:tcPr>
            <w:tcW w:w="727" w:type="pct"/>
            <w:vMerge/>
            <w:tcBorders>
              <w:left w:val="single" w:sz="6" w:space="0" w:color="auto"/>
              <w:bottom w:val="single" w:sz="6" w:space="0" w:color="auto"/>
              <w:right w:val="single" w:sz="6" w:space="0" w:color="auto"/>
            </w:tcBorders>
            <w:vAlign w:val="center"/>
          </w:tcPr>
          <w:p w:rsidR="0022373A" w:rsidRPr="008B436A" w:rsidRDefault="0022373A" w:rsidP="005D3458">
            <w:pPr>
              <w:pStyle w:val="TableHead0"/>
              <w:spacing w:before="0"/>
              <w:rPr>
                <w:rFonts w:ascii="Calibri" w:hAnsi="Calibri"/>
                <w:bCs/>
                <w:szCs w:val="22"/>
                <w:lang w:val="en-US"/>
              </w:rPr>
            </w:pPr>
          </w:p>
        </w:tc>
        <w:tc>
          <w:tcPr>
            <w:tcW w:w="690" w:type="pct"/>
            <w:gridSpan w:val="2"/>
            <w:tcBorders>
              <w:top w:val="single" w:sz="6" w:space="0" w:color="auto"/>
              <w:left w:val="single" w:sz="6" w:space="0" w:color="auto"/>
              <w:bottom w:val="single" w:sz="6" w:space="0" w:color="auto"/>
              <w:right w:val="single" w:sz="6" w:space="0" w:color="auto"/>
            </w:tcBorders>
            <w:vAlign w:val="center"/>
          </w:tcPr>
          <w:p w:rsidR="0022373A" w:rsidRPr="008B436A" w:rsidRDefault="0022373A" w:rsidP="005D3458">
            <w:pPr>
              <w:pStyle w:val="TableHead0"/>
              <w:spacing w:before="0"/>
              <w:rPr>
                <w:rFonts w:ascii="Calibri" w:hAnsi="Calibri"/>
                <w:bCs/>
                <w:szCs w:val="22"/>
                <w:lang w:val="en-US"/>
              </w:rPr>
            </w:pPr>
            <w:r w:rsidRPr="008B436A">
              <w:rPr>
                <w:rFonts w:ascii="Calibri" w:hAnsi="Calibri"/>
                <w:bCs/>
                <w:szCs w:val="22"/>
                <w:lang w:val="en-US"/>
              </w:rPr>
              <w:t>Deferred life annuities</w:t>
            </w:r>
          </w:p>
        </w:tc>
        <w:tc>
          <w:tcPr>
            <w:tcW w:w="766" w:type="pct"/>
            <w:tcBorders>
              <w:top w:val="single" w:sz="6" w:space="0" w:color="auto"/>
              <w:left w:val="single" w:sz="6" w:space="0" w:color="auto"/>
              <w:bottom w:val="single" w:sz="6" w:space="0" w:color="auto"/>
              <w:right w:val="single" w:sz="6" w:space="0" w:color="auto"/>
            </w:tcBorders>
            <w:vAlign w:val="center"/>
          </w:tcPr>
          <w:p w:rsidR="0022373A" w:rsidRPr="008B436A" w:rsidRDefault="0022373A" w:rsidP="005D3458">
            <w:pPr>
              <w:pStyle w:val="TableHead0"/>
              <w:spacing w:before="0"/>
              <w:rPr>
                <w:rFonts w:ascii="Calibri" w:hAnsi="Calibri"/>
                <w:bCs/>
                <w:szCs w:val="22"/>
                <w:lang w:val="en-US"/>
              </w:rPr>
            </w:pPr>
            <w:r w:rsidRPr="008B436A">
              <w:rPr>
                <w:rFonts w:ascii="Calibri" w:hAnsi="Calibri"/>
                <w:bCs/>
                <w:szCs w:val="22"/>
                <w:lang w:val="en-US"/>
              </w:rPr>
              <w:t>TOTAL</w:t>
            </w:r>
          </w:p>
        </w:tc>
      </w:tr>
      <w:tr w:rsidR="000F59E0" w:rsidRPr="008B436A" w:rsidTr="00B354AF">
        <w:trPr>
          <w:cantSplit/>
          <w:trHeight w:val="397"/>
          <w:jc w:val="center"/>
        </w:trPr>
        <w:tc>
          <w:tcPr>
            <w:tcW w:w="633" w:type="pct"/>
            <w:tcBorders>
              <w:top w:val="single" w:sz="6" w:space="0" w:color="auto"/>
              <w:left w:val="single" w:sz="6" w:space="0" w:color="auto"/>
              <w:bottom w:val="single" w:sz="6" w:space="0" w:color="auto"/>
              <w:right w:val="single" w:sz="6" w:space="0" w:color="auto"/>
            </w:tcBorders>
            <w:vAlign w:val="center"/>
          </w:tcPr>
          <w:p w:rsidR="000F59E0" w:rsidRPr="008B436A" w:rsidRDefault="008B436A" w:rsidP="00297C74">
            <w:pPr>
              <w:pStyle w:val="TableText0"/>
              <w:jc w:val="center"/>
              <w:rPr>
                <w:rFonts w:ascii="Calibri" w:hAnsi="Calibri"/>
                <w:szCs w:val="22"/>
                <w:lang w:val="en-US"/>
              </w:rPr>
            </w:pPr>
            <w:r w:rsidRPr="008B436A">
              <w:rPr>
                <w:rFonts w:ascii="Calibri" w:hAnsi="Calibri"/>
                <w:szCs w:val="22"/>
                <w:lang w:val="en-US"/>
              </w:rPr>
              <w:t>8</w:t>
            </w:r>
            <w:r w:rsidR="00297C74">
              <w:rPr>
                <w:rFonts w:ascii="Calibri" w:hAnsi="Calibri"/>
                <w:szCs w:val="22"/>
                <w:lang w:val="en-US"/>
              </w:rPr>
              <w:t>35</w:t>
            </w:r>
          </w:p>
        </w:tc>
        <w:tc>
          <w:tcPr>
            <w:tcW w:w="728" w:type="pct"/>
            <w:tcBorders>
              <w:top w:val="single" w:sz="6" w:space="0" w:color="auto"/>
              <w:left w:val="single" w:sz="6" w:space="0" w:color="auto"/>
              <w:bottom w:val="single" w:sz="6" w:space="0" w:color="auto"/>
              <w:right w:val="single" w:sz="6" w:space="0" w:color="auto"/>
            </w:tcBorders>
            <w:vAlign w:val="center"/>
          </w:tcPr>
          <w:p w:rsidR="000F59E0" w:rsidRPr="008B436A" w:rsidRDefault="00297C74" w:rsidP="000F59E0">
            <w:pPr>
              <w:pStyle w:val="TableText0"/>
              <w:jc w:val="center"/>
              <w:rPr>
                <w:rFonts w:ascii="Calibri" w:hAnsi="Calibri"/>
                <w:szCs w:val="22"/>
                <w:lang w:val="en-US"/>
              </w:rPr>
            </w:pPr>
            <w:r>
              <w:rPr>
                <w:rFonts w:ascii="Calibri" w:hAnsi="Calibri"/>
                <w:szCs w:val="22"/>
                <w:lang w:val="en-US"/>
              </w:rPr>
              <w:t>57</w:t>
            </w:r>
          </w:p>
        </w:tc>
        <w:tc>
          <w:tcPr>
            <w:tcW w:w="728" w:type="pct"/>
            <w:tcBorders>
              <w:top w:val="single" w:sz="6" w:space="0" w:color="auto"/>
              <w:left w:val="single" w:sz="6" w:space="0" w:color="auto"/>
              <w:bottom w:val="single" w:sz="6" w:space="0" w:color="auto"/>
              <w:right w:val="single" w:sz="6" w:space="0" w:color="auto"/>
            </w:tcBorders>
            <w:vAlign w:val="center"/>
          </w:tcPr>
          <w:p w:rsidR="000F59E0" w:rsidRPr="008B436A" w:rsidRDefault="00297C74" w:rsidP="000F59E0">
            <w:pPr>
              <w:pStyle w:val="TableText0"/>
              <w:jc w:val="center"/>
              <w:rPr>
                <w:rFonts w:ascii="Calibri" w:hAnsi="Calibri"/>
                <w:szCs w:val="22"/>
                <w:lang w:val="en-US"/>
              </w:rPr>
            </w:pPr>
            <w:r>
              <w:rPr>
                <w:rFonts w:ascii="Calibri" w:hAnsi="Calibri"/>
                <w:szCs w:val="22"/>
                <w:lang w:val="en-US"/>
              </w:rPr>
              <w:t>201</w:t>
            </w:r>
          </w:p>
        </w:tc>
        <w:tc>
          <w:tcPr>
            <w:tcW w:w="727" w:type="pct"/>
            <w:tcBorders>
              <w:top w:val="single" w:sz="6" w:space="0" w:color="auto"/>
              <w:left w:val="single" w:sz="6" w:space="0" w:color="auto"/>
              <w:bottom w:val="single" w:sz="6" w:space="0" w:color="auto"/>
              <w:right w:val="single" w:sz="6" w:space="0" w:color="auto"/>
            </w:tcBorders>
            <w:vAlign w:val="center"/>
          </w:tcPr>
          <w:p w:rsidR="000F59E0" w:rsidRPr="008B436A" w:rsidRDefault="00297C74" w:rsidP="000F59E0">
            <w:pPr>
              <w:pStyle w:val="TableText0"/>
              <w:jc w:val="center"/>
              <w:rPr>
                <w:rFonts w:ascii="Calibri" w:hAnsi="Calibri"/>
                <w:szCs w:val="22"/>
                <w:lang w:val="en-US"/>
              </w:rPr>
            </w:pPr>
            <w:r>
              <w:rPr>
                <w:rFonts w:ascii="Calibri" w:hAnsi="Calibri"/>
                <w:szCs w:val="22"/>
                <w:lang w:val="en-US"/>
              </w:rPr>
              <w:t>77</w:t>
            </w:r>
          </w:p>
        </w:tc>
        <w:tc>
          <w:tcPr>
            <w:tcW w:w="727" w:type="pct"/>
            <w:tcBorders>
              <w:top w:val="single" w:sz="6" w:space="0" w:color="auto"/>
              <w:left w:val="single" w:sz="6" w:space="0" w:color="auto"/>
              <w:bottom w:val="single" w:sz="6" w:space="0" w:color="auto"/>
              <w:right w:val="single" w:sz="6" w:space="0" w:color="auto"/>
            </w:tcBorders>
            <w:vAlign w:val="center"/>
          </w:tcPr>
          <w:p w:rsidR="000F59E0" w:rsidRPr="008B436A" w:rsidRDefault="008B436A" w:rsidP="000F59E0">
            <w:pPr>
              <w:pStyle w:val="TableText0"/>
              <w:jc w:val="center"/>
              <w:rPr>
                <w:rFonts w:ascii="Calibri" w:hAnsi="Calibri"/>
                <w:szCs w:val="22"/>
                <w:lang w:val="en-US"/>
              </w:rPr>
            </w:pPr>
            <w:r w:rsidRPr="008B436A">
              <w:rPr>
                <w:rFonts w:ascii="Calibri" w:hAnsi="Calibri"/>
                <w:szCs w:val="22"/>
                <w:lang w:val="en-US"/>
              </w:rPr>
              <w:t>0</w:t>
            </w:r>
          </w:p>
        </w:tc>
        <w:tc>
          <w:tcPr>
            <w:tcW w:w="690" w:type="pct"/>
            <w:gridSpan w:val="2"/>
            <w:tcBorders>
              <w:top w:val="single" w:sz="6" w:space="0" w:color="auto"/>
              <w:left w:val="single" w:sz="6" w:space="0" w:color="auto"/>
              <w:bottom w:val="single" w:sz="6" w:space="0" w:color="auto"/>
              <w:right w:val="single" w:sz="6" w:space="0" w:color="auto"/>
            </w:tcBorders>
            <w:vAlign w:val="center"/>
          </w:tcPr>
          <w:p w:rsidR="000F59E0" w:rsidRPr="008B436A" w:rsidRDefault="00297C74" w:rsidP="000F59E0">
            <w:pPr>
              <w:pStyle w:val="TableText0"/>
              <w:jc w:val="center"/>
              <w:rPr>
                <w:rFonts w:ascii="Calibri" w:hAnsi="Calibri"/>
                <w:szCs w:val="22"/>
                <w:lang w:val="en-US"/>
              </w:rPr>
            </w:pPr>
            <w:r>
              <w:rPr>
                <w:rFonts w:ascii="Calibri" w:hAnsi="Calibri"/>
                <w:szCs w:val="22"/>
                <w:lang w:val="en-US"/>
              </w:rPr>
              <w:t>117</w:t>
            </w:r>
          </w:p>
        </w:tc>
        <w:tc>
          <w:tcPr>
            <w:tcW w:w="766" w:type="pct"/>
            <w:tcBorders>
              <w:top w:val="single" w:sz="6" w:space="0" w:color="auto"/>
              <w:left w:val="single" w:sz="6" w:space="0" w:color="auto"/>
              <w:bottom w:val="single" w:sz="6" w:space="0" w:color="auto"/>
              <w:right w:val="single" w:sz="6" w:space="0" w:color="auto"/>
            </w:tcBorders>
            <w:vAlign w:val="center"/>
          </w:tcPr>
          <w:p w:rsidR="000F59E0" w:rsidRPr="008B436A" w:rsidRDefault="00297C74" w:rsidP="00113C37">
            <w:pPr>
              <w:pStyle w:val="TableText0"/>
              <w:jc w:val="center"/>
              <w:rPr>
                <w:rFonts w:ascii="Calibri" w:hAnsi="Calibri"/>
                <w:szCs w:val="22"/>
                <w:lang w:val="en-US"/>
              </w:rPr>
            </w:pPr>
            <w:r>
              <w:rPr>
                <w:rFonts w:ascii="Calibri" w:hAnsi="Calibri"/>
                <w:szCs w:val="22"/>
                <w:lang w:val="en-US"/>
              </w:rPr>
              <w:t>1287</w:t>
            </w:r>
          </w:p>
        </w:tc>
      </w:tr>
    </w:tbl>
    <w:p w:rsidR="00CE56DE" w:rsidRPr="008B436A" w:rsidRDefault="00CE56DE" w:rsidP="00CB1A52">
      <w:pPr>
        <w:spacing w:before="0"/>
        <w:rPr>
          <w:lang w:val="en-US"/>
        </w:rPr>
      </w:pPr>
    </w:p>
    <w:p w:rsidR="0022373A" w:rsidRDefault="0022373A" w:rsidP="003B2C52">
      <w:pPr>
        <w:tabs>
          <w:tab w:val="clear" w:pos="567"/>
          <w:tab w:val="clear" w:pos="1134"/>
          <w:tab w:val="clear" w:pos="1701"/>
          <w:tab w:val="clear" w:pos="2268"/>
          <w:tab w:val="clear" w:pos="2835"/>
        </w:tabs>
        <w:overflowPunct/>
        <w:autoSpaceDE/>
        <w:autoSpaceDN/>
        <w:adjustRightInd/>
        <w:spacing w:before="0"/>
        <w:jc w:val="center"/>
        <w:textAlignment w:val="auto"/>
        <w:rPr>
          <w:b/>
          <w:sz w:val="22"/>
          <w:szCs w:val="22"/>
          <w:lang w:val="en-US"/>
        </w:rPr>
      </w:pPr>
      <w:r w:rsidRPr="00D61B50">
        <w:rPr>
          <w:b/>
          <w:sz w:val="22"/>
          <w:szCs w:val="22"/>
          <w:lang w:val="en-US"/>
        </w:rPr>
        <w:t>Recapitulation of contributions to the Fund for the peri</w:t>
      </w:r>
      <w:r w:rsidR="000F59E0" w:rsidRPr="00D61B50">
        <w:rPr>
          <w:b/>
          <w:sz w:val="22"/>
          <w:szCs w:val="22"/>
          <w:lang w:val="en-US"/>
        </w:rPr>
        <w:t>od 1 January to</w:t>
      </w:r>
      <w:r w:rsidR="00876DAD">
        <w:rPr>
          <w:b/>
          <w:sz w:val="22"/>
          <w:szCs w:val="22"/>
          <w:lang w:val="en-US"/>
        </w:rPr>
        <w:t xml:space="preserve"> 31 December </w:t>
      </w:r>
      <w:r w:rsidR="00111BDD">
        <w:rPr>
          <w:b/>
          <w:sz w:val="22"/>
          <w:szCs w:val="22"/>
          <w:lang w:val="en-US"/>
        </w:rPr>
        <w:t>201</w:t>
      </w:r>
      <w:r w:rsidR="003B2C52">
        <w:rPr>
          <w:b/>
          <w:sz w:val="22"/>
          <w:szCs w:val="22"/>
          <w:lang w:val="en-US"/>
        </w:rPr>
        <w:t>7</w:t>
      </w:r>
      <w:r w:rsidRPr="00D61B50">
        <w:rPr>
          <w:b/>
          <w:sz w:val="22"/>
          <w:szCs w:val="22"/>
          <w:lang w:val="en-US"/>
        </w:rPr>
        <w:br/>
        <w:t xml:space="preserve">- United States dollars </w:t>
      </w:r>
      <w:r w:rsidR="00CE56DE">
        <w:rPr>
          <w:b/>
          <w:sz w:val="22"/>
          <w:szCs w:val="22"/>
          <w:lang w:val="en-US"/>
        </w:rPr>
        <w:t>–</w:t>
      </w:r>
    </w:p>
    <w:tbl>
      <w:tblPr>
        <w:tblW w:w="4121" w:type="pct"/>
        <w:jc w:val="center"/>
        <w:tblLayout w:type="fixed"/>
        <w:tblCellMar>
          <w:left w:w="107" w:type="dxa"/>
          <w:right w:w="107" w:type="dxa"/>
        </w:tblCellMar>
        <w:tblLook w:val="0000" w:firstRow="0" w:lastRow="0" w:firstColumn="0" w:lastColumn="0" w:noHBand="0" w:noVBand="0"/>
      </w:tblPr>
      <w:tblGrid>
        <w:gridCol w:w="2826"/>
        <w:gridCol w:w="1560"/>
        <w:gridCol w:w="1985"/>
        <w:gridCol w:w="1677"/>
      </w:tblGrid>
      <w:tr w:rsidR="00646A13" w:rsidRPr="000F59E0" w:rsidTr="0001593F">
        <w:trPr>
          <w:cantSplit/>
          <w:jc w:val="center"/>
        </w:trPr>
        <w:tc>
          <w:tcPr>
            <w:tcW w:w="1756" w:type="pct"/>
            <w:tcBorders>
              <w:top w:val="single" w:sz="6" w:space="0" w:color="auto"/>
              <w:left w:val="single" w:sz="6" w:space="0" w:color="auto"/>
              <w:bottom w:val="single" w:sz="6" w:space="0" w:color="auto"/>
              <w:right w:val="single" w:sz="6" w:space="0" w:color="auto"/>
            </w:tcBorders>
            <w:vAlign w:val="center"/>
          </w:tcPr>
          <w:p w:rsidR="00646A13" w:rsidRPr="00646A13" w:rsidRDefault="00646A13" w:rsidP="005D3458">
            <w:pPr>
              <w:spacing w:after="120"/>
              <w:jc w:val="center"/>
              <w:rPr>
                <w:b/>
                <w:sz w:val="22"/>
                <w:szCs w:val="22"/>
                <w:lang w:val="en-US"/>
              </w:rPr>
            </w:pPr>
            <w:r w:rsidRPr="00646A13">
              <w:rPr>
                <w:b/>
                <w:sz w:val="22"/>
                <w:szCs w:val="22"/>
                <w:lang w:val="en-US"/>
              </w:rPr>
              <w:t>Nature of contributions</w:t>
            </w:r>
          </w:p>
        </w:tc>
        <w:tc>
          <w:tcPr>
            <w:tcW w:w="969" w:type="pct"/>
            <w:tcBorders>
              <w:top w:val="single" w:sz="6" w:space="0" w:color="auto"/>
              <w:left w:val="single" w:sz="6" w:space="0" w:color="auto"/>
              <w:bottom w:val="single" w:sz="6" w:space="0" w:color="auto"/>
              <w:right w:val="single" w:sz="6" w:space="0" w:color="auto"/>
            </w:tcBorders>
            <w:vAlign w:val="center"/>
          </w:tcPr>
          <w:p w:rsidR="00646A13" w:rsidRPr="00646A13" w:rsidRDefault="00646A13" w:rsidP="005D3458">
            <w:pPr>
              <w:spacing w:after="120"/>
              <w:jc w:val="center"/>
              <w:rPr>
                <w:b/>
                <w:sz w:val="22"/>
                <w:szCs w:val="22"/>
                <w:lang w:val="en-US"/>
              </w:rPr>
            </w:pPr>
            <w:r w:rsidRPr="00646A13">
              <w:rPr>
                <w:b/>
                <w:sz w:val="22"/>
                <w:szCs w:val="22"/>
                <w:lang w:val="en-US"/>
              </w:rPr>
              <w:t xml:space="preserve">Normal contributions </w:t>
            </w:r>
          </w:p>
        </w:tc>
        <w:tc>
          <w:tcPr>
            <w:tcW w:w="1233" w:type="pct"/>
            <w:tcBorders>
              <w:top w:val="single" w:sz="6" w:space="0" w:color="auto"/>
              <w:left w:val="single" w:sz="6" w:space="0" w:color="auto"/>
              <w:bottom w:val="single" w:sz="6" w:space="0" w:color="auto"/>
              <w:right w:val="single" w:sz="6" w:space="0" w:color="auto"/>
            </w:tcBorders>
            <w:vAlign w:val="center"/>
          </w:tcPr>
          <w:p w:rsidR="00646A13" w:rsidRPr="00646A13" w:rsidRDefault="00646A13" w:rsidP="005D3458">
            <w:pPr>
              <w:spacing w:after="120"/>
              <w:jc w:val="center"/>
              <w:rPr>
                <w:b/>
                <w:sz w:val="22"/>
                <w:szCs w:val="22"/>
                <w:lang w:val="en-US"/>
              </w:rPr>
            </w:pPr>
            <w:r w:rsidRPr="00646A13">
              <w:rPr>
                <w:b/>
                <w:sz w:val="22"/>
                <w:szCs w:val="22"/>
                <w:lang w:val="en-US"/>
              </w:rPr>
              <w:t xml:space="preserve">Service validation contributions </w:t>
            </w:r>
          </w:p>
        </w:tc>
        <w:tc>
          <w:tcPr>
            <w:tcW w:w="1042" w:type="pct"/>
            <w:tcBorders>
              <w:top w:val="single" w:sz="6" w:space="0" w:color="auto"/>
              <w:left w:val="single" w:sz="6" w:space="0" w:color="auto"/>
              <w:bottom w:val="single" w:sz="6" w:space="0" w:color="auto"/>
              <w:right w:val="single" w:sz="6" w:space="0" w:color="auto"/>
            </w:tcBorders>
            <w:vAlign w:val="center"/>
          </w:tcPr>
          <w:p w:rsidR="00646A13" w:rsidRPr="00646A13" w:rsidRDefault="00646A13" w:rsidP="005D3458">
            <w:pPr>
              <w:spacing w:after="120"/>
              <w:jc w:val="center"/>
              <w:rPr>
                <w:b/>
                <w:sz w:val="22"/>
                <w:szCs w:val="22"/>
                <w:lang w:val="en-US"/>
              </w:rPr>
            </w:pPr>
            <w:r w:rsidRPr="00646A13">
              <w:rPr>
                <w:b/>
                <w:sz w:val="22"/>
                <w:szCs w:val="22"/>
                <w:lang w:val="en-US"/>
              </w:rPr>
              <w:t>Total</w:t>
            </w:r>
          </w:p>
        </w:tc>
      </w:tr>
      <w:tr w:rsidR="00646A13" w:rsidRPr="000F59E0" w:rsidTr="003B2C52">
        <w:trPr>
          <w:cantSplit/>
          <w:trHeight w:val="168"/>
          <w:jc w:val="center"/>
        </w:trPr>
        <w:tc>
          <w:tcPr>
            <w:tcW w:w="1756" w:type="pct"/>
            <w:tcBorders>
              <w:top w:val="single" w:sz="6" w:space="0" w:color="auto"/>
              <w:left w:val="single" w:sz="6" w:space="0" w:color="auto"/>
              <w:bottom w:val="single" w:sz="6" w:space="0" w:color="auto"/>
              <w:right w:val="single" w:sz="6" w:space="0" w:color="auto"/>
            </w:tcBorders>
          </w:tcPr>
          <w:p w:rsidR="00646A13" w:rsidRPr="00646A13" w:rsidRDefault="00646A13" w:rsidP="005D3458">
            <w:pPr>
              <w:spacing w:before="60" w:after="60"/>
              <w:rPr>
                <w:sz w:val="22"/>
                <w:szCs w:val="22"/>
                <w:lang w:val="en-US"/>
              </w:rPr>
            </w:pPr>
            <w:r w:rsidRPr="00646A13">
              <w:rPr>
                <w:sz w:val="22"/>
                <w:szCs w:val="22"/>
                <w:lang w:val="en-US"/>
              </w:rPr>
              <w:t>Contributions by participants</w:t>
            </w:r>
          </w:p>
        </w:tc>
        <w:tc>
          <w:tcPr>
            <w:tcW w:w="969" w:type="pct"/>
            <w:tcBorders>
              <w:top w:val="single" w:sz="6" w:space="0" w:color="auto"/>
              <w:left w:val="single" w:sz="6" w:space="0" w:color="auto"/>
              <w:bottom w:val="single" w:sz="6" w:space="0" w:color="auto"/>
              <w:right w:val="single" w:sz="6" w:space="0" w:color="auto"/>
            </w:tcBorders>
            <w:vAlign w:val="center"/>
          </w:tcPr>
          <w:p w:rsidR="00646A13" w:rsidRPr="0001593F" w:rsidRDefault="0001593F" w:rsidP="0001593F">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2"/>
                <w:szCs w:val="22"/>
                <w:lang w:val="en-US" w:eastAsia="zh-CN"/>
              </w:rPr>
            </w:pPr>
            <w:r>
              <w:rPr>
                <w:rFonts w:cs="Arial"/>
                <w:sz w:val="22"/>
                <w:szCs w:val="22"/>
              </w:rPr>
              <w:t xml:space="preserve">  7,913,341.93 </w:t>
            </w:r>
          </w:p>
        </w:tc>
        <w:tc>
          <w:tcPr>
            <w:tcW w:w="1233" w:type="pct"/>
            <w:tcBorders>
              <w:top w:val="single" w:sz="6" w:space="0" w:color="auto"/>
              <w:left w:val="single" w:sz="6" w:space="0" w:color="auto"/>
              <w:bottom w:val="single" w:sz="6" w:space="0" w:color="auto"/>
              <w:right w:val="single" w:sz="6" w:space="0" w:color="auto"/>
            </w:tcBorders>
            <w:vAlign w:val="center"/>
          </w:tcPr>
          <w:p w:rsidR="00646A13" w:rsidRPr="0001593F" w:rsidRDefault="0001593F" w:rsidP="0001593F">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2"/>
                <w:szCs w:val="22"/>
                <w:lang w:val="en-US" w:eastAsia="zh-CN"/>
              </w:rPr>
            </w:pPr>
            <w:r>
              <w:rPr>
                <w:rFonts w:cs="Arial"/>
                <w:sz w:val="22"/>
                <w:szCs w:val="22"/>
              </w:rPr>
              <w:t xml:space="preserve">  60,860.52 </w:t>
            </w:r>
          </w:p>
        </w:tc>
        <w:tc>
          <w:tcPr>
            <w:tcW w:w="1042" w:type="pct"/>
            <w:tcBorders>
              <w:top w:val="single" w:sz="6" w:space="0" w:color="auto"/>
              <w:left w:val="single" w:sz="6" w:space="0" w:color="auto"/>
              <w:bottom w:val="single" w:sz="6" w:space="0" w:color="auto"/>
              <w:right w:val="single" w:sz="6" w:space="0" w:color="auto"/>
            </w:tcBorders>
            <w:vAlign w:val="center"/>
          </w:tcPr>
          <w:p w:rsidR="00646A13" w:rsidRPr="0001593F" w:rsidRDefault="0001593F" w:rsidP="0001593F">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2"/>
                <w:szCs w:val="22"/>
                <w:lang w:val="en-US" w:eastAsia="zh-CN"/>
              </w:rPr>
            </w:pPr>
            <w:r>
              <w:rPr>
                <w:rFonts w:cs="Arial"/>
                <w:sz w:val="22"/>
                <w:szCs w:val="22"/>
              </w:rPr>
              <w:t xml:space="preserve"> 7,974,202.45 </w:t>
            </w:r>
          </w:p>
        </w:tc>
      </w:tr>
      <w:tr w:rsidR="00646A13" w:rsidRPr="000F59E0" w:rsidTr="0001593F">
        <w:trPr>
          <w:cantSplit/>
          <w:jc w:val="center"/>
        </w:trPr>
        <w:tc>
          <w:tcPr>
            <w:tcW w:w="1756" w:type="pct"/>
            <w:tcBorders>
              <w:top w:val="single" w:sz="6" w:space="0" w:color="auto"/>
              <w:left w:val="single" w:sz="6" w:space="0" w:color="auto"/>
              <w:bottom w:val="single" w:sz="6" w:space="0" w:color="auto"/>
              <w:right w:val="single" w:sz="6" w:space="0" w:color="auto"/>
            </w:tcBorders>
          </w:tcPr>
          <w:p w:rsidR="00646A13" w:rsidRPr="00646A13" w:rsidRDefault="00646A13" w:rsidP="005D3458">
            <w:pPr>
              <w:spacing w:before="60" w:after="60"/>
              <w:rPr>
                <w:sz w:val="22"/>
                <w:szCs w:val="22"/>
                <w:lang w:val="en-US"/>
              </w:rPr>
            </w:pPr>
            <w:r w:rsidRPr="00646A13">
              <w:rPr>
                <w:sz w:val="22"/>
                <w:szCs w:val="22"/>
                <w:lang w:val="en-US"/>
              </w:rPr>
              <w:t>Contributions by the Union</w:t>
            </w:r>
          </w:p>
        </w:tc>
        <w:tc>
          <w:tcPr>
            <w:tcW w:w="969" w:type="pct"/>
            <w:tcBorders>
              <w:top w:val="single" w:sz="6" w:space="0" w:color="auto"/>
              <w:left w:val="single" w:sz="6" w:space="0" w:color="auto"/>
              <w:bottom w:val="single" w:sz="6" w:space="0" w:color="auto"/>
              <w:right w:val="single" w:sz="6" w:space="0" w:color="auto"/>
            </w:tcBorders>
          </w:tcPr>
          <w:p w:rsidR="00646A13" w:rsidRPr="0001593F" w:rsidRDefault="0001593F" w:rsidP="0001593F">
            <w:pPr>
              <w:spacing w:before="60" w:after="60"/>
              <w:ind w:right="9"/>
              <w:jc w:val="center"/>
              <w:rPr>
                <w:sz w:val="22"/>
                <w:szCs w:val="22"/>
                <w:lang w:val="en-US"/>
              </w:rPr>
            </w:pPr>
            <w:r w:rsidRPr="0001593F">
              <w:rPr>
                <w:sz w:val="22"/>
                <w:szCs w:val="22"/>
                <w:lang w:val="en-US"/>
              </w:rPr>
              <w:t>15,826,683.87</w:t>
            </w:r>
          </w:p>
        </w:tc>
        <w:tc>
          <w:tcPr>
            <w:tcW w:w="1233" w:type="pct"/>
            <w:tcBorders>
              <w:top w:val="single" w:sz="6" w:space="0" w:color="auto"/>
              <w:left w:val="single" w:sz="6" w:space="0" w:color="auto"/>
              <w:bottom w:val="single" w:sz="6" w:space="0" w:color="auto"/>
              <w:right w:val="single" w:sz="6" w:space="0" w:color="auto"/>
            </w:tcBorders>
          </w:tcPr>
          <w:p w:rsidR="00646A13" w:rsidRPr="00646A13" w:rsidRDefault="00646A13" w:rsidP="0001593F">
            <w:pPr>
              <w:spacing w:before="60" w:after="60"/>
              <w:ind w:right="9"/>
              <w:jc w:val="center"/>
              <w:rPr>
                <w:sz w:val="22"/>
                <w:szCs w:val="22"/>
                <w:lang w:val="en-US"/>
              </w:rPr>
            </w:pPr>
          </w:p>
        </w:tc>
        <w:tc>
          <w:tcPr>
            <w:tcW w:w="1042" w:type="pct"/>
            <w:tcBorders>
              <w:top w:val="single" w:sz="6" w:space="0" w:color="auto"/>
              <w:left w:val="single" w:sz="6" w:space="0" w:color="auto"/>
              <w:bottom w:val="single" w:sz="6" w:space="0" w:color="auto"/>
              <w:right w:val="single" w:sz="6" w:space="0" w:color="auto"/>
            </w:tcBorders>
          </w:tcPr>
          <w:p w:rsidR="00646A13" w:rsidRPr="0001593F" w:rsidRDefault="0001593F" w:rsidP="0001593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n-US" w:eastAsia="zh-CN"/>
              </w:rPr>
            </w:pPr>
            <w:r>
              <w:rPr>
                <w:rFonts w:cs="Arial"/>
                <w:sz w:val="22"/>
                <w:szCs w:val="22"/>
              </w:rPr>
              <w:t xml:space="preserve">   15,826,683.87 </w:t>
            </w:r>
          </w:p>
        </w:tc>
      </w:tr>
      <w:tr w:rsidR="00646A13" w:rsidRPr="001C2A98" w:rsidTr="0001593F">
        <w:trPr>
          <w:cantSplit/>
          <w:jc w:val="center"/>
        </w:trPr>
        <w:tc>
          <w:tcPr>
            <w:tcW w:w="1756" w:type="pct"/>
            <w:tcBorders>
              <w:top w:val="single" w:sz="6" w:space="0" w:color="auto"/>
              <w:left w:val="single" w:sz="6" w:space="0" w:color="auto"/>
              <w:bottom w:val="single" w:sz="6" w:space="0" w:color="auto"/>
              <w:right w:val="single" w:sz="6" w:space="0" w:color="auto"/>
            </w:tcBorders>
          </w:tcPr>
          <w:p w:rsidR="00646A13" w:rsidRPr="00646A13" w:rsidRDefault="00646A13" w:rsidP="005D3458">
            <w:pPr>
              <w:spacing w:before="60" w:after="60"/>
              <w:rPr>
                <w:b/>
                <w:bCs/>
                <w:sz w:val="22"/>
                <w:szCs w:val="22"/>
                <w:lang w:val="en-US"/>
              </w:rPr>
            </w:pPr>
            <w:r w:rsidRPr="00646A13">
              <w:rPr>
                <w:b/>
                <w:bCs/>
                <w:sz w:val="22"/>
                <w:szCs w:val="22"/>
                <w:lang w:val="en-US"/>
              </w:rPr>
              <w:t>Total</w:t>
            </w:r>
          </w:p>
        </w:tc>
        <w:tc>
          <w:tcPr>
            <w:tcW w:w="969" w:type="pct"/>
            <w:tcBorders>
              <w:top w:val="single" w:sz="6" w:space="0" w:color="auto"/>
              <w:left w:val="single" w:sz="6" w:space="0" w:color="auto"/>
              <w:bottom w:val="single" w:sz="6" w:space="0" w:color="auto"/>
              <w:right w:val="single" w:sz="6" w:space="0" w:color="auto"/>
            </w:tcBorders>
          </w:tcPr>
          <w:p w:rsidR="00646A13" w:rsidRPr="0001593F" w:rsidRDefault="0001593F" w:rsidP="0001593F">
            <w:pPr>
              <w:spacing w:before="60" w:after="60"/>
              <w:ind w:right="9"/>
              <w:jc w:val="right"/>
              <w:rPr>
                <w:b/>
                <w:bCs/>
                <w:sz w:val="22"/>
                <w:szCs w:val="22"/>
                <w:lang w:val="en-US"/>
              </w:rPr>
            </w:pPr>
            <w:r w:rsidRPr="0001593F">
              <w:rPr>
                <w:b/>
                <w:bCs/>
                <w:sz w:val="22"/>
                <w:szCs w:val="22"/>
                <w:lang w:val="en-US"/>
              </w:rPr>
              <w:t xml:space="preserve"> 23,740,025.80 </w:t>
            </w:r>
          </w:p>
        </w:tc>
        <w:tc>
          <w:tcPr>
            <w:tcW w:w="1233" w:type="pct"/>
            <w:tcBorders>
              <w:top w:val="single" w:sz="6" w:space="0" w:color="auto"/>
              <w:left w:val="single" w:sz="6" w:space="0" w:color="auto"/>
              <w:bottom w:val="single" w:sz="6" w:space="0" w:color="auto"/>
              <w:right w:val="single" w:sz="6" w:space="0" w:color="auto"/>
            </w:tcBorders>
          </w:tcPr>
          <w:p w:rsidR="00646A13" w:rsidRPr="00646A13" w:rsidRDefault="0001593F" w:rsidP="0001593F">
            <w:pPr>
              <w:spacing w:before="60" w:after="60"/>
              <w:ind w:right="9"/>
              <w:jc w:val="right"/>
              <w:rPr>
                <w:b/>
                <w:bCs/>
                <w:sz w:val="22"/>
                <w:szCs w:val="22"/>
                <w:lang w:val="en-US"/>
              </w:rPr>
            </w:pPr>
            <w:r>
              <w:rPr>
                <w:b/>
                <w:bCs/>
                <w:sz w:val="22"/>
                <w:szCs w:val="22"/>
                <w:lang w:val="en-US"/>
              </w:rPr>
              <w:t>60</w:t>
            </w:r>
            <w:r w:rsidR="00646A13" w:rsidRPr="00646A13">
              <w:rPr>
                <w:b/>
                <w:bCs/>
                <w:sz w:val="22"/>
                <w:szCs w:val="22"/>
                <w:lang w:val="en-US"/>
              </w:rPr>
              <w:t>’</w:t>
            </w:r>
            <w:r>
              <w:rPr>
                <w:b/>
                <w:bCs/>
                <w:sz w:val="22"/>
                <w:szCs w:val="22"/>
                <w:lang w:val="en-US"/>
              </w:rPr>
              <w:t>860</w:t>
            </w:r>
            <w:r w:rsidR="00646A13" w:rsidRPr="00646A13">
              <w:rPr>
                <w:b/>
                <w:bCs/>
                <w:sz w:val="22"/>
                <w:szCs w:val="22"/>
                <w:lang w:val="en-US"/>
              </w:rPr>
              <w:t>.</w:t>
            </w:r>
            <w:r>
              <w:rPr>
                <w:b/>
                <w:bCs/>
                <w:sz w:val="22"/>
                <w:szCs w:val="22"/>
                <w:lang w:val="en-US"/>
              </w:rPr>
              <w:t>52</w:t>
            </w:r>
          </w:p>
        </w:tc>
        <w:tc>
          <w:tcPr>
            <w:tcW w:w="1042" w:type="pct"/>
            <w:tcBorders>
              <w:top w:val="single" w:sz="6" w:space="0" w:color="auto"/>
              <w:left w:val="single" w:sz="6" w:space="0" w:color="auto"/>
              <w:bottom w:val="single" w:sz="6" w:space="0" w:color="auto"/>
              <w:right w:val="single" w:sz="6" w:space="0" w:color="auto"/>
            </w:tcBorders>
          </w:tcPr>
          <w:p w:rsidR="00646A13" w:rsidRPr="0001593F" w:rsidRDefault="0001593F" w:rsidP="0001593F">
            <w:pPr>
              <w:spacing w:before="60" w:after="60"/>
              <w:ind w:right="9"/>
              <w:jc w:val="right"/>
              <w:rPr>
                <w:b/>
                <w:bCs/>
                <w:sz w:val="22"/>
                <w:szCs w:val="22"/>
                <w:lang w:val="en-US"/>
              </w:rPr>
            </w:pPr>
            <w:r w:rsidRPr="0001593F">
              <w:rPr>
                <w:b/>
                <w:bCs/>
                <w:sz w:val="22"/>
                <w:szCs w:val="22"/>
                <w:lang w:val="en-US"/>
              </w:rPr>
              <w:t xml:space="preserve">   23,800,886.32 </w:t>
            </w:r>
          </w:p>
        </w:tc>
      </w:tr>
    </w:tbl>
    <w:p w:rsidR="005D4B63" w:rsidRDefault="005D4B63" w:rsidP="005D4B63">
      <w:pPr>
        <w:tabs>
          <w:tab w:val="clear" w:pos="567"/>
          <w:tab w:val="clear" w:pos="1134"/>
          <w:tab w:val="clear" w:pos="1701"/>
          <w:tab w:val="clear" w:pos="2268"/>
          <w:tab w:val="clear" w:pos="2835"/>
        </w:tabs>
        <w:overflowPunct/>
        <w:autoSpaceDE/>
        <w:autoSpaceDN/>
        <w:adjustRightInd/>
        <w:spacing w:before="0"/>
        <w:textAlignment w:val="auto"/>
        <w:rPr>
          <w:rFonts w:cs="Arial"/>
          <w:color w:val="000000"/>
          <w:szCs w:val="24"/>
          <w:lang w:val="en-US"/>
        </w:rPr>
      </w:pPr>
    </w:p>
    <w:p w:rsidR="00F2562A" w:rsidRDefault="005D4B63" w:rsidP="005D4B63">
      <w:pPr>
        <w:tabs>
          <w:tab w:val="clear" w:pos="567"/>
          <w:tab w:val="clear" w:pos="1134"/>
          <w:tab w:val="clear" w:pos="1701"/>
          <w:tab w:val="clear" w:pos="2268"/>
          <w:tab w:val="clear" w:pos="2835"/>
        </w:tabs>
        <w:overflowPunct/>
        <w:autoSpaceDE/>
        <w:autoSpaceDN/>
        <w:adjustRightInd/>
        <w:spacing w:before="0"/>
        <w:textAlignment w:val="auto"/>
        <w:rPr>
          <w:lang w:val="en-US"/>
        </w:rPr>
      </w:pPr>
      <w:r w:rsidRPr="00E61620">
        <w:rPr>
          <w:rFonts w:cs="Arial"/>
          <w:color w:val="000000"/>
          <w:szCs w:val="24"/>
          <w:u w:val="single"/>
          <w:lang w:val="en-US"/>
        </w:rPr>
        <w:t>O</w:t>
      </w:r>
      <w:r w:rsidR="0022373A" w:rsidRPr="00E61620">
        <w:rPr>
          <w:rFonts w:cs="Arial"/>
          <w:color w:val="000000"/>
          <w:szCs w:val="24"/>
          <w:u w:val="single"/>
          <w:lang w:val="en-US"/>
        </w:rPr>
        <w:t xml:space="preserve">bligations </w:t>
      </w:r>
      <w:r w:rsidR="00D61B50" w:rsidRPr="00E61620">
        <w:rPr>
          <w:rFonts w:cs="Arial"/>
          <w:color w:val="000000"/>
          <w:szCs w:val="24"/>
          <w:u w:val="single"/>
          <w:lang w:val="en-US"/>
        </w:rPr>
        <w:t>related</w:t>
      </w:r>
      <w:r w:rsidR="000C1156" w:rsidRPr="00E61620">
        <w:rPr>
          <w:rFonts w:cs="Arial"/>
          <w:color w:val="000000"/>
          <w:szCs w:val="24"/>
          <w:u w:val="single"/>
          <w:lang w:val="en-US"/>
        </w:rPr>
        <w:t xml:space="preserve"> to</w:t>
      </w:r>
      <w:r w:rsidR="0022373A" w:rsidRPr="00E61620">
        <w:rPr>
          <w:rFonts w:cs="Arial"/>
          <w:color w:val="000000"/>
          <w:szCs w:val="24"/>
          <w:u w:val="single"/>
          <w:lang w:val="en-US"/>
        </w:rPr>
        <w:t xml:space="preserve"> other employee benefits</w:t>
      </w:r>
      <w:r w:rsidR="003938C6">
        <w:rPr>
          <w:rFonts w:cs="Arial"/>
          <w:color w:val="000000"/>
          <w:szCs w:val="24"/>
          <w:u w:val="single"/>
          <w:lang w:val="en-US"/>
        </w:rPr>
        <w:br/>
      </w:r>
    </w:p>
    <w:p w:rsidR="0022373A" w:rsidRPr="00A00B0F" w:rsidRDefault="0022373A" w:rsidP="001C0566">
      <w:pPr>
        <w:snapToGrid w:val="0"/>
        <w:spacing w:before="0"/>
        <w:jc w:val="both"/>
        <w:rPr>
          <w:lang w:val="en-US"/>
        </w:rPr>
      </w:pPr>
      <w:r w:rsidRPr="001C2A98">
        <w:rPr>
          <w:lang w:val="en-US"/>
        </w:rPr>
        <w:t>Before the establishment of UNJSPF and SHIF and ITU</w:t>
      </w:r>
      <w:r w:rsidR="007A552E">
        <w:rPr>
          <w:lang w:val="en-US"/>
        </w:rPr>
        <w:t>’</w:t>
      </w:r>
      <w:r w:rsidRPr="001C2A98">
        <w:rPr>
          <w:lang w:val="en-US"/>
        </w:rPr>
        <w:t>s affiliation thereto, the Union had set up funds to provide retirement, death, disability and health insurance benefits to its staff members. Since ITU</w:t>
      </w:r>
      <w:r w:rsidR="007A552E">
        <w:rPr>
          <w:lang w:val="en-US"/>
        </w:rPr>
        <w:t>’</w:t>
      </w:r>
      <w:r w:rsidRPr="001C2A98">
        <w:rPr>
          <w:lang w:val="en-US"/>
        </w:rPr>
        <w:t xml:space="preserve">s affiliation to the above-mentioned funds, the funds previously created have functioned as a closed fund. Obligations thereunder are shown as long-term liabilities. Agreements have been concluded between ITU and its funds </w:t>
      </w:r>
      <w:r w:rsidRPr="00A00B0F">
        <w:rPr>
          <w:lang w:val="en-US"/>
        </w:rPr>
        <w:t>to ensure the latter</w:t>
      </w:r>
      <w:r w:rsidR="007A552E">
        <w:rPr>
          <w:lang w:val="en-US"/>
        </w:rPr>
        <w:t>’</w:t>
      </w:r>
      <w:r w:rsidRPr="00A00B0F">
        <w:rPr>
          <w:lang w:val="en-US"/>
        </w:rPr>
        <w:t>s financing.</w:t>
      </w:r>
    </w:p>
    <w:p w:rsidR="0022373A" w:rsidRDefault="00A00B0F" w:rsidP="00625FBE">
      <w:pPr>
        <w:jc w:val="both"/>
        <w:rPr>
          <w:lang w:val="en-US"/>
        </w:rPr>
      </w:pPr>
      <w:r>
        <w:rPr>
          <w:lang w:val="en-US"/>
        </w:rPr>
        <w:t xml:space="preserve">In </w:t>
      </w:r>
      <w:r w:rsidR="00111BDD">
        <w:rPr>
          <w:lang w:val="en-US"/>
        </w:rPr>
        <w:t>201</w:t>
      </w:r>
      <w:r w:rsidR="00625FBE">
        <w:rPr>
          <w:lang w:val="en-US"/>
        </w:rPr>
        <w:t>7</w:t>
      </w:r>
      <w:r w:rsidR="0022373A" w:rsidRPr="00A00B0F">
        <w:rPr>
          <w:lang w:val="en-US"/>
        </w:rPr>
        <w:t>, the Union did not consider it necessary to request a new actuarial study for the Staff Superannuation and</w:t>
      </w:r>
      <w:r w:rsidR="00B409EF" w:rsidRPr="00A00B0F">
        <w:rPr>
          <w:lang w:val="en-US"/>
        </w:rPr>
        <w:t xml:space="preserve"> Benevolent Funds. At 31</w:t>
      </w:r>
      <w:r w:rsidR="009514B0" w:rsidRPr="00A00B0F">
        <w:rPr>
          <w:lang w:val="en-US"/>
        </w:rPr>
        <w:t xml:space="preserve"> December </w:t>
      </w:r>
      <w:r w:rsidR="00111BDD">
        <w:rPr>
          <w:lang w:val="en-US"/>
        </w:rPr>
        <w:t>201</w:t>
      </w:r>
      <w:r w:rsidR="00625FBE">
        <w:rPr>
          <w:lang w:val="en-US"/>
        </w:rPr>
        <w:t>7</w:t>
      </w:r>
      <w:r w:rsidR="0022373A" w:rsidRPr="00A00B0F">
        <w:rPr>
          <w:lang w:val="en-US"/>
        </w:rPr>
        <w:t>, the provision for the obligations arising from pensions currently being paid to former employees affiliated to the Staff Superannuation and Benevolent Funds, recognized in 2010 in the amount of CHF 90 000, remains unchanged.</w:t>
      </w:r>
    </w:p>
    <w:p w:rsidR="0022373A" w:rsidRDefault="0022373A" w:rsidP="00284AFF">
      <w:pPr>
        <w:pStyle w:val="Heading5"/>
        <w:spacing w:before="240" w:after="240"/>
        <w:rPr>
          <w:lang w:val="en-US"/>
        </w:rPr>
      </w:pPr>
      <w:bookmarkStart w:id="104" w:name="_Toc305764100"/>
      <w:bookmarkStart w:id="105" w:name="_Toc329011644"/>
      <w:r w:rsidRPr="001C2A98">
        <w:rPr>
          <w:lang w:val="en-US"/>
        </w:rPr>
        <w:t>Note 1</w:t>
      </w:r>
      <w:r w:rsidR="00284AFF">
        <w:rPr>
          <w:lang w:val="en-US"/>
        </w:rPr>
        <w:t>8</w:t>
      </w:r>
      <w:r w:rsidRPr="001C2A98">
        <w:rPr>
          <w:lang w:val="en-US"/>
        </w:rPr>
        <w:tab/>
        <w:t>Provisions</w:t>
      </w:r>
      <w:bookmarkEnd w:id="104"/>
      <w:bookmarkEnd w:id="105"/>
    </w:p>
    <w:p w:rsidR="0022373A" w:rsidRPr="00247287" w:rsidRDefault="0022373A" w:rsidP="005C41A5">
      <w:pPr>
        <w:spacing w:before="240"/>
        <w:jc w:val="both"/>
        <w:rPr>
          <w:bCs/>
          <w:lang w:val="en-US" w:eastAsia="fr-FR"/>
        </w:rPr>
      </w:pPr>
      <w:r w:rsidRPr="00247287">
        <w:rPr>
          <w:lang w:val="en-US"/>
        </w:rPr>
        <w:t xml:space="preserve">The provisions for risks and expenses comprise the provision for litigation which represents a valuation at the date of closure of future obligations associated with a past event in respect of various disputes to which ITU is a party, </w:t>
      </w:r>
      <w:r w:rsidR="005F2AF6" w:rsidRPr="00247287">
        <w:rPr>
          <w:lang w:val="en-US"/>
        </w:rPr>
        <w:t>as well as</w:t>
      </w:r>
      <w:r w:rsidRPr="00247287">
        <w:rPr>
          <w:lang w:val="en-US"/>
        </w:rPr>
        <w:t xml:space="preserve"> the average cost for the administrative expenses in respect of each case brought before the tribunal.</w:t>
      </w:r>
    </w:p>
    <w:p w:rsidR="00AF24F3" w:rsidRDefault="0022373A" w:rsidP="005C41A5">
      <w:pPr>
        <w:tabs>
          <w:tab w:val="clear" w:pos="567"/>
          <w:tab w:val="clear" w:pos="1134"/>
          <w:tab w:val="clear" w:pos="1701"/>
          <w:tab w:val="clear" w:pos="2268"/>
          <w:tab w:val="clear" w:pos="2835"/>
        </w:tabs>
        <w:overflowPunct/>
        <w:autoSpaceDE/>
        <w:autoSpaceDN/>
        <w:adjustRightInd/>
        <w:jc w:val="both"/>
        <w:textAlignment w:val="auto"/>
        <w:rPr>
          <w:bCs/>
          <w:lang w:val="en-US"/>
        </w:rPr>
      </w:pPr>
      <w:r w:rsidRPr="00247287">
        <w:rPr>
          <w:bCs/>
          <w:lang w:val="en-US"/>
        </w:rPr>
        <w:t xml:space="preserve">The provision for satellite network filings (SNF) comprises the amount corresponding to the free-of-charge publication that </w:t>
      </w:r>
      <w:r w:rsidR="009514B0" w:rsidRPr="00247287">
        <w:rPr>
          <w:bCs/>
          <w:lang w:val="en-US"/>
        </w:rPr>
        <w:t xml:space="preserve">Administrations </w:t>
      </w:r>
      <w:r w:rsidRPr="00247287">
        <w:rPr>
          <w:bCs/>
          <w:lang w:val="en-US"/>
        </w:rPr>
        <w:t>are entitled to request in the course of any given year. The entirety of this provision was used in the course of the financial period.</w:t>
      </w:r>
    </w:p>
    <w:p w:rsidR="006506EB" w:rsidRDefault="006506EB" w:rsidP="005C41A5">
      <w:pPr>
        <w:tabs>
          <w:tab w:val="clear" w:pos="567"/>
          <w:tab w:val="clear" w:pos="1134"/>
          <w:tab w:val="clear" w:pos="1701"/>
          <w:tab w:val="clear" w:pos="2268"/>
          <w:tab w:val="clear" w:pos="2835"/>
        </w:tabs>
        <w:overflowPunct/>
        <w:autoSpaceDE/>
        <w:autoSpaceDN/>
        <w:adjustRightInd/>
        <w:jc w:val="both"/>
        <w:textAlignment w:val="auto"/>
        <w:rPr>
          <w:bCs/>
          <w:lang w:val="en-US"/>
        </w:rPr>
      </w:pPr>
    </w:p>
    <w:tbl>
      <w:tblPr>
        <w:tblW w:w="4422" w:type="pct"/>
        <w:tblInd w:w="421" w:type="dxa"/>
        <w:tblLook w:val="04A0" w:firstRow="1" w:lastRow="0" w:firstColumn="1" w:lastColumn="0" w:noHBand="0" w:noVBand="1"/>
      </w:tblPr>
      <w:tblGrid>
        <w:gridCol w:w="2529"/>
        <w:gridCol w:w="2099"/>
        <w:gridCol w:w="2406"/>
        <w:gridCol w:w="1607"/>
      </w:tblGrid>
      <w:tr w:rsidR="006506EB" w:rsidRPr="006506EB" w:rsidTr="006506EB">
        <w:trPr>
          <w:trHeight w:val="327"/>
        </w:trPr>
        <w:tc>
          <w:tcPr>
            <w:tcW w:w="1463" w:type="pct"/>
            <w:tcBorders>
              <w:top w:val="single" w:sz="4" w:space="0" w:color="auto"/>
              <w:left w:val="single" w:sz="4" w:space="0" w:color="auto"/>
              <w:bottom w:val="single" w:sz="4" w:space="0" w:color="auto"/>
              <w:right w:val="nil"/>
            </w:tcBorders>
            <w:shd w:val="clear" w:color="auto" w:fill="auto"/>
            <w:noWrap/>
            <w:vAlign w:val="bottom"/>
            <w:hideMark/>
          </w:tcPr>
          <w:p w:rsidR="006506EB" w:rsidRPr="006506EB" w:rsidRDefault="006506EB" w:rsidP="006506EB">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6506EB">
              <w:rPr>
                <w:rFonts w:ascii="Arial" w:hAnsi="Arial" w:cs="Arial"/>
                <w:color w:val="000000"/>
                <w:sz w:val="20"/>
                <w:lang w:val="en-US" w:eastAsia="zh-CN"/>
              </w:rPr>
              <w:t> </w:t>
            </w:r>
          </w:p>
        </w:tc>
        <w:tc>
          <w:tcPr>
            <w:tcW w:w="3537" w:type="pct"/>
            <w:gridSpan w:val="3"/>
            <w:tcBorders>
              <w:top w:val="single" w:sz="4" w:space="0" w:color="auto"/>
              <w:left w:val="nil"/>
              <w:bottom w:val="single" w:sz="4" w:space="0" w:color="auto"/>
              <w:right w:val="single" w:sz="4" w:space="0" w:color="000000"/>
            </w:tcBorders>
            <w:shd w:val="clear" w:color="auto" w:fill="auto"/>
            <w:vAlign w:val="center"/>
            <w:hideMark/>
          </w:tcPr>
          <w:p w:rsidR="006506EB" w:rsidRPr="006506EB" w:rsidRDefault="006506EB" w:rsidP="006506EB">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20"/>
                <w:lang w:val="en-US" w:eastAsia="zh-CN"/>
              </w:rPr>
            </w:pPr>
            <w:r w:rsidRPr="006506EB">
              <w:rPr>
                <w:rFonts w:ascii="Arial" w:hAnsi="Arial" w:cs="Arial"/>
                <w:b/>
                <w:bCs/>
                <w:color w:val="000000"/>
                <w:sz w:val="20"/>
                <w:lang w:val="en-US" w:eastAsia="zh-CN"/>
              </w:rPr>
              <w:t>Provision</w:t>
            </w:r>
          </w:p>
        </w:tc>
      </w:tr>
      <w:tr w:rsidR="006506EB" w:rsidRPr="006506EB" w:rsidTr="006506EB">
        <w:trPr>
          <w:trHeight w:val="508"/>
        </w:trPr>
        <w:tc>
          <w:tcPr>
            <w:tcW w:w="1463" w:type="pct"/>
            <w:tcBorders>
              <w:top w:val="nil"/>
              <w:left w:val="single" w:sz="4" w:space="0" w:color="auto"/>
              <w:bottom w:val="single" w:sz="4" w:space="0" w:color="auto"/>
              <w:right w:val="single" w:sz="4" w:space="0" w:color="auto"/>
            </w:tcBorders>
            <w:shd w:val="clear" w:color="auto" w:fill="auto"/>
            <w:noWrap/>
            <w:vAlign w:val="center"/>
            <w:hideMark/>
          </w:tcPr>
          <w:p w:rsidR="006506EB" w:rsidRPr="006506EB" w:rsidRDefault="006506EB" w:rsidP="006506EB">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20"/>
                <w:lang w:val="en-US" w:eastAsia="zh-CN"/>
              </w:rPr>
            </w:pPr>
            <w:r w:rsidRPr="006506EB">
              <w:rPr>
                <w:rFonts w:ascii="Arial" w:hAnsi="Arial" w:cs="Arial"/>
                <w:b/>
                <w:bCs/>
                <w:color w:val="000000"/>
                <w:sz w:val="20"/>
                <w:lang w:val="en-US" w:eastAsia="zh-CN"/>
              </w:rPr>
              <w:t>In thousands of CHF</w:t>
            </w:r>
          </w:p>
        </w:tc>
        <w:tc>
          <w:tcPr>
            <w:tcW w:w="1215" w:type="pct"/>
            <w:tcBorders>
              <w:top w:val="nil"/>
              <w:left w:val="nil"/>
              <w:bottom w:val="single" w:sz="4" w:space="0" w:color="auto"/>
              <w:right w:val="single" w:sz="4" w:space="0" w:color="auto"/>
            </w:tcBorders>
            <w:shd w:val="clear" w:color="auto" w:fill="auto"/>
            <w:vAlign w:val="center"/>
            <w:hideMark/>
          </w:tcPr>
          <w:p w:rsidR="006506EB" w:rsidRPr="006506EB" w:rsidRDefault="006506EB" w:rsidP="006506EB">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20"/>
                <w:lang w:val="en-US" w:eastAsia="zh-CN"/>
              </w:rPr>
            </w:pPr>
            <w:r w:rsidRPr="006506EB">
              <w:rPr>
                <w:rFonts w:ascii="Arial" w:hAnsi="Arial" w:cs="Arial"/>
                <w:b/>
                <w:bCs/>
                <w:color w:val="000000"/>
                <w:sz w:val="20"/>
                <w:lang w:val="en-US" w:eastAsia="zh-CN"/>
              </w:rPr>
              <w:t>SNF</w:t>
            </w:r>
          </w:p>
        </w:tc>
        <w:tc>
          <w:tcPr>
            <w:tcW w:w="1392" w:type="pct"/>
            <w:tcBorders>
              <w:top w:val="nil"/>
              <w:left w:val="nil"/>
              <w:bottom w:val="single" w:sz="4" w:space="0" w:color="auto"/>
              <w:right w:val="single" w:sz="4" w:space="0" w:color="auto"/>
            </w:tcBorders>
            <w:shd w:val="clear" w:color="auto" w:fill="auto"/>
            <w:vAlign w:val="center"/>
            <w:hideMark/>
          </w:tcPr>
          <w:p w:rsidR="006506EB" w:rsidRPr="006506EB" w:rsidRDefault="006506EB" w:rsidP="006506EB">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20"/>
                <w:lang w:val="en-US" w:eastAsia="zh-CN"/>
              </w:rPr>
            </w:pPr>
            <w:r w:rsidRPr="006506EB">
              <w:rPr>
                <w:rFonts w:ascii="Arial" w:hAnsi="Arial" w:cs="Arial"/>
                <w:b/>
                <w:bCs/>
                <w:color w:val="000000"/>
                <w:sz w:val="20"/>
                <w:lang w:val="en-US" w:eastAsia="zh-CN"/>
              </w:rPr>
              <w:t>Litigation</w:t>
            </w:r>
            <w:r w:rsidRPr="006506EB">
              <w:rPr>
                <w:rFonts w:ascii="Arial" w:hAnsi="Arial" w:cs="Arial"/>
                <w:b/>
                <w:bCs/>
                <w:color w:val="000000"/>
                <w:sz w:val="20"/>
                <w:lang w:val="en-US" w:eastAsia="zh-CN"/>
              </w:rPr>
              <w:br/>
              <w:t xml:space="preserve"> </w:t>
            </w:r>
          </w:p>
        </w:tc>
        <w:tc>
          <w:tcPr>
            <w:tcW w:w="929" w:type="pct"/>
            <w:tcBorders>
              <w:top w:val="nil"/>
              <w:left w:val="nil"/>
              <w:bottom w:val="single" w:sz="4" w:space="0" w:color="auto"/>
              <w:right w:val="single" w:sz="4" w:space="0" w:color="auto"/>
            </w:tcBorders>
            <w:shd w:val="clear" w:color="auto" w:fill="auto"/>
            <w:vAlign w:val="center"/>
            <w:hideMark/>
          </w:tcPr>
          <w:p w:rsidR="006506EB" w:rsidRPr="006506EB" w:rsidRDefault="006506EB" w:rsidP="006506EB">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20"/>
                <w:lang w:val="en-US" w:eastAsia="zh-CN"/>
              </w:rPr>
            </w:pPr>
            <w:r w:rsidRPr="006506EB">
              <w:rPr>
                <w:rFonts w:ascii="Arial" w:hAnsi="Arial" w:cs="Arial"/>
                <w:b/>
                <w:bCs/>
                <w:color w:val="000000"/>
                <w:sz w:val="20"/>
                <w:lang w:val="en-US" w:eastAsia="zh-CN"/>
              </w:rPr>
              <w:t>TOTAL</w:t>
            </w:r>
          </w:p>
        </w:tc>
      </w:tr>
      <w:tr w:rsidR="006506EB" w:rsidRPr="006506EB" w:rsidTr="006506EB">
        <w:trPr>
          <w:trHeight w:val="499"/>
        </w:trPr>
        <w:tc>
          <w:tcPr>
            <w:tcW w:w="1463" w:type="pct"/>
            <w:tcBorders>
              <w:top w:val="nil"/>
              <w:left w:val="single" w:sz="4" w:space="0" w:color="auto"/>
              <w:bottom w:val="single" w:sz="4" w:space="0" w:color="auto"/>
              <w:right w:val="single" w:sz="4" w:space="0" w:color="auto"/>
            </w:tcBorders>
            <w:shd w:val="clear" w:color="auto" w:fill="auto"/>
            <w:noWrap/>
            <w:vAlign w:val="center"/>
            <w:hideMark/>
          </w:tcPr>
          <w:p w:rsidR="006506EB" w:rsidRPr="006506EB" w:rsidRDefault="006506EB" w:rsidP="006506EB">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20"/>
                <w:lang w:val="en-US" w:eastAsia="zh-CN"/>
              </w:rPr>
            </w:pPr>
            <w:r w:rsidRPr="006506EB">
              <w:rPr>
                <w:rFonts w:ascii="Arial" w:hAnsi="Arial" w:cs="Arial"/>
                <w:b/>
                <w:bCs/>
                <w:color w:val="000000"/>
                <w:sz w:val="20"/>
                <w:lang w:val="en-US" w:eastAsia="zh-CN"/>
              </w:rPr>
              <w:t>Opening balance</w:t>
            </w:r>
          </w:p>
        </w:tc>
        <w:tc>
          <w:tcPr>
            <w:tcW w:w="1215" w:type="pct"/>
            <w:tcBorders>
              <w:top w:val="nil"/>
              <w:left w:val="nil"/>
              <w:bottom w:val="single" w:sz="4" w:space="0" w:color="auto"/>
              <w:right w:val="single" w:sz="4" w:space="0" w:color="auto"/>
            </w:tcBorders>
            <w:shd w:val="clear" w:color="auto" w:fill="auto"/>
            <w:noWrap/>
            <w:vAlign w:val="center"/>
            <w:hideMark/>
          </w:tcPr>
          <w:p w:rsidR="006506EB" w:rsidRPr="006506EB" w:rsidRDefault="006506EB" w:rsidP="006506EB">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6506EB">
              <w:rPr>
                <w:rFonts w:ascii="Arial" w:hAnsi="Arial" w:cs="Arial"/>
                <w:b/>
                <w:bCs/>
                <w:color w:val="000000"/>
                <w:sz w:val="20"/>
                <w:lang w:val="en-US" w:eastAsia="zh-CN"/>
              </w:rPr>
              <w:t xml:space="preserve">                 543 </w:t>
            </w:r>
          </w:p>
        </w:tc>
        <w:tc>
          <w:tcPr>
            <w:tcW w:w="1392" w:type="pct"/>
            <w:tcBorders>
              <w:top w:val="nil"/>
              <w:left w:val="nil"/>
              <w:bottom w:val="single" w:sz="4" w:space="0" w:color="auto"/>
              <w:right w:val="single" w:sz="4" w:space="0" w:color="auto"/>
            </w:tcBorders>
            <w:shd w:val="clear" w:color="auto" w:fill="auto"/>
            <w:noWrap/>
            <w:vAlign w:val="center"/>
            <w:hideMark/>
          </w:tcPr>
          <w:p w:rsidR="006506EB" w:rsidRPr="006506EB" w:rsidRDefault="006506EB" w:rsidP="006506EB">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6506EB">
              <w:rPr>
                <w:rFonts w:ascii="Arial" w:hAnsi="Arial" w:cs="Arial"/>
                <w:b/>
                <w:bCs/>
                <w:color w:val="000000"/>
                <w:sz w:val="20"/>
                <w:lang w:val="en-US" w:eastAsia="zh-CN"/>
              </w:rPr>
              <w:t xml:space="preserve">                             909 </w:t>
            </w:r>
          </w:p>
        </w:tc>
        <w:tc>
          <w:tcPr>
            <w:tcW w:w="929" w:type="pct"/>
            <w:tcBorders>
              <w:top w:val="nil"/>
              <w:left w:val="nil"/>
              <w:bottom w:val="single" w:sz="4" w:space="0" w:color="auto"/>
              <w:right w:val="single" w:sz="4" w:space="0" w:color="auto"/>
            </w:tcBorders>
            <w:shd w:val="clear" w:color="auto" w:fill="auto"/>
            <w:noWrap/>
            <w:vAlign w:val="center"/>
            <w:hideMark/>
          </w:tcPr>
          <w:p w:rsidR="006506EB" w:rsidRPr="006506EB" w:rsidRDefault="006506EB" w:rsidP="006506EB">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6506EB">
              <w:rPr>
                <w:rFonts w:ascii="Arial" w:hAnsi="Arial" w:cs="Arial"/>
                <w:b/>
                <w:bCs/>
                <w:color w:val="000000"/>
                <w:sz w:val="20"/>
                <w:lang w:val="en-US" w:eastAsia="zh-CN"/>
              </w:rPr>
              <w:t xml:space="preserve">                1,452 </w:t>
            </w:r>
          </w:p>
        </w:tc>
      </w:tr>
      <w:tr w:rsidR="006506EB" w:rsidRPr="006506EB" w:rsidTr="006506EB">
        <w:trPr>
          <w:trHeight w:val="255"/>
        </w:trPr>
        <w:tc>
          <w:tcPr>
            <w:tcW w:w="1463" w:type="pct"/>
            <w:tcBorders>
              <w:top w:val="nil"/>
              <w:left w:val="single" w:sz="4" w:space="0" w:color="auto"/>
              <w:bottom w:val="nil"/>
              <w:right w:val="single" w:sz="4" w:space="0" w:color="auto"/>
            </w:tcBorders>
            <w:shd w:val="clear" w:color="auto" w:fill="auto"/>
            <w:noWrap/>
            <w:vAlign w:val="bottom"/>
            <w:hideMark/>
          </w:tcPr>
          <w:p w:rsidR="006506EB" w:rsidRPr="006506EB" w:rsidRDefault="006506EB" w:rsidP="006506EB">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6506EB">
              <w:rPr>
                <w:rFonts w:ascii="Arial" w:hAnsi="Arial" w:cs="Arial"/>
                <w:color w:val="000000"/>
                <w:sz w:val="20"/>
                <w:lang w:val="en-US" w:eastAsia="zh-CN"/>
              </w:rPr>
              <w:t>Increase</w:t>
            </w:r>
          </w:p>
        </w:tc>
        <w:tc>
          <w:tcPr>
            <w:tcW w:w="1215" w:type="pct"/>
            <w:tcBorders>
              <w:top w:val="nil"/>
              <w:left w:val="nil"/>
              <w:bottom w:val="nil"/>
              <w:right w:val="single" w:sz="4" w:space="0" w:color="auto"/>
            </w:tcBorders>
            <w:shd w:val="clear" w:color="auto" w:fill="auto"/>
            <w:noWrap/>
            <w:vAlign w:val="bottom"/>
            <w:hideMark/>
          </w:tcPr>
          <w:p w:rsidR="006506EB" w:rsidRPr="006506EB" w:rsidRDefault="006506EB" w:rsidP="006506EB">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6506EB">
              <w:rPr>
                <w:rFonts w:ascii="Arial" w:hAnsi="Arial" w:cs="Arial"/>
                <w:color w:val="000000"/>
                <w:sz w:val="20"/>
                <w:lang w:val="en-US" w:eastAsia="zh-CN"/>
              </w:rPr>
              <w:t xml:space="preserve">                 501 </w:t>
            </w:r>
          </w:p>
        </w:tc>
        <w:tc>
          <w:tcPr>
            <w:tcW w:w="1392" w:type="pct"/>
            <w:tcBorders>
              <w:top w:val="nil"/>
              <w:left w:val="nil"/>
              <w:bottom w:val="nil"/>
              <w:right w:val="single" w:sz="4" w:space="0" w:color="auto"/>
            </w:tcBorders>
            <w:shd w:val="clear" w:color="auto" w:fill="auto"/>
            <w:noWrap/>
            <w:vAlign w:val="bottom"/>
            <w:hideMark/>
          </w:tcPr>
          <w:p w:rsidR="006506EB" w:rsidRPr="006506EB" w:rsidRDefault="006506EB" w:rsidP="006506EB">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6506EB">
              <w:rPr>
                <w:rFonts w:ascii="Arial" w:hAnsi="Arial" w:cs="Arial"/>
                <w:color w:val="000000"/>
                <w:sz w:val="20"/>
                <w:lang w:val="en-US" w:eastAsia="zh-CN"/>
              </w:rPr>
              <w:t xml:space="preserve">                             546 </w:t>
            </w:r>
          </w:p>
        </w:tc>
        <w:tc>
          <w:tcPr>
            <w:tcW w:w="929" w:type="pct"/>
            <w:tcBorders>
              <w:top w:val="nil"/>
              <w:left w:val="nil"/>
              <w:bottom w:val="nil"/>
              <w:right w:val="single" w:sz="4" w:space="0" w:color="auto"/>
            </w:tcBorders>
            <w:shd w:val="clear" w:color="auto" w:fill="auto"/>
            <w:noWrap/>
            <w:vAlign w:val="bottom"/>
            <w:hideMark/>
          </w:tcPr>
          <w:p w:rsidR="006506EB" w:rsidRPr="006506EB" w:rsidRDefault="006506EB" w:rsidP="006506EB">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6506EB">
              <w:rPr>
                <w:rFonts w:ascii="Arial" w:hAnsi="Arial" w:cs="Arial"/>
                <w:color w:val="000000"/>
                <w:sz w:val="20"/>
                <w:lang w:val="en-US" w:eastAsia="zh-CN"/>
              </w:rPr>
              <w:t> </w:t>
            </w:r>
          </w:p>
        </w:tc>
      </w:tr>
      <w:tr w:rsidR="006506EB" w:rsidRPr="006506EB" w:rsidTr="006506EB">
        <w:trPr>
          <w:trHeight w:val="255"/>
        </w:trPr>
        <w:tc>
          <w:tcPr>
            <w:tcW w:w="1463" w:type="pct"/>
            <w:tcBorders>
              <w:top w:val="nil"/>
              <w:left w:val="single" w:sz="4" w:space="0" w:color="auto"/>
              <w:bottom w:val="nil"/>
              <w:right w:val="single" w:sz="4" w:space="0" w:color="auto"/>
            </w:tcBorders>
            <w:shd w:val="clear" w:color="auto" w:fill="auto"/>
            <w:noWrap/>
            <w:vAlign w:val="bottom"/>
            <w:hideMark/>
          </w:tcPr>
          <w:p w:rsidR="006506EB" w:rsidRPr="006506EB" w:rsidRDefault="006506EB" w:rsidP="006506EB">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6506EB">
              <w:rPr>
                <w:rFonts w:ascii="Arial" w:hAnsi="Arial" w:cs="Arial"/>
                <w:color w:val="000000"/>
                <w:sz w:val="20"/>
                <w:lang w:val="en-US" w:eastAsia="zh-CN"/>
              </w:rPr>
              <w:t>Used during year</w:t>
            </w:r>
          </w:p>
        </w:tc>
        <w:tc>
          <w:tcPr>
            <w:tcW w:w="1215" w:type="pct"/>
            <w:tcBorders>
              <w:top w:val="nil"/>
              <w:left w:val="nil"/>
              <w:bottom w:val="nil"/>
              <w:right w:val="single" w:sz="4" w:space="0" w:color="auto"/>
            </w:tcBorders>
            <w:shd w:val="clear" w:color="auto" w:fill="auto"/>
            <w:noWrap/>
            <w:vAlign w:val="bottom"/>
            <w:hideMark/>
          </w:tcPr>
          <w:p w:rsidR="006506EB" w:rsidRPr="006506EB" w:rsidRDefault="006506EB" w:rsidP="006506EB">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6506EB">
              <w:rPr>
                <w:rFonts w:ascii="Arial" w:hAnsi="Arial" w:cs="Arial"/>
                <w:color w:val="000000"/>
                <w:sz w:val="20"/>
                <w:lang w:val="en-US" w:eastAsia="zh-CN"/>
              </w:rPr>
              <w:t xml:space="preserve">                -116 </w:t>
            </w:r>
          </w:p>
        </w:tc>
        <w:tc>
          <w:tcPr>
            <w:tcW w:w="1392" w:type="pct"/>
            <w:tcBorders>
              <w:top w:val="nil"/>
              <w:left w:val="nil"/>
              <w:bottom w:val="nil"/>
              <w:right w:val="single" w:sz="4" w:space="0" w:color="auto"/>
            </w:tcBorders>
            <w:shd w:val="clear" w:color="auto" w:fill="auto"/>
            <w:noWrap/>
            <w:vAlign w:val="bottom"/>
            <w:hideMark/>
          </w:tcPr>
          <w:p w:rsidR="006506EB" w:rsidRPr="006506EB" w:rsidRDefault="006506EB" w:rsidP="006506EB">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6506EB">
              <w:rPr>
                <w:rFonts w:ascii="Arial" w:hAnsi="Arial" w:cs="Arial"/>
                <w:color w:val="000000"/>
                <w:sz w:val="20"/>
                <w:lang w:val="en-US" w:eastAsia="zh-CN"/>
              </w:rPr>
              <w:t xml:space="preserve">                            -226 </w:t>
            </w:r>
          </w:p>
        </w:tc>
        <w:tc>
          <w:tcPr>
            <w:tcW w:w="929" w:type="pct"/>
            <w:tcBorders>
              <w:top w:val="nil"/>
              <w:left w:val="nil"/>
              <w:bottom w:val="nil"/>
              <w:right w:val="single" w:sz="4" w:space="0" w:color="auto"/>
            </w:tcBorders>
            <w:shd w:val="clear" w:color="auto" w:fill="auto"/>
            <w:noWrap/>
            <w:vAlign w:val="bottom"/>
            <w:hideMark/>
          </w:tcPr>
          <w:p w:rsidR="006506EB" w:rsidRPr="006506EB" w:rsidRDefault="006506EB" w:rsidP="006506EB">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6506EB">
              <w:rPr>
                <w:rFonts w:ascii="Arial" w:hAnsi="Arial" w:cs="Arial"/>
                <w:color w:val="000000"/>
                <w:sz w:val="20"/>
                <w:lang w:val="en-US" w:eastAsia="zh-CN"/>
              </w:rPr>
              <w:t> </w:t>
            </w:r>
          </w:p>
        </w:tc>
      </w:tr>
      <w:tr w:rsidR="006506EB" w:rsidRPr="006506EB" w:rsidTr="006506EB">
        <w:trPr>
          <w:trHeight w:val="255"/>
        </w:trPr>
        <w:tc>
          <w:tcPr>
            <w:tcW w:w="1463" w:type="pct"/>
            <w:tcBorders>
              <w:top w:val="nil"/>
              <w:left w:val="single" w:sz="4" w:space="0" w:color="auto"/>
              <w:bottom w:val="nil"/>
              <w:right w:val="single" w:sz="4" w:space="0" w:color="auto"/>
            </w:tcBorders>
            <w:shd w:val="clear" w:color="auto" w:fill="auto"/>
            <w:noWrap/>
            <w:vAlign w:val="bottom"/>
            <w:hideMark/>
          </w:tcPr>
          <w:p w:rsidR="006506EB" w:rsidRPr="006506EB" w:rsidRDefault="006506EB" w:rsidP="006506EB">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6506EB">
              <w:rPr>
                <w:rFonts w:ascii="Arial" w:hAnsi="Arial" w:cs="Arial"/>
                <w:color w:val="000000"/>
                <w:sz w:val="20"/>
                <w:lang w:val="en-US" w:eastAsia="zh-CN"/>
              </w:rPr>
              <w:t>Release</w:t>
            </w:r>
          </w:p>
        </w:tc>
        <w:tc>
          <w:tcPr>
            <w:tcW w:w="1215" w:type="pct"/>
            <w:tcBorders>
              <w:top w:val="nil"/>
              <w:left w:val="nil"/>
              <w:bottom w:val="nil"/>
              <w:right w:val="single" w:sz="4" w:space="0" w:color="auto"/>
            </w:tcBorders>
            <w:shd w:val="clear" w:color="auto" w:fill="auto"/>
            <w:noWrap/>
            <w:vAlign w:val="bottom"/>
            <w:hideMark/>
          </w:tcPr>
          <w:p w:rsidR="006506EB" w:rsidRPr="006506EB" w:rsidRDefault="006506EB" w:rsidP="006506EB">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6506EB">
              <w:rPr>
                <w:rFonts w:ascii="Arial" w:hAnsi="Arial" w:cs="Arial"/>
                <w:color w:val="000000"/>
                <w:sz w:val="20"/>
                <w:lang w:val="en-US" w:eastAsia="zh-CN"/>
              </w:rPr>
              <w:t xml:space="preserve">                -427 </w:t>
            </w:r>
          </w:p>
        </w:tc>
        <w:tc>
          <w:tcPr>
            <w:tcW w:w="1392" w:type="pct"/>
            <w:tcBorders>
              <w:top w:val="nil"/>
              <w:left w:val="nil"/>
              <w:bottom w:val="nil"/>
              <w:right w:val="single" w:sz="4" w:space="0" w:color="auto"/>
            </w:tcBorders>
            <w:shd w:val="clear" w:color="auto" w:fill="auto"/>
            <w:noWrap/>
            <w:vAlign w:val="bottom"/>
            <w:hideMark/>
          </w:tcPr>
          <w:p w:rsidR="006506EB" w:rsidRPr="006506EB" w:rsidRDefault="006506EB" w:rsidP="006506EB">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6506EB">
              <w:rPr>
                <w:rFonts w:ascii="Arial" w:hAnsi="Arial" w:cs="Arial"/>
                <w:color w:val="000000"/>
                <w:sz w:val="20"/>
                <w:lang w:val="en-US" w:eastAsia="zh-CN"/>
              </w:rPr>
              <w:t xml:space="preserve">                             -93 </w:t>
            </w:r>
          </w:p>
        </w:tc>
        <w:tc>
          <w:tcPr>
            <w:tcW w:w="929" w:type="pct"/>
            <w:tcBorders>
              <w:top w:val="nil"/>
              <w:left w:val="nil"/>
              <w:bottom w:val="nil"/>
              <w:right w:val="single" w:sz="4" w:space="0" w:color="auto"/>
            </w:tcBorders>
            <w:shd w:val="clear" w:color="auto" w:fill="auto"/>
            <w:noWrap/>
            <w:vAlign w:val="bottom"/>
            <w:hideMark/>
          </w:tcPr>
          <w:p w:rsidR="006506EB" w:rsidRPr="006506EB" w:rsidRDefault="006506EB" w:rsidP="006506EB">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6506EB">
              <w:rPr>
                <w:rFonts w:ascii="Arial" w:hAnsi="Arial" w:cs="Arial"/>
                <w:color w:val="000000"/>
                <w:sz w:val="20"/>
                <w:lang w:val="en-US" w:eastAsia="zh-CN"/>
              </w:rPr>
              <w:t> </w:t>
            </w:r>
          </w:p>
        </w:tc>
      </w:tr>
      <w:tr w:rsidR="006506EB" w:rsidRPr="006506EB" w:rsidTr="006506EB">
        <w:trPr>
          <w:trHeight w:val="255"/>
        </w:trPr>
        <w:tc>
          <w:tcPr>
            <w:tcW w:w="1463" w:type="pct"/>
            <w:tcBorders>
              <w:top w:val="nil"/>
              <w:left w:val="single" w:sz="4" w:space="0" w:color="auto"/>
              <w:right w:val="single" w:sz="4" w:space="0" w:color="auto"/>
            </w:tcBorders>
            <w:shd w:val="clear" w:color="auto" w:fill="auto"/>
            <w:noWrap/>
            <w:vAlign w:val="bottom"/>
            <w:hideMark/>
          </w:tcPr>
          <w:p w:rsidR="006506EB" w:rsidRPr="006506EB" w:rsidRDefault="006506EB" w:rsidP="006506EB">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6506EB">
              <w:rPr>
                <w:rFonts w:ascii="Arial" w:hAnsi="Arial" w:cs="Arial"/>
                <w:color w:val="000000"/>
                <w:sz w:val="20"/>
                <w:lang w:val="en-US" w:eastAsia="zh-CN"/>
              </w:rPr>
              <w:t>Transfer</w:t>
            </w:r>
          </w:p>
        </w:tc>
        <w:tc>
          <w:tcPr>
            <w:tcW w:w="1215" w:type="pct"/>
            <w:tcBorders>
              <w:top w:val="nil"/>
              <w:left w:val="nil"/>
              <w:bottom w:val="nil"/>
              <w:right w:val="single" w:sz="4" w:space="0" w:color="auto"/>
            </w:tcBorders>
            <w:shd w:val="clear" w:color="auto" w:fill="auto"/>
            <w:noWrap/>
            <w:vAlign w:val="bottom"/>
            <w:hideMark/>
          </w:tcPr>
          <w:p w:rsidR="006506EB" w:rsidRPr="006506EB" w:rsidRDefault="006506EB" w:rsidP="006506EB">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6506EB">
              <w:rPr>
                <w:rFonts w:ascii="Arial" w:hAnsi="Arial" w:cs="Arial"/>
                <w:color w:val="000000"/>
                <w:sz w:val="20"/>
                <w:lang w:val="en-US" w:eastAsia="zh-CN"/>
              </w:rPr>
              <w:t> </w:t>
            </w:r>
          </w:p>
        </w:tc>
        <w:tc>
          <w:tcPr>
            <w:tcW w:w="1392" w:type="pct"/>
            <w:tcBorders>
              <w:top w:val="nil"/>
              <w:left w:val="nil"/>
              <w:bottom w:val="nil"/>
              <w:right w:val="single" w:sz="4" w:space="0" w:color="auto"/>
            </w:tcBorders>
            <w:shd w:val="clear" w:color="auto" w:fill="auto"/>
            <w:noWrap/>
            <w:vAlign w:val="bottom"/>
            <w:hideMark/>
          </w:tcPr>
          <w:p w:rsidR="006506EB" w:rsidRPr="006506EB" w:rsidRDefault="006506EB" w:rsidP="006506EB">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6506EB">
              <w:rPr>
                <w:rFonts w:ascii="Arial" w:hAnsi="Arial" w:cs="Arial"/>
                <w:color w:val="000000"/>
                <w:sz w:val="20"/>
                <w:lang w:val="en-US" w:eastAsia="zh-CN"/>
              </w:rPr>
              <w:t> </w:t>
            </w:r>
          </w:p>
        </w:tc>
        <w:tc>
          <w:tcPr>
            <w:tcW w:w="929" w:type="pct"/>
            <w:tcBorders>
              <w:top w:val="nil"/>
              <w:left w:val="nil"/>
              <w:bottom w:val="nil"/>
              <w:right w:val="single" w:sz="4" w:space="0" w:color="auto"/>
            </w:tcBorders>
            <w:shd w:val="clear" w:color="auto" w:fill="auto"/>
            <w:noWrap/>
            <w:vAlign w:val="bottom"/>
            <w:hideMark/>
          </w:tcPr>
          <w:p w:rsidR="006506EB" w:rsidRPr="006506EB" w:rsidRDefault="006506EB" w:rsidP="006506EB">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6506EB">
              <w:rPr>
                <w:rFonts w:ascii="Arial" w:hAnsi="Arial" w:cs="Arial"/>
                <w:color w:val="000000"/>
                <w:sz w:val="20"/>
                <w:lang w:val="en-US" w:eastAsia="zh-CN"/>
              </w:rPr>
              <w:t> </w:t>
            </w:r>
          </w:p>
        </w:tc>
      </w:tr>
      <w:tr w:rsidR="006506EB" w:rsidRPr="006506EB" w:rsidTr="006506EB">
        <w:trPr>
          <w:trHeight w:val="255"/>
        </w:trPr>
        <w:tc>
          <w:tcPr>
            <w:tcW w:w="1463" w:type="pct"/>
            <w:tcBorders>
              <w:top w:val="nil"/>
              <w:left w:val="single" w:sz="4" w:space="0" w:color="auto"/>
              <w:bottom w:val="single" w:sz="4" w:space="0" w:color="auto"/>
              <w:right w:val="single" w:sz="4" w:space="0" w:color="auto"/>
            </w:tcBorders>
            <w:shd w:val="clear" w:color="auto" w:fill="auto"/>
            <w:noWrap/>
            <w:vAlign w:val="bottom"/>
            <w:hideMark/>
          </w:tcPr>
          <w:p w:rsidR="006506EB" w:rsidRPr="006506EB" w:rsidRDefault="006506EB" w:rsidP="006506EB">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6506EB">
              <w:rPr>
                <w:rFonts w:ascii="Arial" w:hAnsi="Arial" w:cs="Arial"/>
                <w:color w:val="000000"/>
                <w:sz w:val="20"/>
                <w:lang w:val="en-US" w:eastAsia="zh-CN"/>
              </w:rPr>
              <w:t>Unrealized exchange gain</w:t>
            </w:r>
          </w:p>
        </w:tc>
        <w:tc>
          <w:tcPr>
            <w:tcW w:w="1215" w:type="pct"/>
            <w:tcBorders>
              <w:top w:val="nil"/>
              <w:left w:val="single" w:sz="4" w:space="0" w:color="auto"/>
              <w:bottom w:val="nil"/>
              <w:right w:val="single" w:sz="4" w:space="0" w:color="auto"/>
            </w:tcBorders>
            <w:shd w:val="clear" w:color="auto" w:fill="auto"/>
            <w:noWrap/>
            <w:vAlign w:val="bottom"/>
            <w:hideMark/>
          </w:tcPr>
          <w:p w:rsidR="006506EB" w:rsidRPr="006506EB" w:rsidRDefault="006506EB" w:rsidP="006506EB">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6506EB">
              <w:rPr>
                <w:rFonts w:ascii="Arial" w:hAnsi="Arial" w:cs="Arial"/>
                <w:color w:val="000000"/>
                <w:sz w:val="20"/>
                <w:lang w:val="en-US" w:eastAsia="zh-CN"/>
              </w:rPr>
              <w:t> </w:t>
            </w:r>
          </w:p>
        </w:tc>
        <w:tc>
          <w:tcPr>
            <w:tcW w:w="1392" w:type="pct"/>
            <w:tcBorders>
              <w:top w:val="nil"/>
              <w:left w:val="nil"/>
              <w:bottom w:val="nil"/>
              <w:right w:val="single" w:sz="4" w:space="0" w:color="auto"/>
            </w:tcBorders>
            <w:shd w:val="clear" w:color="auto" w:fill="auto"/>
            <w:noWrap/>
            <w:vAlign w:val="bottom"/>
            <w:hideMark/>
          </w:tcPr>
          <w:p w:rsidR="006506EB" w:rsidRPr="006506EB" w:rsidRDefault="006506EB" w:rsidP="006506EB">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p>
        </w:tc>
        <w:tc>
          <w:tcPr>
            <w:tcW w:w="929" w:type="pct"/>
            <w:tcBorders>
              <w:top w:val="nil"/>
              <w:left w:val="nil"/>
              <w:bottom w:val="nil"/>
              <w:right w:val="single" w:sz="4" w:space="0" w:color="auto"/>
            </w:tcBorders>
            <w:shd w:val="clear" w:color="auto" w:fill="auto"/>
            <w:noWrap/>
            <w:vAlign w:val="bottom"/>
            <w:hideMark/>
          </w:tcPr>
          <w:p w:rsidR="006506EB" w:rsidRPr="006506EB" w:rsidRDefault="006506EB" w:rsidP="006506EB">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6506EB">
              <w:rPr>
                <w:rFonts w:ascii="Arial" w:hAnsi="Arial" w:cs="Arial"/>
                <w:color w:val="000000"/>
                <w:sz w:val="20"/>
                <w:lang w:val="en-US" w:eastAsia="zh-CN"/>
              </w:rPr>
              <w:t> </w:t>
            </w:r>
          </w:p>
        </w:tc>
      </w:tr>
      <w:tr w:rsidR="006506EB" w:rsidRPr="006506EB" w:rsidTr="006506EB">
        <w:trPr>
          <w:trHeight w:val="499"/>
        </w:trPr>
        <w:tc>
          <w:tcPr>
            <w:tcW w:w="14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06EB" w:rsidRPr="006506EB" w:rsidRDefault="006506EB" w:rsidP="006506EB">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20"/>
                <w:lang w:val="en-US" w:eastAsia="zh-CN"/>
              </w:rPr>
            </w:pPr>
            <w:r w:rsidRPr="006506EB">
              <w:rPr>
                <w:rFonts w:ascii="Arial" w:hAnsi="Arial" w:cs="Arial"/>
                <w:b/>
                <w:bCs/>
                <w:color w:val="000000"/>
                <w:sz w:val="20"/>
                <w:lang w:val="en-US" w:eastAsia="zh-CN"/>
              </w:rPr>
              <w:t>Closing balance</w:t>
            </w:r>
          </w:p>
        </w:tc>
        <w:tc>
          <w:tcPr>
            <w:tcW w:w="1215" w:type="pct"/>
            <w:tcBorders>
              <w:top w:val="single" w:sz="4" w:space="0" w:color="auto"/>
              <w:left w:val="nil"/>
              <w:bottom w:val="single" w:sz="4" w:space="0" w:color="auto"/>
              <w:right w:val="single" w:sz="4" w:space="0" w:color="auto"/>
            </w:tcBorders>
            <w:shd w:val="clear" w:color="auto" w:fill="auto"/>
            <w:noWrap/>
            <w:vAlign w:val="center"/>
            <w:hideMark/>
          </w:tcPr>
          <w:p w:rsidR="006506EB" w:rsidRPr="006506EB" w:rsidRDefault="006506EB" w:rsidP="006506EB">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6506EB">
              <w:rPr>
                <w:rFonts w:ascii="Arial" w:hAnsi="Arial" w:cs="Arial"/>
                <w:b/>
                <w:bCs/>
                <w:color w:val="000000"/>
                <w:sz w:val="20"/>
                <w:lang w:val="en-US" w:eastAsia="zh-CN"/>
              </w:rPr>
              <w:t xml:space="preserve">                 501 </w:t>
            </w:r>
          </w:p>
        </w:tc>
        <w:tc>
          <w:tcPr>
            <w:tcW w:w="1392" w:type="pct"/>
            <w:tcBorders>
              <w:top w:val="single" w:sz="4" w:space="0" w:color="auto"/>
              <w:left w:val="nil"/>
              <w:bottom w:val="single" w:sz="4" w:space="0" w:color="auto"/>
              <w:right w:val="single" w:sz="4" w:space="0" w:color="auto"/>
            </w:tcBorders>
            <w:shd w:val="clear" w:color="auto" w:fill="auto"/>
            <w:noWrap/>
            <w:vAlign w:val="center"/>
            <w:hideMark/>
          </w:tcPr>
          <w:p w:rsidR="006506EB" w:rsidRPr="006506EB" w:rsidRDefault="006506EB" w:rsidP="006506EB">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6506EB">
              <w:rPr>
                <w:rFonts w:ascii="Arial" w:hAnsi="Arial" w:cs="Arial"/>
                <w:b/>
                <w:bCs/>
                <w:color w:val="000000"/>
                <w:sz w:val="20"/>
                <w:lang w:val="en-US" w:eastAsia="zh-CN"/>
              </w:rPr>
              <w:t xml:space="preserve">                          1,135 </w:t>
            </w:r>
          </w:p>
        </w:tc>
        <w:tc>
          <w:tcPr>
            <w:tcW w:w="929" w:type="pct"/>
            <w:tcBorders>
              <w:top w:val="single" w:sz="4" w:space="0" w:color="auto"/>
              <w:left w:val="nil"/>
              <w:bottom w:val="single" w:sz="4" w:space="0" w:color="auto"/>
              <w:right w:val="single" w:sz="4" w:space="0" w:color="auto"/>
            </w:tcBorders>
            <w:shd w:val="clear" w:color="auto" w:fill="auto"/>
            <w:noWrap/>
            <w:vAlign w:val="center"/>
            <w:hideMark/>
          </w:tcPr>
          <w:p w:rsidR="006506EB" w:rsidRPr="006506EB" w:rsidRDefault="006506EB" w:rsidP="006506EB">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6506EB">
              <w:rPr>
                <w:rFonts w:ascii="Arial" w:hAnsi="Arial" w:cs="Arial"/>
                <w:b/>
                <w:bCs/>
                <w:color w:val="000000"/>
                <w:sz w:val="20"/>
                <w:lang w:val="en-US" w:eastAsia="zh-CN"/>
              </w:rPr>
              <w:t xml:space="preserve">                1,636 </w:t>
            </w:r>
          </w:p>
        </w:tc>
      </w:tr>
    </w:tbl>
    <w:p w:rsidR="0022373A" w:rsidRDefault="0022373A" w:rsidP="006506EB">
      <w:pPr>
        <w:pStyle w:val="Heading5"/>
        <w:spacing w:before="240" w:after="240"/>
        <w:ind w:left="0" w:firstLine="0"/>
        <w:rPr>
          <w:lang w:val="en-US"/>
        </w:rPr>
      </w:pPr>
      <w:bookmarkStart w:id="106" w:name="_Toc305764101"/>
      <w:bookmarkStart w:id="107" w:name="_Toc329011645"/>
      <w:r w:rsidRPr="001C2A98">
        <w:rPr>
          <w:lang w:val="en-US"/>
        </w:rPr>
        <w:t>Note 1</w:t>
      </w:r>
      <w:r w:rsidR="00284AFF">
        <w:rPr>
          <w:lang w:val="en-US"/>
        </w:rPr>
        <w:t>9</w:t>
      </w:r>
      <w:r w:rsidRPr="001C2A98">
        <w:rPr>
          <w:lang w:val="en-US"/>
        </w:rPr>
        <w:tab/>
        <w:t>Other debts</w:t>
      </w:r>
      <w:bookmarkEnd w:id="106"/>
      <w:bookmarkEnd w:id="107"/>
    </w:p>
    <w:tbl>
      <w:tblPr>
        <w:tblW w:w="8820" w:type="dxa"/>
        <w:tblInd w:w="421" w:type="dxa"/>
        <w:tblLook w:val="04A0" w:firstRow="1" w:lastRow="0" w:firstColumn="1" w:lastColumn="0" w:noHBand="0" w:noVBand="1"/>
      </w:tblPr>
      <w:tblGrid>
        <w:gridCol w:w="5660"/>
        <w:gridCol w:w="1580"/>
        <w:gridCol w:w="1580"/>
      </w:tblGrid>
      <w:tr w:rsidR="004A6728" w:rsidRPr="004A6728" w:rsidTr="00D87C36">
        <w:trPr>
          <w:trHeight w:val="499"/>
        </w:trPr>
        <w:tc>
          <w:tcPr>
            <w:tcW w:w="5660" w:type="dxa"/>
            <w:tcBorders>
              <w:top w:val="single" w:sz="4" w:space="0" w:color="auto"/>
              <w:left w:val="single" w:sz="4" w:space="0" w:color="auto"/>
              <w:bottom w:val="single" w:sz="4" w:space="0" w:color="auto"/>
              <w:right w:val="nil"/>
            </w:tcBorders>
            <w:shd w:val="clear" w:color="auto" w:fill="auto"/>
            <w:noWrap/>
            <w:vAlign w:val="center"/>
            <w:hideMark/>
          </w:tcPr>
          <w:p w:rsidR="004A6728" w:rsidRPr="004A6728" w:rsidRDefault="004A6728" w:rsidP="004A6728">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20"/>
                <w:lang w:val="en-US" w:eastAsia="zh-CN"/>
              </w:rPr>
            </w:pPr>
            <w:r w:rsidRPr="004A6728">
              <w:rPr>
                <w:rFonts w:ascii="Arial" w:hAnsi="Arial" w:cs="Arial"/>
                <w:b/>
                <w:bCs/>
                <w:color w:val="000000"/>
                <w:sz w:val="20"/>
                <w:lang w:val="en-US" w:eastAsia="zh-CN"/>
              </w:rPr>
              <w:t>In thousands of CHF</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728" w:rsidRPr="004A6728" w:rsidRDefault="004A6728" w:rsidP="004A6728">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4A6728">
              <w:rPr>
                <w:rFonts w:ascii="Arial" w:hAnsi="Arial" w:cs="Arial"/>
                <w:b/>
                <w:bCs/>
                <w:color w:val="000000"/>
                <w:sz w:val="20"/>
                <w:lang w:val="en-US" w:eastAsia="zh-CN"/>
              </w:rPr>
              <w:t>31.12.2017</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4A6728" w:rsidRPr="004A6728" w:rsidRDefault="004A6728" w:rsidP="004A6728">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4A6728">
              <w:rPr>
                <w:rFonts w:ascii="Arial" w:hAnsi="Arial" w:cs="Arial"/>
                <w:b/>
                <w:bCs/>
                <w:color w:val="000000"/>
                <w:sz w:val="20"/>
                <w:lang w:val="en-US" w:eastAsia="zh-CN"/>
              </w:rPr>
              <w:t>31.12.2016</w:t>
            </w:r>
          </w:p>
        </w:tc>
      </w:tr>
      <w:tr w:rsidR="004A6728" w:rsidRPr="004A6728" w:rsidTr="00D87C36">
        <w:trPr>
          <w:trHeight w:val="255"/>
        </w:trPr>
        <w:tc>
          <w:tcPr>
            <w:tcW w:w="5660" w:type="dxa"/>
            <w:tcBorders>
              <w:top w:val="nil"/>
              <w:left w:val="single" w:sz="4" w:space="0" w:color="auto"/>
              <w:bottom w:val="nil"/>
              <w:right w:val="nil"/>
            </w:tcBorders>
            <w:shd w:val="clear" w:color="auto" w:fill="auto"/>
            <w:noWrap/>
            <w:vAlign w:val="bottom"/>
            <w:hideMark/>
          </w:tcPr>
          <w:p w:rsidR="004A6728" w:rsidRPr="004A6728" w:rsidRDefault="004A6728" w:rsidP="004A6728">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4A6728">
              <w:rPr>
                <w:rFonts w:ascii="Arial" w:hAnsi="Arial" w:cs="Arial"/>
                <w:color w:val="000000"/>
                <w:sz w:val="20"/>
                <w:lang w:val="en-US" w:eastAsia="zh-CN"/>
              </w:rPr>
              <w:t>Accounts payable</w:t>
            </w:r>
          </w:p>
        </w:tc>
        <w:tc>
          <w:tcPr>
            <w:tcW w:w="1580" w:type="dxa"/>
            <w:tcBorders>
              <w:top w:val="nil"/>
              <w:left w:val="single" w:sz="4" w:space="0" w:color="auto"/>
              <w:bottom w:val="nil"/>
              <w:right w:val="single" w:sz="4" w:space="0" w:color="auto"/>
            </w:tcBorders>
            <w:shd w:val="clear" w:color="auto" w:fill="auto"/>
            <w:noWrap/>
            <w:vAlign w:val="bottom"/>
            <w:hideMark/>
          </w:tcPr>
          <w:p w:rsidR="004A6728" w:rsidRPr="004A6728" w:rsidRDefault="004A6728" w:rsidP="004A6728">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4A6728">
              <w:rPr>
                <w:rFonts w:ascii="Arial" w:hAnsi="Arial" w:cs="Arial"/>
                <w:color w:val="000000"/>
                <w:sz w:val="20"/>
                <w:lang w:val="en-US" w:eastAsia="zh-CN"/>
              </w:rPr>
              <w:t xml:space="preserve">                  944 </w:t>
            </w:r>
          </w:p>
        </w:tc>
        <w:tc>
          <w:tcPr>
            <w:tcW w:w="1580" w:type="dxa"/>
            <w:tcBorders>
              <w:top w:val="nil"/>
              <w:left w:val="nil"/>
              <w:bottom w:val="nil"/>
              <w:right w:val="single" w:sz="4" w:space="0" w:color="auto"/>
            </w:tcBorders>
            <w:shd w:val="clear" w:color="auto" w:fill="auto"/>
            <w:noWrap/>
            <w:vAlign w:val="bottom"/>
            <w:hideMark/>
          </w:tcPr>
          <w:p w:rsidR="004A6728" w:rsidRPr="004A6728" w:rsidRDefault="004A6728" w:rsidP="004A6728">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4A6728">
              <w:rPr>
                <w:rFonts w:ascii="Arial" w:hAnsi="Arial" w:cs="Arial"/>
                <w:color w:val="000000"/>
                <w:sz w:val="20"/>
                <w:lang w:val="en-US" w:eastAsia="zh-CN"/>
              </w:rPr>
              <w:t xml:space="preserve">                3,592 </w:t>
            </w:r>
          </w:p>
        </w:tc>
      </w:tr>
      <w:tr w:rsidR="004A6728" w:rsidRPr="004A6728" w:rsidTr="00D87C36">
        <w:trPr>
          <w:trHeight w:val="255"/>
        </w:trPr>
        <w:tc>
          <w:tcPr>
            <w:tcW w:w="5660" w:type="dxa"/>
            <w:tcBorders>
              <w:top w:val="nil"/>
              <w:left w:val="single" w:sz="4" w:space="0" w:color="auto"/>
              <w:bottom w:val="nil"/>
              <w:right w:val="nil"/>
            </w:tcBorders>
            <w:shd w:val="clear" w:color="auto" w:fill="auto"/>
            <w:noWrap/>
            <w:vAlign w:val="bottom"/>
            <w:hideMark/>
          </w:tcPr>
          <w:p w:rsidR="004A6728" w:rsidRPr="004A6728" w:rsidRDefault="004A6728" w:rsidP="004A6728">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4A6728">
              <w:rPr>
                <w:rFonts w:ascii="Arial" w:hAnsi="Arial" w:cs="Arial"/>
                <w:color w:val="000000"/>
                <w:sz w:val="20"/>
                <w:lang w:val="en-US" w:eastAsia="zh-CN"/>
              </w:rPr>
              <w:t>Employees miscellaneous</w:t>
            </w:r>
          </w:p>
        </w:tc>
        <w:tc>
          <w:tcPr>
            <w:tcW w:w="1580" w:type="dxa"/>
            <w:tcBorders>
              <w:top w:val="nil"/>
              <w:left w:val="single" w:sz="4" w:space="0" w:color="auto"/>
              <w:bottom w:val="nil"/>
              <w:right w:val="single" w:sz="4" w:space="0" w:color="auto"/>
            </w:tcBorders>
            <w:shd w:val="clear" w:color="auto" w:fill="auto"/>
            <w:noWrap/>
            <w:vAlign w:val="bottom"/>
            <w:hideMark/>
          </w:tcPr>
          <w:p w:rsidR="004A6728" w:rsidRPr="004A6728" w:rsidRDefault="004A6728" w:rsidP="004A6728">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4A6728">
              <w:rPr>
                <w:rFonts w:ascii="Arial" w:hAnsi="Arial" w:cs="Arial"/>
                <w:color w:val="000000"/>
                <w:sz w:val="20"/>
                <w:lang w:val="en-US" w:eastAsia="zh-CN"/>
              </w:rPr>
              <w:t xml:space="preserve">                  823 </w:t>
            </w:r>
          </w:p>
        </w:tc>
        <w:tc>
          <w:tcPr>
            <w:tcW w:w="1580" w:type="dxa"/>
            <w:tcBorders>
              <w:top w:val="nil"/>
              <w:left w:val="nil"/>
              <w:bottom w:val="nil"/>
              <w:right w:val="single" w:sz="4" w:space="0" w:color="auto"/>
            </w:tcBorders>
            <w:shd w:val="clear" w:color="auto" w:fill="auto"/>
            <w:noWrap/>
            <w:vAlign w:val="bottom"/>
            <w:hideMark/>
          </w:tcPr>
          <w:p w:rsidR="004A6728" w:rsidRPr="004A6728" w:rsidRDefault="004A6728" w:rsidP="004A6728">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4A6728">
              <w:rPr>
                <w:rFonts w:ascii="Arial" w:hAnsi="Arial" w:cs="Arial"/>
                <w:color w:val="000000"/>
                <w:sz w:val="20"/>
                <w:lang w:val="en-US" w:eastAsia="zh-CN"/>
              </w:rPr>
              <w:t xml:space="preserve">                  651 </w:t>
            </w:r>
          </w:p>
        </w:tc>
      </w:tr>
      <w:tr w:rsidR="004A6728" w:rsidRPr="004A6728" w:rsidTr="00D87C36">
        <w:trPr>
          <w:trHeight w:val="255"/>
        </w:trPr>
        <w:tc>
          <w:tcPr>
            <w:tcW w:w="5660" w:type="dxa"/>
            <w:tcBorders>
              <w:top w:val="nil"/>
              <w:left w:val="single" w:sz="4" w:space="0" w:color="auto"/>
              <w:bottom w:val="nil"/>
              <w:right w:val="nil"/>
            </w:tcBorders>
            <w:shd w:val="clear" w:color="auto" w:fill="auto"/>
            <w:noWrap/>
            <w:vAlign w:val="bottom"/>
            <w:hideMark/>
          </w:tcPr>
          <w:p w:rsidR="004A6728" w:rsidRPr="004A6728" w:rsidRDefault="004A6728" w:rsidP="004A6728">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4A6728">
              <w:rPr>
                <w:rFonts w:ascii="Arial" w:hAnsi="Arial" w:cs="Arial"/>
                <w:color w:val="000000"/>
                <w:sz w:val="20"/>
                <w:lang w:val="en-US" w:eastAsia="zh-CN"/>
              </w:rPr>
              <w:t>Goods receipt/Invoice receipt</w:t>
            </w:r>
          </w:p>
        </w:tc>
        <w:tc>
          <w:tcPr>
            <w:tcW w:w="1580" w:type="dxa"/>
            <w:tcBorders>
              <w:top w:val="nil"/>
              <w:left w:val="single" w:sz="4" w:space="0" w:color="auto"/>
              <w:bottom w:val="nil"/>
              <w:right w:val="single" w:sz="4" w:space="0" w:color="auto"/>
            </w:tcBorders>
            <w:shd w:val="clear" w:color="auto" w:fill="auto"/>
            <w:noWrap/>
            <w:vAlign w:val="bottom"/>
            <w:hideMark/>
          </w:tcPr>
          <w:p w:rsidR="004A6728" w:rsidRPr="004A6728" w:rsidRDefault="004A6728" w:rsidP="004A6728">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4A6728">
              <w:rPr>
                <w:rFonts w:ascii="Arial" w:hAnsi="Arial" w:cs="Arial"/>
                <w:color w:val="000000"/>
                <w:sz w:val="20"/>
                <w:lang w:val="en-US" w:eastAsia="zh-CN"/>
              </w:rPr>
              <w:t xml:space="preserve">                    21 </w:t>
            </w:r>
          </w:p>
        </w:tc>
        <w:tc>
          <w:tcPr>
            <w:tcW w:w="1580" w:type="dxa"/>
            <w:tcBorders>
              <w:top w:val="nil"/>
              <w:left w:val="nil"/>
              <w:bottom w:val="nil"/>
              <w:right w:val="single" w:sz="4" w:space="0" w:color="auto"/>
            </w:tcBorders>
            <w:shd w:val="clear" w:color="auto" w:fill="auto"/>
            <w:noWrap/>
            <w:vAlign w:val="bottom"/>
            <w:hideMark/>
          </w:tcPr>
          <w:p w:rsidR="004A6728" w:rsidRPr="004A6728" w:rsidRDefault="004A6728" w:rsidP="004A6728">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4A6728">
              <w:rPr>
                <w:rFonts w:ascii="Arial" w:hAnsi="Arial" w:cs="Arial"/>
                <w:color w:val="000000"/>
                <w:sz w:val="20"/>
                <w:lang w:val="en-US" w:eastAsia="zh-CN"/>
              </w:rPr>
              <w:t xml:space="preserve">                    91 </w:t>
            </w:r>
          </w:p>
        </w:tc>
      </w:tr>
      <w:tr w:rsidR="004A6728" w:rsidRPr="004A6728" w:rsidTr="00D87C36">
        <w:trPr>
          <w:trHeight w:val="255"/>
        </w:trPr>
        <w:tc>
          <w:tcPr>
            <w:tcW w:w="5660" w:type="dxa"/>
            <w:tcBorders>
              <w:top w:val="nil"/>
              <w:left w:val="single" w:sz="4" w:space="0" w:color="auto"/>
              <w:bottom w:val="nil"/>
              <w:right w:val="nil"/>
            </w:tcBorders>
            <w:shd w:val="clear" w:color="auto" w:fill="auto"/>
            <w:noWrap/>
            <w:vAlign w:val="bottom"/>
            <w:hideMark/>
          </w:tcPr>
          <w:p w:rsidR="004A6728" w:rsidRPr="004A6728" w:rsidRDefault="004A6728" w:rsidP="004A6728">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4A6728">
              <w:rPr>
                <w:rFonts w:ascii="Arial" w:hAnsi="Arial" w:cs="Arial"/>
                <w:color w:val="000000"/>
                <w:sz w:val="20"/>
                <w:lang w:val="en-US" w:eastAsia="zh-CN"/>
              </w:rPr>
              <w:t>UNDP</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4A6728" w:rsidRPr="004A6728" w:rsidRDefault="004A6728" w:rsidP="004A6728">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4A6728">
              <w:rPr>
                <w:rFonts w:ascii="Arial" w:hAnsi="Arial" w:cs="Arial"/>
                <w:color w:val="000000"/>
                <w:sz w:val="20"/>
                <w:lang w:val="en-US" w:eastAsia="zh-CN"/>
              </w:rPr>
              <w:t xml:space="preserve">                    22 </w:t>
            </w:r>
          </w:p>
        </w:tc>
        <w:tc>
          <w:tcPr>
            <w:tcW w:w="1580" w:type="dxa"/>
            <w:tcBorders>
              <w:top w:val="nil"/>
              <w:left w:val="nil"/>
              <w:bottom w:val="nil"/>
              <w:right w:val="single" w:sz="4" w:space="0" w:color="auto"/>
            </w:tcBorders>
            <w:shd w:val="clear" w:color="auto" w:fill="auto"/>
            <w:noWrap/>
            <w:vAlign w:val="bottom"/>
            <w:hideMark/>
          </w:tcPr>
          <w:p w:rsidR="004A6728" w:rsidRPr="004A6728" w:rsidRDefault="004A6728" w:rsidP="004A6728">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4A6728">
              <w:rPr>
                <w:rFonts w:ascii="Arial" w:hAnsi="Arial" w:cs="Arial"/>
                <w:color w:val="000000"/>
                <w:sz w:val="20"/>
                <w:lang w:val="en-US" w:eastAsia="zh-CN"/>
              </w:rPr>
              <w:t xml:space="preserve">                  740 </w:t>
            </w:r>
          </w:p>
        </w:tc>
      </w:tr>
      <w:tr w:rsidR="004A6728" w:rsidRPr="004A6728" w:rsidTr="00D87C36">
        <w:trPr>
          <w:trHeight w:val="499"/>
        </w:trPr>
        <w:tc>
          <w:tcPr>
            <w:tcW w:w="5660" w:type="dxa"/>
            <w:tcBorders>
              <w:top w:val="single" w:sz="4" w:space="0" w:color="auto"/>
              <w:left w:val="single" w:sz="4" w:space="0" w:color="auto"/>
              <w:bottom w:val="single" w:sz="4" w:space="0" w:color="auto"/>
              <w:right w:val="nil"/>
            </w:tcBorders>
            <w:shd w:val="clear" w:color="auto" w:fill="auto"/>
            <w:noWrap/>
            <w:vAlign w:val="center"/>
            <w:hideMark/>
          </w:tcPr>
          <w:p w:rsidR="004A6728" w:rsidRPr="004A6728" w:rsidRDefault="004A6728" w:rsidP="004A6728">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20"/>
                <w:lang w:val="en-US" w:eastAsia="zh-CN"/>
              </w:rPr>
            </w:pPr>
            <w:r w:rsidRPr="004A6728">
              <w:rPr>
                <w:rFonts w:ascii="Arial" w:hAnsi="Arial" w:cs="Arial"/>
                <w:b/>
                <w:bCs/>
                <w:color w:val="000000"/>
                <w:sz w:val="20"/>
                <w:lang w:val="en-US" w:eastAsia="zh-CN"/>
              </w:rPr>
              <w:t>Other debts</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728" w:rsidRPr="004A6728" w:rsidRDefault="004A6728" w:rsidP="004A6728">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4A6728">
              <w:rPr>
                <w:rFonts w:ascii="Arial" w:hAnsi="Arial" w:cs="Arial"/>
                <w:b/>
                <w:bCs/>
                <w:color w:val="000000"/>
                <w:sz w:val="20"/>
                <w:lang w:val="en-US" w:eastAsia="zh-CN"/>
              </w:rPr>
              <w:t xml:space="preserve">               1,810 </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4A6728" w:rsidRPr="004A6728" w:rsidRDefault="004A6728" w:rsidP="004A6728">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4A6728">
              <w:rPr>
                <w:rFonts w:ascii="Arial" w:hAnsi="Arial" w:cs="Arial"/>
                <w:b/>
                <w:bCs/>
                <w:color w:val="000000"/>
                <w:sz w:val="20"/>
                <w:lang w:val="en-US" w:eastAsia="zh-CN"/>
              </w:rPr>
              <w:t xml:space="preserve">               5,075 </w:t>
            </w:r>
          </w:p>
        </w:tc>
      </w:tr>
    </w:tbl>
    <w:p w:rsidR="0022373A" w:rsidRPr="00727AB6" w:rsidRDefault="0022373A" w:rsidP="00284AFF">
      <w:pPr>
        <w:pStyle w:val="Heading5"/>
        <w:jc w:val="both"/>
        <w:rPr>
          <w:lang w:val="en-US"/>
        </w:rPr>
      </w:pPr>
      <w:bookmarkStart w:id="108" w:name="_Toc305764102"/>
      <w:bookmarkStart w:id="109" w:name="_Toc329011646"/>
      <w:r w:rsidRPr="00625FBE">
        <w:rPr>
          <w:lang w:val="en-US"/>
        </w:rPr>
        <w:t xml:space="preserve">Note </w:t>
      </w:r>
      <w:r w:rsidR="00284AFF" w:rsidRPr="00625FBE">
        <w:rPr>
          <w:lang w:val="en-US"/>
        </w:rPr>
        <w:t>20</w:t>
      </w:r>
      <w:r w:rsidRPr="00727AB6">
        <w:rPr>
          <w:lang w:val="en-US"/>
        </w:rPr>
        <w:tab/>
        <w:t>Allocated and unallocated</w:t>
      </w:r>
      <w:r w:rsidR="00C22BFF" w:rsidRPr="00727AB6">
        <w:rPr>
          <w:lang w:val="en-US"/>
        </w:rPr>
        <w:t xml:space="preserve"> extra budgetary funds</w:t>
      </w:r>
      <w:bookmarkEnd w:id="108"/>
      <w:bookmarkEnd w:id="109"/>
    </w:p>
    <w:p w:rsidR="0022373A" w:rsidRDefault="0022373A" w:rsidP="005C41A5">
      <w:pPr>
        <w:jc w:val="both"/>
        <w:rPr>
          <w:lang w:val="en-US"/>
        </w:rPr>
      </w:pPr>
      <w:r w:rsidRPr="00CF1FDC">
        <w:rPr>
          <w:lang w:val="en-US"/>
        </w:rPr>
        <w:t>In accordance with IPSAS 23, the balance of funds at the date of closure represents f</w:t>
      </w:r>
      <w:r w:rsidR="0077765F" w:rsidRPr="00CF1FDC">
        <w:rPr>
          <w:lang w:val="en-US"/>
        </w:rPr>
        <w:t>inancing received and not yet expens</w:t>
      </w:r>
      <w:r w:rsidRPr="00CF1FDC">
        <w:rPr>
          <w:lang w:val="en-US"/>
        </w:rPr>
        <w:t>ed. Balances are presented in the corresponding line of the balance sheet and the movements in these funds are illustrated in the following table, which indicates whether or not the fina</w:t>
      </w:r>
      <w:r w:rsidR="00C834E4" w:rsidRPr="00CF1FDC">
        <w:rPr>
          <w:lang w:val="en-US"/>
        </w:rPr>
        <w:t>ncing is allocated to a project from third party sources or from ITU funding.</w:t>
      </w:r>
    </w:p>
    <w:p w:rsidR="00F52E97" w:rsidRPr="00CF1FDC" w:rsidRDefault="00F52E97" w:rsidP="00A717BA">
      <w:pPr>
        <w:spacing w:before="0"/>
        <w:jc w:val="both"/>
        <w:rPr>
          <w:lang w:val="en-US"/>
        </w:rPr>
      </w:pPr>
    </w:p>
    <w:tbl>
      <w:tblPr>
        <w:tblW w:w="9356" w:type="dxa"/>
        <w:tblLook w:val="04A0" w:firstRow="1" w:lastRow="0" w:firstColumn="1" w:lastColumn="0" w:noHBand="0" w:noVBand="1"/>
      </w:tblPr>
      <w:tblGrid>
        <w:gridCol w:w="2977"/>
        <w:gridCol w:w="1418"/>
        <w:gridCol w:w="1559"/>
        <w:gridCol w:w="1417"/>
        <w:gridCol w:w="1985"/>
      </w:tblGrid>
      <w:tr w:rsidR="001A386C" w:rsidRPr="001A386C" w:rsidTr="001A386C">
        <w:trPr>
          <w:trHeight w:val="1275"/>
        </w:trPr>
        <w:tc>
          <w:tcPr>
            <w:tcW w:w="2977" w:type="dxa"/>
            <w:tcBorders>
              <w:top w:val="nil"/>
              <w:left w:val="nil"/>
              <w:bottom w:val="nil"/>
              <w:right w:val="nil"/>
            </w:tcBorders>
            <w:shd w:val="clear" w:color="auto" w:fill="auto"/>
            <w:noWrap/>
            <w:vAlign w:val="center"/>
            <w:hideMark/>
          </w:tcPr>
          <w:p w:rsidR="001A386C" w:rsidRPr="001A386C" w:rsidRDefault="001A386C" w:rsidP="001A386C">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szCs w:val="24"/>
                <w:lang w:val="en-US" w:eastAsia="zh-CN"/>
              </w:rPr>
            </w:pPr>
            <w:bookmarkStart w:id="110" w:name="_Toc305764103"/>
            <w:bookmarkStart w:id="111" w:name="_Toc329011647"/>
          </w:p>
        </w:tc>
        <w:tc>
          <w:tcPr>
            <w:tcW w:w="1418" w:type="dxa"/>
            <w:tcBorders>
              <w:top w:val="single" w:sz="4" w:space="0" w:color="auto"/>
              <w:left w:val="single" w:sz="4" w:space="0" w:color="auto"/>
              <w:bottom w:val="nil"/>
              <w:right w:val="single" w:sz="4" w:space="0" w:color="auto"/>
            </w:tcBorders>
            <w:shd w:val="clear" w:color="auto" w:fill="auto"/>
            <w:vAlign w:val="center"/>
            <w:hideMark/>
          </w:tcPr>
          <w:p w:rsidR="001A386C" w:rsidRPr="001A386C" w:rsidRDefault="001A386C" w:rsidP="001A386C">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en-US" w:eastAsia="zh-CN"/>
              </w:rPr>
            </w:pPr>
            <w:r w:rsidRPr="001A386C">
              <w:rPr>
                <w:rFonts w:ascii="Arial" w:hAnsi="Arial" w:cs="Arial"/>
                <w:sz w:val="20"/>
                <w:lang w:val="en-US" w:eastAsia="zh-CN"/>
              </w:rPr>
              <w:t xml:space="preserve"> Third-party funds allocated </w:t>
            </w:r>
          </w:p>
        </w:tc>
        <w:tc>
          <w:tcPr>
            <w:tcW w:w="1559" w:type="dxa"/>
            <w:tcBorders>
              <w:top w:val="single" w:sz="4" w:space="0" w:color="auto"/>
              <w:left w:val="nil"/>
              <w:bottom w:val="nil"/>
              <w:right w:val="single" w:sz="4" w:space="0" w:color="auto"/>
            </w:tcBorders>
            <w:shd w:val="clear" w:color="auto" w:fill="auto"/>
            <w:vAlign w:val="center"/>
            <w:hideMark/>
          </w:tcPr>
          <w:p w:rsidR="001A386C" w:rsidRPr="001A386C" w:rsidRDefault="001A386C" w:rsidP="001A386C">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en-US" w:eastAsia="zh-CN"/>
              </w:rPr>
            </w:pPr>
            <w:r w:rsidRPr="001A386C">
              <w:rPr>
                <w:rFonts w:ascii="Arial" w:hAnsi="Arial" w:cs="Arial"/>
                <w:sz w:val="20"/>
                <w:lang w:val="en-US" w:eastAsia="zh-CN"/>
              </w:rPr>
              <w:t xml:space="preserve"> Third-party funds awaiting allocation </w:t>
            </w:r>
          </w:p>
        </w:tc>
        <w:tc>
          <w:tcPr>
            <w:tcW w:w="1417" w:type="dxa"/>
            <w:tcBorders>
              <w:top w:val="single" w:sz="4" w:space="0" w:color="auto"/>
              <w:left w:val="nil"/>
              <w:bottom w:val="nil"/>
              <w:right w:val="single" w:sz="4" w:space="0" w:color="auto"/>
            </w:tcBorders>
            <w:shd w:val="clear" w:color="auto" w:fill="auto"/>
            <w:vAlign w:val="center"/>
            <w:hideMark/>
          </w:tcPr>
          <w:p w:rsidR="001A386C" w:rsidRPr="001A386C" w:rsidRDefault="001A386C" w:rsidP="001A386C">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A386C">
              <w:rPr>
                <w:rFonts w:ascii="Arial" w:hAnsi="Arial" w:cs="Arial"/>
                <w:b/>
                <w:bCs/>
                <w:sz w:val="20"/>
                <w:lang w:val="en-US" w:eastAsia="zh-CN"/>
              </w:rPr>
              <w:t xml:space="preserve"> Total third-party funds </w:t>
            </w:r>
          </w:p>
        </w:tc>
        <w:tc>
          <w:tcPr>
            <w:tcW w:w="1985" w:type="dxa"/>
            <w:tcBorders>
              <w:top w:val="single" w:sz="4" w:space="0" w:color="auto"/>
              <w:left w:val="nil"/>
              <w:bottom w:val="nil"/>
              <w:right w:val="single" w:sz="4" w:space="0" w:color="auto"/>
            </w:tcBorders>
            <w:shd w:val="clear" w:color="auto" w:fill="auto"/>
            <w:vAlign w:val="center"/>
            <w:hideMark/>
          </w:tcPr>
          <w:p w:rsidR="001A386C" w:rsidRPr="001A386C" w:rsidRDefault="001A386C" w:rsidP="001A386C">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A386C">
              <w:rPr>
                <w:rFonts w:ascii="Arial" w:hAnsi="Arial" w:cs="Arial"/>
                <w:b/>
                <w:bCs/>
                <w:sz w:val="20"/>
                <w:lang w:val="en-US" w:eastAsia="zh-CN"/>
              </w:rPr>
              <w:t xml:space="preserve"> Own funds allocated to Extra-budge</w:t>
            </w:r>
            <w:r>
              <w:rPr>
                <w:rFonts w:ascii="Arial" w:hAnsi="Arial" w:cs="Arial"/>
                <w:b/>
                <w:bCs/>
                <w:sz w:val="20"/>
                <w:lang w:val="en-US" w:eastAsia="zh-CN"/>
              </w:rPr>
              <w:t>t</w:t>
            </w:r>
            <w:r w:rsidRPr="001A386C">
              <w:rPr>
                <w:rFonts w:ascii="Arial" w:hAnsi="Arial" w:cs="Arial"/>
                <w:b/>
                <w:bCs/>
                <w:sz w:val="20"/>
                <w:lang w:val="en-US" w:eastAsia="zh-CN"/>
              </w:rPr>
              <w:t xml:space="preserve">ary projects </w:t>
            </w:r>
          </w:p>
        </w:tc>
      </w:tr>
      <w:tr w:rsidR="001A386C" w:rsidRPr="001A386C" w:rsidTr="001A386C">
        <w:trPr>
          <w:trHeight w:val="255"/>
        </w:trPr>
        <w:tc>
          <w:tcPr>
            <w:tcW w:w="2977" w:type="dxa"/>
            <w:tcBorders>
              <w:top w:val="single" w:sz="4" w:space="0" w:color="auto"/>
              <w:left w:val="single" w:sz="4" w:space="0" w:color="auto"/>
              <w:bottom w:val="single" w:sz="4" w:space="0" w:color="auto"/>
              <w:right w:val="nil"/>
            </w:tcBorders>
            <w:shd w:val="clear" w:color="auto" w:fill="auto"/>
            <w:noWrap/>
            <w:vAlign w:val="bottom"/>
            <w:hideMark/>
          </w:tcPr>
          <w:p w:rsidR="001A386C" w:rsidRPr="001A386C" w:rsidRDefault="001A386C" w:rsidP="001A386C">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20"/>
                <w:lang w:val="en-US" w:eastAsia="zh-CN"/>
              </w:rPr>
            </w:pPr>
            <w:r w:rsidRPr="001A386C">
              <w:rPr>
                <w:rFonts w:ascii="Arial" w:hAnsi="Arial" w:cs="Arial"/>
                <w:b/>
                <w:bCs/>
                <w:color w:val="000000"/>
                <w:sz w:val="20"/>
                <w:lang w:val="en-US" w:eastAsia="zh-CN"/>
              </w:rPr>
              <w:t>Balance at 31.12.2016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386C" w:rsidRPr="001A386C" w:rsidRDefault="001A386C" w:rsidP="001A386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20"/>
                <w:lang w:val="en-US" w:eastAsia="zh-CN"/>
              </w:rPr>
            </w:pPr>
            <w:r w:rsidRPr="001A386C">
              <w:rPr>
                <w:rFonts w:ascii="Arial" w:hAnsi="Arial" w:cs="Arial"/>
                <w:sz w:val="20"/>
                <w:lang w:val="en-US" w:eastAsia="zh-CN"/>
              </w:rPr>
              <w:t xml:space="preserve">          23,612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1A386C" w:rsidRPr="001A386C" w:rsidRDefault="001A386C" w:rsidP="001A386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20"/>
                <w:lang w:val="en-US" w:eastAsia="zh-CN"/>
              </w:rPr>
            </w:pPr>
            <w:r w:rsidRPr="001A386C">
              <w:rPr>
                <w:rFonts w:ascii="Arial" w:hAnsi="Arial" w:cs="Arial"/>
                <w:sz w:val="20"/>
                <w:lang w:val="en-US" w:eastAsia="zh-CN"/>
              </w:rPr>
              <w:t xml:space="preserve">           3,813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A386C" w:rsidRPr="001A386C" w:rsidRDefault="001A386C" w:rsidP="001A386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sz w:val="20"/>
                <w:lang w:val="en-US" w:eastAsia="zh-CN"/>
              </w:rPr>
            </w:pPr>
            <w:r w:rsidRPr="001A386C">
              <w:rPr>
                <w:rFonts w:ascii="Arial" w:hAnsi="Arial" w:cs="Arial"/>
                <w:b/>
                <w:bCs/>
                <w:sz w:val="20"/>
                <w:lang w:val="en-US" w:eastAsia="zh-CN"/>
              </w:rPr>
              <w:t xml:space="preserve">         27,425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A386C" w:rsidRPr="001A386C" w:rsidRDefault="001A386C" w:rsidP="001A386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sz w:val="20"/>
                <w:lang w:val="en-US" w:eastAsia="zh-CN"/>
              </w:rPr>
            </w:pPr>
            <w:r w:rsidRPr="001A386C">
              <w:rPr>
                <w:rFonts w:ascii="Arial" w:hAnsi="Arial" w:cs="Arial"/>
                <w:b/>
                <w:bCs/>
                <w:sz w:val="20"/>
                <w:lang w:val="en-US" w:eastAsia="zh-CN"/>
              </w:rPr>
              <w:t xml:space="preserve">             7,654 </w:t>
            </w:r>
          </w:p>
        </w:tc>
      </w:tr>
      <w:tr w:rsidR="001A386C" w:rsidRPr="001A386C" w:rsidTr="001A386C">
        <w:trPr>
          <w:trHeight w:val="255"/>
        </w:trPr>
        <w:tc>
          <w:tcPr>
            <w:tcW w:w="2977" w:type="dxa"/>
            <w:tcBorders>
              <w:top w:val="nil"/>
              <w:left w:val="single" w:sz="4" w:space="0" w:color="auto"/>
              <w:bottom w:val="nil"/>
              <w:right w:val="nil"/>
            </w:tcBorders>
            <w:shd w:val="clear" w:color="auto" w:fill="auto"/>
            <w:noWrap/>
            <w:vAlign w:val="bottom"/>
            <w:hideMark/>
          </w:tcPr>
          <w:p w:rsidR="001A386C" w:rsidRPr="001A386C" w:rsidRDefault="001A386C" w:rsidP="001A386C">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1A386C">
              <w:rPr>
                <w:rFonts w:ascii="Arial" w:hAnsi="Arial" w:cs="Arial"/>
                <w:color w:val="000000"/>
                <w:sz w:val="20"/>
                <w:lang w:val="en-US" w:eastAsia="zh-CN"/>
              </w:rPr>
              <w:t>Increase</w:t>
            </w:r>
          </w:p>
        </w:tc>
        <w:tc>
          <w:tcPr>
            <w:tcW w:w="1418" w:type="dxa"/>
            <w:tcBorders>
              <w:top w:val="nil"/>
              <w:left w:val="single" w:sz="4" w:space="0" w:color="auto"/>
              <w:bottom w:val="nil"/>
              <w:right w:val="single" w:sz="4" w:space="0" w:color="auto"/>
            </w:tcBorders>
            <w:shd w:val="clear" w:color="auto" w:fill="auto"/>
            <w:noWrap/>
            <w:vAlign w:val="bottom"/>
            <w:hideMark/>
          </w:tcPr>
          <w:p w:rsidR="001A386C" w:rsidRPr="001A386C" w:rsidRDefault="001A386C" w:rsidP="001A386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20"/>
                <w:lang w:val="en-US" w:eastAsia="zh-CN"/>
              </w:rPr>
            </w:pPr>
            <w:r w:rsidRPr="001A386C">
              <w:rPr>
                <w:rFonts w:ascii="Arial" w:hAnsi="Arial" w:cs="Arial"/>
                <w:sz w:val="20"/>
                <w:lang w:val="en-US" w:eastAsia="zh-CN"/>
              </w:rPr>
              <w:t xml:space="preserve">          10,189 </w:t>
            </w:r>
          </w:p>
        </w:tc>
        <w:tc>
          <w:tcPr>
            <w:tcW w:w="1559" w:type="dxa"/>
            <w:tcBorders>
              <w:top w:val="nil"/>
              <w:left w:val="nil"/>
              <w:bottom w:val="nil"/>
              <w:right w:val="single" w:sz="4" w:space="0" w:color="auto"/>
            </w:tcBorders>
            <w:shd w:val="clear" w:color="auto" w:fill="auto"/>
            <w:noWrap/>
            <w:vAlign w:val="bottom"/>
            <w:hideMark/>
          </w:tcPr>
          <w:p w:rsidR="001A386C" w:rsidRPr="001A386C" w:rsidRDefault="001A386C" w:rsidP="001A386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20"/>
                <w:lang w:val="en-US" w:eastAsia="zh-CN"/>
              </w:rPr>
            </w:pPr>
            <w:r w:rsidRPr="001A386C">
              <w:rPr>
                <w:rFonts w:ascii="Arial" w:hAnsi="Arial" w:cs="Arial"/>
                <w:sz w:val="20"/>
                <w:lang w:val="en-US" w:eastAsia="zh-CN"/>
              </w:rPr>
              <w:t xml:space="preserve">              686 </w:t>
            </w:r>
          </w:p>
        </w:tc>
        <w:tc>
          <w:tcPr>
            <w:tcW w:w="1417" w:type="dxa"/>
            <w:tcBorders>
              <w:top w:val="nil"/>
              <w:left w:val="nil"/>
              <w:bottom w:val="nil"/>
              <w:right w:val="single" w:sz="4" w:space="0" w:color="auto"/>
            </w:tcBorders>
            <w:shd w:val="clear" w:color="auto" w:fill="auto"/>
            <w:noWrap/>
            <w:vAlign w:val="bottom"/>
            <w:hideMark/>
          </w:tcPr>
          <w:p w:rsidR="001A386C" w:rsidRPr="001A386C" w:rsidRDefault="001A386C" w:rsidP="001A386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sz w:val="20"/>
                <w:lang w:val="en-US" w:eastAsia="zh-CN"/>
              </w:rPr>
            </w:pPr>
            <w:r w:rsidRPr="001A386C">
              <w:rPr>
                <w:rFonts w:ascii="Arial" w:hAnsi="Arial" w:cs="Arial"/>
                <w:b/>
                <w:bCs/>
                <w:sz w:val="20"/>
                <w:lang w:val="en-US" w:eastAsia="zh-CN"/>
              </w:rPr>
              <w:t xml:space="preserve">         10,875 </w:t>
            </w:r>
          </w:p>
        </w:tc>
        <w:tc>
          <w:tcPr>
            <w:tcW w:w="1985" w:type="dxa"/>
            <w:tcBorders>
              <w:top w:val="nil"/>
              <w:left w:val="nil"/>
              <w:bottom w:val="nil"/>
              <w:right w:val="single" w:sz="4" w:space="0" w:color="auto"/>
            </w:tcBorders>
            <w:shd w:val="clear" w:color="auto" w:fill="auto"/>
            <w:noWrap/>
            <w:vAlign w:val="bottom"/>
            <w:hideMark/>
          </w:tcPr>
          <w:p w:rsidR="001A386C" w:rsidRPr="001A386C" w:rsidRDefault="001A386C" w:rsidP="00E32BFB">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sz w:val="20"/>
                <w:lang w:val="en-US" w:eastAsia="zh-CN"/>
              </w:rPr>
            </w:pPr>
            <w:r w:rsidRPr="001A386C">
              <w:rPr>
                <w:rFonts w:ascii="Arial" w:hAnsi="Arial" w:cs="Arial"/>
                <w:b/>
                <w:bCs/>
                <w:sz w:val="20"/>
                <w:lang w:val="en-US" w:eastAsia="zh-CN"/>
              </w:rPr>
              <w:t xml:space="preserve">            </w:t>
            </w:r>
            <w:r w:rsidR="00E32BFB">
              <w:rPr>
                <w:rFonts w:ascii="Arial" w:hAnsi="Arial" w:cs="Arial"/>
                <w:b/>
                <w:bCs/>
                <w:sz w:val="20"/>
                <w:lang w:val="en-US" w:eastAsia="zh-CN"/>
              </w:rPr>
              <w:t>3</w:t>
            </w:r>
            <w:r w:rsidRPr="001A386C">
              <w:rPr>
                <w:rFonts w:ascii="Arial" w:hAnsi="Arial" w:cs="Arial"/>
                <w:b/>
                <w:bCs/>
                <w:sz w:val="20"/>
                <w:lang w:val="en-US" w:eastAsia="zh-CN"/>
              </w:rPr>
              <w:t>,</w:t>
            </w:r>
            <w:r w:rsidR="00E32BFB">
              <w:rPr>
                <w:rFonts w:ascii="Arial" w:hAnsi="Arial" w:cs="Arial"/>
                <w:b/>
                <w:bCs/>
                <w:sz w:val="20"/>
                <w:lang w:val="en-US" w:eastAsia="zh-CN"/>
              </w:rPr>
              <w:t>767</w:t>
            </w:r>
            <w:r w:rsidRPr="001A386C">
              <w:rPr>
                <w:rFonts w:ascii="Arial" w:hAnsi="Arial" w:cs="Arial"/>
                <w:b/>
                <w:bCs/>
                <w:sz w:val="20"/>
                <w:lang w:val="en-US" w:eastAsia="zh-CN"/>
              </w:rPr>
              <w:t xml:space="preserve"> </w:t>
            </w:r>
          </w:p>
        </w:tc>
      </w:tr>
      <w:tr w:rsidR="001A386C" w:rsidRPr="001A386C" w:rsidTr="001A386C">
        <w:trPr>
          <w:trHeight w:val="255"/>
        </w:trPr>
        <w:tc>
          <w:tcPr>
            <w:tcW w:w="2977" w:type="dxa"/>
            <w:tcBorders>
              <w:top w:val="nil"/>
              <w:left w:val="single" w:sz="4" w:space="0" w:color="auto"/>
              <w:bottom w:val="nil"/>
              <w:right w:val="nil"/>
            </w:tcBorders>
            <w:shd w:val="clear" w:color="auto" w:fill="auto"/>
            <w:noWrap/>
            <w:vAlign w:val="bottom"/>
            <w:hideMark/>
          </w:tcPr>
          <w:p w:rsidR="001A386C" w:rsidRPr="001A386C" w:rsidRDefault="001A386C" w:rsidP="001A386C">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1A386C">
              <w:rPr>
                <w:rFonts w:ascii="Arial" w:hAnsi="Arial" w:cs="Arial"/>
                <w:color w:val="000000"/>
                <w:sz w:val="20"/>
                <w:lang w:val="en-US" w:eastAsia="zh-CN"/>
              </w:rPr>
              <w:t>Decrease</w:t>
            </w:r>
          </w:p>
        </w:tc>
        <w:tc>
          <w:tcPr>
            <w:tcW w:w="1418" w:type="dxa"/>
            <w:tcBorders>
              <w:top w:val="nil"/>
              <w:left w:val="single" w:sz="4" w:space="0" w:color="auto"/>
              <w:bottom w:val="nil"/>
              <w:right w:val="single" w:sz="4" w:space="0" w:color="auto"/>
            </w:tcBorders>
            <w:shd w:val="clear" w:color="auto" w:fill="auto"/>
            <w:noWrap/>
            <w:vAlign w:val="bottom"/>
            <w:hideMark/>
          </w:tcPr>
          <w:p w:rsidR="001A386C" w:rsidRPr="001A386C" w:rsidRDefault="001A386C" w:rsidP="001A386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20"/>
                <w:lang w:val="en-US" w:eastAsia="zh-CN"/>
              </w:rPr>
            </w:pPr>
            <w:r w:rsidRPr="001A386C">
              <w:rPr>
                <w:rFonts w:ascii="Arial" w:hAnsi="Arial" w:cs="Arial"/>
                <w:sz w:val="20"/>
                <w:lang w:val="en-US" w:eastAsia="zh-CN"/>
              </w:rPr>
              <w:t xml:space="preserve">   -10,807 </w:t>
            </w:r>
          </w:p>
        </w:tc>
        <w:tc>
          <w:tcPr>
            <w:tcW w:w="1559" w:type="dxa"/>
            <w:tcBorders>
              <w:top w:val="nil"/>
              <w:left w:val="nil"/>
              <w:bottom w:val="nil"/>
              <w:right w:val="single" w:sz="4" w:space="0" w:color="auto"/>
            </w:tcBorders>
            <w:shd w:val="clear" w:color="auto" w:fill="auto"/>
            <w:noWrap/>
            <w:vAlign w:val="bottom"/>
            <w:hideMark/>
          </w:tcPr>
          <w:p w:rsidR="001A386C" w:rsidRPr="001A386C" w:rsidRDefault="001A386C" w:rsidP="001A386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20"/>
                <w:lang w:val="en-US" w:eastAsia="zh-CN"/>
              </w:rPr>
            </w:pPr>
            <w:r w:rsidRPr="001A386C">
              <w:rPr>
                <w:rFonts w:ascii="Arial" w:hAnsi="Arial" w:cs="Arial"/>
                <w:sz w:val="20"/>
                <w:lang w:val="en-US" w:eastAsia="zh-CN"/>
              </w:rPr>
              <w:t xml:space="preserve">     -1,199 </w:t>
            </w:r>
          </w:p>
        </w:tc>
        <w:tc>
          <w:tcPr>
            <w:tcW w:w="1417" w:type="dxa"/>
            <w:tcBorders>
              <w:top w:val="nil"/>
              <w:left w:val="nil"/>
              <w:bottom w:val="nil"/>
              <w:right w:val="single" w:sz="4" w:space="0" w:color="auto"/>
            </w:tcBorders>
            <w:shd w:val="clear" w:color="auto" w:fill="auto"/>
            <w:noWrap/>
            <w:vAlign w:val="bottom"/>
            <w:hideMark/>
          </w:tcPr>
          <w:p w:rsidR="001A386C" w:rsidRPr="001A386C" w:rsidRDefault="001A386C" w:rsidP="001A386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sz w:val="20"/>
                <w:lang w:val="en-US" w:eastAsia="zh-CN"/>
              </w:rPr>
            </w:pPr>
            <w:r w:rsidRPr="001A386C">
              <w:rPr>
                <w:rFonts w:ascii="Arial" w:hAnsi="Arial" w:cs="Arial"/>
                <w:b/>
                <w:bCs/>
                <w:sz w:val="20"/>
                <w:lang w:val="en-US" w:eastAsia="zh-CN"/>
              </w:rPr>
              <w:t xml:space="preserve">        -12,006 </w:t>
            </w:r>
          </w:p>
        </w:tc>
        <w:tc>
          <w:tcPr>
            <w:tcW w:w="1985" w:type="dxa"/>
            <w:tcBorders>
              <w:top w:val="nil"/>
              <w:left w:val="nil"/>
              <w:bottom w:val="nil"/>
              <w:right w:val="single" w:sz="4" w:space="0" w:color="auto"/>
            </w:tcBorders>
            <w:shd w:val="clear" w:color="auto" w:fill="auto"/>
            <w:noWrap/>
            <w:vAlign w:val="bottom"/>
            <w:hideMark/>
          </w:tcPr>
          <w:p w:rsidR="001A386C" w:rsidRPr="001A386C" w:rsidRDefault="001A386C" w:rsidP="001A386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sz w:val="20"/>
                <w:lang w:val="en-US" w:eastAsia="zh-CN"/>
              </w:rPr>
            </w:pPr>
            <w:r w:rsidRPr="001A386C">
              <w:rPr>
                <w:rFonts w:ascii="Arial" w:hAnsi="Arial" w:cs="Arial"/>
                <w:b/>
                <w:bCs/>
                <w:sz w:val="20"/>
                <w:lang w:val="en-US" w:eastAsia="zh-CN"/>
              </w:rPr>
              <w:t xml:space="preserve">            -4,382 </w:t>
            </w:r>
          </w:p>
        </w:tc>
      </w:tr>
      <w:tr w:rsidR="001A386C" w:rsidRPr="001A386C" w:rsidTr="001A386C">
        <w:trPr>
          <w:trHeight w:val="255"/>
        </w:trPr>
        <w:tc>
          <w:tcPr>
            <w:tcW w:w="2977" w:type="dxa"/>
            <w:tcBorders>
              <w:top w:val="nil"/>
              <w:left w:val="single" w:sz="4" w:space="0" w:color="auto"/>
              <w:bottom w:val="nil"/>
              <w:right w:val="nil"/>
            </w:tcBorders>
            <w:shd w:val="clear" w:color="auto" w:fill="auto"/>
            <w:noWrap/>
            <w:vAlign w:val="bottom"/>
            <w:hideMark/>
          </w:tcPr>
          <w:p w:rsidR="001A386C" w:rsidRPr="001A386C" w:rsidRDefault="001A386C" w:rsidP="001A386C">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1A386C">
              <w:rPr>
                <w:rFonts w:ascii="Arial" w:hAnsi="Arial" w:cs="Arial"/>
                <w:color w:val="000000"/>
                <w:sz w:val="20"/>
                <w:lang w:val="en-US" w:eastAsia="zh-CN"/>
              </w:rPr>
              <w:t> </w:t>
            </w:r>
          </w:p>
        </w:tc>
        <w:tc>
          <w:tcPr>
            <w:tcW w:w="1418" w:type="dxa"/>
            <w:tcBorders>
              <w:top w:val="nil"/>
              <w:left w:val="single" w:sz="4" w:space="0" w:color="auto"/>
              <w:bottom w:val="nil"/>
              <w:right w:val="single" w:sz="4" w:space="0" w:color="auto"/>
            </w:tcBorders>
            <w:shd w:val="clear" w:color="auto" w:fill="auto"/>
            <w:noWrap/>
            <w:vAlign w:val="bottom"/>
            <w:hideMark/>
          </w:tcPr>
          <w:p w:rsidR="001A386C" w:rsidRPr="001A386C" w:rsidRDefault="001A386C" w:rsidP="001A386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20"/>
                <w:lang w:val="en-US" w:eastAsia="zh-CN"/>
              </w:rPr>
            </w:pPr>
            <w:r w:rsidRPr="001A386C">
              <w:rPr>
                <w:rFonts w:ascii="Arial" w:hAnsi="Arial" w:cs="Arial"/>
                <w:sz w:val="20"/>
                <w:lang w:val="en-US" w:eastAsia="zh-CN"/>
              </w:rPr>
              <w:t> </w:t>
            </w:r>
          </w:p>
        </w:tc>
        <w:tc>
          <w:tcPr>
            <w:tcW w:w="1559" w:type="dxa"/>
            <w:tcBorders>
              <w:top w:val="nil"/>
              <w:left w:val="nil"/>
              <w:bottom w:val="nil"/>
              <w:right w:val="single" w:sz="4" w:space="0" w:color="auto"/>
            </w:tcBorders>
            <w:shd w:val="clear" w:color="auto" w:fill="auto"/>
            <w:noWrap/>
            <w:vAlign w:val="bottom"/>
            <w:hideMark/>
          </w:tcPr>
          <w:p w:rsidR="001A386C" w:rsidRPr="001A386C" w:rsidRDefault="001A386C" w:rsidP="001A386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20"/>
                <w:lang w:val="en-US" w:eastAsia="zh-CN"/>
              </w:rPr>
            </w:pPr>
            <w:r w:rsidRPr="001A386C">
              <w:rPr>
                <w:rFonts w:ascii="Arial" w:hAnsi="Arial" w:cs="Arial"/>
                <w:sz w:val="20"/>
                <w:lang w:val="en-US" w:eastAsia="zh-CN"/>
              </w:rPr>
              <w:t> </w:t>
            </w:r>
          </w:p>
        </w:tc>
        <w:tc>
          <w:tcPr>
            <w:tcW w:w="1417" w:type="dxa"/>
            <w:tcBorders>
              <w:top w:val="nil"/>
              <w:left w:val="nil"/>
              <w:bottom w:val="nil"/>
              <w:right w:val="single" w:sz="4" w:space="0" w:color="auto"/>
            </w:tcBorders>
            <w:shd w:val="clear" w:color="auto" w:fill="auto"/>
            <w:noWrap/>
            <w:vAlign w:val="bottom"/>
            <w:hideMark/>
          </w:tcPr>
          <w:p w:rsidR="001A386C" w:rsidRPr="001A386C" w:rsidRDefault="001A386C" w:rsidP="001A386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sz w:val="20"/>
                <w:lang w:val="en-US" w:eastAsia="zh-CN"/>
              </w:rPr>
            </w:pPr>
            <w:r w:rsidRPr="001A386C">
              <w:rPr>
                <w:rFonts w:ascii="Arial" w:hAnsi="Arial" w:cs="Arial"/>
                <w:b/>
                <w:bCs/>
                <w:sz w:val="20"/>
                <w:lang w:val="en-US" w:eastAsia="zh-CN"/>
              </w:rPr>
              <w:t> </w:t>
            </w:r>
          </w:p>
        </w:tc>
        <w:tc>
          <w:tcPr>
            <w:tcW w:w="1985" w:type="dxa"/>
            <w:tcBorders>
              <w:top w:val="nil"/>
              <w:left w:val="nil"/>
              <w:bottom w:val="nil"/>
              <w:right w:val="single" w:sz="4" w:space="0" w:color="auto"/>
            </w:tcBorders>
            <w:shd w:val="clear" w:color="auto" w:fill="auto"/>
            <w:noWrap/>
            <w:vAlign w:val="bottom"/>
            <w:hideMark/>
          </w:tcPr>
          <w:p w:rsidR="001A386C" w:rsidRPr="001A386C" w:rsidRDefault="001A386C" w:rsidP="001A386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sz w:val="20"/>
                <w:lang w:val="en-US" w:eastAsia="zh-CN"/>
              </w:rPr>
            </w:pPr>
            <w:r w:rsidRPr="001A386C">
              <w:rPr>
                <w:rFonts w:ascii="Arial" w:hAnsi="Arial" w:cs="Arial"/>
                <w:b/>
                <w:bCs/>
                <w:sz w:val="20"/>
                <w:lang w:val="en-US" w:eastAsia="zh-CN"/>
              </w:rPr>
              <w:t> </w:t>
            </w:r>
          </w:p>
        </w:tc>
      </w:tr>
      <w:tr w:rsidR="001A386C" w:rsidRPr="001A386C" w:rsidTr="001A386C">
        <w:trPr>
          <w:trHeight w:val="255"/>
        </w:trPr>
        <w:tc>
          <w:tcPr>
            <w:tcW w:w="2977" w:type="dxa"/>
            <w:tcBorders>
              <w:top w:val="single" w:sz="4" w:space="0" w:color="auto"/>
              <w:left w:val="single" w:sz="4" w:space="0" w:color="auto"/>
              <w:bottom w:val="single" w:sz="4" w:space="0" w:color="auto"/>
              <w:right w:val="nil"/>
            </w:tcBorders>
            <w:shd w:val="clear" w:color="auto" w:fill="auto"/>
            <w:noWrap/>
            <w:vAlign w:val="bottom"/>
            <w:hideMark/>
          </w:tcPr>
          <w:p w:rsidR="001A386C" w:rsidRPr="001A386C" w:rsidRDefault="001A386C" w:rsidP="001A386C">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20"/>
                <w:lang w:val="en-US" w:eastAsia="zh-CN"/>
              </w:rPr>
            </w:pPr>
            <w:r w:rsidRPr="001A386C">
              <w:rPr>
                <w:rFonts w:ascii="Arial" w:hAnsi="Arial" w:cs="Arial"/>
                <w:b/>
                <w:bCs/>
                <w:color w:val="000000"/>
                <w:sz w:val="20"/>
                <w:lang w:val="en-US" w:eastAsia="zh-CN"/>
              </w:rPr>
              <w:t>Closing balances 31.12.2017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386C" w:rsidRPr="001A386C" w:rsidRDefault="001A386C" w:rsidP="001A386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20"/>
                <w:lang w:val="en-US" w:eastAsia="zh-CN"/>
              </w:rPr>
            </w:pPr>
            <w:r w:rsidRPr="001A386C">
              <w:rPr>
                <w:rFonts w:ascii="Arial" w:hAnsi="Arial" w:cs="Arial"/>
                <w:sz w:val="20"/>
                <w:lang w:val="en-US" w:eastAsia="zh-CN"/>
              </w:rPr>
              <w:t xml:space="preserve">    22,994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1A386C" w:rsidRPr="001A386C" w:rsidRDefault="001A386C" w:rsidP="001A386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20"/>
                <w:lang w:val="en-US" w:eastAsia="zh-CN"/>
              </w:rPr>
            </w:pPr>
            <w:r w:rsidRPr="001A386C">
              <w:rPr>
                <w:rFonts w:ascii="Arial" w:hAnsi="Arial" w:cs="Arial"/>
                <w:sz w:val="20"/>
                <w:lang w:val="en-US" w:eastAsia="zh-CN"/>
              </w:rPr>
              <w:t xml:space="preserve">      3,300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A386C" w:rsidRPr="001A386C" w:rsidRDefault="001A386C" w:rsidP="001A386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sz w:val="20"/>
                <w:lang w:val="en-US" w:eastAsia="zh-CN"/>
              </w:rPr>
            </w:pPr>
            <w:r w:rsidRPr="001A386C">
              <w:rPr>
                <w:rFonts w:ascii="Arial" w:hAnsi="Arial" w:cs="Arial"/>
                <w:b/>
                <w:bCs/>
                <w:sz w:val="20"/>
                <w:lang w:val="en-US" w:eastAsia="zh-CN"/>
              </w:rPr>
              <w:t xml:space="preserve">       26,294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A386C" w:rsidRPr="001A386C" w:rsidRDefault="001A386C" w:rsidP="00E32BFB">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sz w:val="20"/>
                <w:lang w:val="en-US" w:eastAsia="zh-CN"/>
              </w:rPr>
            </w:pPr>
            <w:r w:rsidRPr="001A386C">
              <w:rPr>
                <w:rFonts w:ascii="Arial" w:hAnsi="Arial" w:cs="Arial"/>
                <w:b/>
                <w:bCs/>
                <w:sz w:val="20"/>
                <w:lang w:val="en-US" w:eastAsia="zh-CN"/>
              </w:rPr>
              <w:t xml:space="preserve">             </w:t>
            </w:r>
            <w:r w:rsidR="00E32BFB">
              <w:rPr>
                <w:rFonts w:ascii="Arial" w:hAnsi="Arial" w:cs="Arial"/>
                <w:b/>
                <w:bCs/>
                <w:sz w:val="20"/>
                <w:lang w:val="en-US" w:eastAsia="zh-CN"/>
              </w:rPr>
              <w:t>7</w:t>
            </w:r>
            <w:r w:rsidRPr="001A386C">
              <w:rPr>
                <w:rFonts w:ascii="Arial" w:hAnsi="Arial" w:cs="Arial"/>
                <w:b/>
                <w:bCs/>
                <w:sz w:val="20"/>
                <w:lang w:val="en-US" w:eastAsia="zh-CN"/>
              </w:rPr>
              <w:t>,</w:t>
            </w:r>
            <w:r w:rsidR="00E32BFB">
              <w:rPr>
                <w:rFonts w:ascii="Arial" w:hAnsi="Arial" w:cs="Arial"/>
                <w:b/>
                <w:bCs/>
                <w:sz w:val="20"/>
                <w:lang w:val="en-US" w:eastAsia="zh-CN"/>
              </w:rPr>
              <w:t>039</w:t>
            </w:r>
            <w:r w:rsidRPr="001A386C">
              <w:rPr>
                <w:rFonts w:ascii="Arial" w:hAnsi="Arial" w:cs="Arial"/>
                <w:b/>
                <w:bCs/>
                <w:sz w:val="20"/>
                <w:lang w:val="en-US" w:eastAsia="zh-CN"/>
              </w:rPr>
              <w:t xml:space="preserve"> </w:t>
            </w:r>
          </w:p>
        </w:tc>
      </w:tr>
    </w:tbl>
    <w:p w:rsidR="004A6728" w:rsidRPr="004A6728" w:rsidRDefault="004A6728" w:rsidP="00625FBE">
      <w:pPr>
        <w:rPr>
          <w:lang w:val="en-US"/>
        </w:rPr>
      </w:pPr>
      <w:r w:rsidRPr="004A6728">
        <w:rPr>
          <w:lang w:val="en-US"/>
        </w:rPr>
        <w:t>There is a slight decrease in third-party funds allocated mainly due to the fact that external contributions and other allocations almost doubled in 2017. The implementation of earmarked projects maintained the same level as in the previous years.</w:t>
      </w:r>
    </w:p>
    <w:p w:rsidR="004A6728" w:rsidRPr="004A6728" w:rsidRDefault="004A6728" w:rsidP="00E61A40">
      <w:pPr>
        <w:rPr>
          <w:lang w:val="en-US"/>
        </w:rPr>
      </w:pPr>
      <w:r w:rsidRPr="004A6728">
        <w:rPr>
          <w:lang w:val="en-US"/>
        </w:rPr>
        <w:t>The decrease in third-party funds awaiting allocation is mainly due to the transfers of funds towards new earmarked projects.</w:t>
      </w:r>
    </w:p>
    <w:p w:rsidR="004A6728" w:rsidRDefault="004A6728" w:rsidP="00D87C36">
      <w:pPr>
        <w:pStyle w:val="Heading5"/>
        <w:tabs>
          <w:tab w:val="left" w:pos="0"/>
        </w:tabs>
        <w:snapToGrid w:val="0"/>
        <w:spacing w:before="120"/>
        <w:ind w:left="0" w:firstLine="0"/>
        <w:rPr>
          <w:b w:val="0"/>
          <w:lang w:val="en-US"/>
        </w:rPr>
      </w:pPr>
      <w:r w:rsidRPr="004A6728">
        <w:rPr>
          <w:b w:val="0"/>
          <w:lang w:val="en-US"/>
        </w:rPr>
        <w:t>The decrease of ITU own funds allocated to projects is related to intensifying efforts in implementing various projects in 2017. There were also some amounts allocated from the 2017 budgetary surplus to BDT and TSB.</w:t>
      </w:r>
    </w:p>
    <w:bookmarkEnd w:id="110"/>
    <w:bookmarkEnd w:id="111"/>
    <w:p w:rsidR="006D6709" w:rsidRPr="00520B2F" w:rsidRDefault="006D6709">
      <w:pPr>
        <w:pStyle w:val="Heading5"/>
        <w:spacing w:before="120" w:after="120"/>
        <w:jc w:val="both"/>
        <w:rPr>
          <w:lang w:val="en-US"/>
        </w:rPr>
      </w:pPr>
      <w:r w:rsidRPr="00966288">
        <w:rPr>
          <w:lang w:val="en-US"/>
        </w:rPr>
        <w:t>Note 21</w:t>
      </w:r>
      <w:r w:rsidRPr="00966288">
        <w:rPr>
          <w:lang w:val="en-US"/>
        </w:rPr>
        <w:tab/>
      </w:r>
      <w:r w:rsidR="00CD7AB9" w:rsidRPr="00966288">
        <w:rPr>
          <w:lang w:val="en-US"/>
        </w:rPr>
        <w:t>Assessed contributions</w:t>
      </w:r>
    </w:p>
    <w:p w:rsidR="0022373A" w:rsidRDefault="0022373A" w:rsidP="001A386C">
      <w:pPr>
        <w:spacing w:before="0"/>
        <w:jc w:val="both"/>
        <w:rPr>
          <w:lang w:val="en-US"/>
        </w:rPr>
      </w:pPr>
      <w:r w:rsidRPr="00C54321">
        <w:rPr>
          <w:lang w:val="en-US"/>
        </w:rPr>
        <w:t>The following table shows the contributions actually p</w:t>
      </w:r>
      <w:r w:rsidR="004737F4" w:rsidRPr="00C54321">
        <w:rPr>
          <w:lang w:val="en-US"/>
        </w:rPr>
        <w:t xml:space="preserve">osted to account during the </w:t>
      </w:r>
      <w:r w:rsidR="00111BDD">
        <w:rPr>
          <w:lang w:val="en-US"/>
        </w:rPr>
        <w:t>201</w:t>
      </w:r>
      <w:r w:rsidR="001A386C">
        <w:rPr>
          <w:lang w:val="en-US"/>
        </w:rPr>
        <w:t>7</w:t>
      </w:r>
      <w:r w:rsidRPr="00C54321">
        <w:rPr>
          <w:lang w:val="en-US"/>
        </w:rPr>
        <w:t xml:space="preserve"> period</w:t>
      </w:r>
      <w:r w:rsidR="004A1FF5">
        <w:rPr>
          <w:lang w:val="en-US"/>
        </w:rPr>
        <w:t>.</w:t>
      </w:r>
    </w:p>
    <w:p w:rsidR="00F3526A" w:rsidRPr="00C54321" w:rsidRDefault="00F3526A" w:rsidP="00F05318">
      <w:pPr>
        <w:spacing w:before="0"/>
        <w:jc w:val="both"/>
        <w:rPr>
          <w:lang w:val="en-US"/>
        </w:rPr>
      </w:pPr>
    </w:p>
    <w:tbl>
      <w:tblPr>
        <w:tblW w:w="9351" w:type="dxa"/>
        <w:jc w:val="center"/>
        <w:tblLayout w:type="fixed"/>
        <w:tblLook w:val="04A0" w:firstRow="1" w:lastRow="0" w:firstColumn="1" w:lastColumn="0" w:noHBand="0" w:noVBand="1"/>
      </w:tblPr>
      <w:tblGrid>
        <w:gridCol w:w="6301"/>
        <w:gridCol w:w="1525"/>
        <w:gridCol w:w="1525"/>
      </w:tblGrid>
      <w:tr w:rsidR="0022373A" w:rsidRPr="00C54321" w:rsidTr="008000A3">
        <w:trPr>
          <w:trHeight w:val="499"/>
          <w:jc w:val="center"/>
        </w:trPr>
        <w:tc>
          <w:tcPr>
            <w:tcW w:w="6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373A" w:rsidRPr="00C54321" w:rsidRDefault="0022373A" w:rsidP="005D3458">
            <w:pPr>
              <w:keepNext/>
              <w:spacing w:before="20" w:after="20"/>
              <w:rPr>
                <w:b/>
                <w:sz w:val="22"/>
                <w:szCs w:val="22"/>
                <w:lang w:val="en-US"/>
              </w:rPr>
            </w:pPr>
            <w:r w:rsidRPr="00A55C36">
              <w:rPr>
                <w:b/>
                <w:sz w:val="22"/>
                <w:szCs w:val="22"/>
                <w:lang w:val="en-US"/>
              </w:rPr>
              <w:t>In thousands of CHF</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73A" w:rsidRPr="00C54321" w:rsidRDefault="0022373A" w:rsidP="001A386C">
            <w:pPr>
              <w:keepNext/>
              <w:tabs>
                <w:tab w:val="clear" w:pos="2835"/>
                <w:tab w:val="left" w:pos="1297"/>
              </w:tabs>
              <w:spacing w:before="20" w:after="20"/>
              <w:jc w:val="center"/>
              <w:rPr>
                <w:b/>
                <w:sz w:val="22"/>
                <w:szCs w:val="22"/>
                <w:lang w:val="en-US"/>
              </w:rPr>
            </w:pPr>
            <w:r w:rsidRPr="00C54321">
              <w:rPr>
                <w:b/>
                <w:sz w:val="22"/>
                <w:szCs w:val="22"/>
                <w:lang w:val="en-US"/>
              </w:rPr>
              <w:t>31.12.</w:t>
            </w:r>
            <w:r w:rsidR="00111BDD">
              <w:rPr>
                <w:b/>
                <w:sz w:val="22"/>
                <w:szCs w:val="22"/>
                <w:lang w:val="en-US"/>
              </w:rPr>
              <w:t>201</w:t>
            </w:r>
            <w:r w:rsidR="001A386C">
              <w:rPr>
                <w:b/>
                <w:sz w:val="22"/>
                <w:szCs w:val="22"/>
                <w:lang w:val="en-US"/>
              </w:rPr>
              <w:t>7</w:t>
            </w:r>
          </w:p>
        </w:tc>
        <w:tc>
          <w:tcPr>
            <w:tcW w:w="1525" w:type="dxa"/>
            <w:tcBorders>
              <w:top w:val="single" w:sz="4" w:space="0" w:color="auto"/>
              <w:left w:val="nil"/>
              <w:bottom w:val="single" w:sz="4" w:space="0" w:color="auto"/>
              <w:right w:val="single" w:sz="4" w:space="0" w:color="auto"/>
            </w:tcBorders>
            <w:vAlign w:val="center"/>
          </w:tcPr>
          <w:p w:rsidR="0022373A" w:rsidRPr="00C54321" w:rsidRDefault="0022373A" w:rsidP="001A386C">
            <w:pPr>
              <w:keepNext/>
              <w:spacing w:before="20" w:after="20"/>
              <w:jc w:val="center"/>
              <w:rPr>
                <w:b/>
                <w:sz w:val="22"/>
                <w:szCs w:val="22"/>
                <w:lang w:val="en-US"/>
              </w:rPr>
            </w:pPr>
            <w:r w:rsidRPr="00C54321">
              <w:rPr>
                <w:b/>
                <w:sz w:val="22"/>
                <w:szCs w:val="22"/>
                <w:lang w:val="en-US"/>
              </w:rPr>
              <w:t>31.12.201</w:t>
            </w:r>
            <w:r w:rsidR="001A386C">
              <w:rPr>
                <w:b/>
                <w:sz w:val="22"/>
                <w:szCs w:val="22"/>
                <w:lang w:val="en-US"/>
              </w:rPr>
              <w:t>6</w:t>
            </w:r>
          </w:p>
        </w:tc>
      </w:tr>
      <w:tr w:rsidR="001A386C" w:rsidRPr="00C54321" w:rsidTr="008000A3">
        <w:trPr>
          <w:trHeight w:val="255"/>
          <w:jc w:val="center"/>
        </w:trPr>
        <w:tc>
          <w:tcPr>
            <w:tcW w:w="6301" w:type="dxa"/>
            <w:tcBorders>
              <w:top w:val="single" w:sz="4" w:space="0" w:color="auto"/>
              <w:left w:val="single" w:sz="4" w:space="0" w:color="auto"/>
              <w:bottom w:val="nil"/>
              <w:right w:val="single" w:sz="4" w:space="0" w:color="auto"/>
            </w:tcBorders>
            <w:shd w:val="clear" w:color="auto" w:fill="auto"/>
            <w:noWrap/>
            <w:vAlign w:val="bottom"/>
          </w:tcPr>
          <w:p w:rsidR="001A386C" w:rsidRPr="00C54321" w:rsidRDefault="001A386C" w:rsidP="001A386C">
            <w:pPr>
              <w:keepNext/>
              <w:spacing w:before="20" w:after="20"/>
              <w:rPr>
                <w:bCs/>
                <w:sz w:val="22"/>
                <w:szCs w:val="22"/>
                <w:lang w:val="en-US"/>
              </w:rPr>
            </w:pPr>
            <w:r w:rsidRPr="00C54321">
              <w:rPr>
                <w:bCs/>
                <w:sz w:val="22"/>
                <w:szCs w:val="22"/>
                <w:lang w:val="en-US"/>
              </w:rPr>
              <w:t>Contributions by Member States</w:t>
            </w:r>
          </w:p>
        </w:tc>
        <w:tc>
          <w:tcPr>
            <w:tcW w:w="1525" w:type="dxa"/>
            <w:tcBorders>
              <w:top w:val="single" w:sz="4" w:space="0" w:color="auto"/>
              <w:left w:val="single" w:sz="4" w:space="0" w:color="auto"/>
              <w:bottom w:val="nil"/>
              <w:right w:val="single" w:sz="4" w:space="0" w:color="auto"/>
            </w:tcBorders>
            <w:shd w:val="clear" w:color="auto" w:fill="auto"/>
            <w:noWrap/>
          </w:tcPr>
          <w:p w:rsidR="001A386C" w:rsidRPr="00673DE2" w:rsidRDefault="001A386C" w:rsidP="001A386C">
            <w:pPr>
              <w:tabs>
                <w:tab w:val="clear" w:pos="1134"/>
              </w:tabs>
              <w:spacing w:before="20" w:after="20"/>
              <w:ind w:right="106"/>
              <w:jc w:val="right"/>
              <w:rPr>
                <w:bCs/>
                <w:sz w:val="22"/>
                <w:szCs w:val="22"/>
                <w:lang w:val="en-US"/>
              </w:rPr>
            </w:pPr>
            <w:r w:rsidRPr="00673DE2">
              <w:rPr>
                <w:bCs/>
                <w:sz w:val="22"/>
                <w:szCs w:val="22"/>
                <w:lang w:val="en-US"/>
              </w:rPr>
              <w:t>10</w:t>
            </w:r>
            <w:r>
              <w:rPr>
                <w:bCs/>
                <w:sz w:val="22"/>
                <w:szCs w:val="22"/>
                <w:lang w:val="en-US"/>
              </w:rPr>
              <w:t>6</w:t>
            </w:r>
            <w:r w:rsidRPr="00673DE2">
              <w:rPr>
                <w:bCs/>
                <w:sz w:val="22"/>
                <w:szCs w:val="22"/>
                <w:lang w:val="en-US"/>
              </w:rPr>
              <w:t>’</w:t>
            </w:r>
            <w:r>
              <w:rPr>
                <w:bCs/>
                <w:sz w:val="22"/>
                <w:szCs w:val="22"/>
                <w:lang w:val="en-US"/>
              </w:rPr>
              <w:t>292</w:t>
            </w:r>
          </w:p>
        </w:tc>
        <w:tc>
          <w:tcPr>
            <w:tcW w:w="1525" w:type="dxa"/>
            <w:tcBorders>
              <w:top w:val="single" w:sz="4" w:space="0" w:color="auto"/>
              <w:left w:val="nil"/>
              <w:bottom w:val="nil"/>
              <w:right w:val="single" w:sz="4" w:space="0" w:color="auto"/>
            </w:tcBorders>
          </w:tcPr>
          <w:p w:rsidR="001A386C" w:rsidRPr="00673DE2" w:rsidRDefault="001A386C" w:rsidP="001A386C">
            <w:pPr>
              <w:tabs>
                <w:tab w:val="clear" w:pos="1134"/>
              </w:tabs>
              <w:spacing w:before="20" w:after="20"/>
              <w:ind w:right="106"/>
              <w:jc w:val="right"/>
              <w:rPr>
                <w:bCs/>
                <w:sz w:val="22"/>
                <w:szCs w:val="22"/>
                <w:lang w:val="en-US"/>
              </w:rPr>
            </w:pPr>
            <w:r w:rsidRPr="00673DE2">
              <w:rPr>
                <w:bCs/>
                <w:sz w:val="22"/>
                <w:szCs w:val="22"/>
                <w:lang w:val="en-US"/>
              </w:rPr>
              <w:t>10</w:t>
            </w:r>
            <w:r>
              <w:rPr>
                <w:bCs/>
                <w:sz w:val="22"/>
                <w:szCs w:val="22"/>
                <w:lang w:val="en-US"/>
              </w:rPr>
              <w:t>6</w:t>
            </w:r>
            <w:r w:rsidRPr="00673DE2">
              <w:rPr>
                <w:bCs/>
                <w:sz w:val="22"/>
                <w:szCs w:val="22"/>
                <w:lang w:val="en-US"/>
              </w:rPr>
              <w:t>’</w:t>
            </w:r>
            <w:r>
              <w:rPr>
                <w:bCs/>
                <w:sz w:val="22"/>
                <w:szCs w:val="22"/>
                <w:lang w:val="en-US"/>
              </w:rPr>
              <w:t>292</w:t>
            </w:r>
          </w:p>
        </w:tc>
      </w:tr>
      <w:tr w:rsidR="001A386C" w:rsidRPr="00C54321" w:rsidTr="008000A3">
        <w:trPr>
          <w:trHeight w:val="20"/>
          <w:jc w:val="center"/>
        </w:trPr>
        <w:tc>
          <w:tcPr>
            <w:tcW w:w="6301" w:type="dxa"/>
            <w:tcBorders>
              <w:left w:val="single" w:sz="4" w:space="0" w:color="auto"/>
              <w:right w:val="single" w:sz="4" w:space="0" w:color="auto"/>
            </w:tcBorders>
            <w:shd w:val="clear" w:color="auto" w:fill="auto"/>
            <w:noWrap/>
            <w:vAlign w:val="center"/>
          </w:tcPr>
          <w:p w:rsidR="001A386C" w:rsidRPr="00C54321" w:rsidRDefault="001A386C" w:rsidP="001A386C">
            <w:pPr>
              <w:keepNext/>
              <w:spacing w:before="20" w:after="20"/>
              <w:rPr>
                <w:bCs/>
                <w:sz w:val="22"/>
                <w:szCs w:val="22"/>
                <w:lang w:val="en-US"/>
              </w:rPr>
            </w:pPr>
            <w:r w:rsidRPr="00C54321">
              <w:rPr>
                <w:bCs/>
                <w:sz w:val="22"/>
                <w:szCs w:val="22"/>
                <w:lang w:val="en-US"/>
              </w:rPr>
              <w:t>Contributions by Sector Members</w:t>
            </w:r>
          </w:p>
        </w:tc>
        <w:tc>
          <w:tcPr>
            <w:tcW w:w="1525" w:type="dxa"/>
            <w:tcBorders>
              <w:left w:val="single" w:sz="4" w:space="0" w:color="auto"/>
              <w:right w:val="single" w:sz="4" w:space="0" w:color="auto"/>
            </w:tcBorders>
            <w:shd w:val="clear" w:color="auto" w:fill="auto"/>
            <w:noWrap/>
          </w:tcPr>
          <w:p w:rsidR="001A386C" w:rsidRPr="00673DE2" w:rsidRDefault="001A386C" w:rsidP="001A386C">
            <w:pPr>
              <w:tabs>
                <w:tab w:val="clear" w:pos="1134"/>
              </w:tabs>
              <w:spacing w:before="20" w:after="20"/>
              <w:ind w:right="106"/>
              <w:jc w:val="right"/>
              <w:rPr>
                <w:bCs/>
                <w:sz w:val="22"/>
                <w:szCs w:val="22"/>
                <w:lang w:val="en-US"/>
              </w:rPr>
            </w:pPr>
            <w:r w:rsidRPr="00673DE2">
              <w:rPr>
                <w:bCs/>
                <w:sz w:val="22"/>
                <w:szCs w:val="22"/>
                <w:lang w:val="en-US"/>
              </w:rPr>
              <w:t>1</w:t>
            </w:r>
            <w:r>
              <w:rPr>
                <w:bCs/>
                <w:sz w:val="22"/>
                <w:szCs w:val="22"/>
                <w:lang w:val="en-US"/>
              </w:rPr>
              <w:t>4</w:t>
            </w:r>
            <w:r w:rsidRPr="00673DE2">
              <w:rPr>
                <w:bCs/>
                <w:sz w:val="22"/>
                <w:szCs w:val="22"/>
                <w:lang w:val="en-US"/>
              </w:rPr>
              <w:t>’</w:t>
            </w:r>
            <w:r>
              <w:rPr>
                <w:bCs/>
                <w:sz w:val="22"/>
                <w:szCs w:val="22"/>
                <w:lang w:val="en-US"/>
              </w:rPr>
              <w:t>210</w:t>
            </w:r>
          </w:p>
        </w:tc>
        <w:tc>
          <w:tcPr>
            <w:tcW w:w="1525" w:type="dxa"/>
            <w:tcBorders>
              <w:left w:val="nil"/>
              <w:right w:val="single" w:sz="4" w:space="0" w:color="auto"/>
            </w:tcBorders>
          </w:tcPr>
          <w:p w:rsidR="001A386C" w:rsidRPr="00673DE2" w:rsidRDefault="001A386C" w:rsidP="001A386C">
            <w:pPr>
              <w:tabs>
                <w:tab w:val="clear" w:pos="1134"/>
              </w:tabs>
              <w:spacing w:before="20" w:after="20"/>
              <w:ind w:right="106"/>
              <w:jc w:val="right"/>
              <w:rPr>
                <w:bCs/>
                <w:sz w:val="22"/>
                <w:szCs w:val="22"/>
                <w:lang w:val="en-US"/>
              </w:rPr>
            </w:pPr>
            <w:r w:rsidRPr="00673DE2">
              <w:rPr>
                <w:bCs/>
                <w:sz w:val="22"/>
                <w:szCs w:val="22"/>
                <w:lang w:val="en-US"/>
              </w:rPr>
              <w:t>1</w:t>
            </w:r>
            <w:r>
              <w:rPr>
                <w:bCs/>
                <w:sz w:val="22"/>
                <w:szCs w:val="22"/>
                <w:lang w:val="en-US"/>
              </w:rPr>
              <w:t>4</w:t>
            </w:r>
            <w:r w:rsidRPr="00673DE2">
              <w:rPr>
                <w:bCs/>
                <w:sz w:val="22"/>
                <w:szCs w:val="22"/>
                <w:lang w:val="en-US"/>
              </w:rPr>
              <w:t>’</w:t>
            </w:r>
            <w:r>
              <w:rPr>
                <w:bCs/>
                <w:sz w:val="22"/>
                <w:szCs w:val="22"/>
                <w:lang w:val="en-US"/>
              </w:rPr>
              <w:t>710</w:t>
            </w:r>
          </w:p>
        </w:tc>
      </w:tr>
      <w:tr w:rsidR="001A386C" w:rsidRPr="00C54321" w:rsidTr="008000A3">
        <w:trPr>
          <w:trHeight w:val="20"/>
          <w:jc w:val="center"/>
        </w:trPr>
        <w:tc>
          <w:tcPr>
            <w:tcW w:w="6301" w:type="dxa"/>
            <w:tcBorders>
              <w:left w:val="single" w:sz="4" w:space="0" w:color="auto"/>
              <w:right w:val="single" w:sz="4" w:space="0" w:color="auto"/>
            </w:tcBorders>
            <w:shd w:val="clear" w:color="auto" w:fill="auto"/>
            <w:noWrap/>
            <w:vAlign w:val="center"/>
          </w:tcPr>
          <w:p w:rsidR="001A386C" w:rsidRPr="00C54321" w:rsidRDefault="001A386C" w:rsidP="001A386C">
            <w:pPr>
              <w:keepNext/>
              <w:spacing w:before="20" w:after="20"/>
              <w:rPr>
                <w:bCs/>
                <w:sz w:val="22"/>
                <w:szCs w:val="22"/>
                <w:lang w:val="en-US"/>
              </w:rPr>
            </w:pPr>
            <w:r w:rsidRPr="00C54321">
              <w:rPr>
                <w:bCs/>
                <w:sz w:val="22"/>
                <w:szCs w:val="22"/>
                <w:lang w:val="en-US"/>
              </w:rPr>
              <w:t>Contributions by Associates</w:t>
            </w:r>
          </w:p>
        </w:tc>
        <w:tc>
          <w:tcPr>
            <w:tcW w:w="1525" w:type="dxa"/>
            <w:tcBorders>
              <w:left w:val="single" w:sz="4" w:space="0" w:color="auto"/>
              <w:right w:val="single" w:sz="4" w:space="0" w:color="auto"/>
            </w:tcBorders>
            <w:shd w:val="clear" w:color="auto" w:fill="auto"/>
            <w:noWrap/>
          </w:tcPr>
          <w:p w:rsidR="001A386C" w:rsidRPr="00634F18" w:rsidRDefault="001A386C" w:rsidP="001A386C">
            <w:pPr>
              <w:tabs>
                <w:tab w:val="clear" w:pos="1134"/>
              </w:tabs>
              <w:spacing w:before="20" w:after="20"/>
              <w:ind w:right="106"/>
              <w:jc w:val="right"/>
              <w:rPr>
                <w:bCs/>
                <w:sz w:val="22"/>
                <w:szCs w:val="22"/>
                <w:lang w:val="en-US"/>
              </w:rPr>
            </w:pPr>
            <w:r w:rsidRPr="00634F18">
              <w:rPr>
                <w:bCs/>
                <w:sz w:val="22"/>
                <w:szCs w:val="22"/>
                <w:lang w:val="en-US"/>
              </w:rPr>
              <w:t>1’</w:t>
            </w:r>
            <w:r>
              <w:rPr>
                <w:bCs/>
                <w:sz w:val="22"/>
                <w:szCs w:val="22"/>
                <w:lang w:val="en-US"/>
              </w:rPr>
              <w:t>577</w:t>
            </w:r>
          </w:p>
        </w:tc>
        <w:tc>
          <w:tcPr>
            <w:tcW w:w="1525" w:type="dxa"/>
            <w:tcBorders>
              <w:left w:val="nil"/>
              <w:right w:val="single" w:sz="4" w:space="0" w:color="auto"/>
            </w:tcBorders>
          </w:tcPr>
          <w:p w:rsidR="001A386C" w:rsidRPr="00634F18" w:rsidRDefault="001A386C" w:rsidP="001A386C">
            <w:pPr>
              <w:tabs>
                <w:tab w:val="clear" w:pos="1134"/>
              </w:tabs>
              <w:spacing w:before="20" w:after="20"/>
              <w:ind w:right="106"/>
              <w:jc w:val="right"/>
              <w:rPr>
                <w:bCs/>
                <w:sz w:val="22"/>
                <w:szCs w:val="22"/>
                <w:lang w:val="en-US"/>
              </w:rPr>
            </w:pPr>
            <w:r w:rsidRPr="00634F18">
              <w:rPr>
                <w:bCs/>
                <w:sz w:val="22"/>
                <w:szCs w:val="22"/>
                <w:lang w:val="en-US"/>
              </w:rPr>
              <w:t>1’</w:t>
            </w:r>
            <w:r>
              <w:rPr>
                <w:bCs/>
                <w:sz w:val="22"/>
                <w:szCs w:val="22"/>
                <w:lang w:val="en-US"/>
              </w:rPr>
              <w:t>587</w:t>
            </w:r>
          </w:p>
        </w:tc>
      </w:tr>
      <w:tr w:rsidR="001A386C" w:rsidRPr="00C54321" w:rsidTr="008000A3">
        <w:trPr>
          <w:trHeight w:val="20"/>
          <w:jc w:val="center"/>
        </w:trPr>
        <w:tc>
          <w:tcPr>
            <w:tcW w:w="6301" w:type="dxa"/>
            <w:tcBorders>
              <w:left w:val="single" w:sz="4" w:space="0" w:color="auto"/>
              <w:right w:val="single" w:sz="4" w:space="0" w:color="auto"/>
            </w:tcBorders>
            <w:shd w:val="clear" w:color="auto" w:fill="auto"/>
            <w:noWrap/>
            <w:vAlign w:val="center"/>
          </w:tcPr>
          <w:p w:rsidR="001A386C" w:rsidRPr="00C54321" w:rsidRDefault="001A386C" w:rsidP="001A386C">
            <w:pPr>
              <w:keepNext/>
              <w:spacing w:before="20" w:after="20"/>
              <w:rPr>
                <w:bCs/>
                <w:sz w:val="22"/>
                <w:szCs w:val="22"/>
                <w:lang w:val="en-US"/>
              </w:rPr>
            </w:pPr>
            <w:r w:rsidRPr="00C54321">
              <w:rPr>
                <w:bCs/>
                <w:sz w:val="22"/>
                <w:szCs w:val="22"/>
                <w:lang w:val="en-US"/>
              </w:rPr>
              <w:t>Contributions by A</w:t>
            </w:r>
            <w:r>
              <w:rPr>
                <w:bCs/>
                <w:sz w:val="22"/>
                <w:szCs w:val="22"/>
                <w:lang w:val="en-US"/>
              </w:rPr>
              <w:t>cademia’s</w:t>
            </w:r>
          </w:p>
        </w:tc>
        <w:tc>
          <w:tcPr>
            <w:tcW w:w="1525" w:type="dxa"/>
            <w:tcBorders>
              <w:left w:val="single" w:sz="4" w:space="0" w:color="auto"/>
              <w:right w:val="single" w:sz="4" w:space="0" w:color="auto"/>
            </w:tcBorders>
            <w:shd w:val="clear" w:color="auto" w:fill="auto"/>
            <w:noWrap/>
          </w:tcPr>
          <w:p w:rsidR="001A386C" w:rsidRPr="00634F18" w:rsidRDefault="001A386C" w:rsidP="001A386C">
            <w:pPr>
              <w:tabs>
                <w:tab w:val="clear" w:pos="1134"/>
              </w:tabs>
              <w:spacing w:before="20" w:after="20"/>
              <w:ind w:right="106"/>
              <w:jc w:val="right"/>
              <w:rPr>
                <w:bCs/>
                <w:sz w:val="22"/>
                <w:szCs w:val="22"/>
                <w:lang w:val="en-US"/>
              </w:rPr>
            </w:pPr>
            <w:r>
              <w:rPr>
                <w:bCs/>
                <w:sz w:val="22"/>
                <w:szCs w:val="22"/>
                <w:lang w:val="en-US"/>
              </w:rPr>
              <w:t>306</w:t>
            </w:r>
          </w:p>
        </w:tc>
        <w:tc>
          <w:tcPr>
            <w:tcW w:w="1525" w:type="dxa"/>
            <w:tcBorders>
              <w:left w:val="nil"/>
              <w:right w:val="single" w:sz="4" w:space="0" w:color="auto"/>
            </w:tcBorders>
          </w:tcPr>
          <w:p w:rsidR="001A386C" w:rsidRPr="00634F18" w:rsidRDefault="001A386C" w:rsidP="001A386C">
            <w:pPr>
              <w:tabs>
                <w:tab w:val="clear" w:pos="1134"/>
              </w:tabs>
              <w:spacing w:before="20" w:after="20"/>
              <w:ind w:right="106"/>
              <w:jc w:val="right"/>
              <w:rPr>
                <w:bCs/>
                <w:sz w:val="22"/>
                <w:szCs w:val="22"/>
                <w:lang w:val="en-US"/>
              </w:rPr>
            </w:pPr>
            <w:r w:rsidRPr="00634F18">
              <w:rPr>
                <w:bCs/>
                <w:sz w:val="22"/>
                <w:szCs w:val="22"/>
                <w:lang w:val="en-US"/>
              </w:rPr>
              <w:t>2</w:t>
            </w:r>
            <w:r>
              <w:rPr>
                <w:bCs/>
                <w:sz w:val="22"/>
                <w:szCs w:val="22"/>
                <w:lang w:val="en-US"/>
              </w:rPr>
              <w:t>99</w:t>
            </w:r>
          </w:p>
        </w:tc>
      </w:tr>
      <w:tr w:rsidR="001A386C" w:rsidRPr="00C54321" w:rsidTr="008000A3">
        <w:trPr>
          <w:trHeight w:val="20"/>
          <w:jc w:val="center"/>
        </w:trPr>
        <w:tc>
          <w:tcPr>
            <w:tcW w:w="63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86C" w:rsidRPr="00C54321" w:rsidRDefault="001A386C" w:rsidP="001A386C">
            <w:pPr>
              <w:spacing w:before="20" w:after="20"/>
              <w:rPr>
                <w:b/>
                <w:sz w:val="22"/>
                <w:szCs w:val="22"/>
                <w:lang w:val="en-US"/>
              </w:rPr>
            </w:pPr>
            <w:r w:rsidRPr="00C54321">
              <w:rPr>
                <w:b/>
                <w:sz w:val="22"/>
                <w:szCs w:val="22"/>
                <w:lang w:val="en-US"/>
              </w:rPr>
              <w:t>Assessed contributions</w:t>
            </w:r>
          </w:p>
        </w:tc>
        <w:tc>
          <w:tcPr>
            <w:tcW w:w="1525" w:type="dxa"/>
            <w:tcBorders>
              <w:top w:val="single" w:sz="4" w:space="0" w:color="auto"/>
              <w:left w:val="single" w:sz="4" w:space="0" w:color="auto"/>
              <w:bottom w:val="single" w:sz="4" w:space="0" w:color="auto"/>
              <w:right w:val="single" w:sz="4" w:space="0" w:color="auto"/>
            </w:tcBorders>
            <w:shd w:val="clear" w:color="auto" w:fill="auto"/>
            <w:noWrap/>
          </w:tcPr>
          <w:p w:rsidR="001A386C" w:rsidRPr="00634F18" w:rsidRDefault="001A386C" w:rsidP="001A386C">
            <w:pPr>
              <w:tabs>
                <w:tab w:val="clear" w:pos="1134"/>
              </w:tabs>
              <w:spacing w:before="20" w:after="20"/>
              <w:ind w:right="106"/>
              <w:jc w:val="right"/>
              <w:rPr>
                <w:b/>
                <w:sz w:val="22"/>
                <w:szCs w:val="22"/>
                <w:lang w:val="en-US"/>
              </w:rPr>
            </w:pPr>
            <w:r w:rsidRPr="00634F18">
              <w:rPr>
                <w:b/>
                <w:sz w:val="22"/>
                <w:szCs w:val="22"/>
                <w:lang w:val="en-US"/>
              </w:rPr>
              <w:t>12</w:t>
            </w:r>
            <w:r>
              <w:rPr>
                <w:b/>
                <w:sz w:val="22"/>
                <w:szCs w:val="22"/>
                <w:lang w:val="en-US"/>
              </w:rPr>
              <w:t>2</w:t>
            </w:r>
            <w:r w:rsidRPr="00634F18">
              <w:rPr>
                <w:b/>
                <w:sz w:val="22"/>
                <w:szCs w:val="22"/>
                <w:lang w:val="en-US"/>
              </w:rPr>
              <w:t>’</w:t>
            </w:r>
            <w:r>
              <w:rPr>
                <w:b/>
                <w:sz w:val="22"/>
                <w:szCs w:val="22"/>
                <w:lang w:val="en-US"/>
              </w:rPr>
              <w:t>384</w:t>
            </w:r>
          </w:p>
        </w:tc>
        <w:tc>
          <w:tcPr>
            <w:tcW w:w="1525" w:type="dxa"/>
            <w:tcBorders>
              <w:top w:val="single" w:sz="4" w:space="0" w:color="auto"/>
              <w:left w:val="nil"/>
              <w:bottom w:val="single" w:sz="4" w:space="0" w:color="auto"/>
              <w:right w:val="single" w:sz="4" w:space="0" w:color="auto"/>
            </w:tcBorders>
          </w:tcPr>
          <w:p w:rsidR="001A386C" w:rsidRPr="00634F18" w:rsidRDefault="001A386C" w:rsidP="001A386C">
            <w:pPr>
              <w:tabs>
                <w:tab w:val="clear" w:pos="1134"/>
              </w:tabs>
              <w:spacing w:before="20" w:after="20"/>
              <w:ind w:right="106"/>
              <w:jc w:val="right"/>
              <w:rPr>
                <w:b/>
                <w:sz w:val="22"/>
                <w:szCs w:val="22"/>
                <w:lang w:val="en-US"/>
              </w:rPr>
            </w:pPr>
            <w:r w:rsidRPr="00634F18">
              <w:rPr>
                <w:b/>
                <w:sz w:val="22"/>
                <w:szCs w:val="22"/>
                <w:lang w:val="en-US"/>
              </w:rPr>
              <w:t>12</w:t>
            </w:r>
            <w:r>
              <w:rPr>
                <w:b/>
                <w:sz w:val="22"/>
                <w:szCs w:val="22"/>
                <w:lang w:val="en-US"/>
              </w:rPr>
              <w:t>2</w:t>
            </w:r>
            <w:r w:rsidRPr="00634F18">
              <w:rPr>
                <w:b/>
                <w:sz w:val="22"/>
                <w:szCs w:val="22"/>
                <w:lang w:val="en-US"/>
              </w:rPr>
              <w:t>’</w:t>
            </w:r>
            <w:r>
              <w:rPr>
                <w:b/>
                <w:sz w:val="22"/>
                <w:szCs w:val="22"/>
                <w:lang w:val="en-US"/>
              </w:rPr>
              <w:t>888</w:t>
            </w:r>
          </w:p>
        </w:tc>
      </w:tr>
    </w:tbl>
    <w:p w:rsidR="00AF24F3" w:rsidRDefault="00F06A9C" w:rsidP="000970C5">
      <w:pPr>
        <w:snapToGrid w:val="0"/>
        <w:spacing w:before="240"/>
        <w:jc w:val="both"/>
        <w:rPr>
          <w:lang w:val="en-US"/>
        </w:rPr>
      </w:pPr>
      <w:r w:rsidRPr="00342EDD">
        <w:rPr>
          <w:lang w:val="en-US"/>
        </w:rPr>
        <w:t>By its Reso</w:t>
      </w:r>
      <w:r w:rsidR="00772528" w:rsidRPr="00342EDD">
        <w:rPr>
          <w:lang w:val="en-US"/>
        </w:rPr>
        <w:t>lution 13</w:t>
      </w:r>
      <w:r w:rsidR="000970C5">
        <w:rPr>
          <w:lang w:val="en-US"/>
        </w:rPr>
        <w:t>75</w:t>
      </w:r>
      <w:r w:rsidR="00772528" w:rsidRPr="00342EDD">
        <w:rPr>
          <w:lang w:val="en-US"/>
        </w:rPr>
        <w:t>, adopted at its 201</w:t>
      </w:r>
      <w:r w:rsidR="000970C5">
        <w:rPr>
          <w:lang w:val="en-US"/>
        </w:rPr>
        <w:t>5</w:t>
      </w:r>
      <w:r w:rsidR="0022373A" w:rsidRPr="00342EDD">
        <w:rPr>
          <w:lang w:val="en-US"/>
        </w:rPr>
        <w:t xml:space="preserve"> session, the Council approved the budget of the Union for the period </w:t>
      </w:r>
      <w:r w:rsidR="00111BDD" w:rsidRPr="00342EDD">
        <w:rPr>
          <w:lang w:val="en-US"/>
        </w:rPr>
        <w:t>201</w:t>
      </w:r>
      <w:r w:rsidR="000970C5">
        <w:rPr>
          <w:lang w:val="en-US"/>
        </w:rPr>
        <w:t>6</w:t>
      </w:r>
      <w:r w:rsidR="00772528" w:rsidRPr="00342EDD">
        <w:rPr>
          <w:lang w:val="en-US"/>
        </w:rPr>
        <w:t>-201</w:t>
      </w:r>
      <w:r w:rsidR="000970C5">
        <w:rPr>
          <w:lang w:val="en-US"/>
        </w:rPr>
        <w:t>7</w:t>
      </w:r>
      <w:r w:rsidR="0022373A" w:rsidRPr="00342EDD">
        <w:rPr>
          <w:lang w:val="en-US"/>
        </w:rPr>
        <w:t>.</w:t>
      </w:r>
    </w:p>
    <w:p w:rsidR="00C54321" w:rsidRDefault="0022373A" w:rsidP="00BA42A2">
      <w:pPr>
        <w:jc w:val="both"/>
        <w:rPr>
          <w:szCs w:val="24"/>
          <w:lang w:val="en-US"/>
        </w:rPr>
      </w:pPr>
      <w:r w:rsidRPr="00342EDD">
        <w:rPr>
          <w:szCs w:val="24"/>
          <w:lang w:val="en-US"/>
        </w:rPr>
        <w:t>The Council set the amount of the contributory unit for Member</w:t>
      </w:r>
      <w:r w:rsidR="00F06A9C" w:rsidRPr="00342EDD">
        <w:rPr>
          <w:szCs w:val="24"/>
          <w:lang w:val="en-US"/>
        </w:rPr>
        <w:t xml:space="preserve"> States at CHF 318</w:t>
      </w:r>
      <w:r w:rsidR="00CF1E52" w:rsidRPr="00342EDD">
        <w:rPr>
          <w:szCs w:val="24"/>
          <w:lang w:val="en-US"/>
        </w:rPr>
        <w:t>’</w:t>
      </w:r>
      <w:r w:rsidR="00A33B70" w:rsidRPr="00342EDD">
        <w:rPr>
          <w:szCs w:val="24"/>
          <w:lang w:val="en-US"/>
        </w:rPr>
        <w:t xml:space="preserve">000 for </w:t>
      </w:r>
      <w:r w:rsidR="00111BDD" w:rsidRPr="00342EDD">
        <w:rPr>
          <w:szCs w:val="24"/>
          <w:lang w:val="en-US"/>
        </w:rPr>
        <w:t>201</w:t>
      </w:r>
      <w:r w:rsidR="000970C5">
        <w:rPr>
          <w:szCs w:val="24"/>
          <w:lang w:val="en-US"/>
        </w:rPr>
        <w:t>6</w:t>
      </w:r>
      <w:r w:rsidR="00A33B70" w:rsidRPr="00342EDD">
        <w:rPr>
          <w:szCs w:val="24"/>
          <w:lang w:val="en-US"/>
        </w:rPr>
        <w:t xml:space="preserve"> and 201</w:t>
      </w:r>
      <w:r w:rsidR="000970C5">
        <w:rPr>
          <w:szCs w:val="24"/>
          <w:lang w:val="en-US"/>
        </w:rPr>
        <w:t>7</w:t>
      </w:r>
      <w:r w:rsidRPr="00342EDD">
        <w:rPr>
          <w:szCs w:val="24"/>
          <w:lang w:val="en-US"/>
        </w:rPr>
        <w:t xml:space="preserve">, on the basis of </w:t>
      </w:r>
      <w:r w:rsidR="00A33B70" w:rsidRPr="00342EDD">
        <w:rPr>
          <w:szCs w:val="24"/>
          <w:lang w:val="en-US"/>
        </w:rPr>
        <w:t>3</w:t>
      </w:r>
      <w:r w:rsidR="000970C5">
        <w:rPr>
          <w:szCs w:val="24"/>
          <w:lang w:val="en-US"/>
        </w:rPr>
        <w:t>34 1/2</w:t>
      </w:r>
      <w:r w:rsidR="00A33B70" w:rsidRPr="00342EDD">
        <w:rPr>
          <w:szCs w:val="24"/>
          <w:lang w:val="en-US"/>
        </w:rPr>
        <w:t xml:space="preserve"> units</w:t>
      </w:r>
      <w:r w:rsidRPr="00342EDD">
        <w:rPr>
          <w:szCs w:val="24"/>
          <w:lang w:val="en-US"/>
        </w:rPr>
        <w:t xml:space="preserve">. In the same </w:t>
      </w:r>
      <w:r w:rsidR="00C71BE9" w:rsidRPr="00342EDD">
        <w:rPr>
          <w:szCs w:val="24"/>
          <w:lang w:val="en-US"/>
        </w:rPr>
        <w:t>R</w:t>
      </w:r>
      <w:r w:rsidRPr="00342EDD">
        <w:rPr>
          <w:szCs w:val="24"/>
          <w:lang w:val="en-US"/>
        </w:rPr>
        <w:t>esolution, it set at CHF 63</w:t>
      </w:r>
      <w:r w:rsidR="00CF1E52" w:rsidRPr="00342EDD">
        <w:rPr>
          <w:szCs w:val="24"/>
          <w:lang w:val="en-US"/>
        </w:rPr>
        <w:t>’</w:t>
      </w:r>
      <w:r w:rsidRPr="00342EDD">
        <w:rPr>
          <w:szCs w:val="24"/>
          <w:lang w:val="en-US"/>
        </w:rPr>
        <w:t xml:space="preserve">600 the amount of the contributory </w:t>
      </w:r>
      <w:r w:rsidR="00A33B70" w:rsidRPr="00342EDD">
        <w:rPr>
          <w:szCs w:val="24"/>
          <w:lang w:val="en-US"/>
        </w:rPr>
        <w:t xml:space="preserve">unit for Sector Members for </w:t>
      </w:r>
      <w:r w:rsidR="00111BDD" w:rsidRPr="00342EDD">
        <w:rPr>
          <w:szCs w:val="24"/>
          <w:lang w:val="en-US"/>
        </w:rPr>
        <w:t>201</w:t>
      </w:r>
      <w:r w:rsidR="000970C5">
        <w:rPr>
          <w:szCs w:val="24"/>
          <w:lang w:val="en-US"/>
        </w:rPr>
        <w:t>6</w:t>
      </w:r>
      <w:r w:rsidR="00A33B70" w:rsidRPr="00342EDD">
        <w:rPr>
          <w:szCs w:val="24"/>
          <w:lang w:val="en-US"/>
        </w:rPr>
        <w:t xml:space="preserve"> and 201</w:t>
      </w:r>
      <w:r w:rsidR="000970C5">
        <w:rPr>
          <w:szCs w:val="24"/>
          <w:lang w:val="en-US"/>
        </w:rPr>
        <w:t>7</w:t>
      </w:r>
      <w:r w:rsidRPr="00342EDD">
        <w:rPr>
          <w:szCs w:val="24"/>
          <w:lang w:val="en-US"/>
        </w:rPr>
        <w:t>, this being 1/5 of the contributory unit for Member States. The financial contribution of Associates was set as follows: CHF 10</w:t>
      </w:r>
      <w:r w:rsidR="00CF1E52" w:rsidRPr="00342EDD">
        <w:rPr>
          <w:szCs w:val="24"/>
          <w:lang w:val="en-US"/>
        </w:rPr>
        <w:t>’</w:t>
      </w:r>
      <w:r w:rsidRPr="00342EDD">
        <w:rPr>
          <w:szCs w:val="24"/>
          <w:lang w:val="en-US"/>
        </w:rPr>
        <w:t>600 for Associates participating in the work of ITU-R and ITU-T, CHF 3</w:t>
      </w:r>
      <w:r w:rsidR="00CF1E52" w:rsidRPr="00342EDD">
        <w:rPr>
          <w:szCs w:val="24"/>
          <w:lang w:val="en-US"/>
        </w:rPr>
        <w:t>’</w:t>
      </w:r>
      <w:r w:rsidRPr="00342EDD">
        <w:rPr>
          <w:szCs w:val="24"/>
          <w:lang w:val="en-US"/>
        </w:rPr>
        <w:t>975 for Associates participating in the work of ITU-D, and CHF 1</w:t>
      </w:r>
      <w:r w:rsidR="00CF1E52" w:rsidRPr="00342EDD">
        <w:rPr>
          <w:szCs w:val="24"/>
          <w:lang w:val="en-US"/>
        </w:rPr>
        <w:t>’</w:t>
      </w:r>
      <w:r w:rsidRPr="00342EDD">
        <w:rPr>
          <w:szCs w:val="24"/>
          <w:lang w:val="en-US"/>
        </w:rPr>
        <w:t>987.50 for Associates participating in the work of ITU-D in the case of Associates from developing countries.</w:t>
      </w:r>
      <w:r w:rsidR="00A33B70" w:rsidRPr="00342EDD">
        <w:rPr>
          <w:szCs w:val="24"/>
          <w:lang w:val="en-US"/>
        </w:rPr>
        <w:t xml:space="preserve"> The financial contribution for Academia, universities and </w:t>
      </w:r>
      <w:r w:rsidR="00C81B79" w:rsidRPr="00342EDD">
        <w:rPr>
          <w:szCs w:val="24"/>
          <w:lang w:val="en-US"/>
        </w:rPr>
        <w:t>t</w:t>
      </w:r>
      <w:r w:rsidR="00A33B70" w:rsidRPr="00342EDD">
        <w:rPr>
          <w:szCs w:val="24"/>
          <w:lang w:val="en-US"/>
        </w:rPr>
        <w:t xml:space="preserve">heir associated research establishments is set as follows: CHF 3’975 for developed countries and </w:t>
      </w:r>
      <w:r w:rsidR="00A33B70" w:rsidRPr="00CF1FDC">
        <w:rPr>
          <w:szCs w:val="24"/>
          <w:lang w:val="en-US"/>
        </w:rPr>
        <w:t>CHF 1’9</w:t>
      </w:r>
      <w:r w:rsidR="00BA42A2">
        <w:rPr>
          <w:szCs w:val="24"/>
          <w:lang w:val="en-US"/>
        </w:rPr>
        <w:t>87</w:t>
      </w:r>
      <w:r w:rsidR="00A33B70" w:rsidRPr="00CF1FDC">
        <w:rPr>
          <w:szCs w:val="24"/>
          <w:lang w:val="en-US"/>
        </w:rPr>
        <w:t>.50 for</w:t>
      </w:r>
      <w:r w:rsidR="00A33B70" w:rsidRPr="00342EDD">
        <w:rPr>
          <w:szCs w:val="24"/>
          <w:lang w:val="en-US"/>
        </w:rPr>
        <w:t xml:space="preserve"> developing countries participating in the work of the three sectors.</w:t>
      </w:r>
    </w:p>
    <w:p w:rsidR="00D14E4B" w:rsidRDefault="00D14E4B" w:rsidP="005A21AA">
      <w:pPr>
        <w:tabs>
          <w:tab w:val="left" w:pos="0"/>
          <w:tab w:val="left" w:pos="851"/>
        </w:tabs>
        <w:snapToGrid w:val="0"/>
        <w:spacing w:after="120"/>
        <w:jc w:val="both"/>
      </w:pPr>
      <w:r w:rsidRPr="00D14E4B">
        <w:rPr>
          <w:color w:val="000000"/>
        </w:rPr>
        <w:t>Regarding the regular budget, decreased</w:t>
      </w:r>
      <w:r w:rsidR="00416089">
        <w:rPr>
          <w:color w:val="000000"/>
        </w:rPr>
        <w:t xml:space="preserve"> revenues in contributions </w:t>
      </w:r>
      <w:r w:rsidR="00FB4B91">
        <w:rPr>
          <w:color w:val="000000"/>
        </w:rPr>
        <w:t>from</w:t>
      </w:r>
      <w:r w:rsidRPr="00D14E4B">
        <w:rPr>
          <w:color w:val="000000"/>
        </w:rPr>
        <w:t xml:space="preserve"> </w:t>
      </w:r>
      <w:r w:rsidRPr="00434E0F">
        <w:t>Member State</w:t>
      </w:r>
      <w:r w:rsidR="00416089">
        <w:t>s</w:t>
      </w:r>
      <w:r w:rsidRPr="00434E0F">
        <w:t>, Sector Member</w:t>
      </w:r>
      <w:r w:rsidR="00416089">
        <w:t>s</w:t>
      </w:r>
      <w:r w:rsidRPr="00434E0F">
        <w:t>, Associate</w:t>
      </w:r>
      <w:r w:rsidR="00416089">
        <w:t>s</w:t>
      </w:r>
      <w:r w:rsidRPr="00434E0F">
        <w:t xml:space="preserve"> and</w:t>
      </w:r>
      <w:r>
        <w:t xml:space="preserve"> </w:t>
      </w:r>
      <w:r w:rsidRPr="00434E0F">
        <w:t>Academia (CHF 12</w:t>
      </w:r>
      <w:r>
        <w:t>2</w:t>
      </w:r>
      <w:r w:rsidRPr="00434E0F">
        <w:t>.</w:t>
      </w:r>
      <w:r>
        <w:t>8</w:t>
      </w:r>
      <w:r w:rsidRPr="00434E0F">
        <w:t xml:space="preserve"> million </w:t>
      </w:r>
      <w:r w:rsidR="00416089">
        <w:t xml:space="preserve">in 2016 </w:t>
      </w:r>
      <w:r w:rsidRPr="00434E0F">
        <w:t>and CHF 126.</w:t>
      </w:r>
      <w:r>
        <w:t>4</w:t>
      </w:r>
      <w:r w:rsidRPr="00434E0F">
        <w:t xml:space="preserve"> million in 201</w:t>
      </w:r>
      <w:r>
        <w:t>5</w:t>
      </w:r>
      <w:r w:rsidRPr="00434E0F">
        <w:t xml:space="preserve">), </w:t>
      </w:r>
      <w:r>
        <w:t xml:space="preserve">can be explained </w:t>
      </w:r>
      <w:r w:rsidR="00FB4B91">
        <w:t>by the decrease of Units registered during the PP</w:t>
      </w:r>
      <w:r w:rsidR="0023376F">
        <w:t>-14</w:t>
      </w:r>
      <w:r w:rsidR="00FB4B91">
        <w:t xml:space="preserve"> in Busan.</w:t>
      </w:r>
      <w:r>
        <w:t xml:space="preserve"> </w:t>
      </w:r>
      <w:r w:rsidR="00FB4B91">
        <w:t>The choice of contributory units was done for the years 2016 to 2020.</w:t>
      </w:r>
    </w:p>
    <w:p w:rsidR="00F82684" w:rsidRPr="00520B2F" w:rsidRDefault="000261EA" w:rsidP="006D6709">
      <w:pPr>
        <w:pStyle w:val="Heading5"/>
        <w:spacing w:before="120" w:after="120"/>
        <w:jc w:val="both"/>
        <w:rPr>
          <w:lang w:val="en-US"/>
        </w:rPr>
      </w:pPr>
      <w:bookmarkStart w:id="112" w:name="_Toc305764104"/>
      <w:bookmarkStart w:id="113" w:name="_Toc305778514"/>
      <w:bookmarkStart w:id="114" w:name="_Toc329011648"/>
      <w:r w:rsidRPr="00966288">
        <w:rPr>
          <w:lang w:val="en-US"/>
        </w:rPr>
        <w:t>Note 2</w:t>
      </w:r>
      <w:r w:rsidR="006D6709" w:rsidRPr="00966288">
        <w:rPr>
          <w:lang w:val="en-US"/>
        </w:rPr>
        <w:t>2</w:t>
      </w:r>
      <w:r w:rsidRPr="00966288">
        <w:rPr>
          <w:lang w:val="en-US"/>
        </w:rPr>
        <w:tab/>
      </w:r>
      <w:r w:rsidR="00F82684" w:rsidRPr="00966288">
        <w:rPr>
          <w:lang w:val="en-US"/>
        </w:rPr>
        <w:t>Revenue</w:t>
      </w:r>
    </w:p>
    <w:p w:rsidR="000261EA" w:rsidRPr="00B4127B" w:rsidRDefault="000261EA" w:rsidP="00F05318">
      <w:pPr>
        <w:pStyle w:val="Heading5"/>
        <w:spacing w:before="120" w:after="120"/>
        <w:jc w:val="both"/>
        <w:rPr>
          <w:sz w:val="16"/>
          <w:szCs w:val="12"/>
          <w:lang w:val="en-US"/>
        </w:rPr>
      </w:pPr>
      <w:r w:rsidRPr="00520B2F">
        <w:rPr>
          <w:lang w:val="en-US"/>
        </w:rPr>
        <w:t>Voluntary contributions</w:t>
      </w:r>
    </w:p>
    <w:bookmarkEnd w:id="112"/>
    <w:bookmarkEnd w:id="113"/>
    <w:bookmarkEnd w:id="114"/>
    <w:p w:rsidR="0022373A" w:rsidRDefault="00C54321" w:rsidP="00520B2F">
      <w:pPr>
        <w:jc w:val="both"/>
        <w:rPr>
          <w:lang w:val="en-US"/>
        </w:rPr>
      </w:pPr>
      <w:r w:rsidRPr="00B4127B">
        <w:rPr>
          <w:lang w:val="en-US"/>
        </w:rPr>
        <w:t>Voluntary contribution</w:t>
      </w:r>
      <w:r w:rsidR="007407A6" w:rsidRPr="00B4127B">
        <w:rPr>
          <w:lang w:val="en-US"/>
        </w:rPr>
        <w:t>s</w:t>
      </w:r>
      <w:r w:rsidRPr="00B4127B">
        <w:rPr>
          <w:lang w:val="en-US"/>
        </w:rPr>
        <w:t xml:space="preserve"> </w:t>
      </w:r>
      <w:r w:rsidR="0022373A" w:rsidRPr="00B4127B">
        <w:rPr>
          <w:lang w:val="en-US"/>
        </w:rPr>
        <w:t>are sources of funding from third parties to su</w:t>
      </w:r>
      <w:r w:rsidR="00D86CB5" w:rsidRPr="00B4127B">
        <w:rPr>
          <w:lang w:val="en-US"/>
        </w:rPr>
        <w:t>pport the Union in implementing d</w:t>
      </w:r>
      <w:r w:rsidR="0022373A" w:rsidRPr="00B4127B">
        <w:rPr>
          <w:lang w:val="en-US"/>
        </w:rPr>
        <w:t xml:space="preserve">evelopment projects in </w:t>
      </w:r>
      <w:r w:rsidR="000A4526" w:rsidRPr="00B4127B">
        <w:rPr>
          <w:lang w:val="en-US"/>
        </w:rPr>
        <w:t>favor</w:t>
      </w:r>
      <w:r w:rsidR="0022373A" w:rsidRPr="00B4127B">
        <w:rPr>
          <w:lang w:val="en-US"/>
        </w:rPr>
        <w:t xml:space="preserve"> of </w:t>
      </w:r>
      <w:r w:rsidR="00B76D1B" w:rsidRPr="00B4127B">
        <w:rPr>
          <w:lang w:val="en-US"/>
        </w:rPr>
        <w:t>the UN-designated least developed countries</w:t>
      </w:r>
      <w:r w:rsidR="0022373A" w:rsidRPr="00B4127B">
        <w:rPr>
          <w:lang w:val="en-US"/>
        </w:rPr>
        <w:t>.</w:t>
      </w:r>
      <w:r w:rsidR="00D86CB5" w:rsidRPr="00B4127B">
        <w:rPr>
          <w:lang w:val="en-US"/>
        </w:rPr>
        <w:t xml:space="preserve"> </w:t>
      </w:r>
      <w:r w:rsidRPr="00B4127B">
        <w:rPr>
          <w:lang w:val="en-US"/>
        </w:rPr>
        <w:t>The total of voluntary contribution</w:t>
      </w:r>
      <w:r w:rsidR="00D445FE" w:rsidRPr="00B4127B">
        <w:rPr>
          <w:lang w:val="en-US"/>
        </w:rPr>
        <w:t>s</w:t>
      </w:r>
      <w:r w:rsidRPr="00B4127B">
        <w:rPr>
          <w:lang w:val="en-US"/>
        </w:rPr>
        <w:t xml:space="preserve"> amounted </w:t>
      </w:r>
      <w:r w:rsidR="00D445FE" w:rsidRPr="00B4127B">
        <w:rPr>
          <w:lang w:val="en-US"/>
        </w:rPr>
        <w:t xml:space="preserve">to </w:t>
      </w:r>
      <w:r w:rsidRPr="00B4127B">
        <w:rPr>
          <w:lang w:val="en-US"/>
        </w:rPr>
        <w:t>CHF</w:t>
      </w:r>
      <w:r w:rsidR="00CF1FDC" w:rsidRPr="00B4127B">
        <w:rPr>
          <w:lang w:val="en-US"/>
        </w:rPr>
        <w:t xml:space="preserve"> </w:t>
      </w:r>
      <w:r w:rsidR="00D57940" w:rsidRPr="00B4127B">
        <w:rPr>
          <w:lang w:val="en-US"/>
        </w:rPr>
        <w:t>10</w:t>
      </w:r>
      <w:r w:rsidR="00CF1FDC" w:rsidRPr="00B4127B">
        <w:rPr>
          <w:lang w:val="en-US"/>
        </w:rPr>
        <w:t>.</w:t>
      </w:r>
      <w:r w:rsidR="00520B2F">
        <w:rPr>
          <w:lang w:val="en-US"/>
        </w:rPr>
        <w:t>6</w:t>
      </w:r>
      <w:r w:rsidRPr="00B4127B">
        <w:rPr>
          <w:lang w:val="en-US"/>
        </w:rPr>
        <w:t xml:space="preserve"> million in </w:t>
      </w:r>
      <w:r w:rsidR="00111BDD" w:rsidRPr="00B4127B">
        <w:rPr>
          <w:lang w:val="en-US"/>
        </w:rPr>
        <w:t>201</w:t>
      </w:r>
      <w:r w:rsidR="00520B2F">
        <w:rPr>
          <w:lang w:val="en-US"/>
        </w:rPr>
        <w:t>7</w:t>
      </w:r>
      <w:r w:rsidRPr="00B4127B">
        <w:rPr>
          <w:lang w:val="en-US"/>
        </w:rPr>
        <w:t xml:space="preserve"> (CHF</w:t>
      </w:r>
      <w:r w:rsidR="00112742" w:rsidRPr="00B4127B">
        <w:rPr>
          <w:lang w:val="en-US"/>
        </w:rPr>
        <w:t> </w:t>
      </w:r>
      <w:r w:rsidR="00520B2F">
        <w:rPr>
          <w:lang w:val="en-US"/>
        </w:rPr>
        <w:t>10</w:t>
      </w:r>
      <w:r w:rsidRPr="00B4127B">
        <w:rPr>
          <w:lang w:val="en-US"/>
        </w:rPr>
        <w:t>.</w:t>
      </w:r>
      <w:r w:rsidR="00D57940" w:rsidRPr="00B4127B">
        <w:rPr>
          <w:lang w:val="en-US"/>
        </w:rPr>
        <w:t>2</w:t>
      </w:r>
      <w:r w:rsidR="00112742" w:rsidRPr="00B4127B">
        <w:rPr>
          <w:lang w:val="en-US"/>
        </w:rPr>
        <w:t> </w:t>
      </w:r>
      <w:r w:rsidRPr="00B4127B">
        <w:rPr>
          <w:lang w:val="en-US"/>
        </w:rPr>
        <w:t>million in 201</w:t>
      </w:r>
      <w:r w:rsidR="00520B2F">
        <w:rPr>
          <w:lang w:val="en-US"/>
        </w:rPr>
        <w:t>6</w:t>
      </w:r>
      <w:r w:rsidRPr="00B4127B">
        <w:rPr>
          <w:lang w:val="en-US"/>
        </w:rPr>
        <w:t>).</w:t>
      </w:r>
    </w:p>
    <w:p w:rsidR="000970C5" w:rsidRDefault="0022373A" w:rsidP="001C0566">
      <w:pPr>
        <w:pStyle w:val="Heading5"/>
        <w:tabs>
          <w:tab w:val="clear" w:pos="567"/>
          <w:tab w:val="clear" w:pos="1134"/>
          <w:tab w:val="left" w:pos="0"/>
        </w:tabs>
        <w:snapToGrid w:val="0"/>
        <w:spacing w:before="240"/>
        <w:ind w:left="0" w:firstLine="0"/>
        <w:jc w:val="both"/>
        <w:rPr>
          <w:lang w:val="en-US"/>
        </w:rPr>
      </w:pPr>
      <w:bookmarkStart w:id="115" w:name="_Toc305764105"/>
      <w:bookmarkStart w:id="116" w:name="_Toc329011649"/>
      <w:r w:rsidRPr="00520B2F">
        <w:rPr>
          <w:lang w:val="en-US"/>
        </w:rPr>
        <w:t>Other operating revenue</w:t>
      </w:r>
      <w:bookmarkEnd w:id="115"/>
      <w:bookmarkEnd w:id="116"/>
      <w:r w:rsidR="00B227EB">
        <w:rPr>
          <w:lang w:val="en-US"/>
        </w:rPr>
        <w:br/>
      </w:r>
    </w:p>
    <w:tbl>
      <w:tblPr>
        <w:tblW w:w="9200" w:type="dxa"/>
        <w:tblInd w:w="-5" w:type="dxa"/>
        <w:tblLook w:val="04A0" w:firstRow="1" w:lastRow="0" w:firstColumn="1" w:lastColumn="0" w:noHBand="0" w:noVBand="1"/>
      </w:tblPr>
      <w:tblGrid>
        <w:gridCol w:w="5800"/>
        <w:gridCol w:w="480"/>
        <w:gridCol w:w="1460"/>
        <w:gridCol w:w="1460"/>
      </w:tblGrid>
      <w:tr w:rsidR="000970C5" w:rsidRPr="000970C5" w:rsidTr="000970C5">
        <w:trPr>
          <w:trHeight w:val="499"/>
        </w:trPr>
        <w:tc>
          <w:tcPr>
            <w:tcW w:w="6280" w:type="dxa"/>
            <w:gridSpan w:val="2"/>
            <w:tcBorders>
              <w:top w:val="single" w:sz="4" w:space="0" w:color="auto"/>
              <w:left w:val="single" w:sz="4" w:space="0" w:color="auto"/>
              <w:bottom w:val="single" w:sz="4" w:space="0" w:color="auto"/>
              <w:right w:val="nil"/>
            </w:tcBorders>
            <w:shd w:val="clear" w:color="auto" w:fill="auto"/>
            <w:noWrap/>
            <w:vAlign w:val="center"/>
            <w:hideMark/>
          </w:tcPr>
          <w:p w:rsidR="000970C5" w:rsidRPr="000970C5" w:rsidRDefault="000970C5" w:rsidP="000970C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20"/>
                <w:lang w:val="en-US" w:eastAsia="zh-CN"/>
              </w:rPr>
            </w:pPr>
            <w:r w:rsidRPr="000970C5">
              <w:rPr>
                <w:rFonts w:ascii="Arial" w:hAnsi="Arial" w:cs="Arial"/>
                <w:b/>
                <w:bCs/>
                <w:color w:val="000000"/>
                <w:sz w:val="20"/>
                <w:lang w:val="en-US" w:eastAsia="zh-CN"/>
              </w:rPr>
              <w:t>In thousands of CHF</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70C5" w:rsidRPr="000970C5" w:rsidRDefault="000970C5" w:rsidP="008D560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0970C5">
              <w:rPr>
                <w:rFonts w:ascii="Arial" w:hAnsi="Arial" w:cs="Arial"/>
                <w:b/>
                <w:bCs/>
                <w:color w:val="000000"/>
                <w:sz w:val="20"/>
                <w:lang w:val="en-US" w:eastAsia="zh-CN"/>
              </w:rPr>
              <w:t>201</w:t>
            </w:r>
            <w:r w:rsidR="008D560C">
              <w:rPr>
                <w:rFonts w:ascii="Arial" w:hAnsi="Arial" w:cs="Arial"/>
                <w:b/>
                <w:bCs/>
                <w:color w:val="000000"/>
                <w:sz w:val="20"/>
                <w:lang w:val="en-US" w:eastAsia="zh-CN"/>
              </w:rPr>
              <w:t>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0970C5" w:rsidRPr="000970C5" w:rsidRDefault="000970C5" w:rsidP="008D560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0970C5">
              <w:rPr>
                <w:rFonts w:ascii="Arial" w:hAnsi="Arial" w:cs="Arial"/>
                <w:b/>
                <w:bCs/>
                <w:color w:val="000000"/>
                <w:sz w:val="20"/>
                <w:lang w:val="en-US" w:eastAsia="zh-CN"/>
              </w:rPr>
              <w:t>201</w:t>
            </w:r>
            <w:r w:rsidR="008D560C">
              <w:rPr>
                <w:rFonts w:ascii="Arial" w:hAnsi="Arial" w:cs="Arial"/>
                <w:b/>
                <w:bCs/>
                <w:color w:val="000000"/>
                <w:sz w:val="20"/>
                <w:lang w:val="en-US" w:eastAsia="zh-CN"/>
              </w:rPr>
              <w:t>6</w:t>
            </w:r>
          </w:p>
        </w:tc>
      </w:tr>
      <w:tr w:rsidR="000970C5" w:rsidRPr="000970C5" w:rsidTr="000970C5">
        <w:trPr>
          <w:trHeight w:val="255"/>
        </w:trPr>
        <w:tc>
          <w:tcPr>
            <w:tcW w:w="5800" w:type="dxa"/>
            <w:tcBorders>
              <w:top w:val="nil"/>
              <w:left w:val="single" w:sz="4" w:space="0" w:color="auto"/>
              <w:bottom w:val="nil"/>
              <w:right w:val="nil"/>
            </w:tcBorders>
            <w:shd w:val="clear" w:color="auto" w:fill="auto"/>
            <w:noWrap/>
            <w:vAlign w:val="bottom"/>
            <w:hideMark/>
          </w:tcPr>
          <w:p w:rsidR="000970C5" w:rsidRPr="000970C5" w:rsidRDefault="000970C5" w:rsidP="000970C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0970C5">
              <w:rPr>
                <w:rFonts w:ascii="Arial" w:hAnsi="Arial" w:cs="Arial"/>
                <w:color w:val="000000"/>
                <w:sz w:val="20"/>
                <w:lang w:val="en-US" w:eastAsia="zh-CN"/>
              </w:rPr>
              <w:t> </w:t>
            </w:r>
          </w:p>
        </w:tc>
        <w:tc>
          <w:tcPr>
            <w:tcW w:w="480" w:type="dxa"/>
            <w:tcBorders>
              <w:top w:val="nil"/>
              <w:left w:val="nil"/>
              <w:bottom w:val="nil"/>
              <w:right w:val="nil"/>
            </w:tcBorders>
            <w:shd w:val="clear" w:color="auto" w:fill="auto"/>
            <w:noWrap/>
            <w:vAlign w:val="bottom"/>
            <w:hideMark/>
          </w:tcPr>
          <w:p w:rsidR="000970C5" w:rsidRPr="000970C5" w:rsidRDefault="000970C5" w:rsidP="000970C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p>
        </w:tc>
        <w:tc>
          <w:tcPr>
            <w:tcW w:w="1460" w:type="dxa"/>
            <w:tcBorders>
              <w:top w:val="nil"/>
              <w:left w:val="single" w:sz="4" w:space="0" w:color="auto"/>
              <w:bottom w:val="nil"/>
              <w:right w:val="single" w:sz="4" w:space="0" w:color="auto"/>
            </w:tcBorders>
            <w:shd w:val="clear" w:color="auto" w:fill="auto"/>
            <w:noWrap/>
            <w:vAlign w:val="bottom"/>
            <w:hideMark/>
          </w:tcPr>
          <w:p w:rsidR="000970C5" w:rsidRPr="000970C5" w:rsidRDefault="000970C5" w:rsidP="000970C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0970C5">
              <w:rPr>
                <w:rFonts w:ascii="Arial" w:hAnsi="Arial" w:cs="Arial"/>
                <w:color w:val="000000"/>
                <w:sz w:val="20"/>
                <w:lang w:val="en-US" w:eastAsia="zh-CN"/>
              </w:rPr>
              <w:t> </w:t>
            </w:r>
          </w:p>
        </w:tc>
        <w:tc>
          <w:tcPr>
            <w:tcW w:w="1460" w:type="dxa"/>
            <w:tcBorders>
              <w:top w:val="nil"/>
              <w:left w:val="nil"/>
              <w:bottom w:val="nil"/>
              <w:right w:val="single" w:sz="4" w:space="0" w:color="auto"/>
            </w:tcBorders>
            <w:shd w:val="clear" w:color="auto" w:fill="auto"/>
            <w:noWrap/>
            <w:vAlign w:val="bottom"/>
            <w:hideMark/>
          </w:tcPr>
          <w:p w:rsidR="000970C5" w:rsidRPr="000970C5" w:rsidRDefault="000970C5" w:rsidP="000970C5">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20"/>
                <w:lang w:val="en-US" w:eastAsia="zh-CN"/>
              </w:rPr>
            </w:pPr>
            <w:r w:rsidRPr="000970C5">
              <w:rPr>
                <w:rFonts w:ascii="Arial" w:hAnsi="Arial" w:cs="Arial"/>
                <w:color w:val="000000"/>
                <w:sz w:val="20"/>
                <w:lang w:val="en-US" w:eastAsia="zh-CN"/>
              </w:rPr>
              <w:t> </w:t>
            </w:r>
          </w:p>
        </w:tc>
      </w:tr>
      <w:tr w:rsidR="001A386C" w:rsidRPr="000970C5" w:rsidTr="000970C5">
        <w:trPr>
          <w:trHeight w:val="255"/>
        </w:trPr>
        <w:tc>
          <w:tcPr>
            <w:tcW w:w="6280" w:type="dxa"/>
            <w:gridSpan w:val="2"/>
            <w:tcBorders>
              <w:top w:val="nil"/>
              <w:left w:val="single" w:sz="4" w:space="0" w:color="auto"/>
              <w:bottom w:val="nil"/>
              <w:right w:val="nil"/>
            </w:tcBorders>
            <w:shd w:val="clear" w:color="auto" w:fill="auto"/>
            <w:noWrap/>
            <w:vAlign w:val="bottom"/>
            <w:hideMark/>
          </w:tcPr>
          <w:p w:rsidR="001A386C" w:rsidRPr="000970C5" w:rsidRDefault="001A386C" w:rsidP="001A386C">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0970C5">
              <w:rPr>
                <w:rFonts w:ascii="Arial" w:hAnsi="Arial" w:cs="Arial"/>
                <w:color w:val="000000"/>
                <w:sz w:val="20"/>
                <w:lang w:val="en-US" w:eastAsia="zh-CN"/>
              </w:rPr>
              <w:t>Extra-budgetary revenue</w:t>
            </w:r>
          </w:p>
        </w:tc>
        <w:tc>
          <w:tcPr>
            <w:tcW w:w="1460" w:type="dxa"/>
            <w:tcBorders>
              <w:top w:val="nil"/>
              <w:left w:val="single" w:sz="4" w:space="0" w:color="auto"/>
              <w:bottom w:val="nil"/>
              <w:right w:val="single" w:sz="4" w:space="0" w:color="auto"/>
            </w:tcBorders>
            <w:shd w:val="clear" w:color="auto" w:fill="auto"/>
            <w:noWrap/>
            <w:vAlign w:val="bottom"/>
            <w:hideMark/>
          </w:tcPr>
          <w:p w:rsidR="001A386C" w:rsidRPr="000970C5" w:rsidRDefault="001A386C" w:rsidP="001A386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0970C5">
              <w:rPr>
                <w:rFonts w:ascii="Arial" w:hAnsi="Arial" w:cs="Arial"/>
                <w:color w:val="000000"/>
                <w:sz w:val="20"/>
                <w:lang w:val="en-US" w:eastAsia="zh-CN"/>
              </w:rPr>
              <w:t xml:space="preserve">              </w:t>
            </w:r>
            <w:r>
              <w:rPr>
                <w:rFonts w:ascii="Arial" w:hAnsi="Arial" w:cs="Arial"/>
                <w:color w:val="000000"/>
                <w:sz w:val="20"/>
                <w:lang w:val="en-US" w:eastAsia="zh-CN"/>
              </w:rPr>
              <w:t>7</w:t>
            </w:r>
            <w:r w:rsidRPr="000970C5">
              <w:rPr>
                <w:rFonts w:ascii="Arial" w:hAnsi="Arial" w:cs="Arial"/>
                <w:color w:val="000000"/>
                <w:sz w:val="20"/>
                <w:lang w:val="en-US" w:eastAsia="zh-CN"/>
              </w:rPr>
              <w:t>,</w:t>
            </w:r>
            <w:r>
              <w:rPr>
                <w:rFonts w:ascii="Arial" w:hAnsi="Arial" w:cs="Arial"/>
                <w:color w:val="000000"/>
                <w:sz w:val="20"/>
                <w:lang w:val="en-US" w:eastAsia="zh-CN"/>
              </w:rPr>
              <w:t>506</w:t>
            </w:r>
            <w:r w:rsidRPr="000970C5">
              <w:rPr>
                <w:rFonts w:ascii="Arial" w:hAnsi="Arial" w:cs="Arial"/>
                <w:color w:val="000000"/>
                <w:sz w:val="20"/>
                <w:lang w:val="en-US" w:eastAsia="zh-CN"/>
              </w:rPr>
              <w:t xml:space="preserve"> </w:t>
            </w:r>
          </w:p>
        </w:tc>
        <w:tc>
          <w:tcPr>
            <w:tcW w:w="1460" w:type="dxa"/>
            <w:tcBorders>
              <w:top w:val="nil"/>
              <w:left w:val="nil"/>
              <w:bottom w:val="nil"/>
              <w:right w:val="single" w:sz="4" w:space="0" w:color="auto"/>
            </w:tcBorders>
            <w:shd w:val="clear" w:color="auto" w:fill="auto"/>
            <w:noWrap/>
            <w:vAlign w:val="bottom"/>
            <w:hideMark/>
          </w:tcPr>
          <w:p w:rsidR="001A386C" w:rsidRPr="000970C5" w:rsidRDefault="001A386C" w:rsidP="001A386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0970C5">
              <w:rPr>
                <w:rFonts w:ascii="Arial" w:hAnsi="Arial" w:cs="Arial"/>
                <w:color w:val="000000"/>
                <w:sz w:val="20"/>
                <w:lang w:val="en-US" w:eastAsia="zh-CN"/>
              </w:rPr>
              <w:t xml:space="preserve">              8,960 </w:t>
            </w:r>
          </w:p>
        </w:tc>
      </w:tr>
      <w:tr w:rsidR="001A386C" w:rsidRPr="000970C5" w:rsidTr="000970C5">
        <w:trPr>
          <w:trHeight w:val="255"/>
        </w:trPr>
        <w:tc>
          <w:tcPr>
            <w:tcW w:w="6280" w:type="dxa"/>
            <w:gridSpan w:val="2"/>
            <w:tcBorders>
              <w:top w:val="nil"/>
              <w:left w:val="single" w:sz="4" w:space="0" w:color="auto"/>
              <w:bottom w:val="nil"/>
              <w:right w:val="nil"/>
            </w:tcBorders>
            <w:shd w:val="clear" w:color="auto" w:fill="auto"/>
            <w:noWrap/>
            <w:vAlign w:val="bottom"/>
            <w:hideMark/>
          </w:tcPr>
          <w:p w:rsidR="001A386C" w:rsidRPr="000970C5" w:rsidRDefault="001A386C" w:rsidP="001A386C">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Pr>
                <w:rFonts w:ascii="Arial" w:hAnsi="Arial" w:cs="Arial"/>
                <w:color w:val="000000"/>
                <w:sz w:val="20"/>
                <w:lang w:val="en-US" w:eastAsia="zh-CN"/>
              </w:rPr>
              <w:t>P</w:t>
            </w:r>
            <w:r w:rsidRPr="000970C5">
              <w:rPr>
                <w:rFonts w:ascii="Arial" w:hAnsi="Arial" w:cs="Arial"/>
                <w:color w:val="000000"/>
                <w:sz w:val="20"/>
                <w:lang w:val="en-US" w:eastAsia="zh-CN"/>
              </w:rPr>
              <w:t>ublications</w:t>
            </w:r>
            <w:r>
              <w:rPr>
                <w:rFonts w:ascii="Arial" w:hAnsi="Arial" w:cs="Arial"/>
                <w:color w:val="000000"/>
                <w:sz w:val="20"/>
                <w:lang w:val="en-US" w:eastAsia="zh-CN"/>
              </w:rPr>
              <w:t xml:space="preserve"> </w:t>
            </w:r>
            <w:r w:rsidRPr="000970C5">
              <w:rPr>
                <w:rFonts w:ascii="Arial" w:hAnsi="Arial" w:cs="Arial"/>
                <w:color w:val="000000"/>
                <w:sz w:val="20"/>
                <w:lang w:val="en-US" w:eastAsia="zh-CN"/>
              </w:rPr>
              <w:t>Sales</w:t>
            </w:r>
          </w:p>
        </w:tc>
        <w:tc>
          <w:tcPr>
            <w:tcW w:w="1460" w:type="dxa"/>
            <w:tcBorders>
              <w:top w:val="nil"/>
              <w:left w:val="single" w:sz="4" w:space="0" w:color="auto"/>
              <w:bottom w:val="nil"/>
              <w:right w:val="single" w:sz="4" w:space="0" w:color="auto"/>
            </w:tcBorders>
            <w:shd w:val="clear" w:color="auto" w:fill="auto"/>
            <w:noWrap/>
            <w:vAlign w:val="bottom"/>
            <w:hideMark/>
          </w:tcPr>
          <w:p w:rsidR="001A386C" w:rsidRPr="000970C5" w:rsidRDefault="001A386C" w:rsidP="001A386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0970C5">
              <w:rPr>
                <w:rFonts w:ascii="Arial" w:hAnsi="Arial" w:cs="Arial"/>
                <w:color w:val="000000"/>
                <w:sz w:val="20"/>
                <w:lang w:val="en-US" w:eastAsia="zh-CN"/>
              </w:rPr>
              <w:t xml:space="preserve">           </w:t>
            </w:r>
            <w:r>
              <w:rPr>
                <w:rFonts w:ascii="Arial" w:hAnsi="Arial" w:cs="Arial"/>
                <w:color w:val="000000"/>
                <w:sz w:val="20"/>
                <w:lang w:val="en-US" w:eastAsia="zh-CN"/>
              </w:rPr>
              <w:t>19</w:t>
            </w:r>
            <w:r w:rsidRPr="000970C5">
              <w:rPr>
                <w:rFonts w:ascii="Arial" w:hAnsi="Arial" w:cs="Arial"/>
                <w:color w:val="000000"/>
                <w:sz w:val="20"/>
                <w:lang w:val="en-US" w:eastAsia="zh-CN"/>
              </w:rPr>
              <w:t>,</w:t>
            </w:r>
            <w:r>
              <w:rPr>
                <w:rFonts w:ascii="Arial" w:hAnsi="Arial" w:cs="Arial"/>
                <w:color w:val="000000"/>
                <w:sz w:val="20"/>
                <w:lang w:val="en-US" w:eastAsia="zh-CN"/>
              </w:rPr>
              <w:t>592</w:t>
            </w:r>
            <w:r w:rsidRPr="000970C5">
              <w:rPr>
                <w:rFonts w:ascii="Arial" w:hAnsi="Arial" w:cs="Arial"/>
                <w:color w:val="000000"/>
                <w:sz w:val="20"/>
                <w:lang w:val="en-US" w:eastAsia="zh-CN"/>
              </w:rPr>
              <w:t xml:space="preserve"> </w:t>
            </w:r>
          </w:p>
        </w:tc>
        <w:tc>
          <w:tcPr>
            <w:tcW w:w="1460" w:type="dxa"/>
            <w:tcBorders>
              <w:top w:val="nil"/>
              <w:left w:val="nil"/>
              <w:bottom w:val="nil"/>
              <w:right w:val="single" w:sz="4" w:space="0" w:color="auto"/>
            </w:tcBorders>
            <w:shd w:val="clear" w:color="auto" w:fill="auto"/>
            <w:noWrap/>
            <w:vAlign w:val="bottom"/>
            <w:hideMark/>
          </w:tcPr>
          <w:p w:rsidR="001A386C" w:rsidRPr="000970C5" w:rsidRDefault="001A386C" w:rsidP="001A386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0970C5">
              <w:rPr>
                <w:rFonts w:ascii="Arial" w:hAnsi="Arial" w:cs="Arial"/>
                <w:color w:val="000000"/>
                <w:sz w:val="20"/>
                <w:lang w:val="en-US" w:eastAsia="zh-CN"/>
              </w:rPr>
              <w:t xml:space="preserve">           </w:t>
            </w:r>
            <w:r>
              <w:rPr>
                <w:rFonts w:ascii="Arial" w:hAnsi="Arial" w:cs="Arial"/>
                <w:color w:val="000000"/>
                <w:sz w:val="20"/>
                <w:lang w:val="en-US" w:eastAsia="zh-CN"/>
              </w:rPr>
              <w:t>1</w:t>
            </w:r>
            <w:r w:rsidRPr="000970C5">
              <w:rPr>
                <w:rFonts w:ascii="Arial" w:hAnsi="Arial" w:cs="Arial"/>
                <w:color w:val="000000"/>
                <w:sz w:val="20"/>
                <w:lang w:val="en-US" w:eastAsia="zh-CN"/>
              </w:rPr>
              <w:t xml:space="preserve">8,995 </w:t>
            </w:r>
          </w:p>
        </w:tc>
      </w:tr>
      <w:tr w:rsidR="001A386C" w:rsidRPr="000970C5" w:rsidTr="000970C5">
        <w:trPr>
          <w:trHeight w:val="255"/>
        </w:trPr>
        <w:tc>
          <w:tcPr>
            <w:tcW w:w="6280" w:type="dxa"/>
            <w:gridSpan w:val="2"/>
            <w:tcBorders>
              <w:top w:val="nil"/>
              <w:left w:val="single" w:sz="4" w:space="0" w:color="auto"/>
              <w:bottom w:val="nil"/>
              <w:right w:val="nil"/>
            </w:tcBorders>
            <w:shd w:val="clear" w:color="auto" w:fill="auto"/>
            <w:noWrap/>
            <w:vAlign w:val="bottom"/>
            <w:hideMark/>
          </w:tcPr>
          <w:p w:rsidR="001A386C" w:rsidRPr="000970C5" w:rsidRDefault="001A386C" w:rsidP="001A386C">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0970C5">
              <w:rPr>
                <w:rFonts w:ascii="Arial" w:hAnsi="Arial" w:cs="Arial"/>
                <w:color w:val="000000"/>
                <w:sz w:val="20"/>
                <w:lang w:val="en-US" w:eastAsia="zh-CN"/>
              </w:rPr>
              <w:t>S</w:t>
            </w:r>
            <w:r>
              <w:rPr>
                <w:rFonts w:ascii="Arial" w:hAnsi="Arial" w:cs="Arial"/>
                <w:color w:val="000000"/>
                <w:sz w:val="20"/>
                <w:lang w:val="en-US" w:eastAsia="zh-CN"/>
              </w:rPr>
              <w:t>atellite Network filing</w:t>
            </w:r>
          </w:p>
        </w:tc>
        <w:tc>
          <w:tcPr>
            <w:tcW w:w="1460" w:type="dxa"/>
            <w:tcBorders>
              <w:top w:val="nil"/>
              <w:left w:val="single" w:sz="4" w:space="0" w:color="auto"/>
              <w:bottom w:val="nil"/>
              <w:right w:val="single" w:sz="4" w:space="0" w:color="auto"/>
            </w:tcBorders>
            <w:shd w:val="clear" w:color="auto" w:fill="auto"/>
            <w:noWrap/>
            <w:vAlign w:val="bottom"/>
            <w:hideMark/>
          </w:tcPr>
          <w:p w:rsidR="001A386C" w:rsidRPr="000970C5" w:rsidRDefault="001A386C" w:rsidP="001A386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0970C5">
              <w:rPr>
                <w:rFonts w:ascii="Arial" w:hAnsi="Arial" w:cs="Arial"/>
                <w:color w:val="000000"/>
                <w:sz w:val="20"/>
                <w:lang w:val="en-US" w:eastAsia="zh-CN"/>
              </w:rPr>
              <w:t xml:space="preserve">           </w:t>
            </w:r>
            <w:r>
              <w:rPr>
                <w:rFonts w:ascii="Arial" w:hAnsi="Arial" w:cs="Arial"/>
                <w:color w:val="000000"/>
                <w:sz w:val="20"/>
                <w:lang w:val="en-US" w:eastAsia="zh-CN"/>
              </w:rPr>
              <w:t>15</w:t>
            </w:r>
            <w:r w:rsidRPr="000970C5">
              <w:rPr>
                <w:rFonts w:ascii="Arial" w:hAnsi="Arial" w:cs="Arial"/>
                <w:color w:val="000000"/>
                <w:sz w:val="20"/>
                <w:lang w:val="en-US" w:eastAsia="zh-CN"/>
              </w:rPr>
              <w:t>,</w:t>
            </w:r>
            <w:r>
              <w:rPr>
                <w:rFonts w:ascii="Arial" w:hAnsi="Arial" w:cs="Arial"/>
                <w:color w:val="000000"/>
                <w:sz w:val="20"/>
                <w:lang w:val="en-US" w:eastAsia="zh-CN"/>
              </w:rPr>
              <w:t>342</w:t>
            </w:r>
            <w:r w:rsidRPr="000970C5">
              <w:rPr>
                <w:rFonts w:ascii="Arial" w:hAnsi="Arial" w:cs="Arial"/>
                <w:color w:val="000000"/>
                <w:sz w:val="20"/>
                <w:lang w:val="en-US" w:eastAsia="zh-CN"/>
              </w:rPr>
              <w:t xml:space="preserve"> </w:t>
            </w:r>
          </w:p>
        </w:tc>
        <w:tc>
          <w:tcPr>
            <w:tcW w:w="1460" w:type="dxa"/>
            <w:tcBorders>
              <w:top w:val="nil"/>
              <w:left w:val="nil"/>
              <w:bottom w:val="nil"/>
              <w:right w:val="single" w:sz="4" w:space="0" w:color="auto"/>
            </w:tcBorders>
            <w:shd w:val="clear" w:color="auto" w:fill="auto"/>
            <w:noWrap/>
            <w:vAlign w:val="bottom"/>
            <w:hideMark/>
          </w:tcPr>
          <w:p w:rsidR="001A386C" w:rsidRPr="000970C5" w:rsidRDefault="001A386C" w:rsidP="001A386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0970C5">
              <w:rPr>
                <w:rFonts w:ascii="Arial" w:hAnsi="Arial" w:cs="Arial"/>
                <w:color w:val="000000"/>
                <w:sz w:val="20"/>
                <w:lang w:val="en-US" w:eastAsia="zh-CN"/>
              </w:rPr>
              <w:t xml:space="preserve">           </w:t>
            </w:r>
            <w:r>
              <w:rPr>
                <w:rFonts w:ascii="Arial" w:hAnsi="Arial" w:cs="Arial"/>
                <w:color w:val="000000"/>
                <w:sz w:val="20"/>
                <w:lang w:val="en-US" w:eastAsia="zh-CN"/>
              </w:rPr>
              <w:t>1</w:t>
            </w:r>
            <w:r w:rsidRPr="000970C5">
              <w:rPr>
                <w:rFonts w:ascii="Arial" w:hAnsi="Arial" w:cs="Arial"/>
                <w:color w:val="000000"/>
                <w:sz w:val="20"/>
                <w:lang w:val="en-US" w:eastAsia="zh-CN"/>
              </w:rPr>
              <w:t xml:space="preserve">3,231 </w:t>
            </w:r>
          </w:p>
        </w:tc>
      </w:tr>
      <w:tr w:rsidR="001A386C" w:rsidRPr="000970C5" w:rsidTr="000970C5">
        <w:trPr>
          <w:trHeight w:val="255"/>
        </w:trPr>
        <w:tc>
          <w:tcPr>
            <w:tcW w:w="6280" w:type="dxa"/>
            <w:gridSpan w:val="2"/>
            <w:tcBorders>
              <w:top w:val="nil"/>
              <w:left w:val="single" w:sz="4" w:space="0" w:color="auto"/>
              <w:bottom w:val="nil"/>
              <w:right w:val="nil"/>
            </w:tcBorders>
            <w:shd w:val="clear" w:color="auto" w:fill="auto"/>
            <w:noWrap/>
            <w:vAlign w:val="bottom"/>
            <w:hideMark/>
          </w:tcPr>
          <w:p w:rsidR="001A386C" w:rsidRPr="000970C5" w:rsidRDefault="001A386C" w:rsidP="001A386C">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0970C5">
              <w:rPr>
                <w:rFonts w:ascii="Arial" w:hAnsi="Arial" w:cs="Arial"/>
                <w:color w:val="000000"/>
                <w:sz w:val="20"/>
                <w:lang w:val="en-US" w:eastAsia="zh-CN"/>
              </w:rPr>
              <w:t>UIFN/UIPRN-UISC</w:t>
            </w:r>
          </w:p>
        </w:tc>
        <w:tc>
          <w:tcPr>
            <w:tcW w:w="1460" w:type="dxa"/>
            <w:tcBorders>
              <w:top w:val="nil"/>
              <w:left w:val="single" w:sz="4" w:space="0" w:color="auto"/>
              <w:bottom w:val="nil"/>
              <w:right w:val="single" w:sz="4" w:space="0" w:color="auto"/>
            </w:tcBorders>
            <w:shd w:val="clear" w:color="auto" w:fill="auto"/>
            <w:noWrap/>
            <w:vAlign w:val="bottom"/>
            <w:hideMark/>
          </w:tcPr>
          <w:p w:rsidR="001A386C" w:rsidRPr="000970C5" w:rsidRDefault="001A386C" w:rsidP="001A386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0970C5">
              <w:rPr>
                <w:rFonts w:ascii="Arial" w:hAnsi="Arial" w:cs="Arial"/>
                <w:color w:val="000000"/>
                <w:sz w:val="20"/>
                <w:lang w:val="en-US" w:eastAsia="zh-CN"/>
              </w:rPr>
              <w:t xml:space="preserve">                1</w:t>
            </w:r>
            <w:r>
              <w:rPr>
                <w:rFonts w:ascii="Arial" w:hAnsi="Arial" w:cs="Arial"/>
                <w:color w:val="000000"/>
                <w:sz w:val="20"/>
                <w:lang w:val="en-US" w:eastAsia="zh-CN"/>
              </w:rPr>
              <w:t>39</w:t>
            </w:r>
            <w:r w:rsidRPr="000970C5">
              <w:rPr>
                <w:rFonts w:ascii="Arial" w:hAnsi="Arial" w:cs="Arial"/>
                <w:color w:val="000000"/>
                <w:sz w:val="20"/>
                <w:lang w:val="en-US" w:eastAsia="zh-CN"/>
              </w:rPr>
              <w:t xml:space="preserve"> </w:t>
            </w:r>
          </w:p>
        </w:tc>
        <w:tc>
          <w:tcPr>
            <w:tcW w:w="1460" w:type="dxa"/>
            <w:tcBorders>
              <w:top w:val="nil"/>
              <w:left w:val="nil"/>
              <w:bottom w:val="nil"/>
              <w:right w:val="single" w:sz="4" w:space="0" w:color="auto"/>
            </w:tcBorders>
            <w:shd w:val="clear" w:color="auto" w:fill="auto"/>
            <w:noWrap/>
            <w:vAlign w:val="bottom"/>
            <w:hideMark/>
          </w:tcPr>
          <w:p w:rsidR="001A386C" w:rsidRPr="000970C5" w:rsidRDefault="001A386C" w:rsidP="001A386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0970C5">
              <w:rPr>
                <w:rFonts w:ascii="Arial" w:hAnsi="Arial" w:cs="Arial"/>
                <w:color w:val="000000"/>
                <w:sz w:val="20"/>
                <w:lang w:val="en-US" w:eastAsia="zh-CN"/>
              </w:rPr>
              <w:t xml:space="preserve">                113 </w:t>
            </w:r>
          </w:p>
        </w:tc>
      </w:tr>
      <w:tr w:rsidR="001A386C" w:rsidRPr="000970C5" w:rsidTr="000970C5">
        <w:trPr>
          <w:trHeight w:val="255"/>
        </w:trPr>
        <w:tc>
          <w:tcPr>
            <w:tcW w:w="6280" w:type="dxa"/>
            <w:gridSpan w:val="2"/>
            <w:tcBorders>
              <w:top w:val="nil"/>
              <w:left w:val="single" w:sz="4" w:space="0" w:color="auto"/>
              <w:bottom w:val="nil"/>
              <w:right w:val="nil"/>
            </w:tcBorders>
            <w:shd w:val="clear" w:color="auto" w:fill="auto"/>
            <w:noWrap/>
            <w:vAlign w:val="bottom"/>
            <w:hideMark/>
          </w:tcPr>
          <w:p w:rsidR="001A386C" w:rsidRPr="000970C5" w:rsidRDefault="001A386C" w:rsidP="001A386C">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0970C5">
              <w:rPr>
                <w:rFonts w:ascii="Arial" w:hAnsi="Arial" w:cs="Arial"/>
                <w:color w:val="000000"/>
                <w:sz w:val="20"/>
                <w:lang w:val="en-US" w:eastAsia="zh-CN"/>
              </w:rPr>
              <w:t>GMPCS-MoUs</w:t>
            </w:r>
          </w:p>
        </w:tc>
        <w:tc>
          <w:tcPr>
            <w:tcW w:w="1460" w:type="dxa"/>
            <w:tcBorders>
              <w:top w:val="nil"/>
              <w:left w:val="single" w:sz="4" w:space="0" w:color="auto"/>
              <w:bottom w:val="nil"/>
              <w:right w:val="single" w:sz="4" w:space="0" w:color="auto"/>
            </w:tcBorders>
            <w:shd w:val="clear" w:color="auto" w:fill="auto"/>
            <w:noWrap/>
            <w:vAlign w:val="bottom"/>
            <w:hideMark/>
          </w:tcPr>
          <w:p w:rsidR="001A386C" w:rsidRPr="000970C5" w:rsidRDefault="001A386C" w:rsidP="001A386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0970C5">
              <w:rPr>
                <w:rFonts w:ascii="Arial" w:hAnsi="Arial" w:cs="Arial"/>
                <w:color w:val="000000"/>
                <w:sz w:val="20"/>
                <w:lang w:val="en-US" w:eastAsia="zh-CN"/>
              </w:rPr>
              <w:t xml:space="preserve">                  </w:t>
            </w:r>
            <w:r>
              <w:rPr>
                <w:rFonts w:ascii="Arial" w:hAnsi="Arial" w:cs="Arial"/>
                <w:color w:val="000000"/>
                <w:sz w:val="20"/>
                <w:lang w:val="en-US" w:eastAsia="zh-CN"/>
              </w:rPr>
              <w:t>6</w:t>
            </w:r>
            <w:r w:rsidRPr="000970C5">
              <w:rPr>
                <w:rFonts w:ascii="Arial" w:hAnsi="Arial" w:cs="Arial"/>
                <w:color w:val="000000"/>
                <w:sz w:val="20"/>
                <w:lang w:val="en-US" w:eastAsia="zh-CN"/>
              </w:rPr>
              <w:t xml:space="preserve"> </w:t>
            </w:r>
          </w:p>
        </w:tc>
        <w:tc>
          <w:tcPr>
            <w:tcW w:w="1460" w:type="dxa"/>
            <w:tcBorders>
              <w:top w:val="nil"/>
              <w:left w:val="nil"/>
              <w:bottom w:val="nil"/>
              <w:right w:val="single" w:sz="4" w:space="0" w:color="auto"/>
            </w:tcBorders>
            <w:shd w:val="clear" w:color="auto" w:fill="auto"/>
            <w:noWrap/>
            <w:vAlign w:val="bottom"/>
            <w:hideMark/>
          </w:tcPr>
          <w:p w:rsidR="001A386C" w:rsidRPr="000970C5" w:rsidRDefault="001A386C" w:rsidP="001A386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0970C5">
              <w:rPr>
                <w:rFonts w:ascii="Arial" w:hAnsi="Arial" w:cs="Arial"/>
                <w:color w:val="000000"/>
                <w:sz w:val="20"/>
                <w:lang w:val="en-US" w:eastAsia="zh-CN"/>
              </w:rPr>
              <w:t xml:space="preserve">                  10 </w:t>
            </w:r>
          </w:p>
        </w:tc>
      </w:tr>
      <w:tr w:rsidR="001A386C" w:rsidRPr="000970C5" w:rsidTr="000970C5">
        <w:trPr>
          <w:trHeight w:val="255"/>
        </w:trPr>
        <w:tc>
          <w:tcPr>
            <w:tcW w:w="6280" w:type="dxa"/>
            <w:gridSpan w:val="2"/>
            <w:tcBorders>
              <w:top w:val="nil"/>
              <w:left w:val="single" w:sz="4" w:space="0" w:color="auto"/>
              <w:bottom w:val="nil"/>
              <w:right w:val="nil"/>
            </w:tcBorders>
            <w:shd w:val="clear" w:color="auto" w:fill="auto"/>
            <w:noWrap/>
            <w:vAlign w:val="bottom"/>
            <w:hideMark/>
          </w:tcPr>
          <w:p w:rsidR="001A386C" w:rsidRPr="000970C5" w:rsidRDefault="001A386C" w:rsidP="001A386C">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0970C5">
              <w:rPr>
                <w:rFonts w:ascii="Arial" w:hAnsi="Arial" w:cs="Arial"/>
                <w:color w:val="000000"/>
                <w:sz w:val="20"/>
                <w:lang w:val="en-US" w:eastAsia="zh-CN"/>
              </w:rPr>
              <w:t>Recov</w:t>
            </w:r>
            <w:r>
              <w:rPr>
                <w:rFonts w:ascii="Arial" w:hAnsi="Arial" w:cs="Arial"/>
                <w:color w:val="000000"/>
                <w:sz w:val="20"/>
                <w:lang w:val="en-US" w:eastAsia="zh-CN"/>
              </w:rPr>
              <w:t xml:space="preserve">ery </w:t>
            </w:r>
            <w:r w:rsidR="00E144C3">
              <w:rPr>
                <w:rFonts w:ascii="Arial" w:hAnsi="Arial" w:cs="Arial"/>
                <w:color w:val="000000"/>
                <w:sz w:val="20"/>
                <w:lang w:val="en-US" w:eastAsia="zh-CN"/>
              </w:rPr>
              <w:t>–</w:t>
            </w:r>
            <w:r w:rsidRPr="000970C5">
              <w:rPr>
                <w:rFonts w:ascii="Arial" w:hAnsi="Arial" w:cs="Arial"/>
                <w:color w:val="000000"/>
                <w:sz w:val="20"/>
                <w:lang w:val="en-US" w:eastAsia="zh-CN"/>
              </w:rPr>
              <w:t>Publications</w:t>
            </w:r>
          </w:p>
        </w:tc>
        <w:tc>
          <w:tcPr>
            <w:tcW w:w="1460" w:type="dxa"/>
            <w:tcBorders>
              <w:top w:val="nil"/>
              <w:left w:val="single" w:sz="4" w:space="0" w:color="auto"/>
              <w:bottom w:val="nil"/>
              <w:right w:val="single" w:sz="4" w:space="0" w:color="auto"/>
            </w:tcBorders>
            <w:shd w:val="clear" w:color="auto" w:fill="auto"/>
            <w:noWrap/>
            <w:vAlign w:val="bottom"/>
            <w:hideMark/>
          </w:tcPr>
          <w:p w:rsidR="001A386C" w:rsidRPr="000970C5" w:rsidRDefault="001A386C" w:rsidP="001A386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0970C5">
              <w:rPr>
                <w:rFonts w:ascii="Arial" w:hAnsi="Arial" w:cs="Arial"/>
                <w:color w:val="000000"/>
                <w:sz w:val="20"/>
                <w:lang w:val="en-US" w:eastAsia="zh-CN"/>
              </w:rPr>
              <w:t xml:space="preserve">                   -   </w:t>
            </w:r>
          </w:p>
        </w:tc>
        <w:tc>
          <w:tcPr>
            <w:tcW w:w="1460" w:type="dxa"/>
            <w:tcBorders>
              <w:top w:val="nil"/>
              <w:left w:val="nil"/>
              <w:bottom w:val="nil"/>
              <w:right w:val="single" w:sz="4" w:space="0" w:color="auto"/>
            </w:tcBorders>
            <w:shd w:val="clear" w:color="auto" w:fill="auto"/>
            <w:noWrap/>
            <w:vAlign w:val="bottom"/>
            <w:hideMark/>
          </w:tcPr>
          <w:p w:rsidR="001A386C" w:rsidRPr="000970C5" w:rsidRDefault="001A386C" w:rsidP="001A386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0970C5">
              <w:rPr>
                <w:rFonts w:ascii="Arial" w:hAnsi="Arial" w:cs="Arial"/>
                <w:color w:val="000000"/>
                <w:sz w:val="20"/>
                <w:lang w:val="en-US" w:eastAsia="zh-CN"/>
              </w:rPr>
              <w:t xml:space="preserve">                   -   </w:t>
            </w:r>
          </w:p>
        </w:tc>
      </w:tr>
      <w:tr w:rsidR="001A386C" w:rsidRPr="000970C5" w:rsidTr="000970C5">
        <w:trPr>
          <w:trHeight w:val="255"/>
        </w:trPr>
        <w:tc>
          <w:tcPr>
            <w:tcW w:w="6280" w:type="dxa"/>
            <w:gridSpan w:val="2"/>
            <w:tcBorders>
              <w:top w:val="nil"/>
              <w:left w:val="single" w:sz="4" w:space="0" w:color="auto"/>
              <w:bottom w:val="nil"/>
              <w:right w:val="nil"/>
            </w:tcBorders>
            <w:shd w:val="clear" w:color="auto" w:fill="auto"/>
            <w:noWrap/>
            <w:vAlign w:val="bottom"/>
            <w:hideMark/>
          </w:tcPr>
          <w:p w:rsidR="001A386C" w:rsidRPr="000970C5" w:rsidRDefault="001A386C" w:rsidP="001A386C">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0970C5">
              <w:rPr>
                <w:rFonts w:ascii="Arial" w:hAnsi="Arial" w:cs="Arial"/>
                <w:color w:val="000000"/>
                <w:sz w:val="20"/>
                <w:lang w:val="en-US" w:eastAsia="zh-CN"/>
              </w:rPr>
              <w:t>Other revenue</w:t>
            </w:r>
          </w:p>
        </w:tc>
        <w:tc>
          <w:tcPr>
            <w:tcW w:w="1460" w:type="dxa"/>
            <w:tcBorders>
              <w:top w:val="nil"/>
              <w:left w:val="single" w:sz="4" w:space="0" w:color="auto"/>
              <w:bottom w:val="nil"/>
              <w:right w:val="single" w:sz="4" w:space="0" w:color="auto"/>
            </w:tcBorders>
            <w:shd w:val="clear" w:color="auto" w:fill="auto"/>
            <w:noWrap/>
            <w:vAlign w:val="bottom"/>
            <w:hideMark/>
          </w:tcPr>
          <w:p w:rsidR="001A386C" w:rsidRPr="000970C5" w:rsidRDefault="001A386C" w:rsidP="001A386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0970C5">
              <w:rPr>
                <w:rFonts w:ascii="Arial" w:hAnsi="Arial" w:cs="Arial"/>
                <w:color w:val="000000"/>
                <w:sz w:val="20"/>
                <w:lang w:val="en-US" w:eastAsia="zh-CN"/>
              </w:rPr>
              <w:t xml:space="preserve">             </w:t>
            </w:r>
            <w:r>
              <w:rPr>
                <w:rFonts w:ascii="Arial" w:hAnsi="Arial" w:cs="Arial"/>
                <w:color w:val="000000"/>
                <w:sz w:val="20"/>
                <w:lang w:val="en-US" w:eastAsia="zh-CN"/>
              </w:rPr>
              <w:t>1,789</w:t>
            </w:r>
            <w:r w:rsidRPr="000970C5">
              <w:rPr>
                <w:rFonts w:ascii="Arial" w:hAnsi="Arial" w:cs="Arial"/>
                <w:color w:val="000000"/>
                <w:sz w:val="20"/>
                <w:lang w:val="en-US" w:eastAsia="zh-CN"/>
              </w:rPr>
              <w:t xml:space="preserve"> </w:t>
            </w:r>
          </w:p>
        </w:tc>
        <w:tc>
          <w:tcPr>
            <w:tcW w:w="1460" w:type="dxa"/>
            <w:tcBorders>
              <w:top w:val="nil"/>
              <w:left w:val="nil"/>
              <w:bottom w:val="nil"/>
              <w:right w:val="single" w:sz="4" w:space="0" w:color="auto"/>
            </w:tcBorders>
            <w:shd w:val="clear" w:color="auto" w:fill="auto"/>
            <w:noWrap/>
            <w:vAlign w:val="bottom"/>
            <w:hideMark/>
          </w:tcPr>
          <w:p w:rsidR="001A386C" w:rsidRPr="000970C5" w:rsidRDefault="001A386C" w:rsidP="001A386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0970C5">
              <w:rPr>
                <w:rFonts w:ascii="Arial" w:hAnsi="Arial" w:cs="Arial"/>
                <w:color w:val="000000"/>
                <w:sz w:val="20"/>
                <w:lang w:val="en-US" w:eastAsia="zh-CN"/>
              </w:rPr>
              <w:t xml:space="preserve">                610 </w:t>
            </w:r>
          </w:p>
        </w:tc>
      </w:tr>
      <w:tr w:rsidR="000970C5" w:rsidRPr="000970C5" w:rsidTr="000970C5">
        <w:trPr>
          <w:trHeight w:val="255"/>
        </w:trPr>
        <w:tc>
          <w:tcPr>
            <w:tcW w:w="5800" w:type="dxa"/>
            <w:tcBorders>
              <w:top w:val="nil"/>
              <w:left w:val="single" w:sz="4" w:space="0" w:color="auto"/>
              <w:bottom w:val="nil"/>
              <w:right w:val="nil"/>
            </w:tcBorders>
            <w:shd w:val="clear" w:color="auto" w:fill="auto"/>
            <w:noWrap/>
            <w:vAlign w:val="bottom"/>
            <w:hideMark/>
          </w:tcPr>
          <w:p w:rsidR="000970C5" w:rsidRPr="000970C5" w:rsidRDefault="000970C5" w:rsidP="000970C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0970C5">
              <w:rPr>
                <w:rFonts w:ascii="Arial" w:hAnsi="Arial" w:cs="Arial"/>
                <w:color w:val="000000"/>
                <w:sz w:val="20"/>
                <w:lang w:val="en-US" w:eastAsia="zh-CN"/>
              </w:rPr>
              <w:t> </w:t>
            </w:r>
          </w:p>
        </w:tc>
        <w:tc>
          <w:tcPr>
            <w:tcW w:w="480" w:type="dxa"/>
            <w:tcBorders>
              <w:top w:val="nil"/>
              <w:left w:val="nil"/>
              <w:bottom w:val="nil"/>
              <w:right w:val="nil"/>
            </w:tcBorders>
            <w:shd w:val="clear" w:color="auto" w:fill="auto"/>
            <w:noWrap/>
            <w:vAlign w:val="bottom"/>
            <w:hideMark/>
          </w:tcPr>
          <w:p w:rsidR="000970C5" w:rsidRPr="000970C5" w:rsidRDefault="000970C5" w:rsidP="000970C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p>
        </w:tc>
        <w:tc>
          <w:tcPr>
            <w:tcW w:w="1460" w:type="dxa"/>
            <w:tcBorders>
              <w:top w:val="nil"/>
              <w:left w:val="single" w:sz="4" w:space="0" w:color="auto"/>
              <w:bottom w:val="nil"/>
              <w:right w:val="single" w:sz="4" w:space="0" w:color="auto"/>
            </w:tcBorders>
            <w:shd w:val="clear" w:color="auto" w:fill="auto"/>
            <w:noWrap/>
            <w:vAlign w:val="bottom"/>
            <w:hideMark/>
          </w:tcPr>
          <w:p w:rsidR="000970C5" w:rsidRPr="000970C5" w:rsidRDefault="000970C5" w:rsidP="000970C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0970C5">
              <w:rPr>
                <w:rFonts w:ascii="Arial" w:hAnsi="Arial" w:cs="Arial"/>
                <w:color w:val="000000"/>
                <w:sz w:val="20"/>
                <w:lang w:val="en-US" w:eastAsia="zh-CN"/>
              </w:rPr>
              <w:t> </w:t>
            </w:r>
          </w:p>
        </w:tc>
        <w:tc>
          <w:tcPr>
            <w:tcW w:w="1460" w:type="dxa"/>
            <w:tcBorders>
              <w:top w:val="nil"/>
              <w:left w:val="nil"/>
              <w:bottom w:val="single" w:sz="4" w:space="0" w:color="auto"/>
              <w:right w:val="single" w:sz="4" w:space="0" w:color="auto"/>
            </w:tcBorders>
            <w:shd w:val="clear" w:color="auto" w:fill="auto"/>
            <w:noWrap/>
            <w:vAlign w:val="bottom"/>
            <w:hideMark/>
          </w:tcPr>
          <w:p w:rsidR="000970C5" w:rsidRPr="000970C5" w:rsidRDefault="000970C5" w:rsidP="000970C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0970C5">
              <w:rPr>
                <w:rFonts w:ascii="Arial" w:hAnsi="Arial" w:cs="Arial"/>
                <w:color w:val="000000"/>
                <w:sz w:val="20"/>
                <w:lang w:val="en-US" w:eastAsia="zh-CN"/>
              </w:rPr>
              <w:t> </w:t>
            </w:r>
          </w:p>
        </w:tc>
      </w:tr>
      <w:tr w:rsidR="000970C5" w:rsidRPr="000970C5" w:rsidTr="000970C5">
        <w:trPr>
          <w:trHeight w:val="499"/>
        </w:trPr>
        <w:tc>
          <w:tcPr>
            <w:tcW w:w="6280" w:type="dxa"/>
            <w:gridSpan w:val="2"/>
            <w:tcBorders>
              <w:top w:val="single" w:sz="4" w:space="0" w:color="auto"/>
              <w:left w:val="single" w:sz="4" w:space="0" w:color="auto"/>
              <w:bottom w:val="single" w:sz="4" w:space="0" w:color="auto"/>
              <w:right w:val="nil"/>
            </w:tcBorders>
            <w:shd w:val="clear" w:color="auto" w:fill="auto"/>
            <w:noWrap/>
            <w:vAlign w:val="center"/>
            <w:hideMark/>
          </w:tcPr>
          <w:p w:rsidR="000970C5" w:rsidRPr="000970C5" w:rsidRDefault="000970C5" w:rsidP="000970C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20"/>
                <w:lang w:val="en-US" w:eastAsia="zh-CN"/>
              </w:rPr>
            </w:pPr>
            <w:r w:rsidRPr="000970C5">
              <w:rPr>
                <w:rFonts w:ascii="Arial" w:hAnsi="Arial" w:cs="Arial"/>
                <w:b/>
                <w:bCs/>
                <w:color w:val="000000"/>
                <w:sz w:val="20"/>
                <w:lang w:val="en-US" w:eastAsia="zh-CN"/>
              </w:rPr>
              <w:t>Other operating revenues</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70C5" w:rsidRPr="000970C5" w:rsidRDefault="000970C5" w:rsidP="00D3113E">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0970C5">
              <w:rPr>
                <w:rFonts w:ascii="Arial" w:hAnsi="Arial" w:cs="Arial"/>
                <w:b/>
                <w:bCs/>
                <w:color w:val="000000"/>
                <w:sz w:val="20"/>
                <w:lang w:val="en-US" w:eastAsia="zh-CN"/>
              </w:rPr>
              <w:t xml:space="preserve">           4</w:t>
            </w:r>
            <w:r w:rsidR="001A386C">
              <w:rPr>
                <w:rFonts w:ascii="Arial" w:hAnsi="Arial" w:cs="Arial"/>
                <w:b/>
                <w:bCs/>
                <w:color w:val="000000"/>
                <w:sz w:val="20"/>
                <w:lang w:val="en-US" w:eastAsia="zh-CN"/>
              </w:rPr>
              <w:t>4</w:t>
            </w:r>
            <w:r w:rsidRPr="000970C5">
              <w:rPr>
                <w:rFonts w:ascii="Arial" w:hAnsi="Arial" w:cs="Arial"/>
                <w:b/>
                <w:bCs/>
                <w:color w:val="000000"/>
                <w:sz w:val="20"/>
                <w:lang w:val="en-US" w:eastAsia="zh-CN"/>
              </w:rPr>
              <w:t>,</w:t>
            </w:r>
            <w:r w:rsidR="00D3113E">
              <w:rPr>
                <w:rFonts w:ascii="Arial" w:hAnsi="Arial" w:cs="Arial"/>
                <w:b/>
                <w:bCs/>
                <w:color w:val="000000"/>
                <w:sz w:val="20"/>
                <w:lang w:val="en-US" w:eastAsia="zh-CN"/>
              </w:rPr>
              <w:t>374</w:t>
            </w:r>
            <w:r w:rsidRPr="000970C5">
              <w:rPr>
                <w:rFonts w:ascii="Arial" w:hAnsi="Arial" w:cs="Arial"/>
                <w:b/>
                <w:bCs/>
                <w:color w:val="000000"/>
                <w:sz w:val="20"/>
                <w:lang w:val="en-US" w:eastAsia="zh-CN"/>
              </w:rPr>
              <w:t xml:space="preserve"> </w:t>
            </w:r>
          </w:p>
        </w:tc>
        <w:tc>
          <w:tcPr>
            <w:tcW w:w="1460" w:type="dxa"/>
            <w:tcBorders>
              <w:top w:val="nil"/>
              <w:left w:val="nil"/>
              <w:bottom w:val="single" w:sz="4" w:space="0" w:color="auto"/>
              <w:right w:val="single" w:sz="4" w:space="0" w:color="auto"/>
            </w:tcBorders>
            <w:shd w:val="clear" w:color="auto" w:fill="auto"/>
            <w:noWrap/>
            <w:vAlign w:val="center"/>
            <w:hideMark/>
          </w:tcPr>
          <w:p w:rsidR="000970C5" w:rsidRPr="000970C5" w:rsidRDefault="000970C5" w:rsidP="001A386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0970C5">
              <w:rPr>
                <w:rFonts w:ascii="Arial" w:hAnsi="Arial" w:cs="Arial"/>
                <w:b/>
                <w:bCs/>
                <w:color w:val="000000"/>
                <w:sz w:val="20"/>
                <w:lang w:val="en-US" w:eastAsia="zh-CN"/>
              </w:rPr>
              <w:t xml:space="preserve">           </w:t>
            </w:r>
            <w:r w:rsidR="001A386C">
              <w:rPr>
                <w:rFonts w:ascii="Arial" w:hAnsi="Arial" w:cs="Arial"/>
                <w:b/>
                <w:bCs/>
                <w:color w:val="000000"/>
                <w:sz w:val="20"/>
                <w:lang w:val="en-US" w:eastAsia="zh-CN"/>
              </w:rPr>
              <w:t>41</w:t>
            </w:r>
            <w:r>
              <w:rPr>
                <w:rFonts w:ascii="Arial" w:hAnsi="Arial" w:cs="Arial"/>
                <w:b/>
                <w:bCs/>
                <w:color w:val="000000"/>
                <w:sz w:val="20"/>
                <w:lang w:val="en-US" w:eastAsia="zh-CN"/>
              </w:rPr>
              <w:t>’</w:t>
            </w:r>
            <w:r w:rsidR="001A386C">
              <w:rPr>
                <w:rFonts w:ascii="Arial" w:hAnsi="Arial" w:cs="Arial"/>
                <w:b/>
                <w:bCs/>
                <w:color w:val="000000"/>
                <w:sz w:val="20"/>
                <w:lang w:val="en-US" w:eastAsia="zh-CN"/>
              </w:rPr>
              <w:t>919</w:t>
            </w:r>
            <w:r w:rsidRPr="000970C5">
              <w:rPr>
                <w:rFonts w:ascii="Arial" w:hAnsi="Arial" w:cs="Arial"/>
                <w:b/>
                <w:bCs/>
                <w:color w:val="000000"/>
                <w:sz w:val="20"/>
                <w:lang w:val="en-US" w:eastAsia="zh-CN"/>
              </w:rPr>
              <w:t xml:space="preserve"> </w:t>
            </w:r>
          </w:p>
        </w:tc>
      </w:tr>
    </w:tbl>
    <w:p w:rsidR="000400CB" w:rsidRDefault="00C54321" w:rsidP="00B61B27">
      <w:pPr>
        <w:spacing w:before="240"/>
        <w:jc w:val="both"/>
        <w:rPr>
          <w:rFonts w:eastAsia="SimSun"/>
          <w:lang w:val="en-US"/>
        </w:rPr>
      </w:pPr>
      <w:r w:rsidRPr="00342EDD">
        <w:rPr>
          <w:rFonts w:eastAsia="SimSun"/>
          <w:lang w:val="en-US"/>
        </w:rPr>
        <w:t xml:space="preserve">Other operating revenue includes mostly cost recovery activities. </w:t>
      </w:r>
      <w:r w:rsidR="0022373A" w:rsidRPr="00342EDD">
        <w:rPr>
          <w:rFonts w:eastAsia="SimSun"/>
          <w:lang w:val="en-US"/>
        </w:rPr>
        <w:t>The products and services for which ITU applies cost recovery are primarily</w:t>
      </w:r>
      <w:r w:rsidR="00D86CB5" w:rsidRPr="00342EDD">
        <w:rPr>
          <w:rFonts w:eastAsia="SimSun"/>
          <w:lang w:val="en-US"/>
        </w:rPr>
        <w:t xml:space="preserve"> </w:t>
      </w:r>
      <w:r w:rsidR="0022373A" w:rsidRPr="00342EDD">
        <w:rPr>
          <w:rFonts w:eastAsia="SimSun"/>
          <w:lang w:val="en-US"/>
        </w:rPr>
        <w:t xml:space="preserve">registration of universal international </w:t>
      </w:r>
      <w:proofErr w:type="spellStart"/>
      <w:r w:rsidR="0022373A" w:rsidRPr="00342EDD">
        <w:rPr>
          <w:rFonts w:eastAsia="SimSun"/>
          <w:lang w:val="en-US"/>
        </w:rPr>
        <w:t>freephone</w:t>
      </w:r>
      <w:proofErr w:type="spellEnd"/>
      <w:r w:rsidR="0022373A" w:rsidRPr="00342EDD">
        <w:rPr>
          <w:rFonts w:eastAsia="SimSun"/>
          <w:lang w:val="en-US"/>
        </w:rPr>
        <w:t xml:space="preserve"> numbers (UIFN)</w:t>
      </w:r>
      <w:r w:rsidR="00D86CB5" w:rsidRPr="00342EDD">
        <w:rPr>
          <w:rFonts w:eastAsia="SimSun"/>
          <w:lang w:val="en-US"/>
        </w:rPr>
        <w:t xml:space="preserve">, </w:t>
      </w:r>
      <w:r w:rsidR="0022373A" w:rsidRPr="00342EDD">
        <w:rPr>
          <w:rFonts w:eastAsia="SimSun"/>
          <w:lang w:val="en-US"/>
        </w:rPr>
        <w:t>Memorandum of Understanding on global mobile personal communication systems (GMPCS MoUs)</w:t>
      </w:r>
      <w:r w:rsidR="00D86CB5" w:rsidRPr="00342EDD">
        <w:rPr>
          <w:rFonts w:eastAsia="SimSun"/>
          <w:lang w:val="en-US"/>
        </w:rPr>
        <w:t xml:space="preserve">, </w:t>
      </w:r>
      <w:r w:rsidR="0022373A" w:rsidRPr="00342EDD">
        <w:rPr>
          <w:rFonts w:eastAsia="SimSun"/>
          <w:lang w:val="en-US"/>
        </w:rPr>
        <w:t>publication sales</w:t>
      </w:r>
      <w:r w:rsidR="00526E73" w:rsidRPr="00342EDD">
        <w:rPr>
          <w:rFonts w:eastAsia="SimSun"/>
          <w:lang w:val="en-US"/>
        </w:rPr>
        <w:t>. P</w:t>
      </w:r>
      <w:r w:rsidR="0022373A" w:rsidRPr="00342EDD">
        <w:rPr>
          <w:rFonts w:eastAsia="SimSun"/>
          <w:lang w:val="en-US"/>
        </w:rPr>
        <w:t>roject support revenue</w:t>
      </w:r>
      <w:r w:rsidR="00526E73" w:rsidRPr="00342EDD">
        <w:rPr>
          <w:rFonts w:eastAsia="SimSun"/>
          <w:lang w:val="en-US"/>
        </w:rPr>
        <w:t xml:space="preserve"> </w:t>
      </w:r>
      <w:r w:rsidR="00A705FC" w:rsidRPr="00342EDD">
        <w:rPr>
          <w:rFonts w:eastAsia="SimSun"/>
          <w:lang w:val="en-US"/>
        </w:rPr>
        <w:t xml:space="preserve">is </w:t>
      </w:r>
      <w:r w:rsidR="00BF34EF" w:rsidRPr="00342EDD">
        <w:rPr>
          <w:rFonts w:eastAsia="SimSun"/>
          <w:lang w:val="en-US"/>
        </w:rPr>
        <w:t xml:space="preserve">included in </w:t>
      </w:r>
      <w:r w:rsidR="00526E73" w:rsidRPr="00342EDD">
        <w:rPr>
          <w:rFonts w:eastAsia="SimSun"/>
          <w:lang w:val="en-US"/>
        </w:rPr>
        <w:t>inter</w:t>
      </w:r>
      <w:r w:rsidR="00BF34EF" w:rsidRPr="00342EDD">
        <w:rPr>
          <w:rFonts w:eastAsia="SimSun"/>
          <w:lang w:val="en-US"/>
        </w:rPr>
        <w:t>-funds eliminations</w:t>
      </w:r>
      <w:r w:rsidR="00526E73" w:rsidRPr="00342EDD">
        <w:rPr>
          <w:rFonts w:eastAsia="SimSun"/>
          <w:lang w:val="en-US"/>
        </w:rPr>
        <w:t xml:space="preserve"> </w:t>
      </w:r>
      <w:r w:rsidR="00BF34EF" w:rsidRPr="00342EDD">
        <w:rPr>
          <w:rFonts w:eastAsia="SimSun"/>
          <w:lang w:val="en-US"/>
        </w:rPr>
        <w:t>to provide a</w:t>
      </w:r>
      <w:r w:rsidR="00526E73" w:rsidRPr="00342EDD">
        <w:rPr>
          <w:rFonts w:eastAsia="SimSun"/>
          <w:lang w:val="en-US"/>
        </w:rPr>
        <w:t xml:space="preserve"> consolidated view of the financial performance of the Union</w:t>
      </w:r>
      <w:r w:rsidR="002C5B8A" w:rsidRPr="00342EDD">
        <w:rPr>
          <w:rFonts w:eastAsia="SimSun"/>
          <w:lang w:val="en-US"/>
        </w:rPr>
        <w:t>.</w:t>
      </w:r>
    </w:p>
    <w:p w:rsidR="000400CB" w:rsidRDefault="000400CB" w:rsidP="00970896">
      <w:pPr>
        <w:jc w:val="both"/>
        <w:rPr>
          <w:rFonts w:eastAsia="SimSun"/>
          <w:lang w:val="en-US"/>
        </w:rPr>
      </w:pPr>
      <w:r w:rsidRPr="00520B2F">
        <w:rPr>
          <w:rFonts w:eastAsia="SimSun"/>
          <w:lang w:val="en-US"/>
        </w:rPr>
        <w:t xml:space="preserve">Total other operating revenue increased by </w:t>
      </w:r>
      <w:r w:rsidR="00520B2F" w:rsidRPr="00520B2F">
        <w:rPr>
          <w:rFonts w:eastAsia="SimSun"/>
          <w:lang w:val="en-US"/>
        </w:rPr>
        <w:t>5.5</w:t>
      </w:r>
      <w:r w:rsidRPr="00520B2F">
        <w:rPr>
          <w:rFonts w:eastAsia="SimSun"/>
          <w:lang w:val="en-US"/>
        </w:rPr>
        <w:t xml:space="preserve"> per cent to CHF 4</w:t>
      </w:r>
      <w:r w:rsidR="00520B2F" w:rsidRPr="00520B2F">
        <w:rPr>
          <w:rFonts w:eastAsia="SimSun"/>
          <w:lang w:val="en-US"/>
        </w:rPr>
        <w:t>4</w:t>
      </w:r>
      <w:r w:rsidRPr="00520B2F">
        <w:rPr>
          <w:rFonts w:eastAsia="SimSun"/>
          <w:lang w:val="en-US"/>
        </w:rPr>
        <w:t>.</w:t>
      </w:r>
      <w:r w:rsidR="00520B2F" w:rsidRPr="00520B2F">
        <w:rPr>
          <w:rFonts w:eastAsia="SimSun"/>
          <w:lang w:val="en-US"/>
        </w:rPr>
        <w:t>3</w:t>
      </w:r>
      <w:r w:rsidRPr="00520B2F" w:rsidDel="00877C20">
        <w:rPr>
          <w:rFonts w:eastAsia="SimSun"/>
          <w:lang w:val="en-US"/>
        </w:rPr>
        <w:t xml:space="preserve"> </w:t>
      </w:r>
      <w:r w:rsidRPr="00520B2F">
        <w:rPr>
          <w:rFonts w:eastAsia="SimSun"/>
          <w:lang w:val="en-US"/>
        </w:rPr>
        <w:t>million in 201</w:t>
      </w:r>
      <w:r w:rsidR="00520B2F" w:rsidRPr="00520B2F">
        <w:rPr>
          <w:rFonts w:eastAsia="SimSun"/>
          <w:lang w:val="en-US"/>
        </w:rPr>
        <w:t>7</w:t>
      </w:r>
      <w:r w:rsidRPr="00520B2F">
        <w:rPr>
          <w:rFonts w:eastAsia="SimSun"/>
          <w:lang w:val="en-US"/>
        </w:rPr>
        <w:t xml:space="preserve">. </w:t>
      </w:r>
      <w:r w:rsidRPr="00520B2F">
        <w:t xml:space="preserve"> This can be explained by the results of the main activities subject to cost recovery</w:t>
      </w:r>
      <w:r w:rsidR="003323CA" w:rsidRPr="00520B2F">
        <w:t>:  sales of p</w:t>
      </w:r>
      <w:r w:rsidRPr="00520B2F">
        <w:t>ublications and Satellite network filing</w:t>
      </w:r>
      <w:r w:rsidR="000B5814" w:rsidRPr="00520B2F">
        <w:t>s</w:t>
      </w:r>
      <w:r w:rsidRPr="00520B2F">
        <w:t xml:space="preserve"> </w:t>
      </w:r>
      <w:r w:rsidR="003323CA" w:rsidRPr="00520B2F">
        <w:t xml:space="preserve">which </w:t>
      </w:r>
      <w:r w:rsidRPr="00520B2F">
        <w:t xml:space="preserve">amounted </w:t>
      </w:r>
      <w:r w:rsidR="000B5814" w:rsidRPr="00520B2F">
        <w:t xml:space="preserve">to </w:t>
      </w:r>
      <w:r w:rsidRPr="00520B2F">
        <w:t>CHF 3</w:t>
      </w:r>
      <w:r w:rsidR="00520B2F" w:rsidRPr="00520B2F">
        <w:t>4.9</w:t>
      </w:r>
      <w:r w:rsidRPr="00520B2F">
        <w:t xml:space="preserve"> million compared to CHF </w:t>
      </w:r>
      <w:r w:rsidR="00520B2F" w:rsidRPr="00520B2F">
        <w:t>32.2</w:t>
      </w:r>
      <w:r w:rsidRPr="00520B2F">
        <w:t xml:space="preserve"> million in 201</w:t>
      </w:r>
      <w:r w:rsidR="00520B2F" w:rsidRPr="00520B2F">
        <w:t>6</w:t>
      </w:r>
      <w:r w:rsidRPr="00B742BA">
        <w:t>.</w:t>
      </w:r>
    </w:p>
    <w:p w:rsidR="003B59E2" w:rsidRDefault="0022373A" w:rsidP="00A62B91">
      <w:pPr>
        <w:pStyle w:val="Heading5"/>
        <w:tabs>
          <w:tab w:val="clear" w:pos="2268"/>
          <w:tab w:val="clear" w:pos="2835"/>
          <w:tab w:val="left" w:pos="6735"/>
        </w:tabs>
        <w:spacing w:before="240" w:after="240"/>
        <w:rPr>
          <w:lang w:val="en-US"/>
        </w:rPr>
      </w:pPr>
      <w:bookmarkStart w:id="117" w:name="_Toc305764107"/>
      <w:bookmarkStart w:id="118" w:name="_Toc329011650"/>
      <w:r w:rsidRPr="00520B2F">
        <w:rPr>
          <w:lang w:val="en-US"/>
        </w:rPr>
        <w:t>Finance revenu</w:t>
      </w:r>
      <w:r w:rsidR="003B59E2" w:rsidRPr="00520B2F">
        <w:rPr>
          <w:lang w:val="en-US"/>
        </w:rPr>
        <w:t>e</w:t>
      </w:r>
      <w:r w:rsidR="00A07C9C">
        <w:rPr>
          <w:lang w:val="en-US"/>
        </w:rPr>
        <w:tab/>
      </w:r>
    </w:p>
    <w:tbl>
      <w:tblPr>
        <w:tblW w:w="9200" w:type="dxa"/>
        <w:tblInd w:w="-5" w:type="dxa"/>
        <w:tblLook w:val="04A0" w:firstRow="1" w:lastRow="0" w:firstColumn="1" w:lastColumn="0" w:noHBand="0" w:noVBand="1"/>
      </w:tblPr>
      <w:tblGrid>
        <w:gridCol w:w="5800"/>
        <w:gridCol w:w="480"/>
        <w:gridCol w:w="1460"/>
        <w:gridCol w:w="1460"/>
      </w:tblGrid>
      <w:tr w:rsidR="00DF55C9" w:rsidRPr="00DF55C9" w:rsidTr="00DF55C9">
        <w:trPr>
          <w:trHeight w:val="255"/>
        </w:trPr>
        <w:tc>
          <w:tcPr>
            <w:tcW w:w="6280" w:type="dxa"/>
            <w:gridSpan w:val="2"/>
            <w:tcBorders>
              <w:top w:val="single" w:sz="4" w:space="0" w:color="auto"/>
              <w:left w:val="single" w:sz="4" w:space="0" w:color="auto"/>
              <w:bottom w:val="single" w:sz="4" w:space="0" w:color="auto"/>
              <w:right w:val="nil"/>
            </w:tcBorders>
            <w:shd w:val="clear" w:color="auto" w:fill="auto"/>
            <w:noWrap/>
            <w:vAlign w:val="center"/>
            <w:hideMark/>
          </w:tcPr>
          <w:bookmarkEnd w:id="117"/>
          <w:bookmarkEnd w:id="118"/>
          <w:p w:rsidR="00DF55C9" w:rsidRPr="00DF55C9" w:rsidRDefault="00DF55C9" w:rsidP="00DF55C9">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20"/>
                <w:lang w:val="en-US" w:eastAsia="zh-CN"/>
              </w:rPr>
            </w:pPr>
            <w:r w:rsidRPr="00DF55C9">
              <w:rPr>
                <w:rFonts w:ascii="Arial" w:hAnsi="Arial" w:cs="Arial"/>
                <w:b/>
                <w:bCs/>
                <w:color w:val="000000"/>
                <w:sz w:val="20"/>
                <w:lang w:val="en-US" w:eastAsia="zh-CN"/>
              </w:rPr>
              <w:t>In thousands of CHF</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55C9" w:rsidRPr="00DF55C9" w:rsidRDefault="00DF55C9" w:rsidP="008D560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DF55C9">
              <w:rPr>
                <w:rFonts w:ascii="Arial" w:hAnsi="Arial" w:cs="Arial"/>
                <w:b/>
                <w:bCs/>
                <w:color w:val="000000"/>
                <w:sz w:val="20"/>
                <w:lang w:val="en-US" w:eastAsia="zh-CN"/>
              </w:rPr>
              <w:t>201</w:t>
            </w:r>
            <w:r w:rsidR="008D560C">
              <w:rPr>
                <w:rFonts w:ascii="Arial" w:hAnsi="Arial" w:cs="Arial"/>
                <w:b/>
                <w:bCs/>
                <w:color w:val="000000"/>
                <w:sz w:val="20"/>
                <w:lang w:val="en-US" w:eastAsia="zh-CN"/>
              </w:rPr>
              <w:t>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DF55C9" w:rsidRPr="00DF55C9" w:rsidRDefault="00DF55C9" w:rsidP="008D560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DF55C9">
              <w:rPr>
                <w:rFonts w:ascii="Arial" w:hAnsi="Arial" w:cs="Arial"/>
                <w:b/>
                <w:bCs/>
                <w:color w:val="000000"/>
                <w:sz w:val="20"/>
                <w:lang w:val="en-US" w:eastAsia="zh-CN"/>
              </w:rPr>
              <w:t>201</w:t>
            </w:r>
            <w:r w:rsidR="008D560C">
              <w:rPr>
                <w:rFonts w:ascii="Arial" w:hAnsi="Arial" w:cs="Arial"/>
                <w:b/>
                <w:bCs/>
                <w:color w:val="000000"/>
                <w:sz w:val="20"/>
                <w:lang w:val="en-US" w:eastAsia="zh-CN"/>
              </w:rPr>
              <w:t>6</w:t>
            </w:r>
          </w:p>
        </w:tc>
      </w:tr>
      <w:tr w:rsidR="00DF55C9" w:rsidRPr="00DF55C9" w:rsidTr="00DF55C9">
        <w:trPr>
          <w:trHeight w:val="255"/>
        </w:trPr>
        <w:tc>
          <w:tcPr>
            <w:tcW w:w="5800" w:type="dxa"/>
            <w:tcBorders>
              <w:top w:val="nil"/>
              <w:left w:val="single" w:sz="4" w:space="0" w:color="auto"/>
              <w:bottom w:val="nil"/>
              <w:right w:val="nil"/>
            </w:tcBorders>
            <w:shd w:val="clear" w:color="auto" w:fill="auto"/>
            <w:noWrap/>
            <w:vAlign w:val="bottom"/>
            <w:hideMark/>
          </w:tcPr>
          <w:p w:rsidR="00DF55C9" w:rsidRPr="00DF55C9" w:rsidRDefault="00DF55C9" w:rsidP="00DF55C9">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DF55C9">
              <w:rPr>
                <w:rFonts w:ascii="Arial" w:hAnsi="Arial" w:cs="Arial"/>
                <w:color w:val="000000"/>
                <w:sz w:val="20"/>
                <w:lang w:val="en-US" w:eastAsia="zh-CN"/>
              </w:rPr>
              <w:t> </w:t>
            </w:r>
          </w:p>
        </w:tc>
        <w:tc>
          <w:tcPr>
            <w:tcW w:w="480" w:type="dxa"/>
            <w:tcBorders>
              <w:top w:val="nil"/>
              <w:left w:val="nil"/>
              <w:bottom w:val="nil"/>
              <w:right w:val="nil"/>
            </w:tcBorders>
            <w:shd w:val="clear" w:color="auto" w:fill="auto"/>
            <w:noWrap/>
            <w:vAlign w:val="bottom"/>
            <w:hideMark/>
          </w:tcPr>
          <w:p w:rsidR="00DF55C9" w:rsidRPr="00DF55C9" w:rsidRDefault="00DF55C9" w:rsidP="00DF55C9">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p>
        </w:tc>
        <w:tc>
          <w:tcPr>
            <w:tcW w:w="1460" w:type="dxa"/>
            <w:tcBorders>
              <w:top w:val="nil"/>
              <w:left w:val="single" w:sz="4" w:space="0" w:color="auto"/>
              <w:bottom w:val="nil"/>
              <w:right w:val="single" w:sz="4" w:space="0" w:color="auto"/>
            </w:tcBorders>
            <w:shd w:val="clear" w:color="auto" w:fill="auto"/>
            <w:noWrap/>
            <w:vAlign w:val="bottom"/>
            <w:hideMark/>
          </w:tcPr>
          <w:p w:rsidR="00DF55C9" w:rsidRPr="00DF55C9" w:rsidRDefault="00DF55C9" w:rsidP="00DF55C9">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DF55C9">
              <w:rPr>
                <w:rFonts w:ascii="Arial" w:hAnsi="Arial" w:cs="Arial"/>
                <w:color w:val="000000"/>
                <w:sz w:val="20"/>
                <w:lang w:val="en-US" w:eastAsia="zh-CN"/>
              </w:rPr>
              <w:t> </w:t>
            </w:r>
          </w:p>
        </w:tc>
        <w:tc>
          <w:tcPr>
            <w:tcW w:w="1460" w:type="dxa"/>
            <w:tcBorders>
              <w:top w:val="nil"/>
              <w:left w:val="nil"/>
              <w:bottom w:val="nil"/>
              <w:right w:val="single" w:sz="4" w:space="0" w:color="auto"/>
            </w:tcBorders>
            <w:shd w:val="clear" w:color="auto" w:fill="auto"/>
            <w:noWrap/>
            <w:vAlign w:val="bottom"/>
            <w:hideMark/>
          </w:tcPr>
          <w:p w:rsidR="00DF55C9" w:rsidRPr="00DF55C9" w:rsidRDefault="00DF55C9" w:rsidP="00DF55C9">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20"/>
                <w:lang w:val="en-US" w:eastAsia="zh-CN"/>
              </w:rPr>
            </w:pPr>
            <w:r w:rsidRPr="00DF55C9">
              <w:rPr>
                <w:rFonts w:ascii="Arial" w:hAnsi="Arial" w:cs="Arial"/>
                <w:color w:val="000000"/>
                <w:sz w:val="20"/>
                <w:lang w:val="en-US" w:eastAsia="zh-CN"/>
              </w:rPr>
              <w:t> </w:t>
            </w:r>
          </w:p>
        </w:tc>
      </w:tr>
      <w:tr w:rsidR="008D560C" w:rsidRPr="00DF55C9" w:rsidTr="00DF55C9">
        <w:trPr>
          <w:trHeight w:val="255"/>
        </w:trPr>
        <w:tc>
          <w:tcPr>
            <w:tcW w:w="6280" w:type="dxa"/>
            <w:gridSpan w:val="2"/>
            <w:tcBorders>
              <w:top w:val="nil"/>
              <w:left w:val="single" w:sz="4" w:space="0" w:color="auto"/>
              <w:bottom w:val="nil"/>
              <w:right w:val="nil"/>
            </w:tcBorders>
            <w:shd w:val="clear" w:color="auto" w:fill="auto"/>
            <w:noWrap/>
            <w:vAlign w:val="bottom"/>
            <w:hideMark/>
          </w:tcPr>
          <w:p w:rsidR="008D560C" w:rsidRPr="00DF55C9" w:rsidRDefault="008D560C" w:rsidP="008D560C">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DF55C9">
              <w:rPr>
                <w:rFonts w:ascii="Arial" w:hAnsi="Arial" w:cs="Arial"/>
                <w:color w:val="000000"/>
                <w:sz w:val="20"/>
                <w:lang w:val="en-US" w:eastAsia="zh-CN"/>
              </w:rPr>
              <w:t>Investment interest</w:t>
            </w:r>
          </w:p>
        </w:tc>
        <w:tc>
          <w:tcPr>
            <w:tcW w:w="1460" w:type="dxa"/>
            <w:tcBorders>
              <w:top w:val="nil"/>
              <w:left w:val="single" w:sz="4" w:space="0" w:color="auto"/>
              <w:bottom w:val="nil"/>
              <w:right w:val="single" w:sz="4" w:space="0" w:color="auto"/>
            </w:tcBorders>
            <w:shd w:val="clear" w:color="auto" w:fill="auto"/>
            <w:noWrap/>
            <w:vAlign w:val="bottom"/>
            <w:hideMark/>
          </w:tcPr>
          <w:p w:rsidR="008D560C" w:rsidRPr="00DF55C9" w:rsidRDefault="008D560C" w:rsidP="008D560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DF55C9">
              <w:rPr>
                <w:rFonts w:ascii="Arial" w:hAnsi="Arial" w:cs="Arial"/>
                <w:color w:val="000000"/>
                <w:sz w:val="20"/>
                <w:lang w:val="en-US" w:eastAsia="zh-CN"/>
              </w:rPr>
              <w:t>2</w:t>
            </w:r>
            <w:r>
              <w:rPr>
                <w:rFonts w:ascii="Arial" w:hAnsi="Arial" w:cs="Arial"/>
                <w:color w:val="000000"/>
                <w:sz w:val="20"/>
                <w:lang w:val="en-US" w:eastAsia="zh-CN"/>
              </w:rPr>
              <w:t>20</w:t>
            </w:r>
          </w:p>
        </w:tc>
        <w:tc>
          <w:tcPr>
            <w:tcW w:w="1460" w:type="dxa"/>
            <w:tcBorders>
              <w:top w:val="nil"/>
              <w:left w:val="nil"/>
              <w:bottom w:val="nil"/>
              <w:right w:val="single" w:sz="4" w:space="0" w:color="auto"/>
            </w:tcBorders>
            <w:shd w:val="clear" w:color="auto" w:fill="auto"/>
            <w:noWrap/>
            <w:vAlign w:val="bottom"/>
            <w:hideMark/>
          </w:tcPr>
          <w:p w:rsidR="008D560C" w:rsidRPr="00DF55C9" w:rsidRDefault="008D560C" w:rsidP="008D560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DF55C9">
              <w:rPr>
                <w:rFonts w:ascii="Arial" w:hAnsi="Arial" w:cs="Arial"/>
                <w:color w:val="000000"/>
                <w:sz w:val="20"/>
                <w:lang w:val="en-US" w:eastAsia="zh-CN"/>
              </w:rPr>
              <w:t>241</w:t>
            </w:r>
          </w:p>
        </w:tc>
      </w:tr>
      <w:tr w:rsidR="008D560C" w:rsidRPr="00DF55C9" w:rsidTr="00DF55C9">
        <w:trPr>
          <w:trHeight w:val="255"/>
        </w:trPr>
        <w:tc>
          <w:tcPr>
            <w:tcW w:w="6280" w:type="dxa"/>
            <w:gridSpan w:val="2"/>
            <w:tcBorders>
              <w:top w:val="nil"/>
              <w:left w:val="single" w:sz="4" w:space="0" w:color="auto"/>
              <w:bottom w:val="nil"/>
              <w:right w:val="nil"/>
            </w:tcBorders>
            <w:shd w:val="clear" w:color="auto" w:fill="auto"/>
            <w:noWrap/>
            <w:vAlign w:val="bottom"/>
            <w:hideMark/>
          </w:tcPr>
          <w:p w:rsidR="008D560C" w:rsidRPr="00DF55C9" w:rsidRDefault="008D560C" w:rsidP="008D560C">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DF55C9">
              <w:rPr>
                <w:rFonts w:ascii="Arial" w:hAnsi="Arial" w:cs="Arial"/>
                <w:color w:val="000000"/>
                <w:sz w:val="20"/>
                <w:lang w:val="en-US" w:eastAsia="zh-CN"/>
              </w:rPr>
              <w:t>Realized exchange gains</w:t>
            </w:r>
          </w:p>
        </w:tc>
        <w:tc>
          <w:tcPr>
            <w:tcW w:w="1460" w:type="dxa"/>
            <w:tcBorders>
              <w:top w:val="nil"/>
              <w:left w:val="single" w:sz="4" w:space="0" w:color="auto"/>
              <w:bottom w:val="nil"/>
              <w:right w:val="single" w:sz="4" w:space="0" w:color="auto"/>
            </w:tcBorders>
            <w:shd w:val="clear" w:color="auto" w:fill="auto"/>
            <w:noWrap/>
            <w:vAlign w:val="bottom"/>
            <w:hideMark/>
          </w:tcPr>
          <w:p w:rsidR="008D560C" w:rsidRPr="00DF55C9" w:rsidRDefault="008D560C" w:rsidP="008D560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DF55C9">
              <w:rPr>
                <w:rFonts w:ascii="Arial" w:hAnsi="Arial" w:cs="Arial"/>
                <w:color w:val="000000"/>
                <w:sz w:val="20"/>
                <w:lang w:val="en-US" w:eastAsia="zh-CN"/>
              </w:rPr>
              <w:t>6</w:t>
            </w:r>
            <w:r>
              <w:rPr>
                <w:rFonts w:ascii="Arial" w:hAnsi="Arial" w:cs="Arial"/>
                <w:color w:val="000000"/>
                <w:sz w:val="20"/>
                <w:lang w:val="en-US" w:eastAsia="zh-CN"/>
              </w:rPr>
              <w:t>5</w:t>
            </w:r>
          </w:p>
        </w:tc>
        <w:tc>
          <w:tcPr>
            <w:tcW w:w="1460" w:type="dxa"/>
            <w:tcBorders>
              <w:top w:val="nil"/>
              <w:left w:val="nil"/>
              <w:bottom w:val="nil"/>
              <w:right w:val="single" w:sz="4" w:space="0" w:color="auto"/>
            </w:tcBorders>
            <w:shd w:val="clear" w:color="auto" w:fill="auto"/>
            <w:noWrap/>
            <w:vAlign w:val="bottom"/>
            <w:hideMark/>
          </w:tcPr>
          <w:p w:rsidR="008D560C" w:rsidRPr="00DF55C9" w:rsidRDefault="008D560C" w:rsidP="008D560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DF55C9">
              <w:rPr>
                <w:rFonts w:ascii="Arial" w:hAnsi="Arial" w:cs="Arial"/>
                <w:color w:val="000000"/>
                <w:sz w:val="20"/>
                <w:lang w:val="en-US" w:eastAsia="zh-CN"/>
              </w:rPr>
              <w:t>60</w:t>
            </w:r>
          </w:p>
        </w:tc>
      </w:tr>
      <w:tr w:rsidR="008D560C" w:rsidRPr="00DF55C9" w:rsidTr="00DF55C9">
        <w:trPr>
          <w:trHeight w:val="255"/>
        </w:trPr>
        <w:tc>
          <w:tcPr>
            <w:tcW w:w="6280" w:type="dxa"/>
            <w:gridSpan w:val="2"/>
            <w:tcBorders>
              <w:top w:val="nil"/>
              <w:left w:val="single" w:sz="4" w:space="0" w:color="auto"/>
              <w:bottom w:val="nil"/>
              <w:right w:val="nil"/>
            </w:tcBorders>
            <w:shd w:val="clear" w:color="auto" w:fill="auto"/>
            <w:noWrap/>
            <w:vAlign w:val="bottom"/>
            <w:hideMark/>
          </w:tcPr>
          <w:p w:rsidR="008D560C" w:rsidRPr="00DF55C9" w:rsidRDefault="008D560C" w:rsidP="008D560C">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DF55C9">
              <w:rPr>
                <w:rFonts w:ascii="Arial" w:hAnsi="Arial" w:cs="Arial"/>
                <w:color w:val="000000"/>
                <w:sz w:val="20"/>
                <w:lang w:val="en-US" w:eastAsia="zh-CN"/>
              </w:rPr>
              <w:t>Unrealized exchange gains</w:t>
            </w:r>
          </w:p>
        </w:tc>
        <w:tc>
          <w:tcPr>
            <w:tcW w:w="1460" w:type="dxa"/>
            <w:tcBorders>
              <w:top w:val="nil"/>
              <w:left w:val="single" w:sz="4" w:space="0" w:color="auto"/>
              <w:bottom w:val="nil"/>
              <w:right w:val="single" w:sz="4" w:space="0" w:color="auto"/>
            </w:tcBorders>
            <w:shd w:val="clear" w:color="auto" w:fill="auto"/>
            <w:noWrap/>
            <w:vAlign w:val="bottom"/>
            <w:hideMark/>
          </w:tcPr>
          <w:p w:rsidR="008D560C" w:rsidRPr="00DF55C9" w:rsidRDefault="008D560C" w:rsidP="008D560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Pr>
                <w:rFonts w:ascii="Arial" w:hAnsi="Arial" w:cs="Arial"/>
                <w:color w:val="000000"/>
                <w:sz w:val="20"/>
                <w:lang w:val="en-US" w:eastAsia="zh-CN"/>
              </w:rPr>
              <w:t>-27</w:t>
            </w:r>
          </w:p>
        </w:tc>
        <w:tc>
          <w:tcPr>
            <w:tcW w:w="1460" w:type="dxa"/>
            <w:tcBorders>
              <w:top w:val="nil"/>
              <w:left w:val="nil"/>
              <w:bottom w:val="nil"/>
              <w:right w:val="single" w:sz="4" w:space="0" w:color="auto"/>
            </w:tcBorders>
            <w:shd w:val="clear" w:color="auto" w:fill="auto"/>
            <w:noWrap/>
            <w:vAlign w:val="bottom"/>
            <w:hideMark/>
          </w:tcPr>
          <w:p w:rsidR="008D560C" w:rsidRPr="00DF55C9" w:rsidRDefault="008D560C" w:rsidP="008D560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DF55C9">
              <w:rPr>
                <w:rFonts w:ascii="Arial" w:hAnsi="Arial" w:cs="Arial"/>
                <w:color w:val="000000"/>
                <w:sz w:val="20"/>
                <w:lang w:val="en-US" w:eastAsia="zh-CN"/>
              </w:rPr>
              <w:t>261</w:t>
            </w:r>
          </w:p>
        </w:tc>
      </w:tr>
      <w:tr w:rsidR="00DF55C9" w:rsidRPr="00DF55C9" w:rsidTr="00DF55C9">
        <w:trPr>
          <w:trHeight w:val="255"/>
        </w:trPr>
        <w:tc>
          <w:tcPr>
            <w:tcW w:w="5800" w:type="dxa"/>
            <w:tcBorders>
              <w:top w:val="nil"/>
              <w:left w:val="single" w:sz="4" w:space="0" w:color="auto"/>
              <w:bottom w:val="nil"/>
              <w:right w:val="nil"/>
            </w:tcBorders>
            <w:shd w:val="clear" w:color="auto" w:fill="auto"/>
            <w:noWrap/>
            <w:vAlign w:val="bottom"/>
            <w:hideMark/>
          </w:tcPr>
          <w:p w:rsidR="00DF55C9" w:rsidRPr="00DF55C9" w:rsidRDefault="00DF55C9" w:rsidP="00DF55C9">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DF55C9">
              <w:rPr>
                <w:rFonts w:ascii="Arial" w:hAnsi="Arial" w:cs="Arial"/>
                <w:color w:val="000000"/>
                <w:sz w:val="20"/>
                <w:lang w:val="en-US" w:eastAsia="zh-CN"/>
              </w:rPr>
              <w:t> </w:t>
            </w:r>
          </w:p>
        </w:tc>
        <w:tc>
          <w:tcPr>
            <w:tcW w:w="480" w:type="dxa"/>
            <w:tcBorders>
              <w:top w:val="nil"/>
              <w:left w:val="nil"/>
              <w:bottom w:val="nil"/>
              <w:right w:val="nil"/>
            </w:tcBorders>
            <w:shd w:val="clear" w:color="auto" w:fill="auto"/>
            <w:noWrap/>
            <w:vAlign w:val="bottom"/>
            <w:hideMark/>
          </w:tcPr>
          <w:p w:rsidR="00DF55C9" w:rsidRPr="00DF55C9" w:rsidRDefault="00DF55C9" w:rsidP="00DF55C9">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p>
        </w:tc>
        <w:tc>
          <w:tcPr>
            <w:tcW w:w="1460" w:type="dxa"/>
            <w:tcBorders>
              <w:top w:val="nil"/>
              <w:left w:val="single" w:sz="4" w:space="0" w:color="auto"/>
              <w:bottom w:val="nil"/>
              <w:right w:val="single" w:sz="4" w:space="0" w:color="auto"/>
            </w:tcBorders>
            <w:shd w:val="clear" w:color="auto" w:fill="auto"/>
            <w:noWrap/>
            <w:vAlign w:val="bottom"/>
            <w:hideMark/>
          </w:tcPr>
          <w:p w:rsidR="00DF55C9" w:rsidRPr="00DF55C9" w:rsidRDefault="00DF55C9" w:rsidP="00DF55C9">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DF55C9">
              <w:rPr>
                <w:rFonts w:ascii="Arial" w:hAnsi="Arial" w:cs="Arial"/>
                <w:color w:val="000000"/>
                <w:sz w:val="20"/>
                <w:lang w:val="en-US" w:eastAsia="zh-CN"/>
              </w:rPr>
              <w:t> </w:t>
            </w:r>
          </w:p>
        </w:tc>
        <w:tc>
          <w:tcPr>
            <w:tcW w:w="1460" w:type="dxa"/>
            <w:tcBorders>
              <w:top w:val="nil"/>
              <w:left w:val="nil"/>
              <w:bottom w:val="single" w:sz="4" w:space="0" w:color="auto"/>
              <w:right w:val="single" w:sz="4" w:space="0" w:color="auto"/>
            </w:tcBorders>
            <w:shd w:val="clear" w:color="auto" w:fill="auto"/>
            <w:noWrap/>
            <w:vAlign w:val="bottom"/>
            <w:hideMark/>
          </w:tcPr>
          <w:p w:rsidR="00DF55C9" w:rsidRPr="00DF55C9" w:rsidRDefault="00DF55C9" w:rsidP="00DF55C9">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DF55C9">
              <w:rPr>
                <w:rFonts w:ascii="Arial" w:hAnsi="Arial" w:cs="Arial"/>
                <w:color w:val="000000"/>
                <w:sz w:val="20"/>
                <w:lang w:val="en-US" w:eastAsia="zh-CN"/>
              </w:rPr>
              <w:t> </w:t>
            </w:r>
          </w:p>
        </w:tc>
      </w:tr>
      <w:tr w:rsidR="00DF55C9" w:rsidRPr="00DF55C9" w:rsidTr="00DF55C9">
        <w:trPr>
          <w:trHeight w:val="255"/>
        </w:trPr>
        <w:tc>
          <w:tcPr>
            <w:tcW w:w="6280" w:type="dxa"/>
            <w:gridSpan w:val="2"/>
            <w:tcBorders>
              <w:top w:val="single" w:sz="4" w:space="0" w:color="auto"/>
              <w:left w:val="single" w:sz="4" w:space="0" w:color="auto"/>
              <w:bottom w:val="single" w:sz="4" w:space="0" w:color="auto"/>
              <w:right w:val="nil"/>
            </w:tcBorders>
            <w:shd w:val="clear" w:color="auto" w:fill="auto"/>
            <w:noWrap/>
            <w:vAlign w:val="center"/>
            <w:hideMark/>
          </w:tcPr>
          <w:p w:rsidR="00DF55C9" w:rsidRPr="00DF55C9" w:rsidRDefault="00DF55C9" w:rsidP="00DF55C9">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20"/>
                <w:lang w:val="en-US" w:eastAsia="zh-CN"/>
              </w:rPr>
            </w:pPr>
            <w:r w:rsidRPr="00DF55C9">
              <w:rPr>
                <w:rFonts w:ascii="Arial" w:hAnsi="Arial" w:cs="Arial"/>
                <w:b/>
                <w:bCs/>
                <w:color w:val="000000"/>
                <w:sz w:val="20"/>
                <w:lang w:val="en-US" w:eastAsia="zh-CN"/>
              </w:rPr>
              <w:t>Finance revenue</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55C9" w:rsidRPr="00DF55C9" w:rsidRDefault="00DF55C9" w:rsidP="008D560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DF55C9">
              <w:rPr>
                <w:rFonts w:ascii="Arial" w:hAnsi="Arial" w:cs="Arial"/>
                <w:b/>
                <w:bCs/>
                <w:color w:val="000000"/>
                <w:sz w:val="20"/>
                <w:lang w:val="en-US" w:eastAsia="zh-CN"/>
              </w:rPr>
              <w:t xml:space="preserve">                </w:t>
            </w:r>
            <w:r w:rsidR="008D560C">
              <w:rPr>
                <w:rFonts w:ascii="Arial" w:hAnsi="Arial" w:cs="Arial"/>
                <w:b/>
                <w:bCs/>
                <w:color w:val="000000"/>
                <w:sz w:val="20"/>
                <w:lang w:val="en-US" w:eastAsia="zh-CN"/>
              </w:rPr>
              <w:t>258</w:t>
            </w:r>
            <w:r w:rsidRPr="00DF55C9">
              <w:rPr>
                <w:rFonts w:ascii="Arial" w:hAnsi="Arial" w:cs="Arial"/>
                <w:b/>
                <w:bCs/>
                <w:color w:val="000000"/>
                <w:sz w:val="20"/>
                <w:lang w:val="en-US" w:eastAsia="zh-CN"/>
              </w:rPr>
              <w:t xml:space="preserve"> </w:t>
            </w:r>
          </w:p>
        </w:tc>
        <w:tc>
          <w:tcPr>
            <w:tcW w:w="1460" w:type="dxa"/>
            <w:tcBorders>
              <w:top w:val="nil"/>
              <w:left w:val="nil"/>
              <w:bottom w:val="single" w:sz="4" w:space="0" w:color="auto"/>
              <w:right w:val="single" w:sz="4" w:space="0" w:color="auto"/>
            </w:tcBorders>
            <w:shd w:val="clear" w:color="auto" w:fill="auto"/>
            <w:noWrap/>
            <w:vAlign w:val="center"/>
            <w:hideMark/>
          </w:tcPr>
          <w:p w:rsidR="00DF55C9" w:rsidRPr="00DF55C9" w:rsidRDefault="00DF55C9" w:rsidP="008D560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DF55C9">
              <w:rPr>
                <w:rFonts w:ascii="Arial" w:hAnsi="Arial" w:cs="Arial"/>
                <w:b/>
                <w:bCs/>
                <w:color w:val="000000"/>
                <w:sz w:val="20"/>
                <w:lang w:val="en-US" w:eastAsia="zh-CN"/>
              </w:rPr>
              <w:t xml:space="preserve">              </w:t>
            </w:r>
            <w:r w:rsidR="008D560C">
              <w:rPr>
                <w:rFonts w:ascii="Arial" w:hAnsi="Arial" w:cs="Arial"/>
                <w:b/>
                <w:bCs/>
                <w:color w:val="000000"/>
                <w:sz w:val="20"/>
                <w:lang w:val="en-US" w:eastAsia="zh-CN"/>
              </w:rPr>
              <w:t>562</w:t>
            </w:r>
            <w:r w:rsidRPr="00DF55C9">
              <w:rPr>
                <w:rFonts w:ascii="Arial" w:hAnsi="Arial" w:cs="Arial"/>
                <w:b/>
                <w:bCs/>
                <w:color w:val="000000"/>
                <w:sz w:val="20"/>
                <w:lang w:val="en-US" w:eastAsia="zh-CN"/>
              </w:rPr>
              <w:t xml:space="preserve"> </w:t>
            </w:r>
          </w:p>
        </w:tc>
      </w:tr>
    </w:tbl>
    <w:p w:rsidR="0071603A" w:rsidRDefault="00520B2F" w:rsidP="00E61A40">
      <w:pPr>
        <w:spacing w:before="240"/>
        <w:jc w:val="both"/>
        <w:rPr>
          <w:rFonts w:eastAsia="SimSun"/>
          <w:lang w:val="en-US"/>
        </w:rPr>
      </w:pPr>
      <w:r w:rsidRPr="00520B2F">
        <w:rPr>
          <w:rFonts w:eastAsia="SimSun"/>
          <w:lang w:val="en-US"/>
        </w:rPr>
        <w:t>The situation of the negative interest</w:t>
      </w:r>
      <w:r>
        <w:rPr>
          <w:rFonts w:eastAsia="SimSun"/>
          <w:lang w:val="en-US"/>
        </w:rPr>
        <w:t>s</w:t>
      </w:r>
      <w:r w:rsidRPr="00520B2F">
        <w:rPr>
          <w:rFonts w:eastAsia="SimSun"/>
          <w:lang w:val="en-US"/>
        </w:rPr>
        <w:t xml:space="preserve"> on </w:t>
      </w:r>
      <w:r w:rsidR="00E61A40">
        <w:rPr>
          <w:rFonts w:eastAsia="SimSun"/>
          <w:lang w:val="en-US"/>
        </w:rPr>
        <w:t xml:space="preserve">the </w:t>
      </w:r>
      <w:r w:rsidRPr="00520B2F">
        <w:rPr>
          <w:rFonts w:eastAsia="SimSun"/>
          <w:lang w:val="en-US"/>
        </w:rPr>
        <w:t xml:space="preserve">Swiss francs and </w:t>
      </w:r>
      <w:r w:rsidR="00E61A40">
        <w:rPr>
          <w:rFonts w:eastAsia="SimSun"/>
          <w:lang w:val="en-US"/>
        </w:rPr>
        <w:t xml:space="preserve">the </w:t>
      </w:r>
      <w:r w:rsidRPr="00520B2F">
        <w:rPr>
          <w:rFonts w:eastAsia="SimSun"/>
          <w:lang w:val="en-US"/>
        </w:rPr>
        <w:t xml:space="preserve">Euros in place since 2015 still remained in 2017. </w:t>
      </w:r>
      <w:r w:rsidR="00E61A40">
        <w:rPr>
          <w:rFonts w:eastAsia="SimSun"/>
          <w:lang w:val="en-US"/>
        </w:rPr>
        <w:t xml:space="preserve"> </w:t>
      </w:r>
      <w:r>
        <w:rPr>
          <w:rFonts w:eastAsia="SimSun"/>
          <w:lang w:val="en-US"/>
        </w:rPr>
        <w:t>Nevertheless</w:t>
      </w:r>
      <w:r w:rsidR="00E61A40">
        <w:rPr>
          <w:rFonts w:eastAsia="SimSun"/>
          <w:lang w:val="en-US"/>
        </w:rPr>
        <w:t>,</w:t>
      </w:r>
      <w:r>
        <w:rPr>
          <w:rFonts w:eastAsia="SimSun"/>
          <w:lang w:val="en-US"/>
        </w:rPr>
        <w:t xml:space="preserve"> </w:t>
      </w:r>
      <w:r w:rsidRPr="00520B2F">
        <w:rPr>
          <w:rFonts w:eastAsia="SimSun"/>
          <w:lang w:val="en-US"/>
        </w:rPr>
        <w:t xml:space="preserve">ITU has secured all the funds </w:t>
      </w:r>
      <w:r>
        <w:rPr>
          <w:rFonts w:eastAsia="SimSun"/>
          <w:lang w:val="en-US"/>
        </w:rPr>
        <w:t xml:space="preserve">and no negative interest </w:t>
      </w:r>
      <w:r w:rsidR="008924DD">
        <w:rPr>
          <w:rFonts w:eastAsia="SimSun"/>
          <w:lang w:val="en-US"/>
        </w:rPr>
        <w:t>were</w:t>
      </w:r>
      <w:r>
        <w:rPr>
          <w:rFonts w:eastAsia="SimSun"/>
          <w:lang w:val="en-US"/>
        </w:rPr>
        <w:t xml:space="preserve"> applied on</w:t>
      </w:r>
      <w:r w:rsidR="008924DD">
        <w:rPr>
          <w:rFonts w:eastAsia="SimSun"/>
          <w:lang w:val="en-US"/>
        </w:rPr>
        <w:t xml:space="preserve"> the cash kept in Swiss francs.</w:t>
      </w:r>
      <w:r w:rsidR="00E61A40">
        <w:rPr>
          <w:rFonts w:eastAsia="SimSun"/>
          <w:lang w:val="en-US"/>
        </w:rPr>
        <w:t xml:space="preserve"> </w:t>
      </w:r>
      <w:r w:rsidRPr="00520B2F">
        <w:rPr>
          <w:rFonts w:eastAsia="SimSun"/>
          <w:lang w:val="en-US"/>
        </w:rPr>
        <w:t xml:space="preserve">The only currency where interest can be paid is the </w:t>
      </w:r>
      <w:r w:rsidR="00356EE1" w:rsidRPr="00520B2F">
        <w:rPr>
          <w:rFonts w:eastAsia="SimSun"/>
          <w:lang w:val="en-US"/>
        </w:rPr>
        <w:t>USD which</w:t>
      </w:r>
      <w:r w:rsidRPr="00520B2F">
        <w:rPr>
          <w:rFonts w:eastAsia="SimSun"/>
          <w:lang w:val="en-US"/>
        </w:rPr>
        <w:t xml:space="preserve"> explains the quite low level of investment </w:t>
      </w:r>
      <w:bookmarkStart w:id="119" w:name="_Toc305764108"/>
      <w:bookmarkStart w:id="120" w:name="_Toc329011651"/>
      <w:r w:rsidR="00550C38" w:rsidRPr="00520B2F">
        <w:rPr>
          <w:rFonts w:eastAsia="SimSun"/>
          <w:lang w:val="en-US"/>
        </w:rPr>
        <w:t>revenue.</w:t>
      </w:r>
    </w:p>
    <w:p w:rsidR="002E19E3" w:rsidRPr="0071603A" w:rsidRDefault="00A165D6" w:rsidP="006D6709">
      <w:pPr>
        <w:spacing w:before="240"/>
        <w:jc w:val="both"/>
        <w:rPr>
          <w:b/>
          <w:bCs/>
          <w:lang w:val="en-US"/>
        </w:rPr>
      </w:pPr>
      <w:r w:rsidRPr="0071603A">
        <w:rPr>
          <w:b/>
          <w:bCs/>
          <w:lang w:val="en-US"/>
        </w:rPr>
        <w:t>Note 2</w:t>
      </w:r>
      <w:r w:rsidR="006D6709">
        <w:rPr>
          <w:b/>
          <w:bCs/>
          <w:lang w:val="en-US"/>
        </w:rPr>
        <w:t>3</w:t>
      </w:r>
      <w:r w:rsidR="0022373A" w:rsidRPr="0071603A">
        <w:rPr>
          <w:b/>
          <w:bCs/>
          <w:lang w:val="en-US"/>
        </w:rPr>
        <w:tab/>
      </w:r>
      <w:r w:rsidR="002E19E3" w:rsidRPr="0071603A">
        <w:rPr>
          <w:b/>
          <w:bCs/>
          <w:lang w:val="en-US"/>
        </w:rPr>
        <w:t>Expenses</w:t>
      </w:r>
    </w:p>
    <w:p w:rsidR="0022373A" w:rsidRPr="001C2A98" w:rsidRDefault="0022373A" w:rsidP="00706E3E">
      <w:pPr>
        <w:pStyle w:val="Heading5"/>
        <w:spacing w:before="240" w:after="120"/>
        <w:jc w:val="both"/>
        <w:rPr>
          <w:lang w:val="en-US"/>
        </w:rPr>
      </w:pPr>
      <w:r w:rsidRPr="008924DD">
        <w:rPr>
          <w:lang w:val="en-US"/>
        </w:rPr>
        <w:t>Employee expenses</w:t>
      </w:r>
      <w:bookmarkEnd w:id="119"/>
      <w:bookmarkEnd w:id="120"/>
    </w:p>
    <w:p w:rsidR="002279E6" w:rsidRDefault="0022373A" w:rsidP="0078428B">
      <w:pPr>
        <w:snapToGrid w:val="0"/>
        <w:spacing w:before="0"/>
        <w:jc w:val="both"/>
        <w:rPr>
          <w:lang w:val="en-US"/>
        </w:rPr>
      </w:pPr>
      <w:r w:rsidRPr="001C2A98">
        <w:rPr>
          <w:lang w:val="en-US"/>
        </w:rPr>
        <w:t xml:space="preserve">Employee expenses cover all remuneration paid to staff members on permanent posts and all staff </w:t>
      </w:r>
      <w:r w:rsidR="00C71BE9">
        <w:rPr>
          <w:lang w:val="en-US"/>
        </w:rPr>
        <w:t>recruited</w:t>
      </w:r>
      <w:r w:rsidR="00C71BE9" w:rsidRPr="001C2A98">
        <w:rPr>
          <w:lang w:val="en-US"/>
        </w:rPr>
        <w:t xml:space="preserve"> </w:t>
      </w:r>
      <w:r w:rsidRPr="001C2A98">
        <w:rPr>
          <w:lang w:val="en-US"/>
        </w:rPr>
        <w:t>for conferences or holding short-term contracts, such as base salary, post adjustment, language allowance, non-resident allowance, dependency allowance and overtime, as well as other employee expenses.</w:t>
      </w:r>
    </w:p>
    <w:p w:rsidR="002279E6" w:rsidRDefault="002279E6" w:rsidP="0078428B">
      <w:pPr>
        <w:snapToGrid w:val="0"/>
        <w:spacing w:before="0"/>
        <w:jc w:val="both"/>
        <w:rPr>
          <w:lang w:val="en-US"/>
        </w:rPr>
      </w:pPr>
    </w:p>
    <w:tbl>
      <w:tblPr>
        <w:tblW w:w="9605" w:type="dxa"/>
        <w:jc w:val="center"/>
        <w:tblLayout w:type="fixed"/>
        <w:tblLook w:val="04A0" w:firstRow="1" w:lastRow="0" w:firstColumn="1" w:lastColumn="0" w:noHBand="0" w:noVBand="1"/>
      </w:tblPr>
      <w:tblGrid>
        <w:gridCol w:w="6559"/>
        <w:gridCol w:w="1523"/>
        <w:gridCol w:w="1523"/>
      </w:tblGrid>
      <w:tr w:rsidR="00332AAA" w:rsidRPr="00193AEF" w:rsidTr="00332AAA">
        <w:trPr>
          <w:trHeight w:val="499"/>
          <w:jc w:val="center"/>
        </w:trPr>
        <w:tc>
          <w:tcPr>
            <w:tcW w:w="6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AAA" w:rsidRPr="00193AEF" w:rsidRDefault="00332AAA" w:rsidP="00826FAC">
            <w:pPr>
              <w:spacing w:before="20" w:after="20"/>
              <w:rPr>
                <w:b/>
                <w:sz w:val="22"/>
                <w:szCs w:val="22"/>
                <w:lang w:val="en-US"/>
              </w:rPr>
            </w:pPr>
            <w:r w:rsidRPr="00193AEF">
              <w:rPr>
                <w:b/>
                <w:sz w:val="22"/>
                <w:szCs w:val="22"/>
                <w:lang w:val="en-US"/>
              </w:rPr>
              <w:t>In thousands of CHF</w:t>
            </w:r>
          </w:p>
        </w:tc>
        <w:tc>
          <w:tcPr>
            <w:tcW w:w="1523" w:type="dxa"/>
            <w:tcBorders>
              <w:top w:val="single" w:sz="4" w:space="0" w:color="auto"/>
              <w:left w:val="single" w:sz="4" w:space="0" w:color="auto"/>
              <w:bottom w:val="single" w:sz="4" w:space="0" w:color="auto"/>
              <w:right w:val="single" w:sz="4" w:space="0" w:color="auto"/>
            </w:tcBorders>
            <w:vAlign w:val="center"/>
          </w:tcPr>
          <w:p w:rsidR="00332AAA" w:rsidRPr="003A5446" w:rsidRDefault="00332AAA" w:rsidP="008D560C">
            <w:pPr>
              <w:spacing w:before="20" w:after="20"/>
              <w:jc w:val="center"/>
              <w:rPr>
                <w:b/>
                <w:sz w:val="22"/>
                <w:szCs w:val="18"/>
                <w:lang w:val="en-US"/>
              </w:rPr>
            </w:pPr>
            <w:r w:rsidRPr="008D560C">
              <w:rPr>
                <w:b/>
                <w:sz w:val="22"/>
                <w:szCs w:val="18"/>
                <w:lang w:val="en-US"/>
              </w:rPr>
              <w:t>31.12.</w:t>
            </w:r>
            <w:r w:rsidR="00111BDD" w:rsidRPr="008D560C">
              <w:rPr>
                <w:b/>
                <w:sz w:val="22"/>
                <w:szCs w:val="18"/>
                <w:lang w:val="en-US"/>
              </w:rPr>
              <w:t>201</w:t>
            </w:r>
            <w:r w:rsidR="008D560C" w:rsidRPr="008D560C">
              <w:rPr>
                <w:b/>
                <w:sz w:val="22"/>
                <w:szCs w:val="18"/>
                <w:lang w:val="en-US"/>
              </w:rPr>
              <w:t>7</w:t>
            </w:r>
          </w:p>
        </w:tc>
        <w:tc>
          <w:tcPr>
            <w:tcW w:w="1523" w:type="dxa"/>
            <w:tcBorders>
              <w:top w:val="single" w:sz="4" w:space="0" w:color="auto"/>
              <w:left w:val="single" w:sz="4" w:space="0" w:color="auto"/>
              <w:bottom w:val="single" w:sz="4" w:space="0" w:color="auto"/>
              <w:right w:val="single" w:sz="4" w:space="0" w:color="auto"/>
            </w:tcBorders>
            <w:vAlign w:val="center"/>
          </w:tcPr>
          <w:p w:rsidR="00332AAA" w:rsidRPr="003A5446" w:rsidRDefault="00332AAA" w:rsidP="008D560C">
            <w:pPr>
              <w:spacing w:before="20" w:after="20"/>
              <w:jc w:val="center"/>
              <w:rPr>
                <w:b/>
                <w:sz w:val="22"/>
                <w:szCs w:val="18"/>
                <w:lang w:val="en-US"/>
              </w:rPr>
            </w:pPr>
            <w:r w:rsidRPr="003A5446">
              <w:rPr>
                <w:b/>
                <w:sz w:val="22"/>
                <w:szCs w:val="18"/>
                <w:lang w:val="en-US"/>
              </w:rPr>
              <w:t>31.12.201</w:t>
            </w:r>
            <w:r w:rsidR="008D560C">
              <w:rPr>
                <w:b/>
                <w:sz w:val="22"/>
                <w:szCs w:val="18"/>
                <w:lang w:val="en-US"/>
              </w:rPr>
              <w:t>6</w:t>
            </w:r>
          </w:p>
        </w:tc>
      </w:tr>
      <w:tr w:rsidR="008D560C" w:rsidRPr="00193AEF" w:rsidTr="00332AAA">
        <w:trPr>
          <w:trHeight w:val="20"/>
          <w:jc w:val="center"/>
        </w:trPr>
        <w:tc>
          <w:tcPr>
            <w:tcW w:w="6559" w:type="dxa"/>
            <w:tcBorders>
              <w:top w:val="single" w:sz="4" w:space="0" w:color="auto"/>
              <w:left w:val="single" w:sz="4" w:space="0" w:color="auto"/>
              <w:right w:val="single" w:sz="4" w:space="0" w:color="auto"/>
            </w:tcBorders>
            <w:shd w:val="clear" w:color="auto" w:fill="auto"/>
            <w:noWrap/>
            <w:vAlign w:val="center"/>
          </w:tcPr>
          <w:p w:rsidR="008D560C" w:rsidRPr="00193AEF" w:rsidRDefault="008D560C" w:rsidP="008D560C">
            <w:pPr>
              <w:spacing w:before="20" w:after="20"/>
              <w:rPr>
                <w:bCs/>
                <w:sz w:val="22"/>
                <w:szCs w:val="22"/>
                <w:lang w:val="en-US"/>
              </w:rPr>
            </w:pPr>
            <w:r w:rsidRPr="00193AEF">
              <w:rPr>
                <w:bCs/>
                <w:sz w:val="22"/>
                <w:szCs w:val="22"/>
                <w:lang w:val="en-US"/>
              </w:rPr>
              <w:t>Salaries and allowances</w:t>
            </w:r>
          </w:p>
        </w:tc>
        <w:tc>
          <w:tcPr>
            <w:tcW w:w="1523" w:type="dxa"/>
            <w:tcBorders>
              <w:top w:val="single" w:sz="4" w:space="0" w:color="auto"/>
              <w:left w:val="single" w:sz="4" w:space="0" w:color="auto"/>
              <w:right w:val="single" w:sz="4" w:space="0" w:color="auto"/>
            </w:tcBorders>
          </w:tcPr>
          <w:p w:rsidR="008D560C" w:rsidRPr="003A5446" w:rsidRDefault="008D560C" w:rsidP="008D560C">
            <w:pPr>
              <w:tabs>
                <w:tab w:val="clear" w:pos="567"/>
              </w:tabs>
              <w:spacing w:before="20" w:after="20"/>
              <w:ind w:right="141"/>
              <w:jc w:val="right"/>
              <w:rPr>
                <w:bCs/>
                <w:sz w:val="22"/>
                <w:szCs w:val="22"/>
                <w:lang w:val="en-US"/>
              </w:rPr>
            </w:pPr>
            <w:r w:rsidRPr="003A5446">
              <w:rPr>
                <w:bCs/>
                <w:sz w:val="22"/>
                <w:szCs w:val="22"/>
                <w:lang w:val="en-US"/>
              </w:rPr>
              <w:t>9</w:t>
            </w:r>
            <w:r>
              <w:rPr>
                <w:bCs/>
                <w:sz w:val="22"/>
                <w:szCs w:val="22"/>
                <w:lang w:val="en-US"/>
              </w:rPr>
              <w:t>3</w:t>
            </w:r>
            <w:r w:rsidRPr="003A5446">
              <w:rPr>
                <w:bCs/>
                <w:sz w:val="22"/>
                <w:szCs w:val="22"/>
                <w:lang w:val="en-US"/>
              </w:rPr>
              <w:t>’</w:t>
            </w:r>
            <w:r>
              <w:rPr>
                <w:bCs/>
                <w:sz w:val="22"/>
                <w:szCs w:val="22"/>
                <w:lang w:val="en-US"/>
              </w:rPr>
              <w:t>653</w:t>
            </w:r>
          </w:p>
        </w:tc>
        <w:tc>
          <w:tcPr>
            <w:tcW w:w="1523" w:type="dxa"/>
            <w:tcBorders>
              <w:top w:val="single" w:sz="4" w:space="0" w:color="auto"/>
              <w:left w:val="single" w:sz="4" w:space="0" w:color="auto"/>
              <w:right w:val="single" w:sz="4" w:space="0" w:color="auto"/>
            </w:tcBorders>
          </w:tcPr>
          <w:p w:rsidR="008D560C" w:rsidRPr="003A5446" w:rsidRDefault="008D560C" w:rsidP="008D560C">
            <w:pPr>
              <w:tabs>
                <w:tab w:val="clear" w:pos="567"/>
              </w:tabs>
              <w:spacing w:before="20" w:after="20"/>
              <w:ind w:right="141"/>
              <w:jc w:val="right"/>
              <w:rPr>
                <w:bCs/>
                <w:sz w:val="22"/>
                <w:szCs w:val="22"/>
                <w:lang w:val="en-US"/>
              </w:rPr>
            </w:pPr>
            <w:r w:rsidRPr="003A5446">
              <w:rPr>
                <w:bCs/>
                <w:sz w:val="22"/>
                <w:szCs w:val="22"/>
                <w:lang w:val="en-US"/>
              </w:rPr>
              <w:t>9</w:t>
            </w:r>
            <w:r>
              <w:rPr>
                <w:bCs/>
                <w:sz w:val="22"/>
                <w:szCs w:val="22"/>
                <w:lang w:val="en-US"/>
              </w:rPr>
              <w:t>6</w:t>
            </w:r>
            <w:r w:rsidRPr="003A5446">
              <w:rPr>
                <w:bCs/>
                <w:sz w:val="22"/>
                <w:szCs w:val="22"/>
                <w:lang w:val="en-US"/>
              </w:rPr>
              <w:t>’</w:t>
            </w:r>
            <w:r>
              <w:rPr>
                <w:bCs/>
                <w:sz w:val="22"/>
                <w:szCs w:val="22"/>
                <w:lang w:val="en-US"/>
              </w:rPr>
              <w:t>025</w:t>
            </w:r>
          </w:p>
        </w:tc>
      </w:tr>
      <w:tr w:rsidR="008D560C" w:rsidRPr="00193AEF" w:rsidTr="00332AAA">
        <w:trPr>
          <w:trHeight w:val="20"/>
          <w:jc w:val="center"/>
        </w:trPr>
        <w:tc>
          <w:tcPr>
            <w:tcW w:w="6559" w:type="dxa"/>
            <w:tcBorders>
              <w:left w:val="single" w:sz="4" w:space="0" w:color="auto"/>
              <w:right w:val="single" w:sz="4" w:space="0" w:color="auto"/>
            </w:tcBorders>
            <w:shd w:val="clear" w:color="auto" w:fill="auto"/>
            <w:noWrap/>
            <w:vAlign w:val="center"/>
          </w:tcPr>
          <w:p w:rsidR="008D560C" w:rsidRPr="00193AEF" w:rsidRDefault="008D560C" w:rsidP="008D560C">
            <w:pPr>
              <w:spacing w:before="20" w:after="20"/>
              <w:rPr>
                <w:bCs/>
                <w:sz w:val="22"/>
                <w:szCs w:val="22"/>
                <w:lang w:val="en-US"/>
              </w:rPr>
            </w:pPr>
            <w:r w:rsidRPr="00193AEF">
              <w:rPr>
                <w:bCs/>
                <w:sz w:val="22"/>
                <w:szCs w:val="22"/>
                <w:lang w:val="en-US"/>
              </w:rPr>
              <w:t>Other employee expenses</w:t>
            </w:r>
          </w:p>
        </w:tc>
        <w:tc>
          <w:tcPr>
            <w:tcW w:w="1523" w:type="dxa"/>
            <w:tcBorders>
              <w:left w:val="single" w:sz="4" w:space="0" w:color="auto"/>
              <w:right w:val="single" w:sz="4" w:space="0" w:color="auto"/>
            </w:tcBorders>
          </w:tcPr>
          <w:p w:rsidR="008D560C" w:rsidRPr="003A5446" w:rsidRDefault="008D560C" w:rsidP="008D560C">
            <w:pPr>
              <w:tabs>
                <w:tab w:val="clear" w:pos="567"/>
              </w:tabs>
              <w:spacing w:before="20" w:after="20"/>
              <w:ind w:right="141"/>
              <w:jc w:val="right"/>
              <w:rPr>
                <w:b/>
                <w:sz w:val="22"/>
                <w:szCs w:val="22"/>
                <w:lang w:val="en-US"/>
              </w:rPr>
            </w:pPr>
            <w:r>
              <w:rPr>
                <w:b/>
                <w:sz w:val="22"/>
                <w:szCs w:val="22"/>
                <w:lang w:val="en-US"/>
              </w:rPr>
              <w:t>55</w:t>
            </w:r>
            <w:r w:rsidRPr="003A5446">
              <w:rPr>
                <w:b/>
                <w:sz w:val="22"/>
                <w:szCs w:val="22"/>
                <w:lang w:val="en-US"/>
              </w:rPr>
              <w:t>’</w:t>
            </w:r>
            <w:r>
              <w:rPr>
                <w:b/>
                <w:sz w:val="22"/>
                <w:szCs w:val="22"/>
                <w:lang w:val="en-US"/>
              </w:rPr>
              <w:t>095</w:t>
            </w:r>
          </w:p>
        </w:tc>
        <w:tc>
          <w:tcPr>
            <w:tcW w:w="1523" w:type="dxa"/>
            <w:tcBorders>
              <w:left w:val="single" w:sz="4" w:space="0" w:color="auto"/>
              <w:right w:val="single" w:sz="4" w:space="0" w:color="auto"/>
            </w:tcBorders>
          </w:tcPr>
          <w:p w:rsidR="008D560C" w:rsidRPr="003A5446" w:rsidRDefault="008D560C" w:rsidP="008D560C">
            <w:pPr>
              <w:tabs>
                <w:tab w:val="clear" w:pos="567"/>
              </w:tabs>
              <w:spacing w:before="20" w:after="20"/>
              <w:ind w:right="141"/>
              <w:jc w:val="right"/>
              <w:rPr>
                <w:b/>
                <w:sz w:val="22"/>
                <w:szCs w:val="22"/>
                <w:lang w:val="en-US"/>
              </w:rPr>
            </w:pPr>
            <w:r>
              <w:rPr>
                <w:b/>
                <w:sz w:val="22"/>
                <w:szCs w:val="22"/>
                <w:lang w:val="en-US"/>
              </w:rPr>
              <w:t>50</w:t>
            </w:r>
            <w:r w:rsidRPr="003A5446">
              <w:rPr>
                <w:b/>
                <w:sz w:val="22"/>
                <w:szCs w:val="22"/>
                <w:lang w:val="en-US"/>
              </w:rPr>
              <w:t>’</w:t>
            </w:r>
            <w:r>
              <w:rPr>
                <w:b/>
                <w:sz w:val="22"/>
                <w:szCs w:val="22"/>
                <w:lang w:val="en-US"/>
              </w:rPr>
              <w:t>974</w:t>
            </w:r>
          </w:p>
        </w:tc>
      </w:tr>
      <w:tr w:rsidR="008D560C" w:rsidRPr="00193AEF" w:rsidTr="0098600C">
        <w:trPr>
          <w:trHeight w:val="20"/>
          <w:jc w:val="center"/>
        </w:trPr>
        <w:tc>
          <w:tcPr>
            <w:tcW w:w="6559" w:type="dxa"/>
            <w:tcBorders>
              <w:left w:val="single" w:sz="4" w:space="0" w:color="auto"/>
              <w:right w:val="single" w:sz="4" w:space="0" w:color="auto"/>
            </w:tcBorders>
            <w:shd w:val="clear" w:color="auto" w:fill="auto"/>
            <w:noWrap/>
            <w:vAlign w:val="center"/>
          </w:tcPr>
          <w:p w:rsidR="008D560C" w:rsidRPr="00193AEF" w:rsidRDefault="008D560C" w:rsidP="008D560C">
            <w:pPr>
              <w:tabs>
                <w:tab w:val="left" w:pos="343"/>
              </w:tabs>
              <w:spacing w:before="20" w:after="20"/>
              <w:rPr>
                <w:bCs/>
                <w:sz w:val="22"/>
                <w:szCs w:val="22"/>
                <w:lang w:val="en-US"/>
              </w:rPr>
            </w:pPr>
            <w:r w:rsidRPr="00193AEF">
              <w:rPr>
                <w:bCs/>
                <w:sz w:val="22"/>
                <w:szCs w:val="22"/>
                <w:lang w:val="en-US"/>
              </w:rPr>
              <w:tab/>
              <w:t>Installation and repatriation</w:t>
            </w:r>
          </w:p>
        </w:tc>
        <w:tc>
          <w:tcPr>
            <w:tcW w:w="1523" w:type="dxa"/>
            <w:tcBorders>
              <w:left w:val="single" w:sz="4" w:space="0" w:color="auto"/>
              <w:right w:val="single" w:sz="4" w:space="0" w:color="auto"/>
            </w:tcBorders>
            <w:vAlign w:val="bottom"/>
          </w:tcPr>
          <w:p w:rsidR="008D560C" w:rsidRPr="003A5446" w:rsidRDefault="008D560C" w:rsidP="008D560C">
            <w:pPr>
              <w:tabs>
                <w:tab w:val="clear" w:pos="567"/>
              </w:tabs>
              <w:spacing w:before="20" w:after="20"/>
              <w:ind w:right="141"/>
              <w:jc w:val="right"/>
              <w:rPr>
                <w:bCs/>
                <w:sz w:val="22"/>
                <w:szCs w:val="22"/>
                <w:lang w:val="en-US"/>
              </w:rPr>
            </w:pPr>
            <w:r w:rsidRPr="00FE4EEF">
              <w:rPr>
                <w:bCs/>
                <w:sz w:val="22"/>
                <w:szCs w:val="22"/>
                <w:lang w:val="en-US"/>
              </w:rPr>
              <w:t xml:space="preserve">           </w:t>
            </w:r>
            <w:r>
              <w:rPr>
                <w:bCs/>
                <w:sz w:val="22"/>
                <w:szCs w:val="22"/>
                <w:lang w:val="en-US"/>
              </w:rPr>
              <w:t>519</w:t>
            </w:r>
            <w:r w:rsidRPr="00FE4EEF">
              <w:rPr>
                <w:bCs/>
                <w:sz w:val="22"/>
                <w:szCs w:val="22"/>
                <w:lang w:val="en-US"/>
              </w:rPr>
              <w:t xml:space="preserve"> </w:t>
            </w:r>
          </w:p>
        </w:tc>
        <w:tc>
          <w:tcPr>
            <w:tcW w:w="1523" w:type="dxa"/>
            <w:tcBorders>
              <w:left w:val="single" w:sz="4" w:space="0" w:color="auto"/>
              <w:right w:val="single" w:sz="4" w:space="0" w:color="auto"/>
            </w:tcBorders>
            <w:vAlign w:val="bottom"/>
          </w:tcPr>
          <w:p w:rsidR="008D560C" w:rsidRPr="003A5446" w:rsidRDefault="008D560C" w:rsidP="008D560C">
            <w:pPr>
              <w:tabs>
                <w:tab w:val="clear" w:pos="567"/>
              </w:tabs>
              <w:spacing w:before="20" w:after="20"/>
              <w:ind w:right="141"/>
              <w:jc w:val="right"/>
              <w:rPr>
                <w:bCs/>
                <w:sz w:val="22"/>
                <w:szCs w:val="22"/>
                <w:lang w:val="en-US"/>
              </w:rPr>
            </w:pPr>
            <w:r w:rsidRPr="00FE4EEF">
              <w:rPr>
                <w:bCs/>
                <w:sz w:val="22"/>
                <w:szCs w:val="22"/>
                <w:lang w:val="en-US"/>
              </w:rPr>
              <w:t xml:space="preserve">           3,076 </w:t>
            </w:r>
          </w:p>
        </w:tc>
      </w:tr>
      <w:tr w:rsidR="008D560C" w:rsidRPr="00193AEF" w:rsidTr="0098600C">
        <w:trPr>
          <w:trHeight w:val="20"/>
          <w:jc w:val="center"/>
        </w:trPr>
        <w:tc>
          <w:tcPr>
            <w:tcW w:w="6559" w:type="dxa"/>
            <w:tcBorders>
              <w:left w:val="single" w:sz="4" w:space="0" w:color="auto"/>
              <w:right w:val="single" w:sz="4" w:space="0" w:color="auto"/>
            </w:tcBorders>
            <w:shd w:val="clear" w:color="auto" w:fill="auto"/>
            <w:noWrap/>
            <w:vAlign w:val="center"/>
          </w:tcPr>
          <w:p w:rsidR="008D560C" w:rsidRPr="00193AEF" w:rsidRDefault="008D560C" w:rsidP="008D560C">
            <w:pPr>
              <w:tabs>
                <w:tab w:val="left" w:pos="343"/>
              </w:tabs>
              <w:spacing w:before="20" w:after="20"/>
              <w:rPr>
                <w:bCs/>
                <w:sz w:val="22"/>
                <w:szCs w:val="22"/>
                <w:lang w:val="en-US"/>
              </w:rPr>
            </w:pPr>
            <w:r w:rsidRPr="00193AEF">
              <w:rPr>
                <w:bCs/>
                <w:sz w:val="22"/>
                <w:szCs w:val="22"/>
                <w:lang w:val="en-US"/>
              </w:rPr>
              <w:tab/>
              <w:t>Education grant</w:t>
            </w:r>
          </w:p>
        </w:tc>
        <w:tc>
          <w:tcPr>
            <w:tcW w:w="1523" w:type="dxa"/>
            <w:tcBorders>
              <w:left w:val="single" w:sz="4" w:space="0" w:color="auto"/>
              <w:right w:val="single" w:sz="4" w:space="0" w:color="auto"/>
            </w:tcBorders>
            <w:vAlign w:val="bottom"/>
          </w:tcPr>
          <w:p w:rsidR="008D560C" w:rsidRPr="003A5446" w:rsidRDefault="008D560C" w:rsidP="008D560C">
            <w:pPr>
              <w:tabs>
                <w:tab w:val="clear" w:pos="567"/>
              </w:tabs>
              <w:spacing w:before="20" w:after="20"/>
              <w:ind w:right="141"/>
              <w:jc w:val="right"/>
              <w:rPr>
                <w:bCs/>
                <w:sz w:val="22"/>
                <w:szCs w:val="22"/>
                <w:lang w:val="en-US"/>
              </w:rPr>
            </w:pPr>
            <w:r w:rsidRPr="00FE4EEF">
              <w:rPr>
                <w:bCs/>
                <w:sz w:val="22"/>
                <w:szCs w:val="22"/>
                <w:lang w:val="en-US"/>
              </w:rPr>
              <w:t xml:space="preserve">          3,</w:t>
            </w:r>
            <w:r>
              <w:rPr>
                <w:bCs/>
                <w:sz w:val="22"/>
                <w:szCs w:val="22"/>
                <w:lang w:val="en-US"/>
              </w:rPr>
              <w:t>443</w:t>
            </w:r>
            <w:r w:rsidRPr="00FE4EEF">
              <w:rPr>
                <w:bCs/>
                <w:sz w:val="22"/>
                <w:szCs w:val="22"/>
                <w:lang w:val="en-US"/>
              </w:rPr>
              <w:t xml:space="preserve"> </w:t>
            </w:r>
          </w:p>
        </w:tc>
        <w:tc>
          <w:tcPr>
            <w:tcW w:w="1523" w:type="dxa"/>
            <w:tcBorders>
              <w:left w:val="single" w:sz="4" w:space="0" w:color="auto"/>
              <w:right w:val="single" w:sz="4" w:space="0" w:color="auto"/>
            </w:tcBorders>
            <w:vAlign w:val="bottom"/>
          </w:tcPr>
          <w:p w:rsidR="008D560C" w:rsidRPr="003A5446" w:rsidRDefault="008D560C" w:rsidP="008D560C">
            <w:pPr>
              <w:tabs>
                <w:tab w:val="clear" w:pos="567"/>
              </w:tabs>
              <w:spacing w:before="20" w:after="20"/>
              <w:ind w:right="141"/>
              <w:jc w:val="right"/>
              <w:rPr>
                <w:bCs/>
                <w:sz w:val="22"/>
                <w:szCs w:val="22"/>
                <w:lang w:val="en-US"/>
              </w:rPr>
            </w:pPr>
            <w:r w:rsidRPr="00FE4EEF">
              <w:rPr>
                <w:bCs/>
                <w:sz w:val="22"/>
                <w:szCs w:val="22"/>
                <w:lang w:val="en-US"/>
              </w:rPr>
              <w:t xml:space="preserve">          3,594 </w:t>
            </w:r>
          </w:p>
        </w:tc>
      </w:tr>
      <w:tr w:rsidR="008D560C" w:rsidRPr="00193AEF" w:rsidTr="0098600C">
        <w:trPr>
          <w:trHeight w:val="20"/>
          <w:jc w:val="center"/>
        </w:trPr>
        <w:tc>
          <w:tcPr>
            <w:tcW w:w="6559" w:type="dxa"/>
            <w:tcBorders>
              <w:left w:val="single" w:sz="4" w:space="0" w:color="auto"/>
              <w:right w:val="single" w:sz="4" w:space="0" w:color="auto"/>
            </w:tcBorders>
            <w:shd w:val="clear" w:color="auto" w:fill="auto"/>
            <w:noWrap/>
            <w:vAlign w:val="center"/>
          </w:tcPr>
          <w:p w:rsidR="008D560C" w:rsidRPr="00193AEF" w:rsidRDefault="008D560C" w:rsidP="008D560C">
            <w:pPr>
              <w:tabs>
                <w:tab w:val="left" w:pos="343"/>
              </w:tabs>
              <w:spacing w:before="20" w:after="20"/>
              <w:rPr>
                <w:bCs/>
                <w:sz w:val="22"/>
                <w:szCs w:val="22"/>
                <w:lang w:val="en-US"/>
              </w:rPr>
            </w:pPr>
            <w:r w:rsidRPr="00193AEF">
              <w:rPr>
                <w:bCs/>
                <w:sz w:val="22"/>
                <w:szCs w:val="22"/>
                <w:lang w:val="en-US"/>
              </w:rPr>
              <w:tab/>
              <w:t>Home leave</w:t>
            </w:r>
          </w:p>
        </w:tc>
        <w:tc>
          <w:tcPr>
            <w:tcW w:w="1523" w:type="dxa"/>
            <w:tcBorders>
              <w:left w:val="single" w:sz="4" w:space="0" w:color="auto"/>
              <w:right w:val="single" w:sz="4" w:space="0" w:color="auto"/>
            </w:tcBorders>
            <w:vAlign w:val="bottom"/>
          </w:tcPr>
          <w:p w:rsidR="008D560C" w:rsidRPr="003A5446" w:rsidRDefault="008D560C" w:rsidP="008D560C">
            <w:pPr>
              <w:tabs>
                <w:tab w:val="clear" w:pos="567"/>
              </w:tabs>
              <w:spacing w:before="20" w:after="20"/>
              <w:ind w:right="141"/>
              <w:jc w:val="right"/>
              <w:rPr>
                <w:bCs/>
                <w:sz w:val="22"/>
                <w:szCs w:val="22"/>
                <w:lang w:val="en-US"/>
              </w:rPr>
            </w:pPr>
            <w:r w:rsidRPr="00FE4EEF">
              <w:rPr>
                <w:bCs/>
                <w:sz w:val="22"/>
                <w:szCs w:val="22"/>
                <w:lang w:val="en-US"/>
              </w:rPr>
              <w:t xml:space="preserve">             </w:t>
            </w:r>
            <w:r>
              <w:rPr>
                <w:bCs/>
                <w:sz w:val="22"/>
                <w:szCs w:val="22"/>
                <w:lang w:val="en-US"/>
              </w:rPr>
              <w:t>1,056</w:t>
            </w:r>
            <w:r w:rsidRPr="00FE4EEF">
              <w:rPr>
                <w:bCs/>
                <w:sz w:val="22"/>
                <w:szCs w:val="22"/>
                <w:lang w:val="en-US"/>
              </w:rPr>
              <w:t xml:space="preserve"> </w:t>
            </w:r>
          </w:p>
        </w:tc>
        <w:tc>
          <w:tcPr>
            <w:tcW w:w="1523" w:type="dxa"/>
            <w:tcBorders>
              <w:left w:val="single" w:sz="4" w:space="0" w:color="auto"/>
              <w:right w:val="single" w:sz="4" w:space="0" w:color="auto"/>
            </w:tcBorders>
            <w:vAlign w:val="bottom"/>
          </w:tcPr>
          <w:p w:rsidR="008D560C" w:rsidRPr="003A5446" w:rsidRDefault="008D560C" w:rsidP="008D560C">
            <w:pPr>
              <w:tabs>
                <w:tab w:val="clear" w:pos="567"/>
              </w:tabs>
              <w:spacing w:before="20" w:after="20"/>
              <w:ind w:right="141"/>
              <w:jc w:val="right"/>
              <w:rPr>
                <w:bCs/>
                <w:sz w:val="22"/>
                <w:szCs w:val="22"/>
                <w:lang w:val="en-US"/>
              </w:rPr>
            </w:pPr>
            <w:r w:rsidRPr="00FE4EEF">
              <w:rPr>
                <w:bCs/>
                <w:sz w:val="22"/>
                <w:szCs w:val="22"/>
                <w:lang w:val="en-US"/>
              </w:rPr>
              <w:t xml:space="preserve">              977 </w:t>
            </w:r>
          </w:p>
        </w:tc>
      </w:tr>
      <w:tr w:rsidR="008D560C" w:rsidRPr="00193AEF" w:rsidTr="0098600C">
        <w:trPr>
          <w:trHeight w:val="20"/>
          <w:jc w:val="center"/>
        </w:trPr>
        <w:tc>
          <w:tcPr>
            <w:tcW w:w="6559" w:type="dxa"/>
            <w:tcBorders>
              <w:left w:val="single" w:sz="4" w:space="0" w:color="auto"/>
              <w:right w:val="single" w:sz="4" w:space="0" w:color="auto"/>
            </w:tcBorders>
            <w:shd w:val="clear" w:color="auto" w:fill="auto"/>
            <w:noWrap/>
            <w:vAlign w:val="center"/>
          </w:tcPr>
          <w:p w:rsidR="008D560C" w:rsidRPr="00193AEF" w:rsidRDefault="008D560C" w:rsidP="008D560C">
            <w:pPr>
              <w:tabs>
                <w:tab w:val="left" w:pos="343"/>
              </w:tabs>
              <w:spacing w:before="20" w:after="20"/>
              <w:rPr>
                <w:bCs/>
                <w:sz w:val="22"/>
                <w:szCs w:val="22"/>
                <w:lang w:val="en-US"/>
              </w:rPr>
            </w:pPr>
            <w:r w:rsidRPr="00193AEF">
              <w:rPr>
                <w:bCs/>
                <w:sz w:val="22"/>
                <w:szCs w:val="22"/>
                <w:lang w:val="en-US"/>
              </w:rPr>
              <w:tab/>
              <w:t>Accrued leave</w:t>
            </w:r>
          </w:p>
        </w:tc>
        <w:tc>
          <w:tcPr>
            <w:tcW w:w="1523" w:type="dxa"/>
            <w:tcBorders>
              <w:left w:val="single" w:sz="4" w:space="0" w:color="auto"/>
              <w:right w:val="single" w:sz="4" w:space="0" w:color="auto"/>
            </w:tcBorders>
            <w:vAlign w:val="bottom"/>
          </w:tcPr>
          <w:p w:rsidR="008D560C" w:rsidRPr="003A5446" w:rsidRDefault="008D560C" w:rsidP="008D560C">
            <w:pPr>
              <w:tabs>
                <w:tab w:val="clear" w:pos="567"/>
              </w:tabs>
              <w:spacing w:before="20" w:after="20"/>
              <w:ind w:right="141"/>
              <w:jc w:val="right"/>
              <w:rPr>
                <w:bCs/>
                <w:sz w:val="22"/>
                <w:szCs w:val="22"/>
                <w:lang w:val="en-US"/>
              </w:rPr>
            </w:pPr>
            <w:r w:rsidRPr="00FE4EEF">
              <w:rPr>
                <w:bCs/>
                <w:sz w:val="22"/>
                <w:szCs w:val="22"/>
                <w:lang w:val="en-US"/>
              </w:rPr>
              <w:t xml:space="preserve">              </w:t>
            </w:r>
            <w:r>
              <w:rPr>
                <w:bCs/>
                <w:sz w:val="22"/>
                <w:szCs w:val="22"/>
                <w:lang w:val="en-US"/>
              </w:rPr>
              <w:t>702</w:t>
            </w:r>
            <w:r w:rsidRPr="00FE4EEF">
              <w:rPr>
                <w:bCs/>
                <w:sz w:val="22"/>
                <w:szCs w:val="22"/>
                <w:lang w:val="en-US"/>
              </w:rPr>
              <w:t xml:space="preserve"> </w:t>
            </w:r>
          </w:p>
        </w:tc>
        <w:tc>
          <w:tcPr>
            <w:tcW w:w="1523" w:type="dxa"/>
            <w:tcBorders>
              <w:left w:val="single" w:sz="4" w:space="0" w:color="auto"/>
              <w:right w:val="single" w:sz="4" w:space="0" w:color="auto"/>
            </w:tcBorders>
            <w:vAlign w:val="bottom"/>
          </w:tcPr>
          <w:p w:rsidR="008D560C" w:rsidRPr="003A5446" w:rsidRDefault="008D560C" w:rsidP="008D560C">
            <w:pPr>
              <w:tabs>
                <w:tab w:val="clear" w:pos="567"/>
              </w:tabs>
              <w:spacing w:before="20" w:after="20"/>
              <w:ind w:right="141"/>
              <w:jc w:val="right"/>
              <w:rPr>
                <w:bCs/>
                <w:sz w:val="22"/>
                <w:szCs w:val="22"/>
                <w:lang w:val="en-US"/>
              </w:rPr>
            </w:pPr>
            <w:r w:rsidRPr="00FE4EEF">
              <w:rPr>
                <w:bCs/>
                <w:sz w:val="22"/>
                <w:szCs w:val="22"/>
                <w:lang w:val="en-US"/>
              </w:rPr>
              <w:t xml:space="preserve">              865 </w:t>
            </w:r>
          </w:p>
        </w:tc>
      </w:tr>
      <w:tr w:rsidR="008D560C" w:rsidRPr="00193AEF" w:rsidTr="0098600C">
        <w:trPr>
          <w:trHeight w:val="20"/>
          <w:jc w:val="center"/>
        </w:trPr>
        <w:tc>
          <w:tcPr>
            <w:tcW w:w="6559" w:type="dxa"/>
            <w:tcBorders>
              <w:left w:val="single" w:sz="4" w:space="0" w:color="auto"/>
              <w:right w:val="single" w:sz="4" w:space="0" w:color="auto"/>
            </w:tcBorders>
            <w:shd w:val="clear" w:color="auto" w:fill="auto"/>
            <w:noWrap/>
            <w:vAlign w:val="center"/>
          </w:tcPr>
          <w:p w:rsidR="008D560C" w:rsidRPr="00193AEF" w:rsidRDefault="008D560C" w:rsidP="008D560C">
            <w:pPr>
              <w:tabs>
                <w:tab w:val="left" w:pos="343"/>
              </w:tabs>
              <w:spacing w:before="20" w:after="20"/>
              <w:rPr>
                <w:bCs/>
                <w:sz w:val="22"/>
                <w:szCs w:val="22"/>
                <w:lang w:val="en-US"/>
              </w:rPr>
            </w:pPr>
            <w:r w:rsidRPr="00193AEF">
              <w:rPr>
                <w:bCs/>
                <w:sz w:val="22"/>
                <w:szCs w:val="22"/>
                <w:lang w:val="en-US"/>
              </w:rPr>
              <w:tab/>
              <w:t>Health &amp; accident insurance</w:t>
            </w:r>
          </w:p>
        </w:tc>
        <w:tc>
          <w:tcPr>
            <w:tcW w:w="1523" w:type="dxa"/>
            <w:tcBorders>
              <w:left w:val="single" w:sz="4" w:space="0" w:color="auto"/>
              <w:right w:val="single" w:sz="4" w:space="0" w:color="auto"/>
            </w:tcBorders>
            <w:vAlign w:val="bottom"/>
          </w:tcPr>
          <w:p w:rsidR="008D560C" w:rsidRPr="003A5446" w:rsidRDefault="008D560C" w:rsidP="008D560C">
            <w:pPr>
              <w:tabs>
                <w:tab w:val="clear" w:pos="567"/>
              </w:tabs>
              <w:spacing w:before="20" w:after="20"/>
              <w:ind w:right="141"/>
              <w:jc w:val="right"/>
              <w:rPr>
                <w:bCs/>
                <w:sz w:val="22"/>
                <w:szCs w:val="22"/>
                <w:lang w:val="en-US"/>
              </w:rPr>
            </w:pPr>
            <w:r w:rsidRPr="00FE4EEF">
              <w:rPr>
                <w:bCs/>
                <w:sz w:val="22"/>
                <w:szCs w:val="22"/>
                <w:lang w:val="en-US"/>
              </w:rPr>
              <w:t xml:space="preserve">         11,1</w:t>
            </w:r>
            <w:r>
              <w:rPr>
                <w:bCs/>
                <w:sz w:val="22"/>
                <w:szCs w:val="22"/>
                <w:lang w:val="en-US"/>
              </w:rPr>
              <w:t>81</w:t>
            </w:r>
            <w:r w:rsidRPr="00FE4EEF">
              <w:rPr>
                <w:bCs/>
                <w:sz w:val="22"/>
                <w:szCs w:val="22"/>
                <w:lang w:val="en-US"/>
              </w:rPr>
              <w:t xml:space="preserve"> </w:t>
            </w:r>
          </w:p>
        </w:tc>
        <w:tc>
          <w:tcPr>
            <w:tcW w:w="1523" w:type="dxa"/>
            <w:tcBorders>
              <w:left w:val="single" w:sz="4" w:space="0" w:color="auto"/>
              <w:right w:val="single" w:sz="4" w:space="0" w:color="auto"/>
            </w:tcBorders>
            <w:vAlign w:val="bottom"/>
          </w:tcPr>
          <w:p w:rsidR="008D560C" w:rsidRPr="003A5446" w:rsidRDefault="008D560C" w:rsidP="008D560C">
            <w:pPr>
              <w:tabs>
                <w:tab w:val="clear" w:pos="567"/>
              </w:tabs>
              <w:spacing w:before="20" w:after="20"/>
              <w:ind w:right="141"/>
              <w:jc w:val="right"/>
              <w:rPr>
                <w:bCs/>
                <w:sz w:val="22"/>
                <w:szCs w:val="22"/>
                <w:lang w:val="en-US"/>
              </w:rPr>
            </w:pPr>
            <w:r w:rsidRPr="00FE4EEF">
              <w:rPr>
                <w:bCs/>
                <w:sz w:val="22"/>
                <w:szCs w:val="22"/>
                <w:lang w:val="en-US"/>
              </w:rPr>
              <w:t xml:space="preserve">         11,105 </w:t>
            </w:r>
          </w:p>
        </w:tc>
      </w:tr>
      <w:tr w:rsidR="008D560C" w:rsidRPr="00193AEF" w:rsidTr="0098600C">
        <w:trPr>
          <w:trHeight w:val="20"/>
          <w:jc w:val="center"/>
        </w:trPr>
        <w:tc>
          <w:tcPr>
            <w:tcW w:w="6559" w:type="dxa"/>
            <w:tcBorders>
              <w:left w:val="single" w:sz="4" w:space="0" w:color="auto"/>
              <w:right w:val="single" w:sz="4" w:space="0" w:color="auto"/>
            </w:tcBorders>
            <w:shd w:val="clear" w:color="auto" w:fill="auto"/>
            <w:noWrap/>
            <w:vAlign w:val="center"/>
          </w:tcPr>
          <w:p w:rsidR="008D560C" w:rsidRPr="00193AEF" w:rsidRDefault="008D560C" w:rsidP="008D560C">
            <w:pPr>
              <w:tabs>
                <w:tab w:val="left" w:pos="343"/>
              </w:tabs>
              <w:spacing w:before="20" w:after="20"/>
              <w:rPr>
                <w:bCs/>
                <w:sz w:val="22"/>
                <w:szCs w:val="22"/>
                <w:lang w:val="en-US"/>
              </w:rPr>
            </w:pPr>
            <w:r w:rsidRPr="00193AEF">
              <w:rPr>
                <w:bCs/>
                <w:sz w:val="22"/>
                <w:szCs w:val="22"/>
                <w:lang w:val="en-US"/>
              </w:rPr>
              <w:tab/>
              <w:t>UNJSPF contributions</w:t>
            </w:r>
          </w:p>
        </w:tc>
        <w:tc>
          <w:tcPr>
            <w:tcW w:w="1523" w:type="dxa"/>
            <w:tcBorders>
              <w:left w:val="single" w:sz="4" w:space="0" w:color="auto"/>
              <w:right w:val="single" w:sz="4" w:space="0" w:color="auto"/>
            </w:tcBorders>
            <w:vAlign w:val="bottom"/>
          </w:tcPr>
          <w:p w:rsidR="008D560C" w:rsidRPr="003A5446" w:rsidRDefault="008D560C" w:rsidP="008D560C">
            <w:pPr>
              <w:tabs>
                <w:tab w:val="clear" w:pos="567"/>
              </w:tabs>
              <w:spacing w:before="20" w:after="20"/>
              <w:ind w:right="141"/>
              <w:jc w:val="right"/>
              <w:rPr>
                <w:bCs/>
                <w:sz w:val="22"/>
                <w:szCs w:val="22"/>
                <w:lang w:val="en-US"/>
              </w:rPr>
            </w:pPr>
            <w:r w:rsidRPr="00FE4EEF">
              <w:rPr>
                <w:bCs/>
                <w:sz w:val="22"/>
                <w:szCs w:val="22"/>
                <w:lang w:val="en-US"/>
              </w:rPr>
              <w:t xml:space="preserve">         1</w:t>
            </w:r>
            <w:r>
              <w:rPr>
                <w:bCs/>
                <w:sz w:val="22"/>
                <w:szCs w:val="22"/>
                <w:lang w:val="en-US"/>
              </w:rPr>
              <w:t>5</w:t>
            </w:r>
            <w:r w:rsidRPr="00FE4EEF">
              <w:rPr>
                <w:bCs/>
                <w:sz w:val="22"/>
                <w:szCs w:val="22"/>
                <w:lang w:val="en-US"/>
              </w:rPr>
              <w:t>,</w:t>
            </w:r>
            <w:r>
              <w:rPr>
                <w:bCs/>
                <w:sz w:val="22"/>
                <w:szCs w:val="22"/>
                <w:lang w:val="en-US"/>
              </w:rPr>
              <w:t>994</w:t>
            </w:r>
          </w:p>
        </w:tc>
        <w:tc>
          <w:tcPr>
            <w:tcW w:w="1523" w:type="dxa"/>
            <w:tcBorders>
              <w:left w:val="single" w:sz="4" w:space="0" w:color="auto"/>
              <w:right w:val="single" w:sz="4" w:space="0" w:color="auto"/>
            </w:tcBorders>
            <w:vAlign w:val="bottom"/>
          </w:tcPr>
          <w:p w:rsidR="008D560C" w:rsidRPr="003A5446" w:rsidRDefault="008D560C" w:rsidP="008D560C">
            <w:pPr>
              <w:tabs>
                <w:tab w:val="clear" w:pos="567"/>
              </w:tabs>
              <w:spacing w:before="20" w:after="20"/>
              <w:ind w:right="141"/>
              <w:jc w:val="right"/>
              <w:rPr>
                <w:bCs/>
                <w:sz w:val="22"/>
                <w:szCs w:val="22"/>
                <w:lang w:val="en-US"/>
              </w:rPr>
            </w:pPr>
            <w:r w:rsidRPr="00FE4EEF">
              <w:rPr>
                <w:bCs/>
                <w:sz w:val="22"/>
                <w:szCs w:val="22"/>
                <w:lang w:val="en-US"/>
              </w:rPr>
              <w:t xml:space="preserve">         16,262 </w:t>
            </w:r>
          </w:p>
        </w:tc>
      </w:tr>
      <w:tr w:rsidR="008D560C" w:rsidRPr="00193AEF" w:rsidTr="0098600C">
        <w:trPr>
          <w:trHeight w:val="20"/>
          <w:jc w:val="center"/>
        </w:trPr>
        <w:tc>
          <w:tcPr>
            <w:tcW w:w="6559" w:type="dxa"/>
            <w:tcBorders>
              <w:left w:val="single" w:sz="4" w:space="0" w:color="auto"/>
              <w:right w:val="single" w:sz="4" w:space="0" w:color="auto"/>
            </w:tcBorders>
            <w:shd w:val="clear" w:color="auto" w:fill="auto"/>
            <w:noWrap/>
            <w:vAlign w:val="center"/>
          </w:tcPr>
          <w:p w:rsidR="008D560C" w:rsidRPr="00193AEF" w:rsidRDefault="008D560C" w:rsidP="008D560C">
            <w:pPr>
              <w:tabs>
                <w:tab w:val="left" w:pos="343"/>
              </w:tabs>
              <w:spacing w:before="20" w:after="20"/>
              <w:rPr>
                <w:bCs/>
                <w:sz w:val="22"/>
                <w:szCs w:val="22"/>
                <w:lang w:val="en-US"/>
              </w:rPr>
            </w:pPr>
            <w:r w:rsidRPr="00193AEF">
              <w:rPr>
                <w:bCs/>
                <w:sz w:val="22"/>
                <w:szCs w:val="22"/>
                <w:lang w:val="en-US"/>
              </w:rPr>
              <w:tab/>
              <w:t>Other expenses</w:t>
            </w:r>
          </w:p>
        </w:tc>
        <w:tc>
          <w:tcPr>
            <w:tcW w:w="1523" w:type="dxa"/>
            <w:tcBorders>
              <w:left w:val="single" w:sz="4" w:space="0" w:color="auto"/>
              <w:right w:val="single" w:sz="4" w:space="0" w:color="auto"/>
            </w:tcBorders>
            <w:vAlign w:val="bottom"/>
          </w:tcPr>
          <w:p w:rsidR="008D560C" w:rsidRPr="003A5446" w:rsidRDefault="008D560C" w:rsidP="008D560C">
            <w:pPr>
              <w:tabs>
                <w:tab w:val="clear" w:pos="567"/>
              </w:tabs>
              <w:spacing w:before="20" w:after="20"/>
              <w:ind w:right="141"/>
              <w:jc w:val="right"/>
              <w:rPr>
                <w:bCs/>
                <w:sz w:val="22"/>
                <w:szCs w:val="22"/>
                <w:lang w:val="en-US"/>
              </w:rPr>
            </w:pPr>
            <w:r w:rsidRPr="00FE4EEF">
              <w:rPr>
                <w:bCs/>
                <w:sz w:val="22"/>
                <w:szCs w:val="22"/>
                <w:lang w:val="en-US"/>
              </w:rPr>
              <w:t xml:space="preserve">           </w:t>
            </w:r>
            <w:r>
              <w:rPr>
                <w:bCs/>
                <w:sz w:val="22"/>
                <w:szCs w:val="22"/>
                <w:lang w:val="en-US"/>
              </w:rPr>
              <w:t>3</w:t>
            </w:r>
            <w:r w:rsidRPr="00FE4EEF">
              <w:rPr>
                <w:bCs/>
                <w:sz w:val="22"/>
                <w:szCs w:val="22"/>
                <w:lang w:val="en-US"/>
              </w:rPr>
              <w:t>,</w:t>
            </w:r>
            <w:r>
              <w:rPr>
                <w:bCs/>
                <w:sz w:val="22"/>
                <w:szCs w:val="22"/>
                <w:lang w:val="en-US"/>
              </w:rPr>
              <w:t>985</w:t>
            </w:r>
            <w:r w:rsidRPr="00FE4EEF">
              <w:rPr>
                <w:bCs/>
                <w:sz w:val="22"/>
                <w:szCs w:val="22"/>
                <w:lang w:val="en-US"/>
              </w:rPr>
              <w:t xml:space="preserve"> </w:t>
            </w:r>
          </w:p>
        </w:tc>
        <w:tc>
          <w:tcPr>
            <w:tcW w:w="1523" w:type="dxa"/>
            <w:tcBorders>
              <w:left w:val="single" w:sz="4" w:space="0" w:color="auto"/>
              <w:right w:val="single" w:sz="4" w:space="0" w:color="auto"/>
            </w:tcBorders>
            <w:vAlign w:val="bottom"/>
          </w:tcPr>
          <w:p w:rsidR="008D560C" w:rsidRPr="003A5446" w:rsidRDefault="008D560C" w:rsidP="008D560C">
            <w:pPr>
              <w:tabs>
                <w:tab w:val="clear" w:pos="567"/>
              </w:tabs>
              <w:spacing w:before="20" w:after="20"/>
              <w:ind w:right="141"/>
              <w:jc w:val="right"/>
              <w:rPr>
                <w:bCs/>
                <w:sz w:val="22"/>
                <w:szCs w:val="22"/>
                <w:lang w:val="en-US"/>
              </w:rPr>
            </w:pPr>
            <w:r w:rsidRPr="00FE4EEF">
              <w:rPr>
                <w:bCs/>
                <w:sz w:val="22"/>
                <w:szCs w:val="22"/>
                <w:lang w:val="en-US"/>
              </w:rPr>
              <w:t xml:space="preserve">           1,428 </w:t>
            </w:r>
          </w:p>
        </w:tc>
      </w:tr>
      <w:tr w:rsidR="008D560C" w:rsidRPr="00193AEF" w:rsidTr="0098600C">
        <w:trPr>
          <w:trHeight w:val="20"/>
          <w:jc w:val="center"/>
        </w:trPr>
        <w:tc>
          <w:tcPr>
            <w:tcW w:w="6559" w:type="dxa"/>
            <w:tcBorders>
              <w:left w:val="single" w:sz="4" w:space="0" w:color="auto"/>
              <w:bottom w:val="single" w:sz="4" w:space="0" w:color="auto"/>
              <w:right w:val="single" w:sz="4" w:space="0" w:color="auto"/>
            </w:tcBorders>
            <w:shd w:val="clear" w:color="auto" w:fill="auto"/>
            <w:noWrap/>
            <w:vAlign w:val="center"/>
          </w:tcPr>
          <w:p w:rsidR="008D560C" w:rsidRPr="00193AEF" w:rsidRDefault="008D560C" w:rsidP="008D560C">
            <w:pPr>
              <w:tabs>
                <w:tab w:val="left" w:pos="343"/>
              </w:tabs>
              <w:spacing w:before="20" w:after="20"/>
              <w:rPr>
                <w:bCs/>
                <w:sz w:val="22"/>
                <w:szCs w:val="22"/>
                <w:lang w:val="en-US"/>
              </w:rPr>
            </w:pPr>
            <w:r w:rsidRPr="00193AEF">
              <w:rPr>
                <w:bCs/>
                <w:sz w:val="22"/>
                <w:szCs w:val="22"/>
                <w:lang w:val="en-US"/>
              </w:rPr>
              <w:tab/>
              <w:t>ASHI adjustment</w:t>
            </w:r>
          </w:p>
        </w:tc>
        <w:tc>
          <w:tcPr>
            <w:tcW w:w="1523" w:type="dxa"/>
            <w:tcBorders>
              <w:left w:val="single" w:sz="4" w:space="0" w:color="auto"/>
              <w:bottom w:val="single" w:sz="4" w:space="0" w:color="auto"/>
              <w:right w:val="single" w:sz="4" w:space="0" w:color="auto"/>
            </w:tcBorders>
            <w:vAlign w:val="bottom"/>
          </w:tcPr>
          <w:p w:rsidR="008D560C" w:rsidRPr="003A5446" w:rsidRDefault="008D560C" w:rsidP="008D560C">
            <w:pPr>
              <w:tabs>
                <w:tab w:val="clear" w:pos="567"/>
              </w:tabs>
              <w:spacing w:before="20" w:after="20"/>
              <w:ind w:right="141"/>
              <w:jc w:val="right"/>
              <w:rPr>
                <w:bCs/>
                <w:sz w:val="22"/>
                <w:szCs w:val="22"/>
                <w:lang w:val="en-US"/>
              </w:rPr>
            </w:pPr>
            <w:r w:rsidRPr="00FE4EEF">
              <w:rPr>
                <w:bCs/>
                <w:sz w:val="22"/>
                <w:szCs w:val="22"/>
                <w:lang w:val="en-US"/>
              </w:rPr>
              <w:t xml:space="preserve">         1</w:t>
            </w:r>
            <w:r>
              <w:rPr>
                <w:bCs/>
                <w:sz w:val="22"/>
                <w:szCs w:val="22"/>
                <w:lang w:val="en-US"/>
              </w:rPr>
              <w:t>8</w:t>
            </w:r>
            <w:r w:rsidRPr="00FE4EEF">
              <w:rPr>
                <w:bCs/>
                <w:sz w:val="22"/>
                <w:szCs w:val="22"/>
                <w:lang w:val="en-US"/>
              </w:rPr>
              <w:t>,</w:t>
            </w:r>
            <w:r>
              <w:rPr>
                <w:bCs/>
                <w:sz w:val="22"/>
                <w:szCs w:val="22"/>
                <w:lang w:val="en-US"/>
              </w:rPr>
              <w:t>214</w:t>
            </w:r>
            <w:r w:rsidRPr="00FE4EEF">
              <w:rPr>
                <w:bCs/>
                <w:sz w:val="22"/>
                <w:szCs w:val="22"/>
                <w:lang w:val="en-US"/>
              </w:rPr>
              <w:t xml:space="preserve"> </w:t>
            </w:r>
          </w:p>
        </w:tc>
        <w:tc>
          <w:tcPr>
            <w:tcW w:w="1523" w:type="dxa"/>
            <w:tcBorders>
              <w:left w:val="single" w:sz="4" w:space="0" w:color="auto"/>
              <w:bottom w:val="single" w:sz="4" w:space="0" w:color="auto"/>
              <w:right w:val="single" w:sz="4" w:space="0" w:color="auto"/>
            </w:tcBorders>
            <w:vAlign w:val="bottom"/>
          </w:tcPr>
          <w:p w:rsidR="008D560C" w:rsidRPr="003A5446" w:rsidRDefault="008D560C" w:rsidP="008D560C">
            <w:pPr>
              <w:tabs>
                <w:tab w:val="clear" w:pos="567"/>
              </w:tabs>
              <w:spacing w:before="20" w:after="20"/>
              <w:ind w:right="141"/>
              <w:jc w:val="right"/>
              <w:rPr>
                <w:bCs/>
                <w:sz w:val="22"/>
                <w:szCs w:val="22"/>
                <w:lang w:val="en-US"/>
              </w:rPr>
            </w:pPr>
            <w:r w:rsidRPr="00FE4EEF">
              <w:rPr>
                <w:bCs/>
                <w:sz w:val="22"/>
                <w:szCs w:val="22"/>
                <w:lang w:val="en-US"/>
              </w:rPr>
              <w:t xml:space="preserve">         13,667 </w:t>
            </w:r>
          </w:p>
        </w:tc>
      </w:tr>
      <w:tr w:rsidR="009C2A9F" w:rsidRPr="003A5446" w:rsidTr="00332AAA">
        <w:trPr>
          <w:trHeight w:val="20"/>
          <w:jc w:val="center"/>
        </w:trPr>
        <w:tc>
          <w:tcPr>
            <w:tcW w:w="6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2A9F" w:rsidRPr="003A5446" w:rsidRDefault="009C2A9F" w:rsidP="00F626C7">
            <w:pPr>
              <w:spacing w:before="20" w:after="20"/>
              <w:rPr>
                <w:b/>
                <w:sz w:val="22"/>
                <w:szCs w:val="22"/>
                <w:lang w:val="en-US"/>
              </w:rPr>
            </w:pPr>
            <w:r w:rsidRPr="003A5446">
              <w:rPr>
                <w:b/>
                <w:sz w:val="22"/>
                <w:szCs w:val="22"/>
                <w:lang w:val="en-US"/>
              </w:rPr>
              <w:t>Employee expenses</w:t>
            </w:r>
          </w:p>
        </w:tc>
        <w:tc>
          <w:tcPr>
            <w:tcW w:w="1523" w:type="dxa"/>
            <w:tcBorders>
              <w:top w:val="single" w:sz="4" w:space="0" w:color="auto"/>
              <w:left w:val="single" w:sz="4" w:space="0" w:color="auto"/>
              <w:bottom w:val="single" w:sz="4" w:space="0" w:color="auto"/>
              <w:right w:val="single" w:sz="4" w:space="0" w:color="auto"/>
            </w:tcBorders>
          </w:tcPr>
          <w:p w:rsidR="009C2A9F" w:rsidRPr="003A5446" w:rsidRDefault="009C2A9F" w:rsidP="008D560C">
            <w:pPr>
              <w:tabs>
                <w:tab w:val="clear" w:pos="567"/>
              </w:tabs>
              <w:spacing w:before="20" w:after="20"/>
              <w:ind w:right="141"/>
              <w:jc w:val="right"/>
              <w:rPr>
                <w:b/>
                <w:sz w:val="22"/>
                <w:szCs w:val="22"/>
                <w:lang w:val="en-US"/>
              </w:rPr>
            </w:pPr>
            <w:r w:rsidRPr="003A5446">
              <w:rPr>
                <w:b/>
                <w:sz w:val="22"/>
                <w:szCs w:val="22"/>
                <w:lang w:val="en-US"/>
              </w:rPr>
              <w:t>1</w:t>
            </w:r>
            <w:r w:rsidR="00FE4EEF">
              <w:rPr>
                <w:b/>
                <w:sz w:val="22"/>
                <w:szCs w:val="22"/>
                <w:lang w:val="en-US"/>
              </w:rPr>
              <w:t>4</w:t>
            </w:r>
            <w:r w:rsidR="008D560C">
              <w:rPr>
                <w:b/>
                <w:sz w:val="22"/>
                <w:szCs w:val="22"/>
                <w:lang w:val="en-US"/>
              </w:rPr>
              <w:t>8</w:t>
            </w:r>
            <w:r w:rsidRPr="003A5446">
              <w:rPr>
                <w:b/>
                <w:sz w:val="22"/>
                <w:szCs w:val="22"/>
                <w:lang w:val="en-US"/>
              </w:rPr>
              <w:t>’</w:t>
            </w:r>
            <w:r w:rsidR="008D560C">
              <w:rPr>
                <w:b/>
                <w:sz w:val="22"/>
                <w:szCs w:val="22"/>
                <w:lang w:val="en-US"/>
              </w:rPr>
              <w:t>748</w:t>
            </w:r>
          </w:p>
        </w:tc>
        <w:tc>
          <w:tcPr>
            <w:tcW w:w="1523" w:type="dxa"/>
            <w:tcBorders>
              <w:top w:val="single" w:sz="4" w:space="0" w:color="auto"/>
              <w:left w:val="single" w:sz="4" w:space="0" w:color="auto"/>
              <w:bottom w:val="single" w:sz="4" w:space="0" w:color="auto"/>
              <w:right w:val="single" w:sz="4" w:space="0" w:color="auto"/>
            </w:tcBorders>
          </w:tcPr>
          <w:p w:rsidR="009C2A9F" w:rsidRPr="003A5446" w:rsidRDefault="009C2A9F" w:rsidP="008D560C">
            <w:pPr>
              <w:tabs>
                <w:tab w:val="clear" w:pos="567"/>
              </w:tabs>
              <w:spacing w:before="20" w:after="20"/>
              <w:ind w:right="141"/>
              <w:jc w:val="right"/>
              <w:rPr>
                <w:b/>
                <w:sz w:val="22"/>
                <w:szCs w:val="22"/>
                <w:lang w:val="en-US"/>
              </w:rPr>
            </w:pPr>
            <w:r w:rsidRPr="003A5446">
              <w:rPr>
                <w:b/>
                <w:sz w:val="22"/>
                <w:szCs w:val="22"/>
                <w:lang w:val="en-US"/>
              </w:rPr>
              <w:t>1</w:t>
            </w:r>
            <w:r w:rsidR="008D560C">
              <w:rPr>
                <w:b/>
                <w:sz w:val="22"/>
                <w:szCs w:val="22"/>
                <w:lang w:val="en-US"/>
              </w:rPr>
              <w:t>46</w:t>
            </w:r>
            <w:r w:rsidRPr="003A5446">
              <w:rPr>
                <w:b/>
                <w:sz w:val="22"/>
                <w:szCs w:val="22"/>
                <w:lang w:val="en-US"/>
              </w:rPr>
              <w:t>’</w:t>
            </w:r>
            <w:r w:rsidR="008D560C">
              <w:rPr>
                <w:b/>
                <w:sz w:val="22"/>
                <w:szCs w:val="22"/>
                <w:lang w:val="en-US"/>
              </w:rPr>
              <w:t>999</w:t>
            </w:r>
          </w:p>
        </w:tc>
      </w:tr>
    </w:tbl>
    <w:p w:rsidR="00B227EB" w:rsidRPr="00D51AD8" w:rsidRDefault="008924DD" w:rsidP="00E61A40">
      <w:pPr>
        <w:snapToGrid w:val="0"/>
        <w:spacing w:before="240"/>
        <w:jc w:val="both"/>
        <w:rPr>
          <w:lang w:val="en-US"/>
        </w:rPr>
      </w:pPr>
      <w:r>
        <w:t xml:space="preserve">Despite </w:t>
      </w:r>
      <w:r w:rsidR="00296667">
        <w:t>a</w:t>
      </w:r>
      <w:r>
        <w:t xml:space="preserve"> </w:t>
      </w:r>
      <w:r w:rsidR="00296667">
        <w:t>global increase of the employee expenses due to the ASHI adjustment we can note a decrease i</w:t>
      </w:r>
      <w:r>
        <w:t>n salaries and allowance</w:t>
      </w:r>
      <w:r w:rsidR="00E61A40">
        <w:t>s</w:t>
      </w:r>
      <w:r>
        <w:t xml:space="preserve"> (2.5%)</w:t>
      </w:r>
      <w:r w:rsidR="00296667">
        <w:t>.</w:t>
      </w:r>
    </w:p>
    <w:p w:rsidR="007515E4" w:rsidRPr="007515E4" w:rsidRDefault="0022373A" w:rsidP="007515E4">
      <w:pPr>
        <w:pStyle w:val="Heading5"/>
        <w:jc w:val="both"/>
        <w:rPr>
          <w:lang w:val="en-US"/>
        </w:rPr>
      </w:pPr>
      <w:bookmarkStart w:id="121" w:name="_Toc305764109"/>
      <w:bookmarkStart w:id="122" w:name="_Toc329011652"/>
      <w:r w:rsidRPr="00876B46">
        <w:rPr>
          <w:lang w:val="en-US"/>
        </w:rPr>
        <w:t>Mission expenses</w:t>
      </w:r>
      <w:bookmarkEnd w:id="121"/>
      <w:bookmarkEnd w:id="122"/>
    </w:p>
    <w:p w:rsidR="007515E4" w:rsidRDefault="0022373A" w:rsidP="00876B46">
      <w:pPr>
        <w:spacing w:after="120"/>
        <w:jc w:val="both"/>
        <w:rPr>
          <w:lang w:val="en-US"/>
        </w:rPr>
      </w:pPr>
      <w:r w:rsidRPr="001C2A98">
        <w:rPr>
          <w:lang w:val="en-US" w:eastAsia="fr-FR"/>
        </w:rPr>
        <w:t xml:space="preserve">Mission expenses cover travel by experts and staff </w:t>
      </w:r>
      <w:r w:rsidRPr="003A5446">
        <w:rPr>
          <w:lang w:val="en-US" w:eastAsia="fr-FR"/>
        </w:rPr>
        <w:t xml:space="preserve">members sent on mission or participating in </w:t>
      </w:r>
      <w:r w:rsidRPr="00E57BE6">
        <w:rPr>
          <w:lang w:val="en-US" w:eastAsia="fr-FR"/>
        </w:rPr>
        <w:t>conferences or meetings.</w:t>
      </w:r>
      <w:r w:rsidR="002E19E3" w:rsidRPr="00E57BE6">
        <w:rPr>
          <w:lang w:val="en-US" w:eastAsia="fr-FR"/>
        </w:rPr>
        <w:t xml:space="preserve"> </w:t>
      </w:r>
      <w:r w:rsidR="00C04A7F">
        <w:rPr>
          <w:lang w:val="en-US" w:eastAsia="fr-FR"/>
        </w:rPr>
        <w:t>M</w:t>
      </w:r>
      <w:r w:rsidR="002E19E3" w:rsidRPr="00E57BE6">
        <w:rPr>
          <w:lang w:val="en-US" w:eastAsia="fr-FR"/>
        </w:rPr>
        <w:t xml:space="preserve">ission expenses </w:t>
      </w:r>
      <w:r w:rsidR="00703D5D" w:rsidRPr="00E57BE6">
        <w:rPr>
          <w:lang w:val="en-US" w:eastAsia="fr-FR"/>
        </w:rPr>
        <w:t xml:space="preserve">remained stable </w:t>
      </w:r>
      <w:r w:rsidR="00213A8F" w:rsidRPr="00E57BE6">
        <w:rPr>
          <w:lang w:val="en-US" w:eastAsia="fr-FR"/>
        </w:rPr>
        <w:t>amount</w:t>
      </w:r>
      <w:r w:rsidR="00DC35B8">
        <w:rPr>
          <w:lang w:val="en-US" w:eastAsia="fr-FR"/>
        </w:rPr>
        <w:t xml:space="preserve">ing </w:t>
      </w:r>
      <w:r w:rsidR="002E19E3" w:rsidRPr="00E57BE6">
        <w:rPr>
          <w:lang w:val="en-US" w:eastAsia="fr-FR"/>
        </w:rPr>
        <w:t>to CHF</w:t>
      </w:r>
      <w:r w:rsidR="00C04A7F">
        <w:rPr>
          <w:lang w:val="en-US" w:eastAsia="fr-FR"/>
        </w:rPr>
        <w:t> </w:t>
      </w:r>
      <w:r w:rsidR="00703D5D">
        <w:rPr>
          <w:lang w:val="en-US" w:eastAsia="fr-FR"/>
        </w:rPr>
        <w:t>6.9</w:t>
      </w:r>
      <w:r w:rsidR="00C04A7F">
        <w:rPr>
          <w:lang w:val="en-US" w:eastAsia="fr-FR"/>
        </w:rPr>
        <w:t> </w:t>
      </w:r>
      <w:r w:rsidR="003E2BDB" w:rsidRPr="00E57BE6">
        <w:rPr>
          <w:lang w:val="en-US"/>
        </w:rPr>
        <w:t xml:space="preserve">million </w:t>
      </w:r>
      <w:r w:rsidR="002E19E3" w:rsidRPr="00E57BE6">
        <w:rPr>
          <w:lang w:val="en-US" w:eastAsia="fr-FR"/>
        </w:rPr>
        <w:t xml:space="preserve">in </w:t>
      </w:r>
      <w:r w:rsidR="00111BDD" w:rsidRPr="00E57BE6">
        <w:rPr>
          <w:lang w:val="en-US" w:eastAsia="fr-FR"/>
        </w:rPr>
        <w:t>201</w:t>
      </w:r>
      <w:r w:rsidR="00296667">
        <w:rPr>
          <w:lang w:val="en-US" w:eastAsia="fr-FR"/>
        </w:rPr>
        <w:t>7.</w:t>
      </w:r>
      <w:r w:rsidR="00E61A40">
        <w:rPr>
          <w:lang w:val="en-US" w:eastAsia="fr-FR"/>
        </w:rPr>
        <w:t xml:space="preserve"> </w:t>
      </w:r>
      <w:r w:rsidR="00876B46">
        <w:rPr>
          <w:lang w:val="en-US" w:eastAsia="fr-FR"/>
        </w:rPr>
        <w:t xml:space="preserve"> I</w:t>
      </w:r>
      <w:r w:rsidR="00703D5D">
        <w:rPr>
          <w:lang w:val="en-US" w:eastAsia="fr-FR"/>
        </w:rPr>
        <w:t>n 201</w:t>
      </w:r>
      <w:r w:rsidR="00876B46">
        <w:rPr>
          <w:lang w:val="en-US" w:eastAsia="fr-FR"/>
        </w:rPr>
        <w:t>7</w:t>
      </w:r>
      <w:r w:rsidR="00C04A7F">
        <w:rPr>
          <w:lang w:val="en-US" w:eastAsia="fr-FR"/>
        </w:rPr>
        <w:t xml:space="preserve">, several other </w:t>
      </w:r>
      <w:r w:rsidR="00703D5D">
        <w:rPr>
          <w:lang w:val="en-US" w:eastAsia="fr-FR"/>
        </w:rPr>
        <w:t xml:space="preserve">UN organizations </w:t>
      </w:r>
      <w:r w:rsidR="00876B46">
        <w:rPr>
          <w:lang w:val="en-US" w:eastAsia="fr-FR"/>
        </w:rPr>
        <w:t>joined</w:t>
      </w:r>
      <w:r w:rsidR="00703D5D">
        <w:rPr>
          <w:lang w:val="en-US" w:eastAsia="fr-FR"/>
        </w:rPr>
        <w:t xml:space="preserve"> the </w:t>
      </w:r>
      <w:proofErr w:type="spellStart"/>
      <w:r w:rsidR="00703D5D">
        <w:rPr>
          <w:lang w:val="en-US" w:eastAsia="fr-FR"/>
        </w:rPr>
        <w:t>Swisscard</w:t>
      </w:r>
      <w:proofErr w:type="spellEnd"/>
      <w:r w:rsidR="00703D5D">
        <w:rPr>
          <w:lang w:val="en-US" w:eastAsia="fr-FR"/>
        </w:rPr>
        <w:t xml:space="preserve"> AECS </w:t>
      </w:r>
      <w:r w:rsidR="00A47550">
        <w:rPr>
          <w:lang w:val="en-US" w:eastAsia="fr-FR"/>
        </w:rPr>
        <w:t>T</w:t>
      </w:r>
      <w:r w:rsidR="00703D5D">
        <w:rPr>
          <w:lang w:val="en-US" w:eastAsia="fr-FR"/>
        </w:rPr>
        <w:t xml:space="preserve">ravel </w:t>
      </w:r>
      <w:r w:rsidR="00A47550">
        <w:rPr>
          <w:lang w:val="en-US" w:eastAsia="fr-FR"/>
        </w:rPr>
        <w:t>A</w:t>
      </w:r>
      <w:r w:rsidR="00703D5D">
        <w:rPr>
          <w:lang w:val="en-US" w:eastAsia="fr-FR"/>
        </w:rPr>
        <w:t>gency for issuing the</w:t>
      </w:r>
      <w:r w:rsidR="00C04A7F">
        <w:rPr>
          <w:lang w:val="en-US" w:eastAsia="fr-FR"/>
        </w:rPr>
        <w:t>ir</w:t>
      </w:r>
      <w:r w:rsidR="00703D5D">
        <w:rPr>
          <w:lang w:val="en-US" w:eastAsia="fr-FR"/>
        </w:rPr>
        <w:t xml:space="preserve"> air ticket</w:t>
      </w:r>
      <w:r w:rsidR="00C04A7F">
        <w:rPr>
          <w:lang w:val="en-US" w:eastAsia="fr-FR"/>
        </w:rPr>
        <w:t>s</w:t>
      </w:r>
      <w:r w:rsidR="00703D5D">
        <w:rPr>
          <w:lang w:val="en-US" w:eastAsia="fr-FR"/>
        </w:rPr>
        <w:t xml:space="preserve"> which resulted </w:t>
      </w:r>
      <w:r w:rsidR="00C04A7F">
        <w:rPr>
          <w:lang w:val="en-US" w:eastAsia="fr-FR"/>
        </w:rPr>
        <w:t xml:space="preserve">in </w:t>
      </w:r>
      <w:r w:rsidR="00703D5D">
        <w:rPr>
          <w:lang w:val="en-US" w:eastAsia="fr-FR"/>
        </w:rPr>
        <w:t>an increase</w:t>
      </w:r>
      <w:bookmarkStart w:id="123" w:name="_Toc305764110"/>
      <w:bookmarkStart w:id="124" w:name="_Toc329011653"/>
      <w:r w:rsidR="00703D5D">
        <w:rPr>
          <w:lang w:val="en-US" w:eastAsia="fr-FR"/>
        </w:rPr>
        <w:t xml:space="preserve"> of </w:t>
      </w:r>
      <w:r w:rsidR="00876B46">
        <w:rPr>
          <w:lang w:val="en-US" w:eastAsia="fr-FR"/>
        </w:rPr>
        <w:t>t</w:t>
      </w:r>
      <w:r w:rsidR="00703D5D">
        <w:rPr>
          <w:lang w:val="en-US" w:eastAsia="fr-FR"/>
        </w:rPr>
        <w:t>he incentives ITU received</w:t>
      </w:r>
      <w:r w:rsidR="00C04A7F">
        <w:rPr>
          <w:lang w:val="en-US" w:eastAsia="fr-FR"/>
        </w:rPr>
        <w:t xml:space="preserve">, </w:t>
      </w:r>
      <w:r w:rsidR="00703D5D">
        <w:rPr>
          <w:lang w:val="en-US" w:eastAsia="fr-FR"/>
        </w:rPr>
        <w:t xml:space="preserve">amounting </w:t>
      </w:r>
      <w:r w:rsidR="00C04A7F">
        <w:rPr>
          <w:lang w:val="en-US" w:eastAsia="fr-FR"/>
        </w:rPr>
        <w:t xml:space="preserve">to </w:t>
      </w:r>
      <w:r w:rsidR="00703D5D">
        <w:rPr>
          <w:lang w:val="en-US"/>
        </w:rPr>
        <w:t>CHF</w:t>
      </w:r>
      <w:r w:rsidR="00C04A7F">
        <w:rPr>
          <w:lang w:val="en-US"/>
        </w:rPr>
        <w:t> </w:t>
      </w:r>
      <w:r w:rsidR="00876B46">
        <w:rPr>
          <w:lang w:val="en-US"/>
        </w:rPr>
        <w:t>25</w:t>
      </w:r>
      <w:r w:rsidR="00703D5D">
        <w:rPr>
          <w:lang w:val="en-US"/>
        </w:rPr>
        <w:t>.7</w:t>
      </w:r>
      <w:r w:rsidR="00876B46">
        <w:rPr>
          <w:lang w:val="en-US"/>
        </w:rPr>
        <w:t>62</w:t>
      </w:r>
      <w:r w:rsidR="00703D5D">
        <w:rPr>
          <w:lang w:val="en-US"/>
        </w:rPr>
        <w:t xml:space="preserve"> in 201</w:t>
      </w:r>
      <w:r w:rsidR="00876B46">
        <w:rPr>
          <w:lang w:val="en-US"/>
        </w:rPr>
        <w:t>7</w:t>
      </w:r>
      <w:r w:rsidR="00703D5D">
        <w:rPr>
          <w:lang w:val="en-US"/>
        </w:rPr>
        <w:t xml:space="preserve"> (CHF 1</w:t>
      </w:r>
      <w:r w:rsidR="00876B46">
        <w:rPr>
          <w:lang w:val="en-US"/>
        </w:rPr>
        <w:t>7</w:t>
      </w:r>
      <w:r w:rsidR="00703D5D">
        <w:rPr>
          <w:lang w:val="en-US"/>
        </w:rPr>
        <w:t>.</w:t>
      </w:r>
      <w:r w:rsidR="00876B46">
        <w:rPr>
          <w:lang w:val="en-US"/>
        </w:rPr>
        <w:t>725</w:t>
      </w:r>
      <w:r w:rsidR="00703D5D">
        <w:rPr>
          <w:lang w:val="en-US"/>
        </w:rPr>
        <w:t xml:space="preserve"> in 201</w:t>
      </w:r>
      <w:r w:rsidR="00876B46">
        <w:rPr>
          <w:lang w:val="en-US"/>
        </w:rPr>
        <w:t>6</w:t>
      </w:r>
      <w:r w:rsidR="00703D5D">
        <w:rPr>
          <w:lang w:val="en-US"/>
        </w:rPr>
        <w:t>)</w:t>
      </w:r>
      <w:r w:rsidR="00671F36" w:rsidRPr="00E57BE6">
        <w:rPr>
          <w:lang w:val="en-US"/>
        </w:rPr>
        <w:t>.</w:t>
      </w:r>
    </w:p>
    <w:p w:rsidR="0022373A" w:rsidRPr="001C2A98" w:rsidRDefault="0022373A" w:rsidP="007515E4">
      <w:pPr>
        <w:pStyle w:val="Heading5"/>
        <w:jc w:val="both"/>
        <w:rPr>
          <w:lang w:val="en-US"/>
        </w:rPr>
      </w:pPr>
      <w:r w:rsidRPr="00876B46">
        <w:rPr>
          <w:lang w:val="en-US"/>
        </w:rPr>
        <w:t>Contractual services</w:t>
      </w:r>
      <w:bookmarkEnd w:id="123"/>
      <w:bookmarkEnd w:id="124"/>
    </w:p>
    <w:p w:rsidR="0022373A" w:rsidRDefault="0022373A" w:rsidP="00876B46">
      <w:pPr>
        <w:spacing w:after="240"/>
        <w:jc w:val="both"/>
        <w:rPr>
          <w:lang w:val="en-US" w:eastAsia="fr-FR"/>
        </w:rPr>
      </w:pPr>
      <w:r w:rsidRPr="001C2A98">
        <w:rPr>
          <w:lang w:val="en-US" w:eastAsia="fr-FR"/>
        </w:rPr>
        <w:t xml:space="preserve">This category covers all emoluments, fees and expenses paid to companies providing consultants within the framework of agreements and contractual arrangements. It also covers special service agreements, expenses pertaining to language courses as part of training, and costs in respect of subcontracted </w:t>
      </w:r>
      <w:r w:rsidRPr="000A039E">
        <w:rPr>
          <w:lang w:val="en-US" w:eastAsia="fr-FR"/>
        </w:rPr>
        <w:t>services.</w:t>
      </w:r>
      <w:r w:rsidR="002E19E3" w:rsidRPr="000A039E">
        <w:rPr>
          <w:lang w:val="en-US" w:eastAsia="fr-FR"/>
        </w:rPr>
        <w:t xml:space="preserve"> </w:t>
      </w:r>
      <w:r w:rsidR="00E61A40">
        <w:rPr>
          <w:lang w:val="en-US" w:eastAsia="fr-FR"/>
        </w:rPr>
        <w:t xml:space="preserve"> </w:t>
      </w:r>
      <w:r w:rsidR="000A039E" w:rsidRPr="000A039E">
        <w:rPr>
          <w:lang w:val="en-US" w:eastAsia="fr-FR"/>
        </w:rPr>
        <w:t>Contractual</w:t>
      </w:r>
      <w:r w:rsidR="002E19E3" w:rsidRPr="000A039E">
        <w:rPr>
          <w:lang w:val="en-US" w:eastAsia="fr-FR"/>
        </w:rPr>
        <w:t xml:space="preserve"> contract</w:t>
      </w:r>
      <w:r w:rsidR="003F59E7" w:rsidRPr="000A039E">
        <w:rPr>
          <w:lang w:val="en-US" w:eastAsia="fr-FR"/>
        </w:rPr>
        <w:t>s</w:t>
      </w:r>
      <w:r w:rsidR="00052741" w:rsidRPr="000A039E">
        <w:rPr>
          <w:lang w:val="en-US" w:eastAsia="fr-FR"/>
        </w:rPr>
        <w:t xml:space="preserve"> amounted to CHF </w:t>
      </w:r>
      <w:r w:rsidR="008000A3">
        <w:rPr>
          <w:lang w:val="en-US" w:eastAsia="fr-FR"/>
        </w:rPr>
        <w:t>1</w:t>
      </w:r>
      <w:r w:rsidR="00311532">
        <w:rPr>
          <w:lang w:val="en-US" w:eastAsia="fr-FR"/>
        </w:rPr>
        <w:t>5.6</w:t>
      </w:r>
      <w:r w:rsidR="002E19E3" w:rsidRPr="000A039E">
        <w:rPr>
          <w:lang w:val="en-US" w:eastAsia="fr-FR"/>
        </w:rPr>
        <w:t xml:space="preserve"> </w:t>
      </w:r>
      <w:r w:rsidR="003E2BDB" w:rsidRPr="000A039E">
        <w:rPr>
          <w:lang w:val="en-US"/>
        </w:rPr>
        <w:t xml:space="preserve">million </w:t>
      </w:r>
      <w:r w:rsidR="003A5446" w:rsidRPr="000A039E">
        <w:rPr>
          <w:lang w:val="en-US" w:eastAsia="fr-FR"/>
        </w:rPr>
        <w:t xml:space="preserve">in </w:t>
      </w:r>
      <w:r w:rsidR="00111BDD">
        <w:rPr>
          <w:lang w:val="en-US" w:eastAsia="fr-FR"/>
        </w:rPr>
        <w:t>201</w:t>
      </w:r>
      <w:r w:rsidR="00876B46">
        <w:rPr>
          <w:lang w:val="en-US" w:eastAsia="fr-FR"/>
        </w:rPr>
        <w:t>7</w:t>
      </w:r>
      <w:r w:rsidR="00864D0F">
        <w:rPr>
          <w:lang w:val="en-US" w:eastAsia="fr-FR"/>
        </w:rPr>
        <w:t xml:space="preserve"> (</w:t>
      </w:r>
      <w:r w:rsidR="00864D0F" w:rsidRPr="00A93149">
        <w:rPr>
          <w:lang w:val="en-US" w:eastAsia="fr-FR"/>
        </w:rPr>
        <w:t>CHF </w:t>
      </w:r>
      <w:r w:rsidR="00864D0F">
        <w:rPr>
          <w:lang w:val="en-US" w:eastAsia="fr-FR"/>
        </w:rPr>
        <w:t>1</w:t>
      </w:r>
      <w:r w:rsidR="00311532">
        <w:rPr>
          <w:lang w:val="en-US" w:eastAsia="fr-FR"/>
        </w:rPr>
        <w:t>4.1</w:t>
      </w:r>
      <w:r w:rsidR="00B56368">
        <w:rPr>
          <w:lang w:val="en-US" w:eastAsia="fr-FR"/>
        </w:rPr>
        <w:t> </w:t>
      </w:r>
      <w:r w:rsidR="00864D0F" w:rsidRPr="00A93149">
        <w:rPr>
          <w:lang w:val="en-US" w:eastAsia="fr-FR"/>
        </w:rPr>
        <w:t>m</w:t>
      </w:r>
      <w:r w:rsidR="00864D0F" w:rsidRPr="00A93149">
        <w:rPr>
          <w:lang w:val="en-US"/>
        </w:rPr>
        <w:t>illion</w:t>
      </w:r>
      <w:r w:rsidR="00864D0F">
        <w:rPr>
          <w:lang w:val="en-US"/>
        </w:rPr>
        <w:t xml:space="preserve"> in 201</w:t>
      </w:r>
      <w:r w:rsidR="00311532">
        <w:rPr>
          <w:lang w:val="en-US"/>
        </w:rPr>
        <w:t>6</w:t>
      </w:r>
      <w:r w:rsidR="00864D0F">
        <w:rPr>
          <w:lang w:val="en-US"/>
        </w:rPr>
        <w:t xml:space="preserve">). </w:t>
      </w:r>
      <w:r w:rsidR="00B56368">
        <w:rPr>
          <w:lang w:val="en-US"/>
        </w:rPr>
        <w:t xml:space="preserve"> </w:t>
      </w:r>
      <w:r w:rsidR="00345F60">
        <w:rPr>
          <w:lang w:val="en-US"/>
        </w:rPr>
        <w:t>A detailed situation is shown in the segment reporting (Note</w:t>
      </w:r>
      <w:r w:rsidR="00B56368">
        <w:rPr>
          <w:lang w:val="en-US"/>
        </w:rPr>
        <w:t> </w:t>
      </w:r>
      <w:r w:rsidR="00345F60">
        <w:rPr>
          <w:lang w:val="en-US" w:eastAsia="fr-FR"/>
        </w:rPr>
        <w:t>2</w:t>
      </w:r>
      <w:r w:rsidR="000B08FB">
        <w:rPr>
          <w:lang w:val="en-US" w:eastAsia="fr-FR"/>
        </w:rPr>
        <w:t>3</w:t>
      </w:r>
      <w:r w:rsidR="00345F60">
        <w:rPr>
          <w:lang w:val="en-US" w:eastAsia="fr-FR"/>
        </w:rPr>
        <w:t>).</w:t>
      </w:r>
    </w:p>
    <w:p w:rsidR="0022373A" w:rsidRPr="001C2A98" w:rsidRDefault="0022373A" w:rsidP="00706E3E">
      <w:pPr>
        <w:pStyle w:val="Heading5"/>
        <w:jc w:val="both"/>
        <w:rPr>
          <w:lang w:val="en-US"/>
        </w:rPr>
      </w:pPr>
      <w:bookmarkStart w:id="125" w:name="_Toc305764111"/>
      <w:bookmarkStart w:id="126" w:name="_Toc329011654"/>
      <w:r w:rsidRPr="00876B46">
        <w:rPr>
          <w:lang w:val="en-US"/>
        </w:rPr>
        <w:t>Rental and maintenance of premises and equipment</w:t>
      </w:r>
      <w:bookmarkEnd w:id="125"/>
      <w:bookmarkEnd w:id="126"/>
    </w:p>
    <w:p w:rsidR="0022373A" w:rsidRDefault="0022373A" w:rsidP="00876B46">
      <w:pPr>
        <w:jc w:val="both"/>
        <w:rPr>
          <w:lang w:val="en-US" w:eastAsia="fr-FR"/>
        </w:rPr>
      </w:pPr>
      <w:r w:rsidRPr="001C2A98">
        <w:rPr>
          <w:lang w:val="en-US" w:eastAsia="fr-FR"/>
        </w:rPr>
        <w:t>This category covers the rental of conference premises and meeting rooms, storage areas and parking spaces, IT equipment and other office equipment. It also covers the maintenance of buildings, green</w:t>
      </w:r>
      <w:r w:rsidR="00864D0F">
        <w:rPr>
          <w:lang w:val="en-US" w:eastAsia="fr-FR"/>
        </w:rPr>
        <w:t xml:space="preserve"> </w:t>
      </w:r>
      <w:r w:rsidRPr="001C2A98">
        <w:rPr>
          <w:lang w:val="en-US" w:eastAsia="fr-FR"/>
        </w:rPr>
        <w:t>spaces, vehicles, technical and IT equipment and insurance against fire, flooding and other types of damage.</w:t>
      </w:r>
      <w:r w:rsidR="002E19E3">
        <w:rPr>
          <w:lang w:val="en-US" w:eastAsia="fr-FR"/>
        </w:rPr>
        <w:t xml:space="preserve"> Rental and equipment </w:t>
      </w:r>
      <w:r w:rsidR="00793132">
        <w:rPr>
          <w:lang w:val="en-US" w:eastAsia="fr-FR"/>
        </w:rPr>
        <w:t>expenses a</w:t>
      </w:r>
      <w:r w:rsidR="002E19E3">
        <w:rPr>
          <w:lang w:val="en-US" w:eastAsia="fr-FR"/>
        </w:rPr>
        <w:t>mo</w:t>
      </w:r>
      <w:r w:rsidR="00793132">
        <w:rPr>
          <w:lang w:val="en-US" w:eastAsia="fr-FR"/>
        </w:rPr>
        <w:t>u</w:t>
      </w:r>
      <w:r w:rsidR="002E19E3">
        <w:rPr>
          <w:lang w:val="en-US" w:eastAsia="fr-FR"/>
        </w:rPr>
        <w:t xml:space="preserve">nted to </w:t>
      </w:r>
      <w:r w:rsidR="002E19E3" w:rsidRPr="000A039E">
        <w:rPr>
          <w:lang w:val="en-US" w:eastAsia="fr-FR"/>
        </w:rPr>
        <w:t xml:space="preserve">CHF </w:t>
      </w:r>
      <w:r w:rsidR="00864D0F">
        <w:rPr>
          <w:lang w:val="en-US" w:eastAsia="fr-FR"/>
        </w:rPr>
        <w:t>4</w:t>
      </w:r>
      <w:r w:rsidR="00052741" w:rsidRPr="000A039E">
        <w:rPr>
          <w:lang w:val="en-US" w:eastAsia="fr-FR"/>
        </w:rPr>
        <w:t>.</w:t>
      </w:r>
      <w:r w:rsidR="00876B46">
        <w:rPr>
          <w:lang w:val="en-US" w:eastAsia="fr-FR"/>
        </w:rPr>
        <w:t>4</w:t>
      </w:r>
      <w:r w:rsidR="008333CA">
        <w:rPr>
          <w:lang w:val="en-US" w:eastAsia="fr-FR"/>
        </w:rPr>
        <w:t xml:space="preserve"> </w:t>
      </w:r>
      <w:r w:rsidR="003E2BDB" w:rsidRPr="000A039E">
        <w:rPr>
          <w:lang w:val="en-US"/>
        </w:rPr>
        <w:t>million</w:t>
      </w:r>
      <w:r w:rsidR="002E19E3" w:rsidRPr="000A039E">
        <w:rPr>
          <w:lang w:val="en-US" w:eastAsia="fr-FR"/>
        </w:rPr>
        <w:t xml:space="preserve"> in</w:t>
      </w:r>
      <w:r w:rsidR="003F59E7" w:rsidRPr="000A039E">
        <w:rPr>
          <w:lang w:val="en-US" w:eastAsia="fr-FR"/>
        </w:rPr>
        <w:t> </w:t>
      </w:r>
      <w:r w:rsidR="00111BDD">
        <w:rPr>
          <w:lang w:val="en-US" w:eastAsia="fr-FR"/>
        </w:rPr>
        <w:t>201</w:t>
      </w:r>
      <w:r w:rsidR="00876B46">
        <w:rPr>
          <w:lang w:val="en-US" w:eastAsia="fr-FR"/>
        </w:rPr>
        <w:t>7</w:t>
      </w:r>
      <w:r w:rsidR="002E19E3" w:rsidRPr="000A039E">
        <w:rPr>
          <w:lang w:val="en-US" w:eastAsia="fr-FR"/>
        </w:rPr>
        <w:t xml:space="preserve"> (CHF</w:t>
      </w:r>
      <w:r w:rsidR="003F59E7" w:rsidRPr="000A039E">
        <w:rPr>
          <w:lang w:val="en-US" w:eastAsia="fr-FR"/>
        </w:rPr>
        <w:t> </w:t>
      </w:r>
      <w:r w:rsidR="00876B46">
        <w:rPr>
          <w:lang w:val="en-US" w:eastAsia="fr-FR"/>
        </w:rPr>
        <w:t>4</w:t>
      </w:r>
      <w:r w:rsidR="00864D0F">
        <w:rPr>
          <w:lang w:val="en-US" w:eastAsia="fr-FR"/>
        </w:rPr>
        <w:t>.</w:t>
      </w:r>
      <w:r w:rsidR="00876B46">
        <w:rPr>
          <w:lang w:val="en-US" w:eastAsia="fr-FR"/>
        </w:rPr>
        <w:t>87</w:t>
      </w:r>
      <w:r w:rsidR="002E19E3" w:rsidRPr="000A039E">
        <w:rPr>
          <w:lang w:val="en-US" w:eastAsia="fr-FR"/>
        </w:rPr>
        <w:t xml:space="preserve"> </w:t>
      </w:r>
      <w:r w:rsidR="003E2BDB" w:rsidRPr="000A039E">
        <w:rPr>
          <w:lang w:val="en-US"/>
        </w:rPr>
        <w:t xml:space="preserve">million </w:t>
      </w:r>
      <w:r w:rsidR="002E19E3" w:rsidRPr="000A039E">
        <w:rPr>
          <w:lang w:val="en-US" w:eastAsia="fr-FR"/>
        </w:rPr>
        <w:t>in 201</w:t>
      </w:r>
      <w:r w:rsidR="00876B46">
        <w:rPr>
          <w:lang w:val="en-US" w:eastAsia="fr-FR"/>
        </w:rPr>
        <w:t>6</w:t>
      </w:r>
      <w:r w:rsidR="002E19E3" w:rsidRPr="000A039E">
        <w:rPr>
          <w:lang w:val="en-US" w:eastAsia="fr-FR"/>
        </w:rPr>
        <w:t>).</w:t>
      </w:r>
    </w:p>
    <w:p w:rsidR="0022373A" w:rsidRPr="005E2AA5" w:rsidRDefault="002E19E3" w:rsidP="003F59E7">
      <w:pPr>
        <w:pStyle w:val="Heading5"/>
        <w:spacing w:before="240" w:after="120"/>
        <w:rPr>
          <w:lang w:val="en-US"/>
        </w:rPr>
      </w:pPr>
      <w:bookmarkStart w:id="127" w:name="_Toc305764112"/>
      <w:bookmarkStart w:id="128" w:name="_Toc329011655"/>
      <w:r w:rsidRPr="00876B46">
        <w:rPr>
          <w:lang w:val="en-US"/>
        </w:rPr>
        <w:t>E</w:t>
      </w:r>
      <w:r w:rsidR="0022373A" w:rsidRPr="00876B46">
        <w:rPr>
          <w:lang w:val="en-US"/>
        </w:rPr>
        <w:t>quipment and supplies</w:t>
      </w:r>
      <w:bookmarkEnd w:id="127"/>
      <w:bookmarkEnd w:id="128"/>
      <w:r w:rsidRPr="00876B46">
        <w:rPr>
          <w:lang w:val="en-US"/>
        </w:rPr>
        <w:t xml:space="preserve">, </w:t>
      </w:r>
      <w:r w:rsidR="003F59E7" w:rsidRPr="00876B46">
        <w:rPr>
          <w:lang w:val="en-US"/>
        </w:rPr>
        <w:t>s</w:t>
      </w:r>
      <w:r w:rsidRPr="00876B46">
        <w:rPr>
          <w:lang w:val="en-US"/>
        </w:rPr>
        <w:t>hipping, telecommunication and service expenses</w:t>
      </w:r>
    </w:p>
    <w:p w:rsidR="002E19E3" w:rsidRDefault="0022373A" w:rsidP="00876B46">
      <w:pPr>
        <w:spacing w:after="240"/>
        <w:jc w:val="both"/>
        <w:rPr>
          <w:lang w:val="en-US" w:eastAsia="fr-FR"/>
        </w:rPr>
      </w:pPr>
      <w:r w:rsidRPr="001C2A98">
        <w:rPr>
          <w:lang w:val="en-US" w:eastAsia="fr-FR"/>
        </w:rPr>
        <w:t>Equipment and supplies includes office supplies, printer supplies, forms, cards, journals, books and bindings, IT supplies and software products that are not recorded as assets.</w:t>
      </w:r>
      <w:r w:rsidR="002E19E3">
        <w:rPr>
          <w:lang w:val="en-US" w:eastAsia="fr-FR"/>
        </w:rPr>
        <w:t xml:space="preserve"> Equipment an</w:t>
      </w:r>
      <w:r w:rsidR="005E2AA5">
        <w:rPr>
          <w:lang w:val="en-US" w:eastAsia="fr-FR"/>
        </w:rPr>
        <w:t>d</w:t>
      </w:r>
      <w:r w:rsidR="002E19E3">
        <w:rPr>
          <w:lang w:val="en-US" w:eastAsia="fr-FR"/>
        </w:rPr>
        <w:t xml:space="preserve"> supplies amounted to CHF </w:t>
      </w:r>
      <w:r w:rsidR="00864D0F">
        <w:rPr>
          <w:lang w:val="en-US" w:eastAsia="fr-FR"/>
        </w:rPr>
        <w:t>3.</w:t>
      </w:r>
      <w:r w:rsidR="00876B46">
        <w:rPr>
          <w:lang w:val="en-US" w:eastAsia="fr-FR"/>
        </w:rPr>
        <w:t>87</w:t>
      </w:r>
      <w:r w:rsidR="002E19E3">
        <w:rPr>
          <w:lang w:val="en-US" w:eastAsia="fr-FR"/>
        </w:rPr>
        <w:t xml:space="preserve"> million in </w:t>
      </w:r>
      <w:r w:rsidR="00111BDD">
        <w:rPr>
          <w:lang w:val="en-US" w:eastAsia="fr-FR"/>
        </w:rPr>
        <w:t>201</w:t>
      </w:r>
      <w:r w:rsidR="00876B46">
        <w:rPr>
          <w:lang w:val="en-US" w:eastAsia="fr-FR"/>
        </w:rPr>
        <w:t>7</w:t>
      </w:r>
      <w:r w:rsidR="002E19E3">
        <w:rPr>
          <w:lang w:val="en-US" w:eastAsia="fr-FR"/>
        </w:rPr>
        <w:t xml:space="preserve"> (CHF </w:t>
      </w:r>
      <w:r w:rsidR="00876B46">
        <w:rPr>
          <w:lang w:val="en-US" w:eastAsia="fr-FR"/>
        </w:rPr>
        <w:t>3.29</w:t>
      </w:r>
      <w:r w:rsidR="002E19E3" w:rsidRPr="007039B0">
        <w:rPr>
          <w:lang w:val="en-US" w:eastAsia="fr-FR"/>
        </w:rPr>
        <w:t xml:space="preserve"> million in 201</w:t>
      </w:r>
      <w:r w:rsidR="00876B46">
        <w:rPr>
          <w:lang w:val="en-US" w:eastAsia="fr-FR"/>
        </w:rPr>
        <w:t>6</w:t>
      </w:r>
      <w:r w:rsidR="002E19E3" w:rsidRPr="007039B0">
        <w:rPr>
          <w:lang w:val="en-US" w:eastAsia="fr-FR"/>
        </w:rPr>
        <w:t>).</w:t>
      </w:r>
      <w:bookmarkStart w:id="129" w:name="_Toc305764113"/>
      <w:bookmarkStart w:id="130" w:name="_Toc329011656"/>
      <w:r w:rsidR="002E19E3" w:rsidRPr="007039B0">
        <w:rPr>
          <w:lang w:val="en-US" w:eastAsia="fr-FR"/>
        </w:rPr>
        <w:t xml:space="preserve"> </w:t>
      </w:r>
      <w:r w:rsidR="00E61A40">
        <w:rPr>
          <w:lang w:val="en-US" w:eastAsia="fr-FR"/>
        </w:rPr>
        <w:t xml:space="preserve"> </w:t>
      </w:r>
      <w:r w:rsidR="00F11EBB" w:rsidRPr="001A6652">
        <w:rPr>
          <w:lang w:val="en-US" w:eastAsia="fr-FR"/>
        </w:rPr>
        <w:t>Shipping, telecommunication</w:t>
      </w:r>
      <w:r w:rsidR="00E61A40">
        <w:rPr>
          <w:lang w:val="en-US" w:eastAsia="fr-FR"/>
        </w:rPr>
        <w:t>s</w:t>
      </w:r>
      <w:r w:rsidR="00F11EBB" w:rsidRPr="001A6652">
        <w:rPr>
          <w:lang w:val="en-US" w:eastAsia="fr-FR"/>
        </w:rPr>
        <w:t xml:space="preserve"> and service expenses amounted to CHF </w:t>
      </w:r>
      <w:r w:rsidR="00671F36">
        <w:rPr>
          <w:lang w:val="en-US" w:eastAsia="fr-FR"/>
        </w:rPr>
        <w:t>1</w:t>
      </w:r>
      <w:r w:rsidR="00F11EBB" w:rsidRPr="001A6652">
        <w:rPr>
          <w:lang w:val="en-US" w:eastAsia="fr-FR"/>
        </w:rPr>
        <w:t>.</w:t>
      </w:r>
      <w:r w:rsidR="00876B46">
        <w:rPr>
          <w:lang w:val="en-US" w:eastAsia="fr-FR"/>
        </w:rPr>
        <w:t>57</w:t>
      </w:r>
      <w:r w:rsidR="00F11EBB" w:rsidRPr="001A6652">
        <w:rPr>
          <w:lang w:val="en-US" w:eastAsia="fr-FR"/>
        </w:rPr>
        <w:t xml:space="preserve"> million in </w:t>
      </w:r>
      <w:r w:rsidR="00111BDD">
        <w:rPr>
          <w:lang w:val="en-US" w:eastAsia="fr-FR"/>
        </w:rPr>
        <w:t>201</w:t>
      </w:r>
      <w:r w:rsidR="00876B46">
        <w:rPr>
          <w:lang w:val="en-US" w:eastAsia="fr-FR"/>
        </w:rPr>
        <w:t>7</w:t>
      </w:r>
      <w:r w:rsidR="00F11EBB" w:rsidRPr="001A6652">
        <w:rPr>
          <w:lang w:val="en-US" w:eastAsia="fr-FR"/>
        </w:rPr>
        <w:t xml:space="preserve"> (CHF </w:t>
      </w:r>
      <w:r w:rsidR="00864D0F">
        <w:rPr>
          <w:lang w:val="en-US" w:eastAsia="fr-FR"/>
        </w:rPr>
        <w:t>1.</w:t>
      </w:r>
      <w:r w:rsidR="00876B46">
        <w:rPr>
          <w:lang w:val="en-US" w:eastAsia="fr-FR"/>
        </w:rPr>
        <w:t>8</w:t>
      </w:r>
      <w:r w:rsidR="008333CA">
        <w:rPr>
          <w:lang w:val="en-US" w:eastAsia="fr-FR"/>
        </w:rPr>
        <w:t> </w:t>
      </w:r>
      <w:r w:rsidR="00F11EBB" w:rsidRPr="001A6652">
        <w:rPr>
          <w:lang w:val="en-US" w:eastAsia="fr-FR"/>
        </w:rPr>
        <w:t>million in 201</w:t>
      </w:r>
      <w:r w:rsidR="00876B46">
        <w:rPr>
          <w:lang w:val="en-US" w:eastAsia="fr-FR"/>
        </w:rPr>
        <w:t>6</w:t>
      </w:r>
      <w:r w:rsidR="00F11EBB" w:rsidRPr="001A6652">
        <w:rPr>
          <w:lang w:val="en-US" w:eastAsia="fr-FR"/>
        </w:rPr>
        <w:t>).</w:t>
      </w:r>
    </w:p>
    <w:p w:rsidR="00620B99" w:rsidRDefault="0022373A" w:rsidP="00E61A40">
      <w:pPr>
        <w:pStyle w:val="Heading5"/>
        <w:snapToGrid w:val="0"/>
        <w:spacing w:before="240"/>
        <w:ind w:left="0" w:firstLine="0"/>
        <w:rPr>
          <w:lang w:val="en-US"/>
        </w:rPr>
      </w:pPr>
      <w:bookmarkStart w:id="131" w:name="_Toc329011657"/>
      <w:bookmarkEnd w:id="129"/>
      <w:bookmarkEnd w:id="130"/>
      <w:r w:rsidRPr="001C2A98">
        <w:rPr>
          <w:lang w:val="en-US"/>
        </w:rPr>
        <w:t>Other expenses</w:t>
      </w:r>
      <w:bookmarkEnd w:id="131"/>
      <w:r w:rsidR="00620B99">
        <w:rPr>
          <w:lang w:val="en-US"/>
        </w:rPr>
        <w:br/>
      </w:r>
    </w:p>
    <w:tbl>
      <w:tblPr>
        <w:tblW w:w="9200" w:type="dxa"/>
        <w:tblInd w:w="-5" w:type="dxa"/>
        <w:tblLook w:val="04A0" w:firstRow="1" w:lastRow="0" w:firstColumn="1" w:lastColumn="0" w:noHBand="0" w:noVBand="1"/>
      </w:tblPr>
      <w:tblGrid>
        <w:gridCol w:w="5800"/>
        <w:gridCol w:w="480"/>
        <w:gridCol w:w="1460"/>
        <w:gridCol w:w="1460"/>
      </w:tblGrid>
      <w:tr w:rsidR="00620B99" w:rsidRPr="00620B99" w:rsidTr="00620B99">
        <w:trPr>
          <w:trHeight w:val="255"/>
        </w:trPr>
        <w:tc>
          <w:tcPr>
            <w:tcW w:w="6280" w:type="dxa"/>
            <w:gridSpan w:val="2"/>
            <w:tcBorders>
              <w:top w:val="single" w:sz="4" w:space="0" w:color="auto"/>
              <w:left w:val="single" w:sz="4" w:space="0" w:color="auto"/>
              <w:bottom w:val="single" w:sz="4" w:space="0" w:color="auto"/>
              <w:right w:val="nil"/>
            </w:tcBorders>
            <w:shd w:val="clear" w:color="auto" w:fill="auto"/>
            <w:noWrap/>
            <w:vAlign w:val="center"/>
            <w:hideMark/>
          </w:tcPr>
          <w:p w:rsidR="00620B99" w:rsidRPr="00620B99" w:rsidRDefault="00620B99" w:rsidP="00620B99">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20"/>
                <w:lang w:val="en-US" w:eastAsia="zh-CN"/>
              </w:rPr>
            </w:pPr>
            <w:r w:rsidRPr="00620B99">
              <w:rPr>
                <w:rFonts w:ascii="Arial" w:hAnsi="Arial" w:cs="Arial"/>
                <w:b/>
                <w:bCs/>
                <w:color w:val="000000"/>
                <w:sz w:val="20"/>
                <w:lang w:val="en-US" w:eastAsia="zh-CN"/>
              </w:rPr>
              <w:t>In thousands of CHF</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B99" w:rsidRPr="00620B99" w:rsidRDefault="00620B99" w:rsidP="00590433">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620B99">
              <w:rPr>
                <w:rFonts w:ascii="Arial" w:hAnsi="Arial" w:cs="Arial"/>
                <w:b/>
                <w:bCs/>
                <w:color w:val="000000"/>
                <w:sz w:val="20"/>
                <w:lang w:val="en-US" w:eastAsia="zh-CN"/>
              </w:rPr>
              <w:t>201</w:t>
            </w:r>
            <w:r w:rsidR="00590433">
              <w:rPr>
                <w:rFonts w:ascii="Arial" w:hAnsi="Arial" w:cs="Arial"/>
                <w:b/>
                <w:bCs/>
                <w:color w:val="000000"/>
                <w:sz w:val="20"/>
                <w:lang w:val="en-US" w:eastAsia="zh-CN"/>
              </w:rPr>
              <w:t>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620B99" w:rsidRPr="00620B99" w:rsidRDefault="00620B99" w:rsidP="00590433">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620B99">
              <w:rPr>
                <w:rFonts w:ascii="Arial" w:hAnsi="Arial" w:cs="Arial"/>
                <w:b/>
                <w:bCs/>
                <w:color w:val="000000"/>
                <w:sz w:val="20"/>
                <w:lang w:val="en-US" w:eastAsia="zh-CN"/>
              </w:rPr>
              <w:t>201</w:t>
            </w:r>
            <w:r w:rsidR="00590433">
              <w:rPr>
                <w:rFonts w:ascii="Arial" w:hAnsi="Arial" w:cs="Arial"/>
                <w:b/>
                <w:bCs/>
                <w:color w:val="000000"/>
                <w:sz w:val="20"/>
                <w:lang w:val="en-US" w:eastAsia="zh-CN"/>
              </w:rPr>
              <w:t>6</w:t>
            </w:r>
          </w:p>
        </w:tc>
      </w:tr>
      <w:tr w:rsidR="00590433" w:rsidRPr="00620B99" w:rsidTr="00620B99">
        <w:trPr>
          <w:trHeight w:val="255"/>
        </w:trPr>
        <w:tc>
          <w:tcPr>
            <w:tcW w:w="6280" w:type="dxa"/>
            <w:gridSpan w:val="2"/>
            <w:tcBorders>
              <w:top w:val="nil"/>
              <w:left w:val="single" w:sz="4" w:space="0" w:color="auto"/>
              <w:bottom w:val="nil"/>
              <w:right w:val="nil"/>
            </w:tcBorders>
            <w:shd w:val="clear" w:color="auto" w:fill="auto"/>
            <w:noWrap/>
            <w:vAlign w:val="bottom"/>
            <w:hideMark/>
          </w:tcPr>
          <w:p w:rsidR="00590433" w:rsidRPr="00620B99" w:rsidRDefault="00590433" w:rsidP="0059043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620B99">
              <w:rPr>
                <w:rFonts w:ascii="Arial" w:hAnsi="Arial" w:cs="Arial"/>
                <w:color w:val="000000"/>
                <w:sz w:val="20"/>
                <w:lang w:val="en-US" w:eastAsia="zh-CN"/>
              </w:rPr>
              <w:t>External audit expenses</w:t>
            </w:r>
          </w:p>
        </w:tc>
        <w:tc>
          <w:tcPr>
            <w:tcW w:w="1460" w:type="dxa"/>
            <w:tcBorders>
              <w:top w:val="nil"/>
              <w:left w:val="single" w:sz="4" w:space="0" w:color="auto"/>
              <w:bottom w:val="nil"/>
              <w:right w:val="single" w:sz="4" w:space="0" w:color="auto"/>
            </w:tcBorders>
            <w:shd w:val="clear" w:color="auto" w:fill="auto"/>
            <w:noWrap/>
            <w:vAlign w:val="bottom"/>
            <w:hideMark/>
          </w:tcPr>
          <w:p w:rsidR="00590433" w:rsidRPr="00620B99" w:rsidRDefault="00590433" w:rsidP="00590433">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Pr>
                <w:rFonts w:ascii="Arial" w:hAnsi="Arial" w:cs="Arial"/>
                <w:color w:val="000000"/>
                <w:sz w:val="20"/>
                <w:lang w:val="en-US" w:eastAsia="zh-CN"/>
              </w:rPr>
              <w:t>93</w:t>
            </w:r>
          </w:p>
        </w:tc>
        <w:tc>
          <w:tcPr>
            <w:tcW w:w="1460" w:type="dxa"/>
            <w:tcBorders>
              <w:top w:val="nil"/>
              <w:left w:val="nil"/>
              <w:bottom w:val="nil"/>
              <w:right w:val="single" w:sz="4" w:space="0" w:color="auto"/>
            </w:tcBorders>
            <w:shd w:val="clear" w:color="auto" w:fill="auto"/>
            <w:noWrap/>
            <w:vAlign w:val="bottom"/>
            <w:hideMark/>
          </w:tcPr>
          <w:p w:rsidR="00590433" w:rsidRPr="00620B99" w:rsidRDefault="00590433" w:rsidP="00590433">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620B99">
              <w:rPr>
                <w:rFonts w:ascii="Arial" w:hAnsi="Arial" w:cs="Arial"/>
                <w:color w:val="000000"/>
                <w:sz w:val="20"/>
                <w:lang w:val="en-US" w:eastAsia="zh-CN"/>
              </w:rPr>
              <w:t>65</w:t>
            </w:r>
          </w:p>
        </w:tc>
      </w:tr>
      <w:tr w:rsidR="00590433" w:rsidRPr="00620B99" w:rsidTr="00620B99">
        <w:trPr>
          <w:trHeight w:val="255"/>
        </w:trPr>
        <w:tc>
          <w:tcPr>
            <w:tcW w:w="6280" w:type="dxa"/>
            <w:gridSpan w:val="2"/>
            <w:tcBorders>
              <w:top w:val="nil"/>
              <w:left w:val="single" w:sz="4" w:space="0" w:color="auto"/>
              <w:bottom w:val="nil"/>
              <w:right w:val="nil"/>
            </w:tcBorders>
            <w:shd w:val="clear" w:color="auto" w:fill="auto"/>
            <w:noWrap/>
            <w:vAlign w:val="bottom"/>
            <w:hideMark/>
          </w:tcPr>
          <w:p w:rsidR="00590433" w:rsidRPr="00620B99" w:rsidRDefault="00590433" w:rsidP="0059043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620B99">
              <w:rPr>
                <w:rFonts w:ascii="Arial" w:hAnsi="Arial" w:cs="Arial"/>
                <w:color w:val="000000"/>
                <w:sz w:val="20"/>
                <w:lang w:val="en-US" w:eastAsia="zh-CN"/>
              </w:rPr>
              <w:t>Participation to UN expenses</w:t>
            </w:r>
          </w:p>
        </w:tc>
        <w:tc>
          <w:tcPr>
            <w:tcW w:w="1460" w:type="dxa"/>
            <w:tcBorders>
              <w:top w:val="nil"/>
              <w:left w:val="single" w:sz="4" w:space="0" w:color="auto"/>
              <w:bottom w:val="nil"/>
              <w:right w:val="single" w:sz="4" w:space="0" w:color="auto"/>
            </w:tcBorders>
            <w:shd w:val="clear" w:color="auto" w:fill="auto"/>
            <w:noWrap/>
            <w:vAlign w:val="bottom"/>
            <w:hideMark/>
          </w:tcPr>
          <w:p w:rsidR="00590433" w:rsidRPr="00620B99" w:rsidRDefault="00590433" w:rsidP="00590433">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620B99">
              <w:rPr>
                <w:rFonts w:ascii="Arial" w:hAnsi="Arial" w:cs="Arial"/>
                <w:color w:val="000000"/>
                <w:sz w:val="20"/>
                <w:lang w:val="en-US" w:eastAsia="zh-CN"/>
              </w:rPr>
              <w:t>5</w:t>
            </w:r>
            <w:r>
              <w:rPr>
                <w:rFonts w:ascii="Arial" w:hAnsi="Arial" w:cs="Arial"/>
                <w:color w:val="000000"/>
                <w:sz w:val="20"/>
                <w:lang w:val="en-US" w:eastAsia="zh-CN"/>
              </w:rPr>
              <w:t>33</w:t>
            </w:r>
          </w:p>
        </w:tc>
        <w:tc>
          <w:tcPr>
            <w:tcW w:w="1460" w:type="dxa"/>
            <w:tcBorders>
              <w:top w:val="nil"/>
              <w:left w:val="nil"/>
              <w:bottom w:val="nil"/>
              <w:right w:val="single" w:sz="4" w:space="0" w:color="auto"/>
            </w:tcBorders>
            <w:shd w:val="clear" w:color="auto" w:fill="auto"/>
            <w:noWrap/>
            <w:vAlign w:val="bottom"/>
            <w:hideMark/>
          </w:tcPr>
          <w:p w:rsidR="00590433" w:rsidRPr="00620B99" w:rsidRDefault="00590433" w:rsidP="00590433">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620B99">
              <w:rPr>
                <w:rFonts w:ascii="Arial" w:hAnsi="Arial" w:cs="Arial"/>
                <w:color w:val="000000"/>
                <w:sz w:val="20"/>
                <w:lang w:val="en-US" w:eastAsia="zh-CN"/>
              </w:rPr>
              <w:t>521</w:t>
            </w:r>
          </w:p>
        </w:tc>
      </w:tr>
      <w:tr w:rsidR="00590433" w:rsidRPr="00620B99" w:rsidTr="00620B99">
        <w:trPr>
          <w:trHeight w:val="255"/>
        </w:trPr>
        <w:tc>
          <w:tcPr>
            <w:tcW w:w="6280" w:type="dxa"/>
            <w:gridSpan w:val="2"/>
            <w:tcBorders>
              <w:top w:val="nil"/>
              <w:left w:val="single" w:sz="4" w:space="0" w:color="auto"/>
              <w:bottom w:val="nil"/>
              <w:right w:val="nil"/>
            </w:tcBorders>
            <w:shd w:val="clear" w:color="auto" w:fill="auto"/>
            <w:noWrap/>
            <w:vAlign w:val="bottom"/>
            <w:hideMark/>
          </w:tcPr>
          <w:p w:rsidR="00590433" w:rsidRPr="00620B99" w:rsidRDefault="00590433" w:rsidP="0059043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620B99">
              <w:rPr>
                <w:rFonts w:ascii="Arial" w:hAnsi="Arial" w:cs="Arial"/>
                <w:color w:val="000000"/>
                <w:sz w:val="20"/>
                <w:lang w:val="en-US" w:eastAsia="zh-CN"/>
              </w:rPr>
              <w:t>Legal expenses</w:t>
            </w:r>
          </w:p>
        </w:tc>
        <w:tc>
          <w:tcPr>
            <w:tcW w:w="1460" w:type="dxa"/>
            <w:tcBorders>
              <w:top w:val="nil"/>
              <w:left w:val="single" w:sz="4" w:space="0" w:color="auto"/>
              <w:bottom w:val="nil"/>
              <w:right w:val="single" w:sz="4" w:space="0" w:color="auto"/>
            </w:tcBorders>
            <w:shd w:val="clear" w:color="auto" w:fill="auto"/>
            <w:noWrap/>
            <w:vAlign w:val="bottom"/>
            <w:hideMark/>
          </w:tcPr>
          <w:p w:rsidR="00590433" w:rsidRPr="00620B99" w:rsidRDefault="00590433" w:rsidP="00590433">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Pr>
                <w:rFonts w:ascii="Arial" w:hAnsi="Arial" w:cs="Arial"/>
                <w:color w:val="000000"/>
                <w:sz w:val="20"/>
                <w:lang w:val="en-US" w:eastAsia="zh-CN"/>
              </w:rPr>
              <w:t>453</w:t>
            </w:r>
          </w:p>
        </w:tc>
        <w:tc>
          <w:tcPr>
            <w:tcW w:w="1460" w:type="dxa"/>
            <w:tcBorders>
              <w:top w:val="nil"/>
              <w:left w:val="nil"/>
              <w:bottom w:val="nil"/>
              <w:right w:val="single" w:sz="4" w:space="0" w:color="auto"/>
            </w:tcBorders>
            <w:shd w:val="clear" w:color="auto" w:fill="auto"/>
            <w:noWrap/>
            <w:vAlign w:val="bottom"/>
            <w:hideMark/>
          </w:tcPr>
          <w:p w:rsidR="00590433" w:rsidRPr="00620B99" w:rsidRDefault="00590433" w:rsidP="00590433">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620B99">
              <w:rPr>
                <w:rFonts w:ascii="Arial" w:hAnsi="Arial" w:cs="Arial"/>
                <w:color w:val="000000"/>
                <w:sz w:val="20"/>
                <w:lang w:val="en-US" w:eastAsia="zh-CN"/>
              </w:rPr>
              <w:t>302</w:t>
            </w:r>
          </w:p>
        </w:tc>
      </w:tr>
      <w:tr w:rsidR="00590433" w:rsidRPr="00620B99" w:rsidTr="00620B99">
        <w:trPr>
          <w:trHeight w:val="255"/>
        </w:trPr>
        <w:tc>
          <w:tcPr>
            <w:tcW w:w="6280" w:type="dxa"/>
            <w:gridSpan w:val="2"/>
            <w:tcBorders>
              <w:top w:val="nil"/>
              <w:left w:val="single" w:sz="4" w:space="0" w:color="auto"/>
              <w:bottom w:val="nil"/>
              <w:right w:val="nil"/>
            </w:tcBorders>
            <w:shd w:val="clear" w:color="auto" w:fill="auto"/>
            <w:noWrap/>
            <w:vAlign w:val="bottom"/>
            <w:hideMark/>
          </w:tcPr>
          <w:p w:rsidR="00590433" w:rsidRPr="00620B99" w:rsidRDefault="00590433" w:rsidP="0059043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620B99">
              <w:rPr>
                <w:rFonts w:ascii="Arial" w:hAnsi="Arial" w:cs="Arial"/>
                <w:color w:val="000000"/>
                <w:sz w:val="20"/>
                <w:lang w:val="en-US" w:eastAsia="zh-CN"/>
              </w:rPr>
              <w:t>Adjustment of provisions and other expenses</w:t>
            </w:r>
          </w:p>
        </w:tc>
        <w:tc>
          <w:tcPr>
            <w:tcW w:w="1460" w:type="dxa"/>
            <w:tcBorders>
              <w:top w:val="nil"/>
              <w:left w:val="single" w:sz="4" w:space="0" w:color="auto"/>
              <w:bottom w:val="nil"/>
              <w:right w:val="single" w:sz="4" w:space="0" w:color="auto"/>
            </w:tcBorders>
            <w:shd w:val="clear" w:color="auto" w:fill="auto"/>
            <w:noWrap/>
            <w:vAlign w:val="bottom"/>
            <w:hideMark/>
          </w:tcPr>
          <w:p w:rsidR="00590433" w:rsidRPr="00620B99" w:rsidRDefault="00590433" w:rsidP="00590433">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Pr>
                <w:rFonts w:ascii="Arial" w:hAnsi="Arial" w:cs="Arial"/>
                <w:color w:val="000000"/>
                <w:sz w:val="20"/>
                <w:lang w:val="en-US" w:eastAsia="zh-CN"/>
              </w:rPr>
              <w:t>6</w:t>
            </w:r>
            <w:r w:rsidRPr="00620B99">
              <w:rPr>
                <w:rFonts w:ascii="Arial" w:hAnsi="Arial" w:cs="Arial"/>
                <w:color w:val="000000"/>
                <w:sz w:val="20"/>
                <w:lang w:val="en-US" w:eastAsia="zh-CN"/>
              </w:rPr>
              <w:t>,</w:t>
            </w:r>
            <w:r>
              <w:rPr>
                <w:rFonts w:ascii="Arial" w:hAnsi="Arial" w:cs="Arial"/>
                <w:color w:val="000000"/>
                <w:sz w:val="20"/>
                <w:lang w:val="en-US" w:eastAsia="zh-CN"/>
              </w:rPr>
              <w:t>577</w:t>
            </w:r>
          </w:p>
        </w:tc>
        <w:tc>
          <w:tcPr>
            <w:tcW w:w="1460" w:type="dxa"/>
            <w:tcBorders>
              <w:top w:val="nil"/>
              <w:left w:val="nil"/>
              <w:bottom w:val="nil"/>
              <w:right w:val="single" w:sz="4" w:space="0" w:color="auto"/>
            </w:tcBorders>
            <w:shd w:val="clear" w:color="auto" w:fill="auto"/>
            <w:noWrap/>
            <w:vAlign w:val="bottom"/>
            <w:hideMark/>
          </w:tcPr>
          <w:p w:rsidR="00590433" w:rsidRPr="00620B99" w:rsidRDefault="00590433" w:rsidP="00590433">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620B99">
              <w:rPr>
                <w:rFonts w:ascii="Arial" w:hAnsi="Arial" w:cs="Arial"/>
                <w:color w:val="000000"/>
                <w:sz w:val="20"/>
                <w:lang w:val="en-US" w:eastAsia="zh-CN"/>
              </w:rPr>
              <w:t>2,319</w:t>
            </w:r>
          </w:p>
        </w:tc>
      </w:tr>
      <w:tr w:rsidR="00590433" w:rsidRPr="00620B99" w:rsidTr="00620B99">
        <w:trPr>
          <w:trHeight w:val="255"/>
        </w:trPr>
        <w:tc>
          <w:tcPr>
            <w:tcW w:w="5800" w:type="dxa"/>
            <w:tcBorders>
              <w:top w:val="nil"/>
              <w:left w:val="single" w:sz="4" w:space="0" w:color="auto"/>
              <w:bottom w:val="nil"/>
              <w:right w:val="nil"/>
            </w:tcBorders>
            <w:shd w:val="clear" w:color="auto" w:fill="auto"/>
            <w:noWrap/>
            <w:vAlign w:val="bottom"/>
            <w:hideMark/>
          </w:tcPr>
          <w:p w:rsidR="00590433" w:rsidRPr="00620B99" w:rsidRDefault="00590433" w:rsidP="0059043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620B99">
              <w:rPr>
                <w:rFonts w:ascii="Arial" w:hAnsi="Arial" w:cs="Arial"/>
                <w:color w:val="000000"/>
                <w:sz w:val="20"/>
                <w:lang w:val="en-US" w:eastAsia="zh-CN"/>
              </w:rPr>
              <w:t> </w:t>
            </w:r>
          </w:p>
        </w:tc>
        <w:tc>
          <w:tcPr>
            <w:tcW w:w="480" w:type="dxa"/>
            <w:tcBorders>
              <w:top w:val="nil"/>
              <w:left w:val="nil"/>
              <w:bottom w:val="nil"/>
              <w:right w:val="nil"/>
            </w:tcBorders>
            <w:shd w:val="clear" w:color="auto" w:fill="auto"/>
            <w:noWrap/>
            <w:vAlign w:val="bottom"/>
            <w:hideMark/>
          </w:tcPr>
          <w:p w:rsidR="00590433" w:rsidRPr="00620B99" w:rsidRDefault="00590433" w:rsidP="0059043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p>
        </w:tc>
        <w:tc>
          <w:tcPr>
            <w:tcW w:w="1460" w:type="dxa"/>
            <w:tcBorders>
              <w:top w:val="nil"/>
              <w:left w:val="single" w:sz="4" w:space="0" w:color="auto"/>
              <w:bottom w:val="nil"/>
              <w:right w:val="single" w:sz="4" w:space="0" w:color="auto"/>
            </w:tcBorders>
            <w:shd w:val="clear" w:color="auto" w:fill="auto"/>
            <w:noWrap/>
            <w:vAlign w:val="bottom"/>
            <w:hideMark/>
          </w:tcPr>
          <w:p w:rsidR="00590433" w:rsidRPr="00620B99" w:rsidRDefault="00590433" w:rsidP="0059043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620B99">
              <w:rPr>
                <w:rFonts w:ascii="Arial" w:hAnsi="Arial" w:cs="Arial"/>
                <w:color w:val="000000"/>
                <w:sz w:val="20"/>
                <w:lang w:val="en-US" w:eastAsia="zh-CN"/>
              </w:rPr>
              <w:t> </w:t>
            </w:r>
          </w:p>
        </w:tc>
        <w:tc>
          <w:tcPr>
            <w:tcW w:w="1460" w:type="dxa"/>
            <w:tcBorders>
              <w:top w:val="nil"/>
              <w:left w:val="nil"/>
              <w:bottom w:val="single" w:sz="4" w:space="0" w:color="auto"/>
              <w:right w:val="single" w:sz="4" w:space="0" w:color="auto"/>
            </w:tcBorders>
            <w:shd w:val="clear" w:color="auto" w:fill="auto"/>
            <w:noWrap/>
            <w:vAlign w:val="bottom"/>
            <w:hideMark/>
          </w:tcPr>
          <w:p w:rsidR="00590433" w:rsidRPr="00620B99" w:rsidRDefault="00590433" w:rsidP="0059043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620B99">
              <w:rPr>
                <w:rFonts w:ascii="Arial" w:hAnsi="Arial" w:cs="Arial"/>
                <w:color w:val="000000"/>
                <w:sz w:val="20"/>
                <w:lang w:val="en-US" w:eastAsia="zh-CN"/>
              </w:rPr>
              <w:t> </w:t>
            </w:r>
          </w:p>
        </w:tc>
      </w:tr>
      <w:tr w:rsidR="00620B99" w:rsidRPr="00620B99" w:rsidTr="00620B99">
        <w:trPr>
          <w:trHeight w:val="255"/>
        </w:trPr>
        <w:tc>
          <w:tcPr>
            <w:tcW w:w="6280" w:type="dxa"/>
            <w:gridSpan w:val="2"/>
            <w:tcBorders>
              <w:top w:val="single" w:sz="4" w:space="0" w:color="auto"/>
              <w:left w:val="single" w:sz="4" w:space="0" w:color="auto"/>
              <w:bottom w:val="single" w:sz="4" w:space="0" w:color="auto"/>
              <w:right w:val="nil"/>
            </w:tcBorders>
            <w:shd w:val="clear" w:color="auto" w:fill="auto"/>
            <w:noWrap/>
            <w:vAlign w:val="center"/>
            <w:hideMark/>
          </w:tcPr>
          <w:p w:rsidR="00620B99" w:rsidRPr="00620B99" w:rsidRDefault="00620B99" w:rsidP="00620B99">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20"/>
                <w:lang w:val="en-US" w:eastAsia="zh-CN"/>
              </w:rPr>
            </w:pPr>
            <w:r w:rsidRPr="00620B99">
              <w:rPr>
                <w:rFonts w:ascii="Arial" w:hAnsi="Arial" w:cs="Arial"/>
                <w:b/>
                <w:bCs/>
                <w:color w:val="000000"/>
                <w:sz w:val="20"/>
                <w:lang w:val="en-US" w:eastAsia="zh-CN"/>
              </w:rPr>
              <w:t>Other expenses</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B99" w:rsidRPr="00620B99" w:rsidRDefault="00620B99" w:rsidP="00590433">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620B99">
              <w:rPr>
                <w:rFonts w:ascii="Arial" w:hAnsi="Arial" w:cs="Arial"/>
                <w:b/>
                <w:bCs/>
                <w:color w:val="000000"/>
                <w:sz w:val="20"/>
                <w:lang w:val="en-US" w:eastAsia="zh-CN"/>
              </w:rPr>
              <w:t xml:space="preserve">            </w:t>
            </w:r>
            <w:r w:rsidR="00590433">
              <w:rPr>
                <w:rFonts w:ascii="Arial" w:hAnsi="Arial" w:cs="Arial"/>
                <w:b/>
                <w:bCs/>
                <w:color w:val="000000"/>
                <w:sz w:val="20"/>
                <w:lang w:val="en-US" w:eastAsia="zh-CN"/>
              </w:rPr>
              <w:t>7</w:t>
            </w:r>
            <w:r w:rsidRPr="00620B99">
              <w:rPr>
                <w:rFonts w:ascii="Arial" w:hAnsi="Arial" w:cs="Arial"/>
                <w:b/>
                <w:bCs/>
                <w:color w:val="000000"/>
                <w:sz w:val="20"/>
                <w:lang w:val="en-US" w:eastAsia="zh-CN"/>
              </w:rPr>
              <w:t>,</w:t>
            </w:r>
            <w:r w:rsidR="00590433">
              <w:rPr>
                <w:rFonts w:ascii="Arial" w:hAnsi="Arial" w:cs="Arial"/>
                <w:b/>
                <w:bCs/>
                <w:color w:val="000000"/>
                <w:sz w:val="20"/>
                <w:lang w:val="en-US" w:eastAsia="zh-CN"/>
              </w:rPr>
              <w:t>656</w:t>
            </w:r>
            <w:r w:rsidRPr="00620B99">
              <w:rPr>
                <w:rFonts w:ascii="Arial" w:hAnsi="Arial" w:cs="Arial"/>
                <w:b/>
                <w:bCs/>
                <w:color w:val="000000"/>
                <w:sz w:val="20"/>
                <w:lang w:val="en-US" w:eastAsia="zh-CN"/>
              </w:rPr>
              <w:t xml:space="preserve"> </w:t>
            </w:r>
          </w:p>
        </w:tc>
        <w:tc>
          <w:tcPr>
            <w:tcW w:w="1460" w:type="dxa"/>
            <w:tcBorders>
              <w:top w:val="nil"/>
              <w:left w:val="nil"/>
              <w:bottom w:val="single" w:sz="4" w:space="0" w:color="auto"/>
              <w:right w:val="single" w:sz="4" w:space="0" w:color="auto"/>
            </w:tcBorders>
            <w:shd w:val="clear" w:color="auto" w:fill="auto"/>
            <w:noWrap/>
            <w:vAlign w:val="center"/>
            <w:hideMark/>
          </w:tcPr>
          <w:p w:rsidR="00620B99" w:rsidRPr="00620B99" w:rsidRDefault="00620B99" w:rsidP="00590433">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620B99">
              <w:rPr>
                <w:rFonts w:ascii="Arial" w:hAnsi="Arial" w:cs="Arial"/>
                <w:b/>
                <w:bCs/>
                <w:color w:val="000000"/>
                <w:sz w:val="20"/>
                <w:lang w:val="en-US" w:eastAsia="zh-CN"/>
              </w:rPr>
              <w:t xml:space="preserve">             </w:t>
            </w:r>
            <w:r w:rsidR="00590433">
              <w:rPr>
                <w:rFonts w:ascii="Arial" w:hAnsi="Arial" w:cs="Arial"/>
                <w:b/>
                <w:bCs/>
                <w:color w:val="000000"/>
                <w:sz w:val="20"/>
                <w:lang w:val="en-US" w:eastAsia="zh-CN"/>
              </w:rPr>
              <w:t>3,207</w:t>
            </w:r>
            <w:r w:rsidRPr="00620B99">
              <w:rPr>
                <w:rFonts w:ascii="Arial" w:hAnsi="Arial" w:cs="Arial"/>
                <w:b/>
                <w:bCs/>
                <w:color w:val="000000"/>
                <w:sz w:val="20"/>
                <w:lang w:val="en-US" w:eastAsia="zh-CN"/>
              </w:rPr>
              <w:t xml:space="preserve"> </w:t>
            </w:r>
          </w:p>
        </w:tc>
      </w:tr>
    </w:tbl>
    <w:p w:rsidR="001A29CB" w:rsidRPr="00876B46" w:rsidRDefault="001A29CB" w:rsidP="007A03B2">
      <w:pPr>
        <w:spacing w:before="240"/>
        <w:jc w:val="both"/>
        <w:rPr>
          <w:lang w:val="en-US"/>
        </w:rPr>
      </w:pPr>
      <w:bookmarkStart w:id="132" w:name="_Toc305764116"/>
      <w:bookmarkStart w:id="133" w:name="_Toc329011658"/>
      <w:r w:rsidRPr="00876B46">
        <w:rPr>
          <w:lang w:val="en-US"/>
        </w:rPr>
        <w:t>Other expenses relate to the statutory annual audit of ITU</w:t>
      </w:r>
      <w:r w:rsidR="007A552E" w:rsidRPr="00876B46">
        <w:rPr>
          <w:lang w:val="en-US"/>
        </w:rPr>
        <w:t>’</w:t>
      </w:r>
      <w:r w:rsidRPr="00876B46">
        <w:rPr>
          <w:lang w:val="en-US"/>
        </w:rPr>
        <w:t>s books and accounts, carried</w:t>
      </w:r>
      <w:r w:rsidR="005E2AA5" w:rsidRPr="00876B46">
        <w:rPr>
          <w:lang w:val="en-US"/>
        </w:rPr>
        <w:t xml:space="preserve"> out by the Corte </w:t>
      </w:r>
      <w:proofErr w:type="spellStart"/>
      <w:r w:rsidR="005E2AA5" w:rsidRPr="00876B46">
        <w:rPr>
          <w:lang w:val="en-US"/>
        </w:rPr>
        <w:t>dei</w:t>
      </w:r>
      <w:proofErr w:type="spellEnd"/>
      <w:r w:rsidR="005E2AA5" w:rsidRPr="00876B46">
        <w:rPr>
          <w:lang w:val="en-US"/>
        </w:rPr>
        <w:t xml:space="preserve"> Conti</w:t>
      </w:r>
      <w:r w:rsidRPr="00876B46">
        <w:rPr>
          <w:lang w:val="en-US"/>
        </w:rPr>
        <w:t>, as well as to the Union</w:t>
      </w:r>
      <w:r w:rsidR="007A552E" w:rsidRPr="00876B46">
        <w:rPr>
          <w:lang w:val="en-US"/>
        </w:rPr>
        <w:t>’</w:t>
      </w:r>
      <w:r w:rsidRPr="00876B46">
        <w:rPr>
          <w:lang w:val="en-US"/>
        </w:rPr>
        <w:t>s participation in the inter-organizational committees and services of the United Nations such as the Joint Inspection Unit, the United Nations High-Level Committee on Management and the Office for Information and Communications Technology.</w:t>
      </w:r>
    </w:p>
    <w:p w:rsidR="001A29CB" w:rsidRPr="00EC727C" w:rsidRDefault="001A29CB" w:rsidP="007A03B2">
      <w:pPr>
        <w:jc w:val="both"/>
        <w:rPr>
          <w:lang w:val="en-US"/>
        </w:rPr>
      </w:pPr>
      <w:r w:rsidRPr="00876B46">
        <w:rPr>
          <w:lang w:val="en-US"/>
        </w:rPr>
        <w:t>Legal expenses include estimated costs for the outcome of open legal cases as well as the average cost for the administrative expenses in respect of each case brought before the tribunal.</w:t>
      </w:r>
    </w:p>
    <w:p w:rsidR="004C71C0" w:rsidRDefault="001A29CB" w:rsidP="00B742B2">
      <w:pPr>
        <w:pStyle w:val="Default"/>
        <w:spacing w:before="120"/>
        <w:jc w:val="both"/>
      </w:pPr>
      <w:r w:rsidRPr="00B742B2">
        <w:t xml:space="preserve">The </w:t>
      </w:r>
      <w:r w:rsidR="007A552E" w:rsidRPr="00B742B2">
        <w:t>“</w:t>
      </w:r>
      <w:r w:rsidRPr="00B742B2">
        <w:t>Adjustment of provisions and other</w:t>
      </w:r>
      <w:r w:rsidR="007039B0" w:rsidRPr="00B742B2">
        <w:t xml:space="preserve"> expenses</w:t>
      </w:r>
      <w:r w:rsidR="007A552E" w:rsidRPr="00B742B2">
        <w:t>”</w:t>
      </w:r>
      <w:r w:rsidRPr="00B742B2">
        <w:t xml:space="preserve"> </w:t>
      </w:r>
      <w:r w:rsidR="00513D10" w:rsidRPr="00B742B2">
        <w:t>result</w:t>
      </w:r>
      <w:r w:rsidR="00167E73" w:rsidRPr="00B742B2">
        <w:t>ed</w:t>
      </w:r>
      <w:r w:rsidR="00513D10" w:rsidRPr="00B742B2">
        <w:t xml:space="preserve"> mainly from the dissolution of the provision for doubtful debts due to the payment of overdue r</w:t>
      </w:r>
      <w:r w:rsidR="00167E73" w:rsidRPr="00B742B2">
        <w:t xml:space="preserve">eceivables but also from the use of the provision as per Decision </w:t>
      </w:r>
      <w:r w:rsidR="00B742B2" w:rsidRPr="00B742B2">
        <w:t>602</w:t>
      </w:r>
      <w:r w:rsidR="00167E73" w:rsidRPr="00B742B2">
        <w:t xml:space="preserve"> to withdraw unrecoverable. </w:t>
      </w:r>
      <w:r w:rsidR="00F25FAA" w:rsidRPr="00B742B2">
        <w:t xml:space="preserve"> </w:t>
      </w:r>
      <w:r w:rsidR="00167E73" w:rsidRPr="00B742B2">
        <w:t xml:space="preserve">Despite this increase of </w:t>
      </w:r>
      <w:r w:rsidR="004800AA" w:rsidRPr="00B742B2">
        <w:t>adjustment</w:t>
      </w:r>
      <w:r w:rsidR="00F25FAA" w:rsidRPr="00B742B2">
        <w:t>,</w:t>
      </w:r>
      <w:r w:rsidR="00167E73" w:rsidRPr="00B742B2">
        <w:t xml:space="preserve"> the overall provision for Debtors remained stable in 201</w:t>
      </w:r>
      <w:r w:rsidR="00B742B2" w:rsidRPr="00B742B2">
        <w:t>7</w:t>
      </w:r>
      <w:r w:rsidR="00167E73" w:rsidRPr="00B742B2">
        <w:t>.</w:t>
      </w:r>
    </w:p>
    <w:p w:rsidR="00620B99" w:rsidRDefault="0022373A" w:rsidP="00620B99">
      <w:pPr>
        <w:pStyle w:val="Heading5"/>
        <w:spacing w:before="240" w:after="240"/>
        <w:jc w:val="both"/>
        <w:rPr>
          <w:lang w:val="en-US"/>
        </w:rPr>
      </w:pPr>
      <w:r w:rsidRPr="00876B46">
        <w:rPr>
          <w:lang w:val="en-US"/>
        </w:rPr>
        <w:t>Finance expenses</w:t>
      </w:r>
      <w:bookmarkEnd w:id="132"/>
      <w:bookmarkEnd w:id="133"/>
    </w:p>
    <w:tbl>
      <w:tblPr>
        <w:tblW w:w="9200" w:type="dxa"/>
        <w:tblInd w:w="-5" w:type="dxa"/>
        <w:tblLook w:val="04A0" w:firstRow="1" w:lastRow="0" w:firstColumn="1" w:lastColumn="0" w:noHBand="0" w:noVBand="1"/>
      </w:tblPr>
      <w:tblGrid>
        <w:gridCol w:w="5800"/>
        <w:gridCol w:w="480"/>
        <w:gridCol w:w="1460"/>
        <w:gridCol w:w="1460"/>
      </w:tblGrid>
      <w:tr w:rsidR="00620B99" w:rsidRPr="00620B99" w:rsidTr="00620B99">
        <w:trPr>
          <w:trHeight w:val="255"/>
        </w:trPr>
        <w:tc>
          <w:tcPr>
            <w:tcW w:w="6280" w:type="dxa"/>
            <w:gridSpan w:val="2"/>
            <w:tcBorders>
              <w:top w:val="single" w:sz="4" w:space="0" w:color="auto"/>
              <w:left w:val="single" w:sz="4" w:space="0" w:color="auto"/>
              <w:bottom w:val="single" w:sz="4" w:space="0" w:color="auto"/>
              <w:right w:val="nil"/>
            </w:tcBorders>
            <w:shd w:val="clear" w:color="auto" w:fill="auto"/>
            <w:noWrap/>
            <w:vAlign w:val="center"/>
            <w:hideMark/>
          </w:tcPr>
          <w:p w:rsidR="00620B99" w:rsidRPr="00620B99" w:rsidRDefault="00620B99" w:rsidP="00620B99">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20"/>
                <w:lang w:val="en-US" w:eastAsia="zh-CN"/>
              </w:rPr>
            </w:pPr>
            <w:r w:rsidRPr="00620B99">
              <w:rPr>
                <w:rFonts w:ascii="Arial" w:hAnsi="Arial" w:cs="Arial"/>
                <w:b/>
                <w:bCs/>
                <w:color w:val="000000"/>
                <w:sz w:val="20"/>
                <w:lang w:val="en-US" w:eastAsia="zh-CN"/>
              </w:rPr>
              <w:t>In thousands of CHF</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B99" w:rsidRPr="00620B99" w:rsidRDefault="00620B99" w:rsidP="00590433">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620B99">
              <w:rPr>
                <w:rFonts w:ascii="Arial" w:hAnsi="Arial" w:cs="Arial"/>
                <w:b/>
                <w:bCs/>
                <w:color w:val="000000"/>
                <w:sz w:val="20"/>
                <w:lang w:val="en-US" w:eastAsia="zh-CN"/>
              </w:rPr>
              <w:t>201</w:t>
            </w:r>
            <w:r w:rsidR="00590433">
              <w:rPr>
                <w:rFonts w:ascii="Arial" w:hAnsi="Arial" w:cs="Arial"/>
                <w:b/>
                <w:bCs/>
                <w:color w:val="000000"/>
                <w:sz w:val="20"/>
                <w:lang w:val="en-US" w:eastAsia="zh-CN"/>
              </w:rPr>
              <w:t>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620B99" w:rsidRPr="00620B99" w:rsidRDefault="00620B99" w:rsidP="00590433">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620B99">
              <w:rPr>
                <w:rFonts w:ascii="Arial" w:hAnsi="Arial" w:cs="Arial"/>
                <w:b/>
                <w:bCs/>
                <w:color w:val="000000"/>
                <w:sz w:val="20"/>
                <w:lang w:val="en-US" w:eastAsia="zh-CN"/>
              </w:rPr>
              <w:t>201</w:t>
            </w:r>
            <w:r w:rsidR="00590433">
              <w:rPr>
                <w:rFonts w:ascii="Arial" w:hAnsi="Arial" w:cs="Arial"/>
                <w:b/>
                <w:bCs/>
                <w:color w:val="000000"/>
                <w:sz w:val="20"/>
                <w:lang w:val="en-US" w:eastAsia="zh-CN"/>
              </w:rPr>
              <w:t>6</w:t>
            </w:r>
          </w:p>
        </w:tc>
      </w:tr>
      <w:tr w:rsidR="00620B99" w:rsidRPr="00620B99" w:rsidTr="00620B99">
        <w:trPr>
          <w:trHeight w:val="285"/>
        </w:trPr>
        <w:tc>
          <w:tcPr>
            <w:tcW w:w="5800" w:type="dxa"/>
            <w:tcBorders>
              <w:top w:val="nil"/>
              <w:left w:val="single" w:sz="4" w:space="0" w:color="auto"/>
              <w:bottom w:val="nil"/>
              <w:right w:val="nil"/>
            </w:tcBorders>
            <w:shd w:val="clear" w:color="auto" w:fill="auto"/>
            <w:noWrap/>
            <w:vAlign w:val="bottom"/>
            <w:hideMark/>
          </w:tcPr>
          <w:p w:rsidR="00620B99" w:rsidRPr="00620B99" w:rsidRDefault="00620B99" w:rsidP="00620B99">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620B99">
              <w:rPr>
                <w:rFonts w:ascii="Arial" w:hAnsi="Arial" w:cs="Arial"/>
                <w:color w:val="000000"/>
                <w:sz w:val="20"/>
                <w:lang w:val="en-US" w:eastAsia="zh-CN"/>
              </w:rPr>
              <w:t> </w:t>
            </w:r>
          </w:p>
        </w:tc>
        <w:tc>
          <w:tcPr>
            <w:tcW w:w="480" w:type="dxa"/>
            <w:tcBorders>
              <w:top w:val="nil"/>
              <w:left w:val="nil"/>
              <w:bottom w:val="nil"/>
              <w:right w:val="nil"/>
            </w:tcBorders>
            <w:shd w:val="clear" w:color="auto" w:fill="auto"/>
            <w:noWrap/>
            <w:vAlign w:val="bottom"/>
            <w:hideMark/>
          </w:tcPr>
          <w:p w:rsidR="00620B99" w:rsidRPr="00620B99" w:rsidRDefault="00620B99" w:rsidP="00620B99">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p>
        </w:tc>
        <w:tc>
          <w:tcPr>
            <w:tcW w:w="1460" w:type="dxa"/>
            <w:tcBorders>
              <w:top w:val="nil"/>
              <w:left w:val="single" w:sz="4" w:space="0" w:color="auto"/>
              <w:bottom w:val="nil"/>
              <w:right w:val="single" w:sz="4" w:space="0" w:color="auto"/>
            </w:tcBorders>
            <w:shd w:val="clear" w:color="auto" w:fill="auto"/>
            <w:noWrap/>
            <w:vAlign w:val="bottom"/>
            <w:hideMark/>
          </w:tcPr>
          <w:p w:rsidR="00620B99" w:rsidRPr="00620B99" w:rsidRDefault="00620B99" w:rsidP="00620B99">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620B99">
              <w:rPr>
                <w:rFonts w:ascii="Arial" w:hAnsi="Arial" w:cs="Arial"/>
                <w:color w:val="000000"/>
                <w:sz w:val="20"/>
                <w:lang w:val="en-US" w:eastAsia="zh-CN"/>
              </w:rPr>
              <w:t> </w:t>
            </w:r>
          </w:p>
        </w:tc>
        <w:tc>
          <w:tcPr>
            <w:tcW w:w="1460" w:type="dxa"/>
            <w:tcBorders>
              <w:top w:val="nil"/>
              <w:left w:val="nil"/>
              <w:bottom w:val="nil"/>
              <w:right w:val="single" w:sz="4" w:space="0" w:color="auto"/>
            </w:tcBorders>
            <w:shd w:val="clear" w:color="auto" w:fill="auto"/>
            <w:noWrap/>
            <w:vAlign w:val="bottom"/>
            <w:hideMark/>
          </w:tcPr>
          <w:p w:rsidR="00620B99" w:rsidRPr="00620B99" w:rsidRDefault="00620B99" w:rsidP="00620B99">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20"/>
                <w:lang w:val="en-US" w:eastAsia="zh-CN"/>
              </w:rPr>
            </w:pPr>
            <w:r w:rsidRPr="00620B99">
              <w:rPr>
                <w:rFonts w:ascii="Arial" w:hAnsi="Arial" w:cs="Arial"/>
                <w:color w:val="000000"/>
                <w:sz w:val="20"/>
                <w:lang w:val="en-US" w:eastAsia="zh-CN"/>
              </w:rPr>
              <w:t> </w:t>
            </w:r>
          </w:p>
        </w:tc>
      </w:tr>
      <w:tr w:rsidR="00590433" w:rsidRPr="00620B99" w:rsidTr="00620B99">
        <w:trPr>
          <w:trHeight w:val="255"/>
        </w:trPr>
        <w:tc>
          <w:tcPr>
            <w:tcW w:w="6280" w:type="dxa"/>
            <w:gridSpan w:val="2"/>
            <w:tcBorders>
              <w:top w:val="nil"/>
              <w:left w:val="single" w:sz="4" w:space="0" w:color="auto"/>
              <w:bottom w:val="nil"/>
              <w:right w:val="nil"/>
            </w:tcBorders>
            <w:shd w:val="clear" w:color="auto" w:fill="auto"/>
            <w:noWrap/>
            <w:vAlign w:val="bottom"/>
            <w:hideMark/>
          </w:tcPr>
          <w:p w:rsidR="00590433" w:rsidRPr="00620B99" w:rsidRDefault="00590433" w:rsidP="0059043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620B99">
              <w:rPr>
                <w:rFonts w:ascii="Arial" w:hAnsi="Arial" w:cs="Arial"/>
                <w:color w:val="000000"/>
                <w:sz w:val="20"/>
                <w:lang w:val="en-US" w:eastAsia="zh-CN"/>
              </w:rPr>
              <w:t>Bank charges</w:t>
            </w:r>
          </w:p>
        </w:tc>
        <w:tc>
          <w:tcPr>
            <w:tcW w:w="1460" w:type="dxa"/>
            <w:tcBorders>
              <w:top w:val="nil"/>
              <w:left w:val="single" w:sz="4" w:space="0" w:color="auto"/>
              <w:bottom w:val="nil"/>
              <w:right w:val="single" w:sz="4" w:space="0" w:color="auto"/>
            </w:tcBorders>
            <w:shd w:val="clear" w:color="auto" w:fill="auto"/>
            <w:noWrap/>
            <w:vAlign w:val="bottom"/>
            <w:hideMark/>
          </w:tcPr>
          <w:p w:rsidR="00590433" w:rsidRPr="00620B99" w:rsidRDefault="00590433" w:rsidP="00590433">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620B99">
              <w:rPr>
                <w:rFonts w:ascii="Arial" w:hAnsi="Arial" w:cs="Arial"/>
                <w:color w:val="000000"/>
                <w:sz w:val="20"/>
                <w:lang w:val="en-US" w:eastAsia="zh-CN"/>
              </w:rPr>
              <w:t>2</w:t>
            </w:r>
            <w:r>
              <w:rPr>
                <w:rFonts w:ascii="Arial" w:hAnsi="Arial" w:cs="Arial"/>
                <w:color w:val="000000"/>
                <w:sz w:val="20"/>
                <w:lang w:val="en-US" w:eastAsia="zh-CN"/>
              </w:rPr>
              <w:t>28</w:t>
            </w:r>
          </w:p>
        </w:tc>
        <w:tc>
          <w:tcPr>
            <w:tcW w:w="1460" w:type="dxa"/>
            <w:tcBorders>
              <w:top w:val="nil"/>
              <w:left w:val="nil"/>
              <w:bottom w:val="nil"/>
              <w:right w:val="single" w:sz="4" w:space="0" w:color="auto"/>
            </w:tcBorders>
            <w:shd w:val="clear" w:color="auto" w:fill="auto"/>
            <w:noWrap/>
            <w:vAlign w:val="bottom"/>
            <w:hideMark/>
          </w:tcPr>
          <w:p w:rsidR="00590433" w:rsidRPr="00620B99" w:rsidRDefault="00590433" w:rsidP="00590433">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620B99">
              <w:rPr>
                <w:rFonts w:ascii="Arial" w:hAnsi="Arial" w:cs="Arial"/>
                <w:color w:val="000000"/>
                <w:sz w:val="20"/>
                <w:lang w:val="en-US" w:eastAsia="zh-CN"/>
              </w:rPr>
              <w:t>270</w:t>
            </w:r>
          </w:p>
        </w:tc>
      </w:tr>
      <w:tr w:rsidR="00590433" w:rsidRPr="00620B99" w:rsidTr="00620B99">
        <w:trPr>
          <w:trHeight w:val="255"/>
        </w:trPr>
        <w:tc>
          <w:tcPr>
            <w:tcW w:w="6280" w:type="dxa"/>
            <w:gridSpan w:val="2"/>
            <w:tcBorders>
              <w:top w:val="nil"/>
              <w:left w:val="single" w:sz="4" w:space="0" w:color="auto"/>
              <w:bottom w:val="nil"/>
              <w:right w:val="nil"/>
            </w:tcBorders>
            <w:shd w:val="clear" w:color="auto" w:fill="auto"/>
            <w:noWrap/>
            <w:vAlign w:val="bottom"/>
            <w:hideMark/>
          </w:tcPr>
          <w:p w:rsidR="00590433" w:rsidRPr="00620B99" w:rsidRDefault="00590433" w:rsidP="0059043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620B99">
              <w:rPr>
                <w:rFonts w:ascii="Arial" w:hAnsi="Arial" w:cs="Arial"/>
                <w:color w:val="000000"/>
                <w:sz w:val="20"/>
                <w:lang w:val="en-US" w:eastAsia="zh-CN"/>
              </w:rPr>
              <w:t>Realized exchange loss</w:t>
            </w:r>
          </w:p>
        </w:tc>
        <w:tc>
          <w:tcPr>
            <w:tcW w:w="1460" w:type="dxa"/>
            <w:tcBorders>
              <w:top w:val="nil"/>
              <w:left w:val="single" w:sz="4" w:space="0" w:color="auto"/>
              <w:bottom w:val="nil"/>
              <w:right w:val="single" w:sz="4" w:space="0" w:color="auto"/>
            </w:tcBorders>
            <w:shd w:val="clear" w:color="auto" w:fill="auto"/>
            <w:noWrap/>
            <w:vAlign w:val="bottom"/>
            <w:hideMark/>
          </w:tcPr>
          <w:p w:rsidR="00590433" w:rsidRPr="00620B99" w:rsidRDefault="00590433" w:rsidP="00590433">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Pr>
                <w:rFonts w:ascii="Arial" w:hAnsi="Arial" w:cs="Arial"/>
                <w:color w:val="000000"/>
                <w:sz w:val="20"/>
                <w:lang w:val="en-US" w:eastAsia="zh-CN"/>
              </w:rPr>
              <w:t>268</w:t>
            </w:r>
          </w:p>
        </w:tc>
        <w:tc>
          <w:tcPr>
            <w:tcW w:w="1460" w:type="dxa"/>
            <w:tcBorders>
              <w:top w:val="nil"/>
              <w:left w:val="nil"/>
              <w:bottom w:val="nil"/>
              <w:right w:val="single" w:sz="4" w:space="0" w:color="auto"/>
            </w:tcBorders>
            <w:shd w:val="clear" w:color="auto" w:fill="auto"/>
            <w:noWrap/>
            <w:vAlign w:val="bottom"/>
            <w:hideMark/>
          </w:tcPr>
          <w:p w:rsidR="00590433" w:rsidRPr="00620B99" w:rsidRDefault="00590433" w:rsidP="00590433">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620B99">
              <w:rPr>
                <w:rFonts w:ascii="Arial" w:hAnsi="Arial" w:cs="Arial"/>
                <w:color w:val="000000"/>
                <w:sz w:val="20"/>
                <w:lang w:val="en-US" w:eastAsia="zh-CN"/>
              </w:rPr>
              <w:t>168</w:t>
            </w:r>
          </w:p>
        </w:tc>
      </w:tr>
      <w:tr w:rsidR="00590433" w:rsidRPr="00620B99" w:rsidTr="00620B99">
        <w:trPr>
          <w:trHeight w:val="255"/>
        </w:trPr>
        <w:tc>
          <w:tcPr>
            <w:tcW w:w="6280" w:type="dxa"/>
            <w:gridSpan w:val="2"/>
            <w:tcBorders>
              <w:top w:val="nil"/>
              <w:left w:val="single" w:sz="4" w:space="0" w:color="auto"/>
              <w:bottom w:val="nil"/>
              <w:right w:val="nil"/>
            </w:tcBorders>
            <w:shd w:val="clear" w:color="auto" w:fill="auto"/>
            <w:noWrap/>
            <w:vAlign w:val="bottom"/>
            <w:hideMark/>
          </w:tcPr>
          <w:p w:rsidR="00590433" w:rsidRPr="00620B99" w:rsidRDefault="00590433" w:rsidP="00590433">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620B99">
              <w:rPr>
                <w:rFonts w:ascii="Arial" w:hAnsi="Arial" w:cs="Arial"/>
                <w:color w:val="000000"/>
                <w:sz w:val="20"/>
                <w:lang w:val="en-US" w:eastAsia="zh-CN"/>
              </w:rPr>
              <w:t>Unrealized exchange loss</w:t>
            </w:r>
          </w:p>
        </w:tc>
        <w:tc>
          <w:tcPr>
            <w:tcW w:w="1460" w:type="dxa"/>
            <w:tcBorders>
              <w:top w:val="nil"/>
              <w:left w:val="single" w:sz="4" w:space="0" w:color="auto"/>
              <w:bottom w:val="nil"/>
              <w:right w:val="single" w:sz="4" w:space="0" w:color="auto"/>
            </w:tcBorders>
            <w:shd w:val="clear" w:color="auto" w:fill="auto"/>
            <w:noWrap/>
            <w:vAlign w:val="bottom"/>
            <w:hideMark/>
          </w:tcPr>
          <w:p w:rsidR="00590433" w:rsidRPr="00620B99" w:rsidRDefault="00590433" w:rsidP="00590433">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Pr>
                <w:rFonts w:ascii="Arial" w:hAnsi="Arial" w:cs="Arial"/>
                <w:color w:val="000000"/>
                <w:sz w:val="20"/>
                <w:lang w:val="en-US" w:eastAsia="zh-CN"/>
              </w:rPr>
              <w:t>178</w:t>
            </w:r>
          </w:p>
        </w:tc>
        <w:tc>
          <w:tcPr>
            <w:tcW w:w="1460" w:type="dxa"/>
            <w:tcBorders>
              <w:top w:val="nil"/>
              <w:left w:val="nil"/>
              <w:bottom w:val="nil"/>
              <w:right w:val="single" w:sz="4" w:space="0" w:color="auto"/>
            </w:tcBorders>
            <w:shd w:val="clear" w:color="auto" w:fill="auto"/>
            <w:noWrap/>
            <w:vAlign w:val="bottom"/>
            <w:hideMark/>
          </w:tcPr>
          <w:p w:rsidR="00590433" w:rsidRPr="00620B99" w:rsidRDefault="00590433" w:rsidP="00590433">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620B99">
              <w:rPr>
                <w:rFonts w:ascii="Arial" w:hAnsi="Arial" w:cs="Arial"/>
                <w:color w:val="000000"/>
                <w:sz w:val="20"/>
                <w:lang w:val="en-US" w:eastAsia="zh-CN"/>
              </w:rPr>
              <w:t>-31</w:t>
            </w:r>
          </w:p>
        </w:tc>
      </w:tr>
      <w:tr w:rsidR="00620B99" w:rsidRPr="00620B99" w:rsidTr="00620B99">
        <w:trPr>
          <w:trHeight w:val="255"/>
        </w:trPr>
        <w:tc>
          <w:tcPr>
            <w:tcW w:w="5800" w:type="dxa"/>
            <w:tcBorders>
              <w:top w:val="nil"/>
              <w:left w:val="single" w:sz="4" w:space="0" w:color="auto"/>
              <w:bottom w:val="nil"/>
              <w:right w:val="nil"/>
            </w:tcBorders>
            <w:shd w:val="clear" w:color="auto" w:fill="auto"/>
            <w:noWrap/>
            <w:vAlign w:val="bottom"/>
            <w:hideMark/>
          </w:tcPr>
          <w:p w:rsidR="00620B99" w:rsidRPr="00620B99" w:rsidRDefault="00620B99" w:rsidP="00620B99">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620B99">
              <w:rPr>
                <w:rFonts w:ascii="Arial" w:hAnsi="Arial" w:cs="Arial"/>
                <w:color w:val="000000"/>
                <w:sz w:val="20"/>
                <w:lang w:val="en-US" w:eastAsia="zh-CN"/>
              </w:rPr>
              <w:t> </w:t>
            </w:r>
          </w:p>
        </w:tc>
        <w:tc>
          <w:tcPr>
            <w:tcW w:w="480" w:type="dxa"/>
            <w:tcBorders>
              <w:top w:val="nil"/>
              <w:left w:val="nil"/>
              <w:bottom w:val="nil"/>
              <w:right w:val="nil"/>
            </w:tcBorders>
            <w:shd w:val="clear" w:color="auto" w:fill="auto"/>
            <w:noWrap/>
            <w:vAlign w:val="bottom"/>
            <w:hideMark/>
          </w:tcPr>
          <w:p w:rsidR="00620B99" w:rsidRPr="00620B99" w:rsidRDefault="00620B99" w:rsidP="00620B99">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p>
        </w:tc>
        <w:tc>
          <w:tcPr>
            <w:tcW w:w="1460" w:type="dxa"/>
            <w:tcBorders>
              <w:top w:val="nil"/>
              <w:left w:val="single" w:sz="4" w:space="0" w:color="auto"/>
              <w:bottom w:val="nil"/>
              <w:right w:val="single" w:sz="4" w:space="0" w:color="auto"/>
            </w:tcBorders>
            <w:shd w:val="clear" w:color="auto" w:fill="auto"/>
            <w:noWrap/>
            <w:vAlign w:val="bottom"/>
            <w:hideMark/>
          </w:tcPr>
          <w:p w:rsidR="00620B99" w:rsidRPr="00620B99" w:rsidRDefault="00620B99" w:rsidP="00620B99">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620B99">
              <w:rPr>
                <w:rFonts w:ascii="Arial" w:hAnsi="Arial" w:cs="Arial"/>
                <w:color w:val="000000"/>
                <w:sz w:val="20"/>
                <w:lang w:val="en-US" w:eastAsia="zh-CN"/>
              </w:rPr>
              <w:t> </w:t>
            </w:r>
          </w:p>
        </w:tc>
        <w:tc>
          <w:tcPr>
            <w:tcW w:w="1460" w:type="dxa"/>
            <w:tcBorders>
              <w:top w:val="nil"/>
              <w:left w:val="nil"/>
              <w:bottom w:val="single" w:sz="4" w:space="0" w:color="auto"/>
              <w:right w:val="single" w:sz="4" w:space="0" w:color="auto"/>
            </w:tcBorders>
            <w:shd w:val="clear" w:color="auto" w:fill="auto"/>
            <w:noWrap/>
            <w:vAlign w:val="bottom"/>
            <w:hideMark/>
          </w:tcPr>
          <w:p w:rsidR="00620B99" w:rsidRPr="00620B99" w:rsidRDefault="00620B99" w:rsidP="00620B99">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620B99">
              <w:rPr>
                <w:rFonts w:ascii="Arial" w:hAnsi="Arial" w:cs="Arial"/>
                <w:color w:val="000000"/>
                <w:sz w:val="20"/>
                <w:lang w:val="en-US" w:eastAsia="zh-CN"/>
              </w:rPr>
              <w:t> </w:t>
            </w:r>
          </w:p>
        </w:tc>
      </w:tr>
      <w:tr w:rsidR="00620B99" w:rsidRPr="00620B99" w:rsidTr="00620B99">
        <w:trPr>
          <w:trHeight w:val="255"/>
        </w:trPr>
        <w:tc>
          <w:tcPr>
            <w:tcW w:w="6280" w:type="dxa"/>
            <w:gridSpan w:val="2"/>
            <w:tcBorders>
              <w:top w:val="single" w:sz="4" w:space="0" w:color="auto"/>
              <w:left w:val="single" w:sz="4" w:space="0" w:color="auto"/>
              <w:bottom w:val="single" w:sz="4" w:space="0" w:color="auto"/>
              <w:right w:val="nil"/>
            </w:tcBorders>
            <w:shd w:val="clear" w:color="auto" w:fill="auto"/>
            <w:noWrap/>
            <w:vAlign w:val="center"/>
            <w:hideMark/>
          </w:tcPr>
          <w:p w:rsidR="00620B99" w:rsidRPr="00620B99" w:rsidRDefault="00620B99" w:rsidP="00620B99">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20"/>
                <w:lang w:val="en-US" w:eastAsia="zh-CN"/>
              </w:rPr>
            </w:pPr>
            <w:r w:rsidRPr="00620B99">
              <w:rPr>
                <w:rFonts w:ascii="Arial" w:hAnsi="Arial" w:cs="Arial"/>
                <w:b/>
                <w:bCs/>
                <w:color w:val="000000"/>
                <w:sz w:val="20"/>
                <w:lang w:val="en-US" w:eastAsia="zh-CN"/>
              </w:rPr>
              <w:t>Finance expenses</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B99" w:rsidRPr="00620B99" w:rsidRDefault="00620B99" w:rsidP="00590433">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620B99">
              <w:rPr>
                <w:rFonts w:ascii="Arial" w:hAnsi="Arial" w:cs="Arial"/>
                <w:b/>
                <w:bCs/>
                <w:color w:val="000000"/>
                <w:sz w:val="20"/>
                <w:lang w:val="en-US" w:eastAsia="zh-CN"/>
              </w:rPr>
              <w:t xml:space="preserve">                </w:t>
            </w:r>
            <w:r w:rsidR="00590433">
              <w:rPr>
                <w:rFonts w:ascii="Arial" w:hAnsi="Arial" w:cs="Arial"/>
                <w:b/>
                <w:bCs/>
                <w:color w:val="000000"/>
                <w:sz w:val="20"/>
                <w:lang w:val="en-US" w:eastAsia="zh-CN"/>
              </w:rPr>
              <w:t>675</w:t>
            </w:r>
            <w:r w:rsidRPr="00620B99">
              <w:rPr>
                <w:rFonts w:ascii="Arial" w:hAnsi="Arial" w:cs="Arial"/>
                <w:b/>
                <w:bCs/>
                <w:color w:val="000000"/>
                <w:sz w:val="20"/>
                <w:lang w:val="en-US" w:eastAsia="zh-CN"/>
              </w:rPr>
              <w:t xml:space="preserve"> </w:t>
            </w:r>
          </w:p>
        </w:tc>
        <w:tc>
          <w:tcPr>
            <w:tcW w:w="1460" w:type="dxa"/>
            <w:tcBorders>
              <w:top w:val="nil"/>
              <w:left w:val="nil"/>
              <w:bottom w:val="single" w:sz="4" w:space="0" w:color="auto"/>
              <w:right w:val="single" w:sz="4" w:space="0" w:color="auto"/>
            </w:tcBorders>
            <w:shd w:val="clear" w:color="auto" w:fill="auto"/>
            <w:noWrap/>
            <w:vAlign w:val="center"/>
            <w:hideMark/>
          </w:tcPr>
          <w:p w:rsidR="00620B99" w:rsidRPr="00620B99" w:rsidRDefault="00620B99" w:rsidP="00590433">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620B99">
              <w:rPr>
                <w:rFonts w:ascii="Arial" w:hAnsi="Arial" w:cs="Arial"/>
                <w:b/>
                <w:bCs/>
                <w:color w:val="000000"/>
                <w:sz w:val="20"/>
                <w:lang w:val="en-US" w:eastAsia="zh-CN"/>
              </w:rPr>
              <w:t xml:space="preserve">                </w:t>
            </w:r>
            <w:r w:rsidR="00590433">
              <w:rPr>
                <w:rFonts w:ascii="Arial" w:hAnsi="Arial" w:cs="Arial"/>
                <w:b/>
                <w:bCs/>
                <w:color w:val="000000"/>
                <w:sz w:val="20"/>
                <w:lang w:val="en-US" w:eastAsia="zh-CN"/>
              </w:rPr>
              <w:t>407</w:t>
            </w:r>
            <w:r w:rsidRPr="00620B99">
              <w:rPr>
                <w:rFonts w:ascii="Arial" w:hAnsi="Arial" w:cs="Arial"/>
                <w:b/>
                <w:bCs/>
                <w:color w:val="000000"/>
                <w:sz w:val="20"/>
                <w:lang w:val="en-US" w:eastAsia="zh-CN"/>
              </w:rPr>
              <w:t xml:space="preserve"> </w:t>
            </w:r>
          </w:p>
        </w:tc>
      </w:tr>
    </w:tbl>
    <w:p w:rsidR="00334AF3" w:rsidRDefault="001A29CB" w:rsidP="00E61A40">
      <w:pPr>
        <w:spacing w:before="240"/>
        <w:jc w:val="both"/>
        <w:rPr>
          <w:rFonts w:cs="Arial"/>
          <w:lang w:val="en-US"/>
        </w:rPr>
      </w:pPr>
      <w:r w:rsidRPr="00876B46">
        <w:rPr>
          <w:lang w:val="en-US"/>
        </w:rPr>
        <w:t>The realized and unrealized exchange losses stem essentially from the revaluation of open items in other currencies at the time of the annual closure.</w:t>
      </w:r>
      <w:r w:rsidR="00833B63" w:rsidRPr="00876B46">
        <w:rPr>
          <w:lang w:val="en-US"/>
        </w:rPr>
        <w:t xml:space="preserve"> </w:t>
      </w:r>
      <w:r w:rsidR="00716DA7" w:rsidRPr="00876B46">
        <w:rPr>
          <w:lang w:val="en-US"/>
        </w:rPr>
        <w:t xml:space="preserve">This revaluation is reverted as </w:t>
      </w:r>
      <w:r w:rsidR="006D747B" w:rsidRPr="00876B46">
        <w:rPr>
          <w:lang w:val="en-US"/>
        </w:rPr>
        <w:t>at</w:t>
      </w:r>
      <w:r w:rsidR="00716DA7" w:rsidRPr="00876B46">
        <w:rPr>
          <w:lang w:val="en-US"/>
        </w:rPr>
        <w:t xml:space="preserve"> 1</w:t>
      </w:r>
      <w:r w:rsidR="006D747B" w:rsidRPr="00876B46">
        <w:rPr>
          <w:lang w:val="en-US"/>
        </w:rPr>
        <w:t> </w:t>
      </w:r>
      <w:r w:rsidR="00716DA7" w:rsidRPr="00876B46">
        <w:rPr>
          <w:lang w:val="en-US"/>
        </w:rPr>
        <w:t>January of following year.</w:t>
      </w:r>
    </w:p>
    <w:p w:rsidR="00334AF3" w:rsidRDefault="00334AF3" w:rsidP="00556A5C">
      <w:pPr>
        <w:tabs>
          <w:tab w:val="clear" w:pos="1134"/>
        </w:tabs>
        <w:spacing w:before="20" w:after="20"/>
        <w:ind w:right="141"/>
        <w:jc w:val="right"/>
        <w:rPr>
          <w:rFonts w:cs="Arial"/>
          <w:lang w:val="en-US"/>
        </w:rPr>
      </w:pPr>
    </w:p>
    <w:p w:rsidR="00334AF3" w:rsidRPr="001C2A98" w:rsidRDefault="00334AF3" w:rsidP="00556A5C">
      <w:pPr>
        <w:tabs>
          <w:tab w:val="clear" w:pos="1134"/>
        </w:tabs>
        <w:spacing w:before="20" w:after="20"/>
        <w:ind w:right="141"/>
        <w:jc w:val="right"/>
        <w:rPr>
          <w:rFonts w:cs="Arial"/>
          <w:lang w:val="en-US"/>
        </w:rPr>
        <w:sectPr w:rsidR="00334AF3" w:rsidRPr="001C2A98" w:rsidSect="00675BE3">
          <w:headerReference w:type="default" r:id="rId42"/>
          <w:pgSz w:w="11907" w:h="16834"/>
          <w:pgMar w:top="1191" w:right="992" w:bottom="567" w:left="1134" w:header="720" w:footer="720" w:gutter="0"/>
          <w:paperSrc w:first="15" w:other="15"/>
          <w:cols w:space="720"/>
          <w:titlePg/>
        </w:sectPr>
      </w:pPr>
    </w:p>
    <w:p w:rsidR="00294F70" w:rsidRDefault="00A165D6" w:rsidP="006D6709">
      <w:pPr>
        <w:pStyle w:val="Heading5"/>
        <w:spacing w:before="120"/>
        <w:ind w:hanging="1701"/>
        <w:rPr>
          <w:lang w:val="en-US"/>
        </w:rPr>
      </w:pPr>
      <w:bookmarkStart w:id="134" w:name="_Toc305764117"/>
      <w:bookmarkStart w:id="135" w:name="_Toc329011659"/>
      <w:r>
        <w:rPr>
          <w:lang w:val="en-US"/>
        </w:rPr>
        <w:t xml:space="preserve">Note </w:t>
      </w:r>
      <w:r w:rsidR="00294F70" w:rsidRPr="001C2A98">
        <w:rPr>
          <w:lang w:val="en-US"/>
        </w:rPr>
        <w:t>2</w:t>
      </w:r>
      <w:r w:rsidR="006D6709">
        <w:rPr>
          <w:lang w:val="en-US"/>
        </w:rPr>
        <w:t>4</w:t>
      </w:r>
      <w:r w:rsidR="00294F70" w:rsidRPr="001C2A98">
        <w:rPr>
          <w:lang w:val="en-US"/>
        </w:rPr>
        <w:tab/>
        <w:t xml:space="preserve">Segment reporting – Statement of financial performance </w:t>
      </w:r>
      <w:r w:rsidR="00111BDD">
        <w:rPr>
          <w:lang w:val="en-US"/>
        </w:rPr>
        <w:t>201</w:t>
      </w:r>
      <w:r w:rsidR="007129CA">
        <w:rPr>
          <w:lang w:val="en-US"/>
        </w:rPr>
        <w:t>7</w:t>
      </w:r>
    </w:p>
    <w:p w:rsidR="00E54F79" w:rsidRPr="00E54F79" w:rsidRDefault="00E54F79" w:rsidP="00E54F79">
      <w:pPr>
        <w:rPr>
          <w:lang w:val="en-US"/>
        </w:rPr>
      </w:pPr>
    </w:p>
    <w:tbl>
      <w:tblPr>
        <w:tblW w:w="5140" w:type="pct"/>
        <w:tblInd w:w="-431" w:type="dxa"/>
        <w:tblLayout w:type="fixed"/>
        <w:tblLook w:val="04A0" w:firstRow="1" w:lastRow="0" w:firstColumn="1" w:lastColumn="0" w:noHBand="0" w:noVBand="1"/>
      </w:tblPr>
      <w:tblGrid>
        <w:gridCol w:w="1845"/>
        <w:gridCol w:w="848"/>
        <w:gridCol w:w="917"/>
        <w:gridCol w:w="978"/>
        <w:gridCol w:w="1022"/>
        <w:gridCol w:w="1089"/>
        <w:gridCol w:w="1165"/>
        <w:gridCol w:w="1108"/>
        <w:gridCol w:w="921"/>
        <w:gridCol w:w="895"/>
        <w:gridCol w:w="752"/>
        <w:gridCol w:w="625"/>
        <w:gridCol w:w="737"/>
        <w:gridCol w:w="851"/>
        <w:gridCol w:w="1133"/>
        <w:gridCol w:w="987"/>
      </w:tblGrid>
      <w:tr w:rsidR="00AD4557" w:rsidRPr="00AD4557" w:rsidTr="000107D0">
        <w:trPr>
          <w:trHeight w:val="900"/>
        </w:trPr>
        <w:tc>
          <w:tcPr>
            <w:tcW w:w="581" w:type="pct"/>
            <w:tcBorders>
              <w:top w:val="single" w:sz="4" w:space="0" w:color="auto"/>
              <w:left w:val="single" w:sz="4" w:space="0" w:color="auto"/>
              <w:bottom w:val="single" w:sz="4" w:space="0" w:color="auto"/>
              <w:right w:val="nil"/>
            </w:tcBorders>
            <w:shd w:val="clear" w:color="auto" w:fill="auto"/>
            <w:noWrap/>
            <w:vAlign w:val="center"/>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In thousands of CHF </w:t>
            </w:r>
          </w:p>
        </w:tc>
        <w:tc>
          <w:tcPr>
            <w:tcW w:w="267" w:type="pct"/>
            <w:tcBorders>
              <w:top w:val="single" w:sz="4" w:space="0" w:color="auto"/>
              <w:left w:val="single" w:sz="4" w:space="0" w:color="auto"/>
              <w:bottom w:val="single" w:sz="4" w:space="0" w:color="auto"/>
              <w:right w:val="nil"/>
            </w:tcBorders>
            <w:shd w:val="clear" w:color="auto" w:fill="auto"/>
            <w:vAlign w:val="center"/>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Gen. Secret. </w:t>
            </w:r>
          </w:p>
        </w:tc>
        <w:tc>
          <w:tcPr>
            <w:tcW w:w="289" w:type="pct"/>
            <w:tcBorders>
              <w:top w:val="single" w:sz="4" w:space="0" w:color="auto"/>
              <w:left w:val="single" w:sz="4" w:space="0" w:color="auto"/>
              <w:bottom w:val="single" w:sz="4" w:space="0" w:color="auto"/>
              <w:right w:val="nil"/>
            </w:tcBorders>
            <w:shd w:val="clear" w:color="auto" w:fill="auto"/>
            <w:vAlign w:val="center"/>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w:t>
            </w:r>
            <w:proofErr w:type="spellStart"/>
            <w:r w:rsidRPr="00AD4557">
              <w:rPr>
                <w:rFonts w:asciiTheme="minorHAnsi" w:hAnsiTheme="minorHAnsi" w:cs="Arial"/>
                <w:b/>
                <w:bCs/>
                <w:color w:val="000000"/>
                <w:sz w:val="16"/>
                <w:szCs w:val="16"/>
                <w:lang w:val="en-US" w:eastAsia="zh-CN"/>
              </w:rPr>
              <w:t>Radioc</w:t>
            </w:r>
            <w:proofErr w:type="spellEnd"/>
            <w:r w:rsidRPr="00AD4557">
              <w:rPr>
                <w:rFonts w:asciiTheme="minorHAnsi" w:hAnsiTheme="minorHAnsi" w:cs="Arial"/>
                <w:b/>
                <w:bCs/>
                <w:color w:val="000000"/>
                <w:sz w:val="16"/>
                <w:szCs w:val="16"/>
                <w:lang w:val="en-US" w:eastAsia="zh-CN"/>
              </w:rPr>
              <w:t xml:space="preserve">. Sector </w:t>
            </w:r>
          </w:p>
        </w:tc>
        <w:tc>
          <w:tcPr>
            <w:tcW w:w="308" w:type="pct"/>
            <w:tcBorders>
              <w:top w:val="single" w:sz="4" w:space="0" w:color="auto"/>
              <w:left w:val="single" w:sz="4" w:space="0" w:color="auto"/>
              <w:bottom w:val="single" w:sz="4" w:space="0" w:color="auto"/>
              <w:right w:val="nil"/>
            </w:tcBorders>
            <w:shd w:val="clear" w:color="auto" w:fill="auto"/>
            <w:vAlign w:val="center"/>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w:t>
            </w:r>
            <w:proofErr w:type="spellStart"/>
            <w:r w:rsidRPr="00AD4557">
              <w:rPr>
                <w:rFonts w:asciiTheme="minorHAnsi" w:hAnsiTheme="minorHAnsi" w:cs="Arial"/>
                <w:b/>
                <w:bCs/>
                <w:color w:val="000000"/>
                <w:sz w:val="16"/>
                <w:szCs w:val="16"/>
                <w:lang w:val="en-US" w:eastAsia="zh-CN"/>
              </w:rPr>
              <w:t>Telec</w:t>
            </w:r>
            <w:proofErr w:type="spellEnd"/>
            <w:r w:rsidRPr="00AD4557">
              <w:rPr>
                <w:rFonts w:asciiTheme="minorHAnsi" w:hAnsiTheme="minorHAnsi" w:cs="Arial"/>
                <w:b/>
                <w:bCs/>
                <w:color w:val="000000"/>
                <w:sz w:val="16"/>
                <w:szCs w:val="16"/>
                <w:lang w:val="en-US" w:eastAsia="zh-CN"/>
              </w:rPr>
              <w:t xml:space="preserve">. Stand. Sector </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w:t>
            </w:r>
            <w:proofErr w:type="spellStart"/>
            <w:r w:rsidRPr="00AD4557">
              <w:rPr>
                <w:rFonts w:asciiTheme="minorHAnsi" w:hAnsiTheme="minorHAnsi" w:cs="Arial"/>
                <w:b/>
                <w:bCs/>
                <w:color w:val="000000"/>
                <w:sz w:val="16"/>
                <w:szCs w:val="16"/>
                <w:lang w:val="en-US" w:eastAsia="zh-CN"/>
              </w:rPr>
              <w:t>Telec</w:t>
            </w:r>
            <w:proofErr w:type="spellEnd"/>
            <w:r w:rsidRPr="00AD4557">
              <w:rPr>
                <w:rFonts w:asciiTheme="minorHAnsi" w:hAnsiTheme="minorHAnsi" w:cs="Arial"/>
                <w:b/>
                <w:bCs/>
                <w:color w:val="000000"/>
                <w:sz w:val="16"/>
                <w:szCs w:val="16"/>
                <w:lang w:val="en-US" w:eastAsia="zh-CN"/>
              </w:rPr>
              <w:t xml:space="preserve">. </w:t>
            </w:r>
            <w:proofErr w:type="spellStart"/>
            <w:r w:rsidRPr="00AD4557">
              <w:rPr>
                <w:rFonts w:asciiTheme="minorHAnsi" w:hAnsiTheme="minorHAnsi" w:cs="Arial"/>
                <w:b/>
                <w:bCs/>
                <w:color w:val="000000"/>
                <w:sz w:val="16"/>
                <w:szCs w:val="16"/>
                <w:lang w:val="en-US" w:eastAsia="zh-CN"/>
              </w:rPr>
              <w:t>Dev't</w:t>
            </w:r>
            <w:proofErr w:type="spellEnd"/>
            <w:r w:rsidRPr="00AD4557">
              <w:rPr>
                <w:rFonts w:asciiTheme="minorHAnsi" w:hAnsiTheme="minorHAnsi" w:cs="Arial"/>
                <w:b/>
                <w:bCs/>
                <w:color w:val="000000"/>
                <w:sz w:val="16"/>
                <w:szCs w:val="16"/>
                <w:lang w:val="en-US" w:eastAsia="zh-CN"/>
              </w:rPr>
              <w:t xml:space="preserve"> Sector </w:t>
            </w:r>
          </w:p>
        </w:tc>
        <w:tc>
          <w:tcPr>
            <w:tcW w:w="343" w:type="pct"/>
            <w:tcBorders>
              <w:top w:val="single" w:sz="4" w:space="0" w:color="auto"/>
              <w:left w:val="nil"/>
              <w:bottom w:val="single" w:sz="4" w:space="0" w:color="auto"/>
              <w:right w:val="nil"/>
            </w:tcBorders>
            <w:shd w:val="clear" w:color="auto" w:fill="auto"/>
            <w:vAlign w:val="center"/>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Not attributable to a segment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Total Funds 1000+1010 </w:t>
            </w:r>
          </w:p>
        </w:tc>
        <w:tc>
          <w:tcPr>
            <w:tcW w:w="349" w:type="pct"/>
            <w:tcBorders>
              <w:top w:val="single" w:sz="4" w:space="0" w:color="auto"/>
              <w:left w:val="nil"/>
              <w:bottom w:val="single" w:sz="4" w:space="0" w:color="auto"/>
              <w:right w:val="single" w:sz="4" w:space="0" w:color="auto"/>
            </w:tcBorders>
            <w:shd w:val="clear" w:color="auto" w:fill="auto"/>
            <w:vAlign w:val="center"/>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New Building fund </w:t>
            </w:r>
          </w:p>
        </w:tc>
        <w:tc>
          <w:tcPr>
            <w:tcW w:w="290" w:type="pct"/>
            <w:tcBorders>
              <w:top w:val="single" w:sz="4" w:space="0" w:color="auto"/>
              <w:left w:val="nil"/>
              <w:bottom w:val="single" w:sz="4" w:space="0" w:color="auto"/>
              <w:right w:val="single" w:sz="4" w:space="0" w:color="auto"/>
            </w:tcBorders>
            <w:shd w:val="clear" w:color="auto" w:fill="auto"/>
            <w:vAlign w:val="center"/>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Insurance</w:t>
            </w:r>
            <w:r w:rsidRPr="00AD4557">
              <w:rPr>
                <w:rFonts w:asciiTheme="minorHAnsi" w:hAnsiTheme="minorHAnsi" w:cs="Arial"/>
                <w:b/>
                <w:bCs/>
                <w:color w:val="000000"/>
                <w:sz w:val="16"/>
                <w:szCs w:val="16"/>
                <w:lang w:val="en-US" w:eastAsia="zh-CN"/>
              </w:rPr>
              <w:br/>
              <w:t>fund</w:t>
            </w:r>
            <w:r w:rsidRPr="00AD4557">
              <w:rPr>
                <w:rFonts w:asciiTheme="minorHAnsi" w:hAnsiTheme="minorHAnsi" w:cs="Arial"/>
                <w:b/>
                <w:bCs/>
                <w:color w:val="000000"/>
                <w:sz w:val="16"/>
                <w:szCs w:val="16"/>
                <w:lang w:val="en-US" w:eastAsia="zh-CN"/>
              </w:rPr>
              <w:br/>
              <w:t xml:space="preserve"> </w:t>
            </w:r>
          </w:p>
        </w:tc>
        <w:tc>
          <w:tcPr>
            <w:tcW w:w="282" w:type="pct"/>
            <w:tcBorders>
              <w:top w:val="single" w:sz="4" w:space="0" w:color="auto"/>
              <w:left w:val="nil"/>
              <w:bottom w:val="single" w:sz="4" w:space="0" w:color="auto"/>
              <w:right w:val="single" w:sz="4" w:space="0" w:color="auto"/>
            </w:tcBorders>
            <w:shd w:val="clear" w:color="auto" w:fill="auto"/>
            <w:vAlign w:val="center"/>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Voluntary</w:t>
            </w:r>
            <w:r w:rsidRPr="00AD4557">
              <w:rPr>
                <w:rFonts w:asciiTheme="minorHAnsi" w:hAnsiTheme="minorHAnsi" w:cs="Arial"/>
                <w:b/>
                <w:bCs/>
                <w:color w:val="000000"/>
                <w:sz w:val="16"/>
                <w:szCs w:val="16"/>
                <w:lang w:val="en-US" w:eastAsia="zh-CN"/>
              </w:rPr>
              <w:br/>
            </w:r>
            <w:proofErr w:type="spellStart"/>
            <w:r w:rsidRPr="00AD4557">
              <w:rPr>
                <w:rFonts w:asciiTheme="minorHAnsi" w:hAnsiTheme="minorHAnsi" w:cs="Arial"/>
                <w:b/>
                <w:bCs/>
                <w:color w:val="000000"/>
                <w:sz w:val="16"/>
                <w:szCs w:val="16"/>
                <w:lang w:val="en-US" w:eastAsia="zh-CN"/>
              </w:rPr>
              <w:t>contribs</w:t>
            </w:r>
            <w:proofErr w:type="spellEnd"/>
            <w:r w:rsidRPr="00AD4557">
              <w:rPr>
                <w:rFonts w:asciiTheme="minorHAnsi" w:hAnsiTheme="minorHAnsi" w:cs="Arial"/>
                <w:b/>
                <w:bCs/>
                <w:color w:val="000000"/>
                <w:sz w:val="16"/>
                <w:szCs w:val="16"/>
                <w:lang w:val="en-US" w:eastAsia="zh-CN"/>
              </w:rPr>
              <w:br/>
              <w:t xml:space="preserve"> </w:t>
            </w:r>
          </w:p>
        </w:tc>
        <w:tc>
          <w:tcPr>
            <w:tcW w:w="237" w:type="pct"/>
            <w:tcBorders>
              <w:top w:val="single" w:sz="4" w:space="0" w:color="auto"/>
              <w:left w:val="nil"/>
              <w:bottom w:val="single" w:sz="4" w:space="0" w:color="auto"/>
              <w:right w:val="single" w:sz="4" w:space="0" w:color="auto"/>
            </w:tcBorders>
            <w:shd w:val="clear" w:color="auto" w:fill="auto"/>
            <w:vAlign w:val="center"/>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FIT </w:t>
            </w:r>
          </w:p>
        </w:tc>
        <w:tc>
          <w:tcPr>
            <w:tcW w:w="197" w:type="pct"/>
            <w:tcBorders>
              <w:top w:val="single" w:sz="4" w:space="0" w:color="auto"/>
              <w:left w:val="nil"/>
              <w:bottom w:val="single" w:sz="4" w:space="0" w:color="auto"/>
              <w:right w:val="single" w:sz="4" w:space="0" w:color="auto"/>
            </w:tcBorders>
            <w:shd w:val="clear" w:color="auto" w:fill="auto"/>
            <w:vAlign w:val="center"/>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ICTDF </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UNDP </w:t>
            </w:r>
          </w:p>
        </w:tc>
        <w:tc>
          <w:tcPr>
            <w:tcW w:w="268" w:type="pct"/>
            <w:tcBorders>
              <w:top w:val="single" w:sz="4" w:space="0" w:color="auto"/>
              <w:left w:val="nil"/>
              <w:bottom w:val="single" w:sz="4" w:space="0" w:color="auto"/>
              <w:right w:val="single" w:sz="4" w:space="0" w:color="auto"/>
            </w:tcBorders>
            <w:shd w:val="clear" w:color="auto" w:fill="auto"/>
            <w:vAlign w:val="center"/>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Telecom </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6"/>
                <w:szCs w:val="16"/>
                <w:lang w:val="en-US" w:eastAsia="zh-CN"/>
              </w:rPr>
            </w:pPr>
            <w:r w:rsidRPr="00AD4557">
              <w:rPr>
                <w:rFonts w:asciiTheme="minorHAnsi" w:hAnsiTheme="minorHAnsi" w:cs="Arial"/>
                <w:b/>
                <w:bCs/>
                <w:sz w:val="16"/>
                <w:szCs w:val="16"/>
                <w:lang w:val="en-US" w:eastAsia="zh-CN"/>
              </w:rPr>
              <w:t xml:space="preserve"> Inter-sectors eliminations </w:t>
            </w:r>
          </w:p>
        </w:tc>
        <w:tc>
          <w:tcPr>
            <w:tcW w:w="311" w:type="pct"/>
            <w:tcBorders>
              <w:top w:val="single" w:sz="4" w:space="0" w:color="auto"/>
              <w:left w:val="nil"/>
              <w:bottom w:val="single" w:sz="4" w:space="0" w:color="auto"/>
              <w:right w:val="single" w:sz="4" w:space="0" w:color="auto"/>
            </w:tcBorders>
            <w:shd w:val="clear" w:color="auto" w:fill="auto"/>
            <w:vAlign w:val="center"/>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Total  </w:t>
            </w:r>
          </w:p>
        </w:tc>
      </w:tr>
      <w:tr w:rsidR="00AD4557" w:rsidRPr="00AD4557" w:rsidTr="000107D0">
        <w:trPr>
          <w:trHeight w:val="255"/>
        </w:trPr>
        <w:tc>
          <w:tcPr>
            <w:tcW w:w="581" w:type="pct"/>
            <w:tcBorders>
              <w:top w:val="nil"/>
              <w:left w:val="single" w:sz="4" w:space="0" w:color="auto"/>
              <w:bottom w:val="nil"/>
              <w:right w:val="nil"/>
            </w:tcBorders>
            <w:shd w:val="clear" w:color="auto" w:fill="auto"/>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67" w:type="pct"/>
            <w:tcBorders>
              <w:top w:val="nil"/>
              <w:left w:val="single" w:sz="4" w:space="0" w:color="auto"/>
              <w:bottom w:val="nil"/>
              <w:right w:val="single" w:sz="4" w:space="0" w:color="auto"/>
            </w:tcBorders>
            <w:shd w:val="clear" w:color="auto" w:fill="auto"/>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89" w:type="pct"/>
            <w:tcBorders>
              <w:top w:val="nil"/>
              <w:left w:val="nil"/>
              <w:bottom w:val="nil"/>
              <w:right w:val="single" w:sz="4" w:space="0" w:color="auto"/>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08" w:type="pct"/>
            <w:tcBorders>
              <w:top w:val="nil"/>
              <w:left w:val="nil"/>
              <w:bottom w:val="nil"/>
              <w:right w:val="single" w:sz="4" w:space="0" w:color="auto"/>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22" w:type="pct"/>
            <w:tcBorders>
              <w:top w:val="nil"/>
              <w:left w:val="nil"/>
              <w:bottom w:val="nil"/>
              <w:right w:val="single" w:sz="4" w:space="0" w:color="auto"/>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43" w:type="pct"/>
            <w:tcBorders>
              <w:top w:val="nil"/>
              <w:left w:val="nil"/>
              <w:bottom w:val="nil"/>
              <w:right w:val="nil"/>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67" w:type="pct"/>
            <w:tcBorders>
              <w:top w:val="nil"/>
              <w:left w:val="single" w:sz="4" w:space="0" w:color="auto"/>
              <w:bottom w:val="nil"/>
              <w:right w:val="single" w:sz="4" w:space="0" w:color="auto"/>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49" w:type="pct"/>
            <w:tcBorders>
              <w:top w:val="nil"/>
              <w:left w:val="nil"/>
              <w:bottom w:val="nil"/>
              <w:right w:val="single" w:sz="4" w:space="0" w:color="auto"/>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90" w:type="pct"/>
            <w:tcBorders>
              <w:top w:val="nil"/>
              <w:left w:val="nil"/>
              <w:bottom w:val="nil"/>
              <w:right w:val="single" w:sz="4" w:space="0" w:color="auto"/>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82" w:type="pct"/>
            <w:tcBorders>
              <w:top w:val="nil"/>
              <w:left w:val="nil"/>
              <w:bottom w:val="nil"/>
              <w:right w:val="single" w:sz="4" w:space="0" w:color="auto"/>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37" w:type="pct"/>
            <w:tcBorders>
              <w:top w:val="nil"/>
              <w:left w:val="nil"/>
              <w:bottom w:val="nil"/>
              <w:right w:val="single" w:sz="4" w:space="0" w:color="auto"/>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197" w:type="pct"/>
            <w:tcBorders>
              <w:top w:val="nil"/>
              <w:left w:val="nil"/>
              <w:bottom w:val="nil"/>
              <w:right w:val="single" w:sz="4" w:space="0" w:color="auto"/>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32" w:type="pct"/>
            <w:tcBorders>
              <w:top w:val="nil"/>
              <w:left w:val="nil"/>
              <w:bottom w:val="nil"/>
              <w:right w:val="single" w:sz="4" w:space="0" w:color="auto"/>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68" w:type="pct"/>
            <w:tcBorders>
              <w:top w:val="nil"/>
              <w:left w:val="nil"/>
              <w:bottom w:val="nil"/>
              <w:right w:val="single" w:sz="4" w:space="0" w:color="auto"/>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57" w:type="pct"/>
            <w:tcBorders>
              <w:top w:val="nil"/>
              <w:left w:val="nil"/>
              <w:bottom w:val="nil"/>
              <w:right w:val="single" w:sz="4" w:space="0" w:color="auto"/>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11" w:type="pct"/>
            <w:tcBorders>
              <w:top w:val="nil"/>
              <w:left w:val="nil"/>
              <w:bottom w:val="nil"/>
              <w:right w:val="single" w:sz="4" w:space="0" w:color="auto"/>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r>
      <w:tr w:rsidR="00AD4557" w:rsidRPr="00AD4557" w:rsidTr="000107D0">
        <w:trPr>
          <w:trHeight w:val="255"/>
        </w:trPr>
        <w:tc>
          <w:tcPr>
            <w:tcW w:w="581" w:type="pct"/>
            <w:tcBorders>
              <w:top w:val="nil"/>
              <w:left w:val="single" w:sz="4" w:space="0" w:color="auto"/>
              <w:bottom w:val="nil"/>
              <w:right w:val="nil"/>
            </w:tcBorders>
            <w:shd w:val="clear" w:color="auto" w:fill="auto"/>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REVENUE</w:t>
            </w:r>
          </w:p>
        </w:tc>
        <w:tc>
          <w:tcPr>
            <w:tcW w:w="267" w:type="pct"/>
            <w:tcBorders>
              <w:top w:val="nil"/>
              <w:left w:val="single" w:sz="4" w:space="0" w:color="auto"/>
              <w:bottom w:val="nil"/>
              <w:right w:val="single" w:sz="4" w:space="0" w:color="auto"/>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289" w:type="pct"/>
            <w:tcBorders>
              <w:top w:val="nil"/>
              <w:left w:val="nil"/>
              <w:bottom w:val="nil"/>
              <w:right w:val="single" w:sz="4" w:space="0" w:color="auto"/>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308" w:type="pct"/>
            <w:tcBorders>
              <w:top w:val="nil"/>
              <w:left w:val="nil"/>
              <w:bottom w:val="nil"/>
              <w:right w:val="single" w:sz="4" w:space="0" w:color="auto"/>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322" w:type="pct"/>
            <w:tcBorders>
              <w:top w:val="nil"/>
              <w:left w:val="nil"/>
              <w:bottom w:val="nil"/>
              <w:right w:val="single" w:sz="4" w:space="0" w:color="auto"/>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343" w:type="pct"/>
            <w:tcBorders>
              <w:top w:val="nil"/>
              <w:left w:val="nil"/>
              <w:bottom w:val="nil"/>
              <w:right w:val="nil"/>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367" w:type="pct"/>
            <w:tcBorders>
              <w:top w:val="nil"/>
              <w:left w:val="single" w:sz="4" w:space="0" w:color="auto"/>
              <w:bottom w:val="nil"/>
              <w:right w:val="single" w:sz="4" w:space="0" w:color="auto"/>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349" w:type="pct"/>
            <w:tcBorders>
              <w:top w:val="nil"/>
              <w:left w:val="nil"/>
              <w:bottom w:val="nil"/>
              <w:right w:val="single" w:sz="4" w:space="0" w:color="auto"/>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290" w:type="pct"/>
            <w:tcBorders>
              <w:top w:val="nil"/>
              <w:left w:val="nil"/>
              <w:bottom w:val="nil"/>
              <w:right w:val="single" w:sz="4" w:space="0" w:color="auto"/>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282" w:type="pct"/>
            <w:tcBorders>
              <w:top w:val="nil"/>
              <w:left w:val="nil"/>
              <w:bottom w:val="nil"/>
              <w:right w:val="single" w:sz="4" w:space="0" w:color="auto"/>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237" w:type="pct"/>
            <w:tcBorders>
              <w:top w:val="nil"/>
              <w:left w:val="nil"/>
              <w:bottom w:val="nil"/>
              <w:right w:val="single" w:sz="4" w:space="0" w:color="auto"/>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197" w:type="pct"/>
            <w:tcBorders>
              <w:top w:val="nil"/>
              <w:left w:val="nil"/>
              <w:bottom w:val="nil"/>
              <w:right w:val="single" w:sz="4" w:space="0" w:color="auto"/>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232" w:type="pct"/>
            <w:tcBorders>
              <w:top w:val="nil"/>
              <w:left w:val="nil"/>
              <w:bottom w:val="nil"/>
              <w:right w:val="single" w:sz="4" w:space="0" w:color="auto"/>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268" w:type="pct"/>
            <w:tcBorders>
              <w:top w:val="nil"/>
              <w:left w:val="nil"/>
              <w:bottom w:val="nil"/>
              <w:right w:val="single" w:sz="4" w:space="0" w:color="auto"/>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357" w:type="pct"/>
            <w:tcBorders>
              <w:top w:val="nil"/>
              <w:left w:val="nil"/>
              <w:bottom w:val="nil"/>
              <w:right w:val="single" w:sz="4" w:space="0" w:color="auto"/>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311" w:type="pct"/>
            <w:tcBorders>
              <w:top w:val="nil"/>
              <w:left w:val="nil"/>
              <w:bottom w:val="nil"/>
              <w:right w:val="single" w:sz="4" w:space="0" w:color="auto"/>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r>
      <w:tr w:rsidR="00AD4557" w:rsidRPr="00AD4557" w:rsidTr="000107D0">
        <w:trPr>
          <w:trHeight w:val="74"/>
        </w:trPr>
        <w:tc>
          <w:tcPr>
            <w:tcW w:w="581" w:type="pct"/>
            <w:tcBorders>
              <w:top w:val="nil"/>
              <w:left w:val="single" w:sz="4" w:space="0" w:color="auto"/>
              <w:bottom w:val="nil"/>
              <w:right w:val="nil"/>
            </w:tcBorders>
            <w:shd w:val="clear" w:color="auto" w:fill="auto"/>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w:t>
            </w:r>
          </w:p>
        </w:tc>
        <w:tc>
          <w:tcPr>
            <w:tcW w:w="267" w:type="pct"/>
            <w:tcBorders>
              <w:top w:val="nil"/>
              <w:left w:val="single" w:sz="4" w:space="0" w:color="auto"/>
              <w:bottom w:val="nil"/>
              <w:right w:val="single" w:sz="4" w:space="0" w:color="auto"/>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289" w:type="pct"/>
            <w:tcBorders>
              <w:top w:val="nil"/>
              <w:left w:val="nil"/>
              <w:bottom w:val="nil"/>
              <w:right w:val="single" w:sz="4" w:space="0" w:color="auto"/>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308" w:type="pct"/>
            <w:tcBorders>
              <w:top w:val="nil"/>
              <w:left w:val="nil"/>
              <w:bottom w:val="nil"/>
              <w:right w:val="single" w:sz="4" w:space="0" w:color="auto"/>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322" w:type="pct"/>
            <w:tcBorders>
              <w:top w:val="nil"/>
              <w:left w:val="nil"/>
              <w:bottom w:val="nil"/>
              <w:right w:val="single" w:sz="4" w:space="0" w:color="auto"/>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343" w:type="pct"/>
            <w:tcBorders>
              <w:top w:val="nil"/>
              <w:left w:val="nil"/>
              <w:bottom w:val="nil"/>
              <w:right w:val="nil"/>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367" w:type="pct"/>
            <w:tcBorders>
              <w:top w:val="nil"/>
              <w:left w:val="single" w:sz="4" w:space="0" w:color="auto"/>
              <w:bottom w:val="nil"/>
              <w:right w:val="single" w:sz="4" w:space="0" w:color="auto"/>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349" w:type="pct"/>
            <w:tcBorders>
              <w:top w:val="nil"/>
              <w:left w:val="nil"/>
              <w:bottom w:val="nil"/>
              <w:right w:val="single" w:sz="4" w:space="0" w:color="auto"/>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290" w:type="pct"/>
            <w:tcBorders>
              <w:top w:val="nil"/>
              <w:left w:val="nil"/>
              <w:bottom w:val="nil"/>
              <w:right w:val="single" w:sz="4" w:space="0" w:color="auto"/>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282" w:type="pct"/>
            <w:tcBorders>
              <w:top w:val="nil"/>
              <w:left w:val="nil"/>
              <w:bottom w:val="nil"/>
              <w:right w:val="single" w:sz="4" w:space="0" w:color="auto"/>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237" w:type="pct"/>
            <w:tcBorders>
              <w:top w:val="nil"/>
              <w:left w:val="nil"/>
              <w:bottom w:val="nil"/>
              <w:right w:val="single" w:sz="4" w:space="0" w:color="auto"/>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197" w:type="pct"/>
            <w:tcBorders>
              <w:top w:val="nil"/>
              <w:left w:val="nil"/>
              <w:bottom w:val="nil"/>
              <w:right w:val="single" w:sz="4" w:space="0" w:color="auto"/>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232" w:type="pct"/>
            <w:tcBorders>
              <w:top w:val="nil"/>
              <w:left w:val="nil"/>
              <w:bottom w:val="nil"/>
              <w:right w:val="single" w:sz="4" w:space="0" w:color="auto"/>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268" w:type="pct"/>
            <w:tcBorders>
              <w:top w:val="nil"/>
              <w:left w:val="nil"/>
              <w:bottom w:val="nil"/>
              <w:right w:val="single" w:sz="4" w:space="0" w:color="auto"/>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357" w:type="pct"/>
            <w:tcBorders>
              <w:top w:val="nil"/>
              <w:left w:val="nil"/>
              <w:bottom w:val="nil"/>
              <w:right w:val="single" w:sz="4" w:space="0" w:color="auto"/>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311" w:type="pct"/>
            <w:tcBorders>
              <w:top w:val="nil"/>
              <w:left w:val="nil"/>
              <w:bottom w:val="nil"/>
              <w:right w:val="single" w:sz="4" w:space="0" w:color="auto"/>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r>
      <w:tr w:rsidR="00AD4557" w:rsidRPr="00AD4557" w:rsidTr="000107D0">
        <w:trPr>
          <w:trHeight w:val="255"/>
        </w:trPr>
        <w:tc>
          <w:tcPr>
            <w:tcW w:w="581" w:type="pct"/>
            <w:tcBorders>
              <w:top w:val="nil"/>
              <w:left w:val="single" w:sz="4" w:space="0" w:color="auto"/>
              <w:bottom w:val="nil"/>
              <w:right w:val="nil"/>
            </w:tcBorders>
            <w:shd w:val="clear" w:color="auto" w:fill="auto"/>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Assessed contributions</w:t>
            </w:r>
          </w:p>
        </w:tc>
        <w:tc>
          <w:tcPr>
            <w:tcW w:w="267" w:type="pct"/>
            <w:tcBorders>
              <w:top w:val="nil"/>
              <w:left w:val="single" w:sz="4" w:space="0" w:color="auto"/>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289"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xml:space="preserve">        6,683 </w:t>
            </w:r>
          </w:p>
        </w:tc>
        <w:tc>
          <w:tcPr>
            <w:tcW w:w="308"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xml:space="preserve">          7,505 </w:t>
            </w:r>
          </w:p>
        </w:tc>
        <w:tc>
          <w:tcPr>
            <w:tcW w:w="322"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xml:space="preserve">            1,598 </w:t>
            </w:r>
          </w:p>
        </w:tc>
        <w:tc>
          <w:tcPr>
            <w:tcW w:w="343" w:type="pct"/>
            <w:tcBorders>
              <w:top w:val="nil"/>
              <w:left w:val="nil"/>
              <w:bottom w:val="nil"/>
              <w:right w:val="nil"/>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xml:space="preserve">         106,604 </w:t>
            </w:r>
          </w:p>
        </w:tc>
        <w:tc>
          <w:tcPr>
            <w:tcW w:w="367" w:type="pct"/>
            <w:tcBorders>
              <w:top w:val="nil"/>
              <w:left w:val="single" w:sz="4" w:space="0" w:color="auto"/>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6"/>
                <w:szCs w:val="16"/>
                <w:lang w:val="en-US" w:eastAsia="zh-CN"/>
              </w:rPr>
            </w:pPr>
            <w:r w:rsidRPr="00AD4557">
              <w:rPr>
                <w:rFonts w:asciiTheme="minorHAnsi" w:hAnsiTheme="minorHAnsi" w:cs="Arial"/>
                <w:b/>
                <w:bCs/>
                <w:sz w:val="16"/>
                <w:szCs w:val="16"/>
                <w:lang w:val="en-US" w:eastAsia="zh-CN"/>
              </w:rPr>
              <w:t xml:space="preserve">           122,390 </w:t>
            </w:r>
          </w:p>
        </w:tc>
        <w:tc>
          <w:tcPr>
            <w:tcW w:w="349"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290"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282" w:type="pct"/>
            <w:tcBorders>
              <w:top w:val="nil"/>
              <w:left w:val="nil"/>
              <w:bottom w:val="nil"/>
              <w:right w:val="nil"/>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37" w:type="pct"/>
            <w:tcBorders>
              <w:top w:val="nil"/>
              <w:left w:val="single" w:sz="4" w:space="0" w:color="auto"/>
              <w:bottom w:val="nil"/>
              <w:right w:val="nil"/>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197" w:type="pct"/>
            <w:tcBorders>
              <w:top w:val="nil"/>
              <w:left w:val="single" w:sz="4" w:space="0" w:color="auto"/>
              <w:bottom w:val="nil"/>
              <w:right w:val="nil"/>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32" w:type="pct"/>
            <w:tcBorders>
              <w:top w:val="nil"/>
              <w:left w:val="single" w:sz="4" w:space="0" w:color="auto"/>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68"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57" w:type="pct"/>
            <w:tcBorders>
              <w:top w:val="nil"/>
              <w:left w:val="nil"/>
              <w:bottom w:val="nil"/>
              <w:right w:val="nil"/>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p>
        </w:tc>
        <w:tc>
          <w:tcPr>
            <w:tcW w:w="311" w:type="pct"/>
            <w:tcBorders>
              <w:top w:val="nil"/>
              <w:left w:val="single" w:sz="4" w:space="0" w:color="auto"/>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6"/>
                <w:szCs w:val="16"/>
                <w:lang w:val="en-US" w:eastAsia="zh-CN"/>
              </w:rPr>
            </w:pPr>
            <w:r w:rsidRPr="00AD4557">
              <w:rPr>
                <w:rFonts w:asciiTheme="minorHAnsi" w:hAnsiTheme="minorHAnsi" w:cs="Arial"/>
                <w:b/>
                <w:bCs/>
                <w:sz w:val="16"/>
                <w:szCs w:val="16"/>
                <w:lang w:val="en-US" w:eastAsia="zh-CN"/>
              </w:rPr>
              <w:t xml:space="preserve">      122,390   </w:t>
            </w:r>
          </w:p>
        </w:tc>
      </w:tr>
      <w:tr w:rsidR="00AD4557" w:rsidRPr="00AD4557" w:rsidTr="000107D0">
        <w:trPr>
          <w:trHeight w:val="255"/>
        </w:trPr>
        <w:tc>
          <w:tcPr>
            <w:tcW w:w="581" w:type="pct"/>
            <w:tcBorders>
              <w:top w:val="nil"/>
              <w:left w:val="single" w:sz="4" w:space="0" w:color="auto"/>
              <w:bottom w:val="nil"/>
              <w:right w:val="nil"/>
            </w:tcBorders>
            <w:shd w:val="clear" w:color="auto" w:fill="auto"/>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Voluntary contributions</w:t>
            </w:r>
          </w:p>
        </w:tc>
        <w:tc>
          <w:tcPr>
            <w:tcW w:w="267" w:type="pct"/>
            <w:tcBorders>
              <w:top w:val="nil"/>
              <w:left w:val="single" w:sz="4" w:space="0" w:color="auto"/>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289"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308"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322"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343" w:type="pct"/>
            <w:tcBorders>
              <w:top w:val="nil"/>
              <w:left w:val="nil"/>
              <w:bottom w:val="nil"/>
              <w:right w:val="nil"/>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xml:space="preserve">                     8 </w:t>
            </w:r>
          </w:p>
        </w:tc>
        <w:tc>
          <w:tcPr>
            <w:tcW w:w="367" w:type="pct"/>
            <w:tcBorders>
              <w:top w:val="nil"/>
              <w:left w:val="single" w:sz="4" w:space="0" w:color="auto"/>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6"/>
                <w:szCs w:val="16"/>
                <w:lang w:val="en-US" w:eastAsia="zh-CN"/>
              </w:rPr>
            </w:pPr>
            <w:r w:rsidRPr="00AD4557">
              <w:rPr>
                <w:rFonts w:asciiTheme="minorHAnsi" w:hAnsiTheme="minorHAnsi" w:cs="Arial"/>
                <w:b/>
                <w:bCs/>
                <w:sz w:val="16"/>
                <w:szCs w:val="16"/>
                <w:lang w:val="en-US" w:eastAsia="zh-CN"/>
              </w:rPr>
              <w:t xml:space="preserve">                      8 </w:t>
            </w:r>
          </w:p>
        </w:tc>
        <w:tc>
          <w:tcPr>
            <w:tcW w:w="349"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290"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282"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2,261 </w:t>
            </w:r>
          </w:p>
        </w:tc>
        <w:tc>
          <w:tcPr>
            <w:tcW w:w="237"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w:t>
            </w:r>
            <w:r>
              <w:rPr>
                <w:rFonts w:asciiTheme="minorHAnsi" w:hAnsiTheme="minorHAnsi" w:cs="Arial"/>
                <w:color w:val="000000"/>
                <w:sz w:val="16"/>
                <w:szCs w:val="16"/>
                <w:lang w:val="en-US" w:eastAsia="zh-CN"/>
              </w:rPr>
              <w:t>8</w:t>
            </w:r>
            <w:r w:rsidRPr="00AD4557">
              <w:rPr>
                <w:rFonts w:asciiTheme="minorHAnsi" w:hAnsiTheme="minorHAnsi" w:cs="Arial"/>
                <w:color w:val="000000"/>
                <w:sz w:val="16"/>
                <w:szCs w:val="16"/>
                <w:lang w:val="en-US" w:eastAsia="zh-CN"/>
              </w:rPr>
              <w:t xml:space="preserve"> ,316 </w:t>
            </w:r>
          </w:p>
        </w:tc>
        <w:tc>
          <w:tcPr>
            <w:tcW w:w="197"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32"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25 </w:t>
            </w:r>
          </w:p>
        </w:tc>
        <w:tc>
          <w:tcPr>
            <w:tcW w:w="268"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57"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311" w:type="pct"/>
            <w:tcBorders>
              <w:top w:val="nil"/>
              <w:left w:val="nil"/>
              <w:bottom w:val="nil"/>
              <w:right w:val="single" w:sz="4" w:space="0" w:color="auto"/>
            </w:tcBorders>
            <w:shd w:val="clear" w:color="auto" w:fill="auto"/>
            <w:noWrap/>
            <w:hideMark/>
          </w:tcPr>
          <w:p w:rsidR="00AD4557" w:rsidRPr="00AD4557" w:rsidRDefault="00AD4557" w:rsidP="00502E6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6"/>
                <w:szCs w:val="16"/>
                <w:lang w:val="en-US" w:eastAsia="zh-CN"/>
              </w:rPr>
            </w:pPr>
            <w:r w:rsidRPr="00AD4557">
              <w:rPr>
                <w:rFonts w:asciiTheme="minorHAnsi" w:hAnsiTheme="minorHAnsi" w:cs="Arial"/>
                <w:b/>
                <w:bCs/>
                <w:sz w:val="16"/>
                <w:szCs w:val="16"/>
                <w:lang w:val="en-US" w:eastAsia="zh-CN"/>
              </w:rPr>
              <w:t xml:space="preserve">       10,61</w:t>
            </w:r>
            <w:r w:rsidR="00502E68">
              <w:rPr>
                <w:rFonts w:asciiTheme="minorHAnsi" w:hAnsiTheme="minorHAnsi" w:cs="Arial"/>
                <w:b/>
                <w:bCs/>
                <w:sz w:val="16"/>
                <w:szCs w:val="16"/>
                <w:lang w:val="en-US" w:eastAsia="zh-CN"/>
              </w:rPr>
              <w:t>0</w:t>
            </w:r>
            <w:r w:rsidRPr="00AD4557">
              <w:rPr>
                <w:rFonts w:asciiTheme="minorHAnsi" w:hAnsiTheme="minorHAnsi" w:cs="Arial"/>
                <w:b/>
                <w:bCs/>
                <w:sz w:val="16"/>
                <w:szCs w:val="16"/>
                <w:lang w:val="en-US" w:eastAsia="zh-CN"/>
              </w:rPr>
              <w:t xml:space="preserve">   </w:t>
            </w:r>
          </w:p>
        </w:tc>
      </w:tr>
      <w:tr w:rsidR="00AD4557" w:rsidRPr="00AD4557" w:rsidTr="000107D0">
        <w:trPr>
          <w:trHeight w:val="255"/>
        </w:trPr>
        <w:tc>
          <w:tcPr>
            <w:tcW w:w="581" w:type="pct"/>
            <w:tcBorders>
              <w:top w:val="nil"/>
              <w:left w:val="single" w:sz="4" w:space="0" w:color="auto"/>
              <w:bottom w:val="nil"/>
              <w:right w:val="nil"/>
            </w:tcBorders>
            <w:shd w:val="clear" w:color="auto" w:fill="auto"/>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Publications</w:t>
            </w:r>
          </w:p>
        </w:tc>
        <w:tc>
          <w:tcPr>
            <w:tcW w:w="267" w:type="pct"/>
            <w:tcBorders>
              <w:top w:val="nil"/>
              <w:left w:val="single" w:sz="4" w:space="0" w:color="auto"/>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xml:space="preserve">        69 </w:t>
            </w:r>
          </w:p>
        </w:tc>
        <w:tc>
          <w:tcPr>
            <w:tcW w:w="289"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xml:space="preserve">      </w:t>
            </w:r>
            <w:r>
              <w:rPr>
                <w:rFonts w:asciiTheme="minorHAnsi" w:hAnsiTheme="minorHAnsi" w:cs="Arial"/>
                <w:sz w:val="16"/>
                <w:szCs w:val="16"/>
                <w:lang w:val="en-US" w:eastAsia="zh-CN"/>
              </w:rPr>
              <w:t>1</w:t>
            </w:r>
            <w:r w:rsidRPr="00AD4557">
              <w:rPr>
                <w:rFonts w:asciiTheme="minorHAnsi" w:hAnsiTheme="minorHAnsi" w:cs="Arial"/>
                <w:sz w:val="16"/>
                <w:szCs w:val="16"/>
                <w:lang w:val="en-US" w:eastAsia="zh-CN"/>
              </w:rPr>
              <w:t xml:space="preserve">9,280 </w:t>
            </w:r>
          </w:p>
        </w:tc>
        <w:tc>
          <w:tcPr>
            <w:tcW w:w="308"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xml:space="preserve">                35 </w:t>
            </w:r>
          </w:p>
        </w:tc>
        <w:tc>
          <w:tcPr>
            <w:tcW w:w="322"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xml:space="preserve">               202 </w:t>
            </w:r>
          </w:p>
        </w:tc>
        <w:tc>
          <w:tcPr>
            <w:tcW w:w="343" w:type="pct"/>
            <w:tcBorders>
              <w:top w:val="nil"/>
              <w:left w:val="nil"/>
              <w:bottom w:val="nil"/>
              <w:right w:val="nil"/>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xml:space="preserve">                     6 </w:t>
            </w:r>
          </w:p>
        </w:tc>
        <w:tc>
          <w:tcPr>
            <w:tcW w:w="367" w:type="pct"/>
            <w:tcBorders>
              <w:top w:val="nil"/>
              <w:left w:val="single" w:sz="4" w:space="0" w:color="auto"/>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6"/>
                <w:szCs w:val="16"/>
                <w:lang w:val="en-US" w:eastAsia="zh-CN"/>
              </w:rPr>
            </w:pPr>
            <w:r w:rsidRPr="00AD4557">
              <w:rPr>
                <w:rFonts w:asciiTheme="minorHAnsi" w:hAnsiTheme="minorHAnsi" w:cs="Arial"/>
                <w:b/>
                <w:bCs/>
                <w:sz w:val="16"/>
                <w:szCs w:val="16"/>
                <w:lang w:val="en-US" w:eastAsia="zh-CN"/>
              </w:rPr>
              <w:t xml:space="preserve">             </w:t>
            </w:r>
            <w:r>
              <w:rPr>
                <w:rFonts w:asciiTheme="minorHAnsi" w:hAnsiTheme="minorHAnsi" w:cs="Arial"/>
                <w:b/>
                <w:bCs/>
                <w:sz w:val="16"/>
                <w:szCs w:val="16"/>
                <w:lang w:val="en-US" w:eastAsia="zh-CN"/>
              </w:rPr>
              <w:t>1</w:t>
            </w:r>
            <w:r w:rsidRPr="00AD4557">
              <w:rPr>
                <w:rFonts w:asciiTheme="minorHAnsi" w:hAnsiTheme="minorHAnsi" w:cs="Arial"/>
                <w:b/>
                <w:bCs/>
                <w:sz w:val="16"/>
                <w:szCs w:val="16"/>
                <w:lang w:val="en-US" w:eastAsia="zh-CN"/>
              </w:rPr>
              <w:t xml:space="preserve">9,592 </w:t>
            </w:r>
          </w:p>
        </w:tc>
        <w:tc>
          <w:tcPr>
            <w:tcW w:w="349"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290"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282"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37"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197"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32"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68"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57"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311"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6"/>
                <w:szCs w:val="16"/>
                <w:lang w:val="en-US" w:eastAsia="zh-CN"/>
              </w:rPr>
            </w:pPr>
            <w:r w:rsidRPr="00AD4557">
              <w:rPr>
                <w:rFonts w:asciiTheme="minorHAnsi" w:hAnsiTheme="minorHAnsi" w:cs="Arial"/>
                <w:b/>
                <w:bCs/>
                <w:sz w:val="16"/>
                <w:szCs w:val="16"/>
                <w:lang w:val="en-US" w:eastAsia="zh-CN"/>
              </w:rPr>
              <w:t xml:space="preserve">       19,592   </w:t>
            </w:r>
          </w:p>
        </w:tc>
      </w:tr>
      <w:tr w:rsidR="00AD4557" w:rsidRPr="00AD4557" w:rsidTr="000107D0">
        <w:trPr>
          <w:trHeight w:val="255"/>
        </w:trPr>
        <w:tc>
          <w:tcPr>
            <w:tcW w:w="581" w:type="pct"/>
            <w:tcBorders>
              <w:top w:val="nil"/>
              <w:left w:val="single" w:sz="4" w:space="0" w:color="auto"/>
              <w:bottom w:val="nil"/>
              <w:right w:val="nil"/>
            </w:tcBorders>
            <w:shd w:val="clear" w:color="auto" w:fill="auto"/>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Cost recovery</w:t>
            </w:r>
          </w:p>
        </w:tc>
        <w:tc>
          <w:tcPr>
            <w:tcW w:w="267" w:type="pct"/>
            <w:tcBorders>
              <w:top w:val="nil"/>
              <w:left w:val="single" w:sz="4" w:space="0" w:color="auto"/>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xml:space="preserve">          6 </w:t>
            </w:r>
          </w:p>
        </w:tc>
        <w:tc>
          <w:tcPr>
            <w:tcW w:w="289"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xml:space="preserve">      15,342 </w:t>
            </w:r>
          </w:p>
        </w:tc>
        <w:tc>
          <w:tcPr>
            <w:tcW w:w="308"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xml:space="preserve">              141 </w:t>
            </w:r>
          </w:p>
        </w:tc>
        <w:tc>
          <w:tcPr>
            <w:tcW w:w="322"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xml:space="preserve">                  -   </w:t>
            </w:r>
          </w:p>
        </w:tc>
        <w:tc>
          <w:tcPr>
            <w:tcW w:w="343" w:type="pct"/>
            <w:tcBorders>
              <w:top w:val="nil"/>
              <w:left w:val="nil"/>
              <w:bottom w:val="nil"/>
              <w:right w:val="nil"/>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xml:space="preserve">              2,093 </w:t>
            </w:r>
          </w:p>
        </w:tc>
        <w:tc>
          <w:tcPr>
            <w:tcW w:w="367" w:type="pct"/>
            <w:tcBorders>
              <w:top w:val="nil"/>
              <w:left w:val="single" w:sz="4" w:space="0" w:color="auto"/>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6"/>
                <w:szCs w:val="16"/>
                <w:lang w:val="en-US" w:eastAsia="zh-CN"/>
              </w:rPr>
            </w:pPr>
            <w:r w:rsidRPr="00AD4557">
              <w:rPr>
                <w:rFonts w:asciiTheme="minorHAnsi" w:hAnsiTheme="minorHAnsi" w:cs="Arial"/>
                <w:b/>
                <w:bCs/>
                <w:sz w:val="16"/>
                <w:szCs w:val="16"/>
                <w:lang w:val="en-US" w:eastAsia="zh-CN"/>
              </w:rPr>
              <w:t xml:space="preserve">             17,582 </w:t>
            </w:r>
          </w:p>
        </w:tc>
        <w:tc>
          <w:tcPr>
            <w:tcW w:w="349"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290"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282"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37"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197"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32"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68"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57"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311"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6"/>
                <w:szCs w:val="16"/>
                <w:lang w:val="en-US" w:eastAsia="zh-CN"/>
              </w:rPr>
            </w:pPr>
            <w:r w:rsidRPr="00AD4557">
              <w:rPr>
                <w:rFonts w:asciiTheme="minorHAnsi" w:hAnsiTheme="minorHAnsi" w:cs="Arial"/>
                <w:b/>
                <w:bCs/>
                <w:sz w:val="16"/>
                <w:szCs w:val="16"/>
                <w:lang w:val="en-US" w:eastAsia="zh-CN"/>
              </w:rPr>
              <w:t xml:space="preserve">       17,582   </w:t>
            </w:r>
          </w:p>
        </w:tc>
      </w:tr>
      <w:tr w:rsidR="00AD4557" w:rsidRPr="00AD4557" w:rsidTr="000107D0">
        <w:trPr>
          <w:trHeight w:val="255"/>
        </w:trPr>
        <w:tc>
          <w:tcPr>
            <w:tcW w:w="581" w:type="pct"/>
            <w:tcBorders>
              <w:top w:val="nil"/>
              <w:left w:val="single" w:sz="4" w:space="0" w:color="auto"/>
              <w:bottom w:val="nil"/>
              <w:right w:val="nil"/>
            </w:tcBorders>
            <w:shd w:val="clear" w:color="auto" w:fill="auto"/>
            <w:hideMark/>
          </w:tcPr>
          <w:p w:rsidR="00AD4557" w:rsidRPr="00AD4557" w:rsidRDefault="00AD4557" w:rsidP="005316D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Other revenu</w:t>
            </w:r>
            <w:r w:rsidR="005316DD">
              <w:rPr>
                <w:rFonts w:asciiTheme="minorHAnsi" w:hAnsiTheme="minorHAnsi" w:cs="Arial"/>
                <w:color w:val="000000"/>
                <w:sz w:val="16"/>
                <w:szCs w:val="16"/>
                <w:lang w:val="en-US" w:eastAsia="zh-CN"/>
              </w:rPr>
              <w:t>e</w:t>
            </w:r>
          </w:p>
        </w:tc>
        <w:tc>
          <w:tcPr>
            <w:tcW w:w="267" w:type="pct"/>
            <w:tcBorders>
              <w:top w:val="nil"/>
              <w:left w:val="single" w:sz="4" w:space="0" w:color="auto"/>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xml:space="preserve">       40 </w:t>
            </w:r>
          </w:p>
        </w:tc>
        <w:tc>
          <w:tcPr>
            <w:tcW w:w="289"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xml:space="preserve">            312 </w:t>
            </w:r>
          </w:p>
        </w:tc>
        <w:tc>
          <w:tcPr>
            <w:tcW w:w="308"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xml:space="preserve">                  8 </w:t>
            </w:r>
          </w:p>
        </w:tc>
        <w:tc>
          <w:tcPr>
            <w:tcW w:w="322"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xml:space="preserve">                   3 </w:t>
            </w:r>
          </w:p>
        </w:tc>
        <w:tc>
          <w:tcPr>
            <w:tcW w:w="343" w:type="pct"/>
            <w:tcBorders>
              <w:top w:val="nil"/>
              <w:left w:val="nil"/>
              <w:bottom w:val="nil"/>
              <w:right w:val="nil"/>
            </w:tcBorders>
            <w:shd w:val="clear" w:color="auto" w:fill="auto"/>
            <w:noWrap/>
            <w:hideMark/>
          </w:tcPr>
          <w:p w:rsidR="00AD4557" w:rsidRPr="00AD4557" w:rsidRDefault="00AD4557" w:rsidP="00502E6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xml:space="preserve">              1,</w:t>
            </w:r>
            <w:r w:rsidR="00502E68">
              <w:rPr>
                <w:rFonts w:asciiTheme="minorHAnsi" w:hAnsiTheme="minorHAnsi" w:cs="Arial"/>
                <w:sz w:val="16"/>
                <w:szCs w:val="16"/>
                <w:lang w:val="en-US" w:eastAsia="zh-CN"/>
              </w:rPr>
              <w:t>844</w:t>
            </w:r>
            <w:r w:rsidRPr="00AD4557">
              <w:rPr>
                <w:rFonts w:asciiTheme="minorHAnsi" w:hAnsiTheme="minorHAnsi" w:cs="Arial"/>
                <w:sz w:val="16"/>
                <w:szCs w:val="16"/>
                <w:lang w:val="en-US" w:eastAsia="zh-CN"/>
              </w:rPr>
              <w:t xml:space="preserve"> </w:t>
            </w:r>
          </w:p>
        </w:tc>
        <w:tc>
          <w:tcPr>
            <w:tcW w:w="367" w:type="pct"/>
            <w:tcBorders>
              <w:top w:val="nil"/>
              <w:left w:val="single" w:sz="4" w:space="0" w:color="auto"/>
              <w:bottom w:val="nil"/>
              <w:right w:val="single" w:sz="4" w:space="0" w:color="auto"/>
            </w:tcBorders>
            <w:shd w:val="clear" w:color="auto" w:fill="auto"/>
            <w:noWrap/>
            <w:hideMark/>
          </w:tcPr>
          <w:p w:rsidR="00AD4557" w:rsidRPr="00AD4557" w:rsidRDefault="00AD4557" w:rsidP="00502E6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6"/>
                <w:szCs w:val="16"/>
                <w:lang w:val="en-US" w:eastAsia="zh-CN"/>
              </w:rPr>
            </w:pPr>
            <w:r w:rsidRPr="00AD4557">
              <w:rPr>
                <w:rFonts w:asciiTheme="minorHAnsi" w:hAnsiTheme="minorHAnsi" w:cs="Arial"/>
                <w:b/>
                <w:bCs/>
                <w:sz w:val="16"/>
                <w:szCs w:val="16"/>
                <w:lang w:val="en-US" w:eastAsia="zh-CN"/>
              </w:rPr>
              <w:t xml:space="preserve">                </w:t>
            </w:r>
            <w:r w:rsidR="00502E68">
              <w:rPr>
                <w:rFonts w:asciiTheme="minorHAnsi" w:hAnsiTheme="minorHAnsi" w:cs="Arial"/>
                <w:b/>
                <w:bCs/>
                <w:sz w:val="16"/>
                <w:szCs w:val="16"/>
                <w:lang w:val="en-US" w:eastAsia="zh-CN"/>
              </w:rPr>
              <w:t>2</w:t>
            </w:r>
            <w:r w:rsidRPr="00AD4557">
              <w:rPr>
                <w:rFonts w:asciiTheme="minorHAnsi" w:hAnsiTheme="minorHAnsi" w:cs="Arial"/>
                <w:b/>
                <w:bCs/>
                <w:sz w:val="16"/>
                <w:szCs w:val="16"/>
                <w:lang w:val="en-US" w:eastAsia="zh-CN"/>
              </w:rPr>
              <w:t>,</w:t>
            </w:r>
            <w:r w:rsidR="00502E68">
              <w:rPr>
                <w:rFonts w:asciiTheme="minorHAnsi" w:hAnsiTheme="minorHAnsi" w:cs="Arial"/>
                <w:b/>
                <w:bCs/>
                <w:sz w:val="16"/>
                <w:szCs w:val="16"/>
                <w:lang w:val="en-US" w:eastAsia="zh-CN"/>
              </w:rPr>
              <w:t>207</w:t>
            </w:r>
            <w:r w:rsidRPr="00AD4557">
              <w:rPr>
                <w:rFonts w:asciiTheme="minorHAnsi" w:hAnsiTheme="minorHAnsi" w:cs="Arial"/>
                <w:b/>
                <w:bCs/>
                <w:sz w:val="16"/>
                <w:szCs w:val="16"/>
                <w:lang w:val="en-US" w:eastAsia="zh-CN"/>
              </w:rPr>
              <w:t xml:space="preserve"> </w:t>
            </w:r>
          </w:p>
        </w:tc>
        <w:tc>
          <w:tcPr>
            <w:tcW w:w="349"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xml:space="preserve">                    47 </w:t>
            </w:r>
          </w:p>
        </w:tc>
        <w:tc>
          <w:tcPr>
            <w:tcW w:w="290"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282"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40 </w:t>
            </w:r>
          </w:p>
        </w:tc>
        <w:tc>
          <w:tcPr>
            <w:tcW w:w="237"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21 </w:t>
            </w:r>
          </w:p>
        </w:tc>
        <w:tc>
          <w:tcPr>
            <w:tcW w:w="197"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32"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68"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7,409 </w:t>
            </w:r>
          </w:p>
        </w:tc>
        <w:tc>
          <w:tcPr>
            <w:tcW w:w="357"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xml:space="preserve">         -2,501 </w:t>
            </w:r>
          </w:p>
        </w:tc>
        <w:tc>
          <w:tcPr>
            <w:tcW w:w="311" w:type="pct"/>
            <w:tcBorders>
              <w:top w:val="nil"/>
              <w:left w:val="nil"/>
              <w:bottom w:val="nil"/>
              <w:right w:val="single" w:sz="4" w:space="0" w:color="auto"/>
            </w:tcBorders>
            <w:shd w:val="clear" w:color="auto" w:fill="auto"/>
            <w:noWrap/>
            <w:hideMark/>
          </w:tcPr>
          <w:p w:rsidR="00AD4557" w:rsidRPr="00AD4557" w:rsidRDefault="00AD4557" w:rsidP="00502E6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6"/>
                <w:szCs w:val="16"/>
                <w:lang w:val="en-US" w:eastAsia="zh-CN"/>
              </w:rPr>
            </w:pPr>
            <w:r w:rsidRPr="00AD4557">
              <w:rPr>
                <w:rFonts w:asciiTheme="minorHAnsi" w:hAnsiTheme="minorHAnsi" w:cs="Arial"/>
                <w:b/>
                <w:bCs/>
                <w:sz w:val="16"/>
                <w:szCs w:val="16"/>
                <w:lang w:val="en-US" w:eastAsia="zh-CN"/>
              </w:rPr>
              <w:t xml:space="preserve">          </w:t>
            </w:r>
            <w:r w:rsidR="00502E68">
              <w:rPr>
                <w:rFonts w:asciiTheme="minorHAnsi" w:hAnsiTheme="minorHAnsi" w:cs="Arial"/>
                <w:b/>
                <w:bCs/>
                <w:sz w:val="16"/>
                <w:szCs w:val="16"/>
                <w:lang w:val="en-US" w:eastAsia="zh-CN"/>
              </w:rPr>
              <w:t>7</w:t>
            </w:r>
            <w:r w:rsidRPr="00AD4557">
              <w:rPr>
                <w:rFonts w:asciiTheme="minorHAnsi" w:hAnsiTheme="minorHAnsi" w:cs="Arial"/>
                <w:b/>
                <w:bCs/>
                <w:sz w:val="16"/>
                <w:szCs w:val="16"/>
                <w:lang w:val="en-US" w:eastAsia="zh-CN"/>
              </w:rPr>
              <w:t>,</w:t>
            </w:r>
            <w:r w:rsidR="00502E68">
              <w:rPr>
                <w:rFonts w:asciiTheme="minorHAnsi" w:hAnsiTheme="minorHAnsi" w:cs="Arial"/>
                <w:b/>
                <w:bCs/>
                <w:sz w:val="16"/>
                <w:szCs w:val="16"/>
                <w:lang w:val="en-US" w:eastAsia="zh-CN"/>
              </w:rPr>
              <w:t>223</w:t>
            </w:r>
            <w:r w:rsidRPr="00AD4557">
              <w:rPr>
                <w:rFonts w:asciiTheme="minorHAnsi" w:hAnsiTheme="minorHAnsi" w:cs="Arial"/>
                <w:b/>
                <w:bCs/>
                <w:sz w:val="16"/>
                <w:szCs w:val="16"/>
                <w:lang w:val="en-US" w:eastAsia="zh-CN"/>
              </w:rPr>
              <w:t xml:space="preserve">   </w:t>
            </w:r>
          </w:p>
        </w:tc>
      </w:tr>
      <w:tr w:rsidR="00AD4557" w:rsidRPr="00AD4557" w:rsidTr="000107D0">
        <w:trPr>
          <w:trHeight w:val="255"/>
        </w:trPr>
        <w:tc>
          <w:tcPr>
            <w:tcW w:w="581" w:type="pct"/>
            <w:tcBorders>
              <w:top w:val="nil"/>
              <w:left w:val="single" w:sz="4" w:space="0" w:color="auto"/>
              <w:bottom w:val="nil"/>
              <w:right w:val="nil"/>
            </w:tcBorders>
            <w:shd w:val="clear" w:color="auto" w:fill="auto"/>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Finance Revenue</w:t>
            </w:r>
          </w:p>
        </w:tc>
        <w:tc>
          <w:tcPr>
            <w:tcW w:w="267" w:type="pct"/>
            <w:tcBorders>
              <w:top w:val="nil"/>
              <w:left w:val="single" w:sz="4" w:space="0" w:color="auto"/>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289"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xml:space="preserve">                 0 </w:t>
            </w:r>
          </w:p>
        </w:tc>
        <w:tc>
          <w:tcPr>
            <w:tcW w:w="308"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322"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xml:space="preserve">                   3 </w:t>
            </w:r>
          </w:p>
        </w:tc>
        <w:tc>
          <w:tcPr>
            <w:tcW w:w="343" w:type="pct"/>
            <w:tcBorders>
              <w:top w:val="nil"/>
              <w:left w:val="nil"/>
              <w:bottom w:val="nil"/>
              <w:right w:val="nil"/>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xml:space="preserve">                   60 </w:t>
            </w:r>
          </w:p>
        </w:tc>
        <w:tc>
          <w:tcPr>
            <w:tcW w:w="367" w:type="pct"/>
            <w:tcBorders>
              <w:top w:val="nil"/>
              <w:left w:val="single" w:sz="4" w:space="0" w:color="auto"/>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6"/>
                <w:szCs w:val="16"/>
                <w:lang w:val="en-US" w:eastAsia="zh-CN"/>
              </w:rPr>
            </w:pPr>
            <w:r w:rsidRPr="00AD4557">
              <w:rPr>
                <w:rFonts w:asciiTheme="minorHAnsi" w:hAnsiTheme="minorHAnsi" w:cs="Arial"/>
                <w:b/>
                <w:bCs/>
                <w:sz w:val="16"/>
                <w:szCs w:val="16"/>
                <w:lang w:val="en-US" w:eastAsia="zh-CN"/>
              </w:rPr>
              <w:t xml:space="preserve">                     62 </w:t>
            </w:r>
          </w:p>
        </w:tc>
        <w:tc>
          <w:tcPr>
            <w:tcW w:w="349"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290"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xml:space="preserve">                 1 </w:t>
            </w:r>
          </w:p>
        </w:tc>
        <w:tc>
          <w:tcPr>
            <w:tcW w:w="282"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2 </w:t>
            </w:r>
          </w:p>
        </w:tc>
        <w:tc>
          <w:tcPr>
            <w:tcW w:w="237"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176 </w:t>
            </w:r>
          </w:p>
        </w:tc>
        <w:tc>
          <w:tcPr>
            <w:tcW w:w="197"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35 </w:t>
            </w:r>
          </w:p>
        </w:tc>
        <w:tc>
          <w:tcPr>
            <w:tcW w:w="232"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68"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-18 </w:t>
            </w:r>
          </w:p>
        </w:tc>
        <w:tc>
          <w:tcPr>
            <w:tcW w:w="357"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311"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6"/>
                <w:szCs w:val="16"/>
                <w:lang w:val="en-US" w:eastAsia="zh-CN"/>
              </w:rPr>
            </w:pPr>
            <w:r w:rsidRPr="00AD4557">
              <w:rPr>
                <w:rFonts w:asciiTheme="minorHAnsi" w:hAnsiTheme="minorHAnsi" w:cs="Arial"/>
                <w:b/>
                <w:bCs/>
                <w:sz w:val="16"/>
                <w:szCs w:val="16"/>
                <w:lang w:val="en-US" w:eastAsia="zh-CN"/>
              </w:rPr>
              <w:t xml:space="preserve">              258   </w:t>
            </w:r>
          </w:p>
        </w:tc>
      </w:tr>
      <w:tr w:rsidR="00AD4557" w:rsidRPr="00AD4557" w:rsidTr="000107D0">
        <w:trPr>
          <w:trHeight w:val="255"/>
        </w:trPr>
        <w:tc>
          <w:tcPr>
            <w:tcW w:w="581" w:type="pct"/>
            <w:tcBorders>
              <w:top w:val="nil"/>
              <w:left w:val="single" w:sz="4" w:space="0" w:color="auto"/>
              <w:bottom w:val="nil"/>
              <w:right w:val="nil"/>
            </w:tcBorders>
            <w:shd w:val="clear" w:color="auto" w:fill="auto"/>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67" w:type="pct"/>
            <w:tcBorders>
              <w:top w:val="nil"/>
              <w:left w:val="single" w:sz="4" w:space="0" w:color="auto"/>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289"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308"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322"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343" w:type="pct"/>
            <w:tcBorders>
              <w:top w:val="nil"/>
              <w:left w:val="nil"/>
              <w:bottom w:val="nil"/>
              <w:right w:val="nil"/>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367" w:type="pct"/>
            <w:tcBorders>
              <w:top w:val="nil"/>
              <w:left w:val="single" w:sz="4" w:space="0" w:color="auto"/>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349"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290"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282"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37"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197"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32"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68"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57"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311" w:type="pct"/>
            <w:tcBorders>
              <w:top w:val="nil"/>
              <w:left w:val="nil"/>
              <w:bottom w:val="nil"/>
              <w:right w:val="single" w:sz="4" w:space="0" w:color="auto"/>
            </w:tcBorders>
            <w:shd w:val="clear" w:color="auto" w:fill="auto"/>
            <w:noWrap/>
            <w:hideMark/>
          </w:tcPr>
          <w:p w:rsidR="00AD4557" w:rsidRPr="00AD4557" w:rsidRDefault="00AD4557" w:rsidP="005316D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6"/>
                <w:szCs w:val="16"/>
                <w:lang w:val="en-US" w:eastAsia="zh-CN"/>
              </w:rPr>
            </w:pPr>
            <w:r w:rsidRPr="00AD4557">
              <w:rPr>
                <w:rFonts w:asciiTheme="minorHAnsi" w:hAnsiTheme="minorHAnsi" w:cs="Arial"/>
                <w:b/>
                <w:bCs/>
                <w:sz w:val="16"/>
                <w:szCs w:val="16"/>
                <w:lang w:val="en-US" w:eastAsia="zh-CN"/>
              </w:rPr>
              <w:t xml:space="preserve">                     </w:t>
            </w:r>
          </w:p>
        </w:tc>
      </w:tr>
      <w:tr w:rsidR="00AD4557" w:rsidRPr="00AD4557" w:rsidTr="000107D0">
        <w:trPr>
          <w:trHeight w:val="255"/>
        </w:trPr>
        <w:tc>
          <w:tcPr>
            <w:tcW w:w="581" w:type="pct"/>
            <w:tcBorders>
              <w:top w:val="single" w:sz="4" w:space="0" w:color="auto"/>
              <w:left w:val="single" w:sz="4" w:space="0" w:color="auto"/>
              <w:bottom w:val="single" w:sz="4" w:space="0" w:color="auto"/>
              <w:right w:val="nil"/>
            </w:tcBorders>
            <w:shd w:val="clear" w:color="auto" w:fill="auto"/>
            <w:noWrap/>
            <w:vAlign w:val="center"/>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Total revenue</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115 </w:t>
            </w:r>
          </w:p>
        </w:tc>
        <w:tc>
          <w:tcPr>
            <w:tcW w:w="289" w:type="pct"/>
            <w:tcBorders>
              <w:top w:val="single" w:sz="4" w:space="0" w:color="auto"/>
              <w:left w:val="nil"/>
              <w:bottom w:val="single" w:sz="4" w:space="0" w:color="auto"/>
              <w:right w:val="single" w:sz="4" w:space="0" w:color="auto"/>
            </w:tcBorders>
            <w:shd w:val="clear" w:color="auto" w:fill="auto"/>
            <w:noWrap/>
            <w:vAlign w:val="center"/>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41,617 </w:t>
            </w:r>
          </w:p>
        </w:tc>
        <w:tc>
          <w:tcPr>
            <w:tcW w:w="308" w:type="pct"/>
            <w:tcBorders>
              <w:top w:val="single" w:sz="4" w:space="0" w:color="auto"/>
              <w:left w:val="nil"/>
              <w:bottom w:val="single" w:sz="4" w:space="0" w:color="auto"/>
              <w:right w:val="single" w:sz="4" w:space="0" w:color="auto"/>
            </w:tcBorders>
            <w:shd w:val="clear" w:color="auto" w:fill="auto"/>
            <w:noWrap/>
            <w:vAlign w:val="center"/>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7,689 </w:t>
            </w:r>
          </w:p>
        </w:tc>
        <w:tc>
          <w:tcPr>
            <w:tcW w:w="322" w:type="pct"/>
            <w:tcBorders>
              <w:top w:val="single" w:sz="4" w:space="0" w:color="auto"/>
              <w:left w:val="nil"/>
              <w:bottom w:val="single" w:sz="4" w:space="0" w:color="auto"/>
              <w:right w:val="single" w:sz="4" w:space="0" w:color="auto"/>
            </w:tcBorders>
            <w:shd w:val="clear" w:color="auto" w:fill="auto"/>
            <w:noWrap/>
            <w:vAlign w:val="center"/>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1,806 </w:t>
            </w:r>
          </w:p>
        </w:tc>
        <w:tc>
          <w:tcPr>
            <w:tcW w:w="343" w:type="pct"/>
            <w:tcBorders>
              <w:top w:val="single" w:sz="4" w:space="0" w:color="auto"/>
              <w:left w:val="nil"/>
              <w:bottom w:val="single" w:sz="4" w:space="0" w:color="auto"/>
              <w:right w:val="nil"/>
            </w:tcBorders>
            <w:shd w:val="clear" w:color="auto" w:fill="auto"/>
            <w:noWrap/>
            <w:vAlign w:val="center"/>
            <w:hideMark/>
          </w:tcPr>
          <w:p w:rsidR="00AD4557" w:rsidRPr="00AD4557" w:rsidRDefault="00AD4557" w:rsidP="00502E6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110,</w:t>
            </w:r>
            <w:r w:rsidR="00502E68">
              <w:rPr>
                <w:rFonts w:asciiTheme="minorHAnsi" w:hAnsiTheme="minorHAnsi" w:cs="Arial"/>
                <w:b/>
                <w:bCs/>
                <w:color w:val="000000"/>
                <w:sz w:val="16"/>
                <w:szCs w:val="16"/>
                <w:lang w:val="en-US" w:eastAsia="zh-CN"/>
              </w:rPr>
              <w:t>616</w:t>
            </w:r>
            <w:r w:rsidRPr="00AD4557">
              <w:rPr>
                <w:rFonts w:asciiTheme="minorHAnsi" w:hAnsiTheme="minorHAnsi" w:cs="Arial"/>
                <w:b/>
                <w:bCs/>
                <w:color w:val="000000"/>
                <w:sz w:val="16"/>
                <w:szCs w:val="16"/>
                <w:lang w:val="en-US" w:eastAsia="zh-CN"/>
              </w:rPr>
              <w:t xml:space="preserve"> </w:t>
            </w: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4557" w:rsidRPr="00AD4557" w:rsidRDefault="00AD4557" w:rsidP="00502E6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161,</w:t>
            </w:r>
            <w:r w:rsidR="00502E68">
              <w:rPr>
                <w:rFonts w:asciiTheme="minorHAnsi" w:hAnsiTheme="minorHAnsi" w:cs="Arial"/>
                <w:b/>
                <w:bCs/>
                <w:color w:val="000000"/>
                <w:sz w:val="16"/>
                <w:szCs w:val="16"/>
                <w:lang w:val="en-US" w:eastAsia="zh-CN"/>
              </w:rPr>
              <w:t>842</w:t>
            </w:r>
            <w:r w:rsidRPr="00AD4557">
              <w:rPr>
                <w:rFonts w:asciiTheme="minorHAnsi" w:hAnsiTheme="minorHAnsi" w:cs="Arial"/>
                <w:b/>
                <w:bCs/>
                <w:color w:val="000000"/>
                <w:sz w:val="16"/>
                <w:szCs w:val="16"/>
                <w:lang w:val="en-US" w:eastAsia="zh-CN"/>
              </w:rPr>
              <w:t xml:space="preserve"> </w:t>
            </w:r>
          </w:p>
        </w:tc>
        <w:tc>
          <w:tcPr>
            <w:tcW w:w="349" w:type="pct"/>
            <w:tcBorders>
              <w:top w:val="single" w:sz="4" w:space="0" w:color="auto"/>
              <w:left w:val="nil"/>
              <w:bottom w:val="single" w:sz="4" w:space="0" w:color="auto"/>
              <w:right w:val="single" w:sz="4" w:space="0" w:color="auto"/>
            </w:tcBorders>
            <w:shd w:val="clear" w:color="auto" w:fill="auto"/>
            <w:noWrap/>
            <w:vAlign w:val="center"/>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47 </w:t>
            </w:r>
          </w:p>
        </w:tc>
        <w:tc>
          <w:tcPr>
            <w:tcW w:w="290" w:type="pct"/>
            <w:tcBorders>
              <w:top w:val="single" w:sz="4" w:space="0" w:color="auto"/>
              <w:left w:val="nil"/>
              <w:bottom w:val="single" w:sz="4" w:space="0" w:color="auto"/>
              <w:right w:val="single" w:sz="4" w:space="0" w:color="auto"/>
            </w:tcBorders>
            <w:shd w:val="clear" w:color="auto" w:fill="auto"/>
            <w:noWrap/>
            <w:vAlign w:val="center"/>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1 </w:t>
            </w:r>
          </w:p>
        </w:tc>
        <w:tc>
          <w:tcPr>
            <w:tcW w:w="282" w:type="pct"/>
            <w:tcBorders>
              <w:top w:val="single" w:sz="4" w:space="0" w:color="auto"/>
              <w:left w:val="nil"/>
              <w:bottom w:val="single" w:sz="4" w:space="0" w:color="auto"/>
              <w:right w:val="single" w:sz="4" w:space="0" w:color="auto"/>
            </w:tcBorders>
            <w:shd w:val="clear" w:color="auto" w:fill="auto"/>
            <w:noWrap/>
            <w:vAlign w:val="center"/>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2,303 </w:t>
            </w:r>
          </w:p>
        </w:tc>
        <w:tc>
          <w:tcPr>
            <w:tcW w:w="237" w:type="pct"/>
            <w:tcBorders>
              <w:top w:val="single" w:sz="4" w:space="0" w:color="auto"/>
              <w:left w:val="nil"/>
              <w:bottom w:val="single" w:sz="4" w:space="0" w:color="auto"/>
              <w:right w:val="single" w:sz="4" w:space="0" w:color="auto"/>
            </w:tcBorders>
            <w:shd w:val="clear" w:color="auto" w:fill="auto"/>
            <w:noWrap/>
            <w:vAlign w:val="center"/>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8,513 </w:t>
            </w:r>
          </w:p>
        </w:tc>
        <w:tc>
          <w:tcPr>
            <w:tcW w:w="197" w:type="pct"/>
            <w:tcBorders>
              <w:top w:val="single" w:sz="4" w:space="0" w:color="auto"/>
              <w:left w:val="nil"/>
              <w:bottom w:val="single" w:sz="4" w:space="0" w:color="auto"/>
              <w:right w:val="single" w:sz="4" w:space="0" w:color="auto"/>
            </w:tcBorders>
            <w:shd w:val="clear" w:color="auto" w:fill="auto"/>
            <w:noWrap/>
            <w:vAlign w:val="center"/>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35 </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25 </w:t>
            </w:r>
          </w:p>
        </w:tc>
        <w:tc>
          <w:tcPr>
            <w:tcW w:w="268" w:type="pct"/>
            <w:tcBorders>
              <w:top w:val="single" w:sz="4" w:space="0" w:color="auto"/>
              <w:left w:val="nil"/>
              <w:bottom w:val="single" w:sz="4" w:space="0" w:color="auto"/>
              <w:right w:val="single" w:sz="4" w:space="0" w:color="auto"/>
            </w:tcBorders>
            <w:shd w:val="clear" w:color="auto" w:fill="auto"/>
            <w:noWrap/>
            <w:vAlign w:val="center"/>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7,391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-2,501 </w:t>
            </w:r>
          </w:p>
        </w:tc>
        <w:tc>
          <w:tcPr>
            <w:tcW w:w="311" w:type="pct"/>
            <w:tcBorders>
              <w:top w:val="single" w:sz="4" w:space="0" w:color="auto"/>
              <w:left w:val="nil"/>
              <w:bottom w:val="single" w:sz="4" w:space="0" w:color="auto"/>
              <w:right w:val="single" w:sz="4" w:space="0" w:color="auto"/>
            </w:tcBorders>
            <w:shd w:val="clear" w:color="auto" w:fill="auto"/>
            <w:noWrap/>
            <w:vAlign w:val="center"/>
            <w:hideMark/>
          </w:tcPr>
          <w:p w:rsidR="00AD4557" w:rsidRPr="00AD4557" w:rsidRDefault="00AD4557" w:rsidP="00502E6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177,</w:t>
            </w:r>
            <w:r w:rsidR="00502E68">
              <w:rPr>
                <w:rFonts w:asciiTheme="minorHAnsi" w:hAnsiTheme="minorHAnsi" w:cs="Arial"/>
                <w:b/>
                <w:bCs/>
                <w:color w:val="000000"/>
                <w:sz w:val="16"/>
                <w:szCs w:val="16"/>
                <w:lang w:val="en-US" w:eastAsia="zh-CN"/>
              </w:rPr>
              <w:t>655</w:t>
            </w:r>
            <w:r w:rsidRPr="00AD4557">
              <w:rPr>
                <w:rFonts w:asciiTheme="minorHAnsi" w:hAnsiTheme="minorHAnsi" w:cs="Arial"/>
                <w:b/>
                <w:bCs/>
                <w:color w:val="000000"/>
                <w:sz w:val="16"/>
                <w:szCs w:val="16"/>
                <w:lang w:val="en-US" w:eastAsia="zh-CN"/>
              </w:rPr>
              <w:t xml:space="preserve"> </w:t>
            </w:r>
          </w:p>
        </w:tc>
      </w:tr>
      <w:tr w:rsidR="00AD4557" w:rsidRPr="00AD4557" w:rsidTr="000107D0">
        <w:trPr>
          <w:trHeight w:val="255"/>
        </w:trPr>
        <w:tc>
          <w:tcPr>
            <w:tcW w:w="581" w:type="pct"/>
            <w:tcBorders>
              <w:top w:val="nil"/>
              <w:left w:val="single" w:sz="4" w:space="0" w:color="auto"/>
              <w:bottom w:val="nil"/>
              <w:right w:val="nil"/>
            </w:tcBorders>
            <w:shd w:val="clear" w:color="auto" w:fill="auto"/>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w:t>
            </w:r>
          </w:p>
        </w:tc>
        <w:tc>
          <w:tcPr>
            <w:tcW w:w="267" w:type="pct"/>
            <w:tcBorders>
              <w:top w:val="nil"/>
              <w:left w:val="single" w:sz="4" w:space="0" w:color="auto"/>
              <w:bottom w:val="nil"/>
              <w:right w:val="single" w:sz="4" w:space="0" w:color="auto"/>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289" w:type="pct"/>
            <w:tcBorders>
              <w:top w:val="nil"/>
              <w:left w:val="nil"/>
              <w:bottom w:val="nil"/>
              <w:right w:val="single" w:sz="4" w:space="0" w:color="auto"/>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308" w:type="pct"/>
            <w:tcBorders>
              <w:top w:val="nil"/>
              <w:left w:val="nil"/>
              <w:bottom w:val="nil"/>
              <w:right w:val="single" w:sz="4" w:space="0" w:color="auto"/>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322" w:type="pct"/>
            <w:tcBorders>
              <w:top w:val="nil"/>
              <w:left w:val="nil"/>
              <w:bottom w:val="nil"/>
              <w:right w:val="single" w:sz="4" w:space="0" w:color="auto"/>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343" w:type="pct"/>
            <w:tcBorders>
              <w:top w:val="nil"/>
              <w:left w:val="nil"/>
              <w:bottom w:val="nil"/>
              <w:right w:val="nil"/>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367" w:type="pct"/>
            <w:tcBorders>
              <w:top w:val="nil"/>
              <w:left w:val="single" w:sz="4" w:space="0" w:color="auto"/>
              <w:bottom w:val="nil"/>
              <w:right w:val="single" w:sz="4" w:space="0" w:color="auto"/>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349" w:type="pct"/>
            <w:tcBorders>
              <w:top w:val="nil"/>
              <w:left w:val="nil"/>
              <w:bottom w:val="nil"/>
              <w:right w:val="single" w:sz="4" w:space="0" w:color="auto"/>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290" w:type="pct"/>
            <w:tcBorders>
              <w:top w:val="nil"/>
              <w:left w:val="nil"/>
              <w:bottom w:val="nil"/>
              <w:right w:val="single" w:sz="4" w:space="0" w:color="auto"/>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282" w:type="pct"/>
            <w:tcBorders>
              <w:top w:val="nil"/>
              <w:left w:val="nil"/>
              <w:bottom w:val="nil"/>
              <w:right w:val="single" w:sz="4" w:space="0" w:color="auto"/>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237" w:type="pct"/>
            <w:tcBorders>
              <w:top w:val="nil"/>
              <w:left w:val="nil"/>
              <w:bottom w:val="nil"/>
              <w:right w:val="single" w:sz="4" w:space="0" w:color="auto"/>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197" w:type="pct"/>
            <w:tcBorders>
              <w:top w:val="nil"/>
              <w:left w:val="nil"/>
              <w:bottom w:val="nil"/>
              <w:right w:val="single" w:sz="4" w:space="0" w:color="auto"/>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232" w:type="pct"/>
            <w:tcBorders>
              <w:top w:val="nil"/>
              <w:left w:val="nil"/>
              <w:bottom w:val="nil"/>
              <w:right w:val="single" w:sz="4" w:space="0" w:color="auto"/>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268" w:type="pct"/>
            <w:tcBorders>
              <w:top w:val="nil"/>
              <w:left w:val="nil"/>
              <w:bottom w:val="nil"/>
              <w:right w:val="single" w:sz="4" w:space="0" w:color="auto"/>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357" w:type="pct"/>
            <w:tcBorders>
              <w:top w:val="nil"/>
              <w:left w:val="nil"/>
              <w:bottom w:val="nil"/>
              <w:right w:val="single" w:sz="4" w:space="0" w:color="auto"/>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311" w:type="pct"/>
            <w:tcBorders>
              <w:top w:val="nil"/>
              <w:left w:val="nil"/>
              <w:bottom w:val="nil"/>
              <w:right w:val="single" w:sz="4" w:space="0" w:color="auto"/>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r>
      <w:tr w:rsidR="00AD4557" w:rsidRPr="00AD4557" w:rsidTr="000107D0">
        <w:trPr>
          <w:trHeight w:val="74"/>
        </w:trPr>
        <w:tc>
          <w:tcPr>
            <w:tcW w:w="581" w:type="pct"/>
            <w:tcBorders>
              <w:top w:val="nil"/>
              <w:left w:val="single" w:sz="4" w:space="0" w:color="auto"/>
              <w:bottom w:val="nil"/>
              <w:right w:val="nil"/>
            </w:tcBorders>
            <w:shd w:val="clear" w:color="auto" w:fill="auto"/>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EXPENSES</w:t>
            </w:r>
          </w:p>
        </w:tc>
        <w:tc>
          <w:tcPr>
            <w:tcW w:w="267" w:type="pct"/>
            <w:tcBorders>
              <w:top w:val="nil"/>
              <w:left w:val="single" w:sz="4" w:space="0" w:color="auto"/>
              <w:bottom w:val="nil"/>
              <w:right w:val="single" w:sz="4" w:space="0" w:color="auto"/>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89" w:type="pct"/>
            <w:tcBorders>
              <w:top w:val="nil"/>
              <w:left w:val="nil"/>
              <w:bottom w:val="nil"/>
              <w:right w:val="single" w:sz="4" w:space="0" w:color="auto"/>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08" w:type="pct"/>
            <w:tcBorders>
              <w:top w:val="nil"/>
              <w:left w:val="nil"/>
              <w:bottom w:val="nil"/>
              <w:right w:val="single" w:sz="4" w:space="0" w:color="auto"/>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22" w:type="pct"/>
            <w:tcBorders>
              <w:top w:val="nil"/>
              <w:left w:val="nil"/>
              <w:bottom w:val="nil"/>
              <w:right w:val="single" w:sz="4" w:space="0" w:color="auto"/>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43" w:type="pct"/>
            <w:tcBorders>
              <w:top w:val="nil"/>
              <w:left w:val="nil"/>
              <w:bottom w:val="nil"/>
              <w:right w:val="nil"/>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p>
        </w:tc>
        <w:tc>
          <w:tcPr>
            <w:tcW w:w="367" w:type="pct"/>
            <w:tcBorders>
              <w:top w:val="nil"/>
              <w:left w:val="single" w:sz="4" w:space="0" w:color="auto"/>
              <w:bottom w:val="nil"/>
              <w:right w:val="single" w:sz="4" w:space="0" w:color="auto"/>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49" w:type="pct"/>
            <w:tcBorders>
              <w:top w:val="nil"/>
              <w:left w:val="nil"/>
              <w:bottom w:val="nil"/>
              <w:right w:val="single" w:sz="4" w:space="0" w:color="auto"/>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90" w:type="pct"/>
            <w:tcBorders>
              <w:top w:val="nil"/>
              <w:left w:val="nil"/>
              <w:bottom w:val="nil"/>
              <w:right w:val="single" w:sz="4" w:space="0" w:color="auto"/>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82" w:type="pct"/>
            <w:tcBorders>
              <w:top w:val="nil"/>
              <w:left w:val="nil"/>
              <w:bottom w:val="nil"/>
              <w:right w:val="single" w:sz="4" w:space="0" w:color="auto"/>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37" w:type="pct"/>
            <w:tcBorders>
              <w:top w:val="nil"/>
              <w:left w:val="nil"/>
              <w:bottom w:val="nil"/>
              <w:right w:val="single" w:sz="4" w:space="0" w:color="auto"/>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197" w:type="pct"/>
            <w:tcBorders>
              <w:top w:val="nil"/>
              <w:left w:val="nil"/>
              <w:bottom w:val="nil"/>
              <w:right w:val="single" w:sz="4" w:space="0" w:color="auto"/>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32" w:type="pct"/>
            <w:tcBorders>
              <w:top w:val="nil"/>
              <w:left w:val="nil"/>
              <w:bottom w:val="nil"/>
              <w:right w:val="single" w:sz="4" w:space="0" w:color="auto"/>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68" w:type="pct"/>
            <w:tcBorders>
              <w:top w:val="nil"/>
              <w:left w:val="nil"/>
              <w:bottom w:val="nil"/>
              <w:right w:val="single" w:sz="4" w:space="0" w:color="auto"/>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57" w:type="pct"/>
            <w:tcBorders>
              <w:top w:val="nil"/>
              <w:left w:val="nil"/>
              <w:bottom w:val="nil"/>
              <w:right w:val="single" w:sz="4" w:space="0" w:color="auto"/>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11" w:type="pct"/>
            <w:tcBorders>
              <w:top w:val="nil"/>
              <w:left w:val="nil"/>
              <w:bottom w:val="nil"/>
              <w:right w:val="single" w:sz="4" w:space="0" w:color="auto"/>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r>
      <w:tr w:rsidR="00AD4557" w:rsidRPr="00AD4557" w:rsidTr="000107D0">
        <w:trPr>
          <w:trHeight w:val="255"/>
        </w:trPr>
        <w:tc>
          <w:tcPr>
            <w:tcW w:w="581" w:type="pct"/>
            <w:tcBorders>
              <w:top w:val="nil"/>
              <w:left w:val="single" w:sz="4" w:space="0" w:color="auto"/>
              <w:bottom w:val="nil"/>
              <w:right w:val="nil"/>
            </w:tcBorders>
            <w:shd w:val="clear" w:color="auto" w:fill="auto"/>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w:t>
            </w:r>
          </w:p>
        </w:tc>
        <w:tc>
          <w:tcPr>
            <w:tcW w:w="267" w:type="pct"/>
            <w:tcBorders>
              <w:top w:val="nil"/>
              <w:left w:val="single" w:sz="4" w:space="0" w:color="auto"/>
              <w:bottom w:val="nil"/>
              <w:right w:val="single" w:sz="4" w:space="0" w:color="auto"/>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89" w:type="pct"/>
            <w:tcBorders>
              <w:top w:val="nil"/>
              <w:left w:val="nil"/>
              <w:bottom w:val="nil"/>
              <w:right w:val="single" w:sz="4" w:space="0" w:color="auto"/>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08" w:type="pct"/>
            <w:tcBorders>
              <w:top w:val="nil"/>
              <w:left w:val="nil"/>
              <w:bottom w:val="nil"/>
              <w:right w:val="single" w:sz="4" w:space="0" w:color="auto"/>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22" w:type="pct"/>
            <w:tcBorders>
              <w:top w:val="nil"/>
              <w:left w:val="nil"/>
              <w:bottom w:val="nil"/>
              <w:right w:val="single" w:sz="4" w:space="0" w:color="auto"/>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43" w:type="pct"/>
            <w:tcBorders>
              <w:top w:val="nil"/>
              <w:left w:val="nil"/>
              <w:bottom w:val="nil"/>
              <w:right w:val="nil"/>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67" w:type="pct"/>
            <w:tcBorders>
              <w:top w:val="nil"/>
              <w:left w:val="single" w:sz="4" w:space="0" w:color="auto"/>
              <w:bottom w:val="nil"/>
              <w:right w:val="single" w:sz="4" w:space="0" w:color="auto"/>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49" w:type="pct"/>
            <w:tcBorders>
              <w:top w:val="nil"/>
              <w:left w:val="nil"/>
              <w:bottom w:val="nil"/>
              <w:right w:val="single" w:sz="4" w:space="0" w:color="auto"/>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90" w:type="pct"/>
            <w:tcBorders>
              <w:top w:val="nil"/>
              <w:left w:val="nil"/>
              <w:bottom w:val="nil"/>
              <w:right w:val="single" w:sz="4" w:space="0" w:color="auto"/>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82" w:type="pct"/>
            <w:tcBorders>
              <w:top w:val="nil"/>
              <w:left w:val="nil"/>
              <w:bottom w:val="nil"/>
              <w:right w:val="single" w:sz="4" w:space="0" w:color="auto"/>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37" w:type="pct"/>
            <w:tcBorders>
              <w:top w:val="nil"/>
              <w:left w:val="nil"/>
              <w:bottom w:val="nil"/>
              <w:right w:val="single" w:sz="4" w:space="0" w:color="auto"/>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197" w:type="pct"/>
            <w:tcBorders>
              <w:top w:val="nil"/>
              <w:left w:val="nil"/>
              <w:bottom w:val="nil"/>
              <w:right w:val="single" w:sz="4" w:space="0" w:color="auto"/>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32" w:type="pct"/>
            <w:tcBorders>
              <w:top w:val="nil"/>
              <w:left w:val="nil"/>
              <w:bottom w:val="nil"/>
              <w:right w:val="single" w:sz="4" w:space="0" w:color="auto"/>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68" w:type="pct"/>
            <w:tcBorders>
              <w:top w:val="nil"/>
              <w:left w:val="nil"/>
              <w:bottom w:val="nil"/>
              <w:right w:val="single" w:sz="4" w:space="0" w:color="auto"/>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57" w:type="pct"/>
            <w:tcBorders>
              <w:top w:val="nil"/>
              <w:left w:val="nil"/>
              <w:bottom w:val="nil"/>
              <w:right w:val="single" w:sz="4" w:space="0" w:color="auto"/>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11" w:type="pct"/>
            <w:tcBorders>
              <w:top w:val="nil"/>
              <w:left w:val="nil"/>
              <w:bottom w:val="nil"/>
              <w:right w:val="single" w:sz="4" w:space="0" w:color="auto"/>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p>
        </w:tc>
      </w:tr>
      <w:tr w:rsidR="00AD4557" w:rsidRPr="00AD4557" w:rsidTr="000107D0">
        <w:trPr>
          <w:trHeight w:val="255"/>
        </w:trPr>
        <w:tc>
          <w:tcPr>
            <w:tcW w:w="581" w:type="pct"/>
            <w:tcBorders>
              <w:top w:val="nil"/>
              <w:left w:val="single" w:sz="4" w:space="0" w:color="auto"/>
              <w:bottom w:val="nil"/>
              <w:right w:val="nil"/>
            </w:tcBorders>
            <w:shd w:val="clear" w:color="auto" w:fill="auto"/>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Employee expenses</w:t>
            </w:r>
          </w:p>
        </w:tc>
        <w:tc>
          <w:tcPr>
            <w:tcW w:w="267" w:type="pct"/>
            <w:tcBorders>
              <w:top w:val="nil"/>
              <w:left w:val="single" w:sz="4" w:space="0" w:color="auto"/>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66,100 </w:t>
            </w:r>
          </w:p>
        </w:tc>
        <w:tc>
          <w:tcPr>
            <w:tcW w:w="289"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25,324 </w:t>
            </w:r>
          </w:p>
        </w:tc>
        <w:tc>
          <w:tcPr>
            <w:tcW w:w="308"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10,857 </w:t>
            </w:r>
          </w:p>
        </w:tc>
        <w:tc>
          <w:tcPr>
            <w:tcW w:w="322"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22,257 </w:t>
            </w:r>
          </w:p>
        </w:tc>
        <w:tc>
          <w:tcPr>
            <w:tcW w:w="343"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18,214 </w:t>
            </w:r>
          </w:p>
        </w:tc>
        <w:tc>
          <w:tcPr>
            <w:tcW w:w="367"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142,752 </w:t>
            </w:r>
          </w:p>
        </w:tc>
        <w:tc>
          <w:tcPr>
            <w:tcW w:w="349"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18 </w:t>
            </w:r>
          </w:p>
        </w:tc>
        <w:tc>
          <w:tcPr>
            <w:tcW w:w="290"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22 </w:t>
            </w:r>
          </w:p>
        </w:tc>
        <w:tc>
          <w:tcPr>
            <w:tcW w:w="282"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837 </w:t>
            </w:r>
          </w:p>
        </w:tc>
        <w:tc>
          <w:tcPr>
            <w:tcW w:w="237"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1,786 </w:t>
            </w:r>
          </w:p>
        </w:tc>
        <w:tc>
          <w:tcPr>
            <w:tcW w:w="197"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81 </w:t>
            </w:r>
          </w:p>
        </w:tc>
        <w:tc>
          <w:tcPr>
            <w:tcW w:w="232"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22 </w:t>
            </w:r>
          </w:p>
        </w:tc>
        <w:tc>
          <w:tcPr>
            <w:tcW w:w="268"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3,230 </w:t>
            </w:r>
          </w:p>
        </w:tc>
        <w:tc>
          <w:tcPr>
            <w:tcW w:w="357"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11"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6"/>
                <w:szCs w:val="16"/>
                <w:lang w:val="en-US" w:eastAsia="zh-CN"/>
              </w:rPr>
            </w:pPr>
            <w:r w:rsidRPr="00AD4557">
              <w:rPr>
                <w:rFonts w:asciiTheme="minorHAnsi" w:hAnsiTheme="minorHAnsi" w:cs="Arial"/>
                <w:b/>
                <w:bCs/>
                <w:sz w:val="16"/>
                <w:szCs w:val="16"/>
                <w:lang w:val="en-US" w:eastAsia="zh-CN"/>
              </w:rPr>
              <w:t xml:space="preserve">     148,748 </w:t>
            </w:r>
          </w:p>
        </w:tc>
      </w:tr>
      <w:tr w:rsidR="00AD4557" w:rsidRPr="00AD4557" w:rsidTr="000107D0">
        <w:trPr>
          <w:trHeight w:val="255"/>
        </w:trPr>
        <w:tc>
          <w:tcPr>
            <w:tcW w:w="581" w:type="pct"/>
            <w:tcBorders>
              <w:top w:val="nil"/>
              <w:left w:val="single" w:sz="4" w:space="0" w:color="auto"/>
              <w:bottom w:val="nil"/>
              <w:right w:val="nil"/>
            </w:tcBorders>
            <w:shd w:val="clear" w:color="auto" w:fill="auto"/>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Mission expenses</w:t>
            </w:r>
          </w:p>
        </w:tc>
        <w:tc>
          <w:tcPr>
            <w:tcW w:w="267" w:type="pct"/>
            <w:tcBorders>
              <w:top w:val="nil"/>
              <w:left w:val="single" w:sz="4" w:space="0" w:color="auto"/>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872 </w:t>
            </w:r>
          </w:p>
        </w:tc>
        <w:tc>
          <w:tcPr>
            <w:tcW w:w="289"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1,088 </w:t>
            </w:r>
          </w:p>
        </w:tc>
        <w:tc>
          <w:tcPr>
            <w:tcW w:w="308"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811 </w:t>
            </w:r>
          </w:p>
        </w:tc>
        <w:tc>
          <w:tcPr>
            <w:tcW w:w="322"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2,561 </w:t>
            </w:r>
          </w:p>
        </w:tc>
        <w:tc>
          <w:tcPr>
            <w:tcW w:w="343" w:type="pct"/>
            <w:tcBorders>
              <w:top w:val="nil"/>
              <w:left w:val="nil"/>
              <w:bottom w:val="nil"/>
              <w:right w:val="nil"/>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67" w:type="pct"/>
            <w:tcBorders>
              <w:top w:val="nil"/>
              <w:left w:val="single" w:sz="4" w:space="0" w:color="auto"/>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5,331 </w:t>
            </w:r>
          </w:p>
        </w:tc>
        <w:tc>
          <w:tcPr>
            <w:tcW w:w="349"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53 </w:t>
            </w:r>
          </w:p>
        </w:tc>
        <w:tc>
          <w:tcPr>
            <w:tcW w:w="290"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82"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416 </w:t>
            </w:r>
          </w:p>
        </w:tc>
        <w:tc>
          <w:tcPr>
            <w:tcW w:w="237"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796 </w:t>
            </w:r>
          </w:p>
        </w:tc>
        <w:tc>
          <w:tcPr>
            <w:tcW w:w="197"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32"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   </w:t>
            </w:r>
          </w:p>
        </w:tc>
        <w:tc>
          <w:tcPr>
            <w:tcW w:w="268"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372 </w:t>
            </w:r>
          </w:p>
        </w:tc>
        <w:tc>
          <w:tcPr>
            <w:tcW w:w="357"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11"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6"/>
                <w:szCs w:val="16"/>
                <w:lang w:val="en-US" w:eastAsia="zh-CN"/>
              </w:rPr>
            </w:pPr>
            <w:r w:rsidRPr="00AD4557">
              <w:rPr>
                <w:rFonts w:asciiTheme="minorHAnsi" w:hAnsiTheme="minorHAnsi" w:cs="Arial"/>
                <w:b/>
                <w:bCs/>
                <w:sz w:val="16"/>
                <w:szCs w:val="16"/>
                <w:lang w:val="en-US" w:eastAsia="zh-CN"/>
              </w:rPr>
              <w:t xml:space="preserve">          6,969 </w:t>
            </w:r>
          </w:p>
        </w:tc>
      </w:tr>
      <w:tr w:rsidR="00AD4557" w:rsidRPr="00AD4557" w:rsidTr="000107D0">
        <w:trPr>
          <w:trHeight w:val="255"/>
        </w:trPr>
        <w:tc>
          <w:tcPr>
            <w:tcW w:w="581" w:type="pct"/>
            <w:tcBorders>
              <w:top w:val="nil"/>
              <w:left w:val="single" w:sz="4" w:space="0" w:color="auto"/>
              <w:bottom w:val="nil"/>
              <w:right w:val="nil"/>
            </w:tcBorders>
            <w:shd w:val="clear" w:color="auto" w:fill="auto"/>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Contractual services</w:t>
            </w:r>
          </w:p>
        </w:tc>
        <w:tc>
          <w:tcPr>
            <w:tcW w:w="267" w:type="pct"/>
            <w:tcBorders>
              <w:top w:val="nil"/>
              <w:left w:val="single" w:sz="4" w:space="0" w:color="auto"/>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4,821 </w:t>
            </w:r>
          </w:p>
        </w:tc>
        <w:tc>
          <w:tcPr>
            <w:tcW w:w="289"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298 </w:t>
            </w:r>
          </w:p>
        </w:tc>
        <w:tc>
          <w:tcPr>
            <w:tcW w:w="308"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469 </w:t>
            </w:r>
          </w:p>
        </w:tc>
        <w:tc>
          <w:tcPr>
            <w:tcW w:w="322"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2,075 </w:t>
            </w:r>
          </w:p>
        </w:tc>
        <w:tc>
          <w:tcPr>
            <w:tcW w:w="343" w:type="pct"/>
            <w:tcBorders>
              <w:top w:val="nil"/>
              <w:left w:val="nil"/>
              <w:bottom w:val="nil"/>
              <w:right w:val="nil"/>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447 </w:t>
            </w:r>
          </w:p>
        </w:tc>
        <w:tc>
          <w:tcPr>
            <w:tcW w:w="367" w:type="pct"/>
            <w:tcBorders>
              <w:top w:val="nil"/>
              <w:left w:val="single" w:sz="4" w:space="0" w:color="auto"/>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8,110 </w:t>
            </w:r>
          </w:p>
        </w:tc>
        <w:tc>
          <w:tcPr>
            <w:tcW w:w="349"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287 </w:t>
            </w:r>
          </w:p>
        </w:tc>
        <w:tc>
          <w:tcPr>
            <w:tcW w:w="290"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82"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1,101 </w:t>
            </w:r>
          </w:p>
        </w:tc>
        <w:tc>
          <w:tcPr>
            <w:tcW w:w="237"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4,573 </w:t>
            </w:r>
          </w:p>
        </w:tc>
        <w:tc>
          <w:tcPr>
            <w:tcW w:w="197"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32"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68"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1,542 </w:t>
            </w:r>
          </w:p>
        </w:tc>
        <w:tc>
          <w:tcPr>
            <w:tcW w:w="357"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11"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6"/>
                <w:szCs w:val="16"/>
                <w:lang w:val="en-US" w:eastAsia="zh-CN"/>
              </w:rPr>
            </w:pPr>
            <w:r w:rsidRPr="00AD4557">
              <w:rPr>
                <w:rFonts w:asciiTheme="minorHAnsi" w:hAnsiTheme="minorHAnsi" w:cs="Arial"/>
                <w:b/>
                <w:bCs/>
                <w:sz w:val="16"/>
                <w:szCs w:val="16"/>
                <w:lang w:val="en-US" w:eastAsia="zh-CN"/>
              </w:rPr>
              <w:t xml:space="preserve">       15,613 </w:t>
            </w:r>
          </w:p>
        </w:tc>
      </w:tr>
      <w:tr w:rsidR="00AD4557" w:rsidRPr="00AD4557" w:rsidTr="000107D0">
        <w:trPr>
          <w:trHeight w:val="765"/>
        </w:trPr>
        <w:tc>
          <w:tcPr>
            <w:tcW w:w="581" w:type="pct"/>
            <w:tcBorders>
              <w:top w:val="nil"/>
              <w:left w:val="single" w:sz="4" w:space="0" w:color="auto"/>
              <w:bottom w:val="nil"/>
              <w:right w:val="nil"/>
            </w:tcBorders>
            <w:shd w:val="clear" w:color="auto" w:fill="auto"/>
            <w:vAlign w:val="center"/>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Rental and maintenance of premises and equipment</w:t>
            </w:r>
          </w:p>
        </w:tc>
        <w:tc>
          <w:tcPr>
            <w:tcW w:w="267" w:type="pct"/>
            <w:tcBorders>
              <w:top w:val="nil"/>
              <w:left w:val="single" w:sz="4" w:space="0" w:color="auto"/>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3,723 </w:t>
            </w:r>
          </w:p>
        </w:tc>
        <w:tc>
          <w:tcPr>
            <w:tcW w:w="289"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69 </w:t>
            </w:r>
          </w:p>
        </w:tc>
        <w:tc>
          <w:tcPr>
            <w:tcW w:w="308"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33 </w:t>
            </w:r>
          </w:p>
        </w:tc>
        <w:tc>
          <w:tcPr>
            <w:tcW w:w="322"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103 </w:t>
            </w:r>
          </w:p>
        </w:tc>
        <w:tc>
          <w:tcPr>
            <w:tcW w:w="343" w:type="pct"/>
            <w:tcBorders>
              <w:top w:val="nil"/>
              <w:left w:val="nil"/>
              <w:bottom w:val="nil"/>
              <w:right w:val="nil"/>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17 </w:t>
            </w:r>
          </w:p>
        </w:tc>
        <w:tc>
          <w:tcPr>
            <w:tcW w:w="367" w:type="pct"/>
            <w:tcBorders>
              <w:top w:val="nil"/>
              <w:left w:val="single" w:sz="4" w:space="0" w:color="auto"/>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3,945 </w:t>
            </w:r>
          </w:p>
        </w:tc>
        <w:tc>
          <w:tcPr>
            <w:tcW w:w="349"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35 </w:t>
            </w:r>
          </w:p>
        </w:tc>
        <w:tc>
          <w:tcPr>
            <w:tcW w:w="290"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82"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104 </w:t>
            </w:r>
          </w:p>
        </w:tc>
        <w:tc>
          <w:tcPr>
            <w:tcW w:w="237"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5 </w:t>
            </w:r>
          </w:p>
        </w:tc>
        <w:tc>
          <w:tcPr>
            <w:tcW w:w="197"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32"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68"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322 </w:t>
            </w:r>
          </w:p>
        </w:tc>
        <w:tc>
          <w:tcPr>
            <w:tcW w:w="357"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11"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6"/>
                <w:szCs w:val="16"/>
                <w:lang w:val="en-US" w:eastAsia="zh-CN"/>
              </w:rPr>
            </w:pPr>
            <w:r w:rsidRPr="00AD4557">
              <w:rPr>
                <w:rFonts w:asciiTheme="minorHAnsi" w:hAnsiTheme="minorHAnsi" w:cs="Arial"/>
                <w:b/>
                <w:bCs/>
                <w:sz w:val="16"/>
                <w:szCs w:val="16"/>
                <w:lang w:val="en-US" w:eastAsia="zh-CN"/>
              </w:rPr>
              <w:t xml:space="preserve">          4,411 </w:t>
            </w:r>
          </w:p>
        </w:tc>
      </w:tr>
      <w:tr w:rsidR="00AD4557" w:rsidRPr="00AD4557" w:rsidTr="000107D0">
        <w:trPr>
          <w:trHeight w:val="255"/>
        </w:trPr>
        <w:tc>
          <w:tcPr>
            <w:tcW w:w="581" w:type="pct"/>
            <w:tcBorders>
              <w:top w:val="nil"/>
              <w:left w:val="single" w:sz="4" w:space="0" w:color="auto"/>
              <w:bottom w:val="nil"/>
              <w:right w:val="nil"/>
            </w:tcBorders>
            <w:shd w:val="clear" w:color="auto" w:fill="auto"/>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Equipment and supplies</w:t>
            </w:r>
          </w:p>
        </w:tc>
        <w:tc>
          <w:tcPr>
            <w:tcW w:w="267" w:type="pct"/>
            <w:tcBorders>
              <w:top w:val="nil"/>
              <w:left w:val="single" w:sz="4" w:space="0" w:color="auto"/>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1,141 </w:t>
            </w:r>
          </w:p>
        </w:tc>
        <w:tc>
          <w:tcPr>
            <w:tcW w:w="289"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395 </w:t>
            </w:r>
          </w:p>
        </w:tc>
        <w:tc>
          <w:tcPr>
            <w:tcW w:w="308"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65 </w:t>
            </w:r>
          </w:p>
        </w:tc>
        <w:tc>
          <w:tcPr>
            <w:tcW w:w="322"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482 </w:t>
            </w:r>
          </w:p>
        </w:tc>
        <w:tc>
          <w:tcPr>
            <w:tcW w:w="343" w:type="pct"/>
            <w:tcBorders>
              <w:top w:val="nil"/>
              <w:left w:val="nil"/>
              <w:bottom w:val="nil"/>
              <w:right w:val="nil"/>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224 </w:t>
            </w:r>
          </w:p>
        </w:tc>
        <w:tc>
          <w:tcPr>
            <w:tcW w:w="367" w:type="pct"/>
            <w:tcBorders>
              <w:top w:val="nil"/>
              <w:left w:val="single" w:sz="4" w:space="0" w:color="auto"/>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2,307 </w:t>
            </w:r>
          </w:p>
        </w:tc>
        <w:tc>
          <w:tcPr>
            <w:tcW w:w="349"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5 </w:t>
            </w:r>
          </w:p>
        </w:tc>
        <w:tc>
          <w:tcPr>
            <w:tcW w:w="290"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82"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280 </w:t>
            </w:r>
          </w:p>
        </w:tc>
        <w:tc>
          <w:tcPr>
            <w:tcW w:w="237"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1,145 </w:t>
            </w:r>
          </w:p>
        </w:tc>
        <w:tc>
          <w:tcPr>
            <w:tcW w:w="197"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32"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68"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139 </w:t>
            </w:r>
          </w:p>
        </w:tc>
        <w:tc>
          <w:tcPr>
            <w:tcW w:w="357"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11"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6"/>
                <w:szCs w:val="16"/>
                <w:lang w:val="en-US" w:eastAsia="zh-CN"/>
              </w:rPr>
            </w:pPr>
            <w:r w:rsidRPr="00AD4557">
              <w:rPr>
                <w:rFonts w:asciiTheme="minorHAnsi" w:hAnsiTheme="minorHAnsi" w:cs="Arial"/>
                <w:b/>
                <w:bCs/>
                <w:sz w:val="16"/>
                <w:szCs w:val="16"/>
                <w:lang w:val="en-US" w:eastAsia="zh-CN"/>
              </w:rPr>
              <w:t xml:space="preserve">          3,875 </w:t>
            </w:r>
          </w:p>
        </w:tc>
      </w:tr>
      <w:tr w:rsidR="00AD4557" w:rsidRPr="00AD4557" w:rsidTr="000107D0">
        <w:trPr>
          <w:trHeight w:val="255"/>
        </w:trPr>
        <w:tc>
          <w:tcPr>
            <w:tcW w:w="581" w:type="pct"/>
            <w:tcBorders>
              <w:top w:val="nil"/>
              <w:left w:val="single" w:sz="4" w:space="0" w:color="auto"/>
              <w:bottom w:val="nil"/>
              <w:right w:val="nil"/>
            </w:tcBorders>
            <w:shd w:val="clear" w:color="auto" w:fill="auto"/>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Depreciation</w:t>
            </w:r>
          </w:p>
        </w:tc>
        <w:tc>
          <w:tcPr>
            <w:tcW w:w="267" w:type="pct"/>
            <w:tcBorders>
              <w:top w:val="nil"/>
              <w:left w:val="single" w:sz="4" w:space="0" w:color="auto"/>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89"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08"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22"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43" w:type="pct"/>
            <w:tcBorders>
              <w:top w:val="nil"/>
              <w:left w:val="nil"/>
              <w:bottom w:val="nil"/>
              <w:right w:val="nil"/>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5,070 </w:t>
            </w:r>
          </w:p>
        </w:tc>
        <w:tc>
          <w:tcPr>
            <w:tcW w:w="367" w:type="pct"/>
            <w:tcBorders>
              <w:top w:val="nil"/>
              <w:left w:val="single" w:sz="4" w:space="0" w:color="auto"/>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5,070 </w:t>
            </w:r>
          </w:p>
        </w:tc>
        <w:tc>
          <w:tcPr>
            <w:tcW w:w="349"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0 </w:t>
            </w:r>
          </w:p>
        </w:tc>
        <w:tc>
          <w:tcPr>
            <w:tcW w:w="290"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82"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86 </w:t>
            </w:r>
          </w:p>
        </w:tc>
        <w:tc>
          <w:tcPr>
            <w:tcW w:w="237"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56 </w:t>
            </w:r>
          </w:p>
        </w:tc>
        <w:tc>
          <w:tcPr>
            <w:tcW w:w="197"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32"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68"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57"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11"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6"/>
                <w:szCs w:val="16"/>
                <w:lang w:val="en-US" w:eastAsia="zh-CN"/>
              </w:rPr>
            </w:pPr>
            <w:r w:rsidRPr="00AD4557">
              <w:rPr>
                <w:rFonts w:asciiTheme="minorHAnsi" w:hAnsiTheme="minorHAnsi" w:cs="Arial"/>
                <w:b/>
                <w:bCs/>
                <w:sz w:val="16"/>
                <w:szCs w:val="16"/>
                <w:lang w:val="en-US" w:eastAsia="zh-CN"/>
              </w:rPr>
              <w:t xml:space="preserve">          5,212 </w:t>
            </w:r>
          </w:p>
        </w:tc>
      </w:tr>
      <w:tr w:rsidR="00AD4557" w:rsidRPr="00AD4557" w:rsidTr="000107D0">
        <w:trPr>
          <w:trHeight w:val="526"/>
        </w:trPr>
        <w:tc>
          <w:tcPr>
            <w:tcW w:w="581" w:type="pct"/>
            <w:tcBorders>
              <w:top w:val="nil"/>
              <w:left w:val="single" w:sz="4" w:space="0" w:color="auto"/>
              <w:bottom w:val="nil"/>
              <w:right w:val="nil"/>
            </w:tcBorders>
            <w:shd w:val="clear" w:color="auto" w:fill="auto"/>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Shipping, telecommunication and services expenses</w:t>
            </w:r>
          </w:p>
        </w:tc>
        <w:tc>
          <w:tcPr>
            <w:tcW w:w="267" w:type="pct"/>
            <w:tcBorders>
              <w:top w:val="nil"/>
              <w:left w:val="single" w:sz="4" w:space="0" w:color="auto"/>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1,099 </w:t>
            </w:r>
          </w:p>
        </w:tc>
        <w:tc>
          <w:tcPr>
            <w:tcW w:w="289"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251 </w:t>
            </w:r>
          </w:p>
        </w:tc>
        <w:tc>
          <w:tcPr>
            <w:tcW w:w="308"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52 </w:t>
            </w:r>
          </w:p>
        </w:tc>
        <w:tc>
          <w:tcPr>
            <w:tcW w:w="322"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157 </w:t>
            </w:r>
          </w:p>
        </w:tc>
        <w:tc>
          <w:tcPr>
            <w:tcW w:w="343" w:type="pct"/>
            <w:tcBorders>
              <w:top w:val="nil"/>
              <w:left w:val="nil"/>
              <w:bottom w:val="nil"/>
              <w:right w:val="nil"/>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67" w:type="pct"/>
            <w:tcBorders>
              <w:top w:val="nil"/>
              <w:left w:val="single" w:sz="4" w:space="0" w:color="auto"/>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1,560 </w:t>
            </w:r>
          </w:p>
        </w:tc>
        <w:tc>
          <w:tcPr>
            <w:tcW w:w="349"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90"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82"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1 </w:t>
            </w:r>
          </w:p>
        </w:tc>
        <w:tc>
          <w:tcPr>
            <w:tcW w:w="237"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10 </w:t>
            </w:r>
          </w:p>
        </w:tc>
        <w:tc>
          <w:tcPr>
            <w:tcW w:w="197"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32"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68"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6 </w:t>
            </w:r>
          </w:p>
        </w:tc>
        <w:tc>
          <w:tcPr>
            <w:tcW w:w="357"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11"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6"/>
                <w:szCs w:val="16"/>
                <w:lang w:val="en-US" w:eastAsia="zh-CN"/>
              </w:rPr>
            </w:pPr>
            <w:r w:rsidRPr="00AD4557">
              <w:rPr>
                <w:rFonts w:asciiTheme="minorHAnsi" w:hAnsiTheme="minorHAnsi" w:cs="Arial"/>
                <w:b/>
                <w:bCs/>
                <w:sz w:val="16"/>
                <w:szCs w:val="16"/>
                <w:lang w:val="en-US" w:eastAsia="zh-CN"/>
              </w:rPr>
              <w:t xml:space="preserve">           1,576 </w:t>
            </w:r>
          </w:p>
        </w:tc>
      </w:tr>
      <w:tr w:rsidR="00AD4557" w:rsidRPr="00AD4557" w:rsidTr="000107D0">
        <w:trPr>
          <w:trHeight w:val="662"/>
        </w:trPr>
        <w:tc>
          <w:tcPr>
            <w:tcW w:w="581" w:type="pct"/>
            <w:tcBorders>
              <w:top w:val="nil"/>
              <w:left w:val="single" w:sz="4" w:space="0" w:color="auto"/>
              <w:bottom w:val="nil"/>
              <w:right w:val="nil"/>
            </w:tcBorders>
            <w:shd w:val="clear" w:color="auto" w:fill="auto"/>
            <w:vAlign w:val="center"/>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Auditing of accounts and inter-organizational contributions</w:t>
            </w:r>
          </w:p>
        </w:tc>
        <w:tc>
          <w:tcPr>
            <w:tcW w:w="267" w:type="pct"/>
            <w:tcBorders>
              <w:top w:val="nil"/>
              <w:left w:val="single" w:sz="4" w:space="0" w:color="auto"/>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573 </w:t>
            </w:r>
          </w:p>
        </w:tc>
        <w:tc>
          <w:tcPr>
            <w:tcW w:w="289"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08"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22"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53 </w:t>
            </w:r>
          </w:p>
        </w:tc>
        <w:tc>
          <w:tcPr>
            <w:tcW w:w="343" w:type="pct"/>
            <w:tcBorders>
              <w:top w:val="nil"/>
              <w:left w:val="nil"/>
              <w:bottom w:val="nil"/>
              <w:right w:val="nil"/>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67" w:type="pct"/>
            <w:tcBorders>
              <w:top w:val="nil"/>
              <w:left w:val="single" w:sz="4" w:space="0" w:color="auto"/>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626 </w:t>
            </w:r>
          </w:p>
        </w:tc>
        <w:tc>
          <w:tcPr>
            <w:tcW w:w="349"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90"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82"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37"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197"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32"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68"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57"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11"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6"/>
                <w:szCs w:val="16"/>
                <w:lang w:val="en-US" w:eastAsia="zh-CN"/>
              </w:rPr>
            </w:pPr>
            <w:r w:rsidRPr="00AD4557">
              <w:rPr>
                <w:rFonts w:asciiTheme="minorHAnsi" w:hAnsiTheme="minorHAnsi" w:cs="Arial"/>
                <w:b/>
                <w:bCs/>
                <w:sz w:val="16"/>
                <w:szCs w:val="16"/>
                <w:lang w:val="en-US" w:eastAsia="zh-CN"/>
              </w:rPr>
              <w:t xml:space="preserve">              626 </w:t>
            </w:r>
          </w:p>
        </w:tc>
      </w:tr>
      <w:tr w:rsidR="00AD4557" w:rsidRPr="00AD4557" w:rsidTr="000107D0">
        <w:trPr>
          <w:trHeight w:val="255"/>
        </w:trPr>
        <w:tc>
          <w:tcPr>
            <w:tcW w:w="581" w:type="pct"/>
            <w:tcBorders>
              <w:top w:val="nil"/>
              <w:left w:val="single" w:sz="4" w:space="0" w:color="auto"/>
              <w:bottom w:val="nil"/>
              <w:right w:val="nil"/>
            </w:tcBorders>
            <w:shd w:val="clear" w:color="auto" w:fill="auto"/>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Other expenses</w:t>
            </w:r>
          </w:p>
        </w:tc>
        <w:tc>
          <w:tcPr>
            <w:tcW w:w="267" w:type="pct"/>
            <w:tcBorders>
              <w:top w:val="nil"/>
              <w:left w:val="single" w:sz="4" w:space="0" w:color="auto"/>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40 </w:t>
            </w:r>
          </w:p>
        </w:tc>
        <w:tc>
          <w:tcPr>
            <w:tcW w:w="289"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08"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0 </w:t>
            </w:r>
          </w:p>
        </w:tc>
        <w:tc>
          <w:tcPr>
            <w:tcW w:w="322"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17 </w:t>
            </w:r>
          </w:p>
        </w:tc>
        <w:tc>
          <w:tcPr>
            <w:tcW w:w="343" w:type="pct"/>
            <w:tcBorders>
              <w:top w:val="nil"/>
              <w:left w:val="nil"/>
              <w:bottom w:val="nil"/>
              <w:right w:val="nil"/>
            </w:tcBorders>
            <w:shd w:val="clear" w:color="auto" w:fill="auto"/>
            <w:noWrap/>
            <w:hideMark/>
          </w:tcPr>
          <w:p w:rsidR="00AD4557" w:rsidRPr="00AD4557" w:rsidRDefault="00AD4557" w:rsidP="00502E6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6,</w:t>
            </w:r>
            <w:r w:rsidR="00502E68">
              <w:rPr>
                <w:rFonts w:asciiTheme="minorHAnsi" w:hAnsiTheme="minorHAnsi" w:cs="Arial"/>
                <w:color w:val="000000"/>
                <w:sz w:val="16"/>
                <w:szCs w:val="16"/>
                <w:lang w:val="en-US" w:eastAsia="zh-CN"/>
              </w:rPr>
              <w:t>811</w:t>
            </w:r>
            <w:r w:rsidRPr="00AD4557">
              <w:rPr>
                <w:rFonts w:asciiTheme="minorHAnsi" w:hAnsiTheme="minorHAnsi" w:cs="Arial"/>
                <w:color w:val="000000"/>
                <w:sz w:val="16"/>
                <w:szCs w:val="16"/>
                <w:lang w:val="en-US" w:eastAsia="zh-CN"/>
              </w:rPr>
              <w:t xml:space="preserve"> </w:t>
            </w:r>
          </w:p>
        </w:tc>
        <w:tc>
          <w:tcPr>
            <w:tcW w:w="367" w:type="pct"/>
            <w:tcBorders>
              <w:top w:val="nil"/>
              <w:left w:val="single" w:sz="4" w:space="0" w:color="auto"/>
              <w:bottom w:val="nil"/>
              <w:right w:val="single" w:sz="4" w:space="0" w:color="auto"/>
            </w:tcBorders>
            <w:shd w:val="clear" w:color="auto" w:fill="auto"/>
            <w:noWrap/>
            <w:hideMark/>
          </w:tcPr>
          <w:p w:rsidR="00AD4557" w:rsidRPr="00AD4557" w:rsidRDefault="00AD4557" w:rsidP="00502E6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6,</w:t>
            </w:r>
            <w:r w:rsidR="00502E68">
              <w:rPr>
                <w:rFonts w:asciiTheme="minorHAnsi" w:hAnsiTheme="minorHAnsi" w:cs="Arial"/>
                <w:b/>
                <w:bCs/>
                <w:color w:val="000000"/>
                <w:sz w:val="16"/>
                <w:szCs w:val="16"/>
                <w:lang w:val="en-US" w:eastAsia="zh-CN"/>
              </w:rPr>
              <w:t>868</w:t>
            </w:r>
            <w:r w:rsidRPr="00AD4557">
              <w:rPr>
                <w:rFonts w:asciiTheme="minorHAnsi" w:hAnsiTheme="minorHAnsi" w:cs="Arial"/>
                <w:b/>
                <w:bCs/>
                <w:color w:val="000000"/>
                <w:sz w:val="16"/>
                <w:szCs w:val="16"/>
                <w:lang w:val="en-US" w:eastAsia="zh-CN"/>
              </w:rPr>
              <w:t xml:space="preserve"> </w:t>
            </w:r>
          </w:p>
        </w:tc>
        <w:tc>
          <w:tcPr>
            <w:tcW w:w="349"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320 </w:t>
            </w:r>
          </w:p>
        </w:tc>
        <w:tc>
          <w:tcPr>
            <w:tcW w:w="290"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82"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0 </w:t>
            </w:r>
          </w:p>
        </w:tc>
        <w:tc>
          <w:tcPr>
            <w:tcW w:w="237"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569 </w:t>
            </w:r>
          </w:p>
        </w:tc>
        <w:tc>
          <w:tcPr>
            <w:tcW w:w="197"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32"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2 </w:t>
            </w:r>
          </w:p>
        </w:tc>
        <w:tc>
          <w:tcPr>
            <w:tcW w:w="268"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1,771 </w:t>
            </w:r>
          </w:p>
        </w:tc>
        <w:tc>
          <w:tcPr>
            <w:tcW w:w="357"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-2,501 </w:t>
            </w:r>
          </w:p>
        </w:tc>
        <w:tc>
          <w:tcPr>
            <w:tcW w:w="311" w:type="pct"/>
            <w:tcBorders>
              <w:top w:val="nil"/>
              <w:left w:val="nil"/>
              <w:bottom w:val="nil"/>
              <w:right w:val="single" w:sz="4" w:space="0" w:color="auto"/>
            </w:tcBorders>
            <w:shd w:val="clear" w:color="auto" w:fill="auto"/>
            <w:noWrap/>
            <w:hideMark/>
          </w:tcPr>
          <w:p w:rsidR="00AD4557" w:rsidRPr="00AD4557" w:rsidRDefault="00AD4557" w:rsidP="00502E6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6"/>
                <w:szCs w:val="16"/>
                <w:lang w:val="en-US" w:eastAsia="zh-CN"/>
              </w:rPr>
            </w:pPr>
            <w:r w:rsidRPr="00AD4557">
              <w:rPr>
                <w:rFonts w:asciiTheme="minorHAnsi" w:hAnsiTheme="minorHAnsi" w:cs="Arial"/>
                <w:b/>
                <w:bCs/>
                <w:sz w:val="16"/>
                <w:szCs w:val="16"/>
                <w:lang w:val="en-US" w:eastAsia="zh-CN"/>
              </w:rPr>
              <w:t xml:space="preserve">          </w:t>
            </w:r>
            <w:r w:rsidR="00502E68">
              <w:rPr>
                <w:rFonts w:asciiTheme="minorHAnsi" w:hAnsiTheme="minorHAnsi" w:cs="Arial"/>
                <w:b/>
                <w:bCs/>
                <w:sz w:val="16"/>
                <w:szCs w:val="16"/>
                <w:lang w:val="en-US" w:eastAsia="zh-CN"/>
              </w:rPr>
              <w:t>7</w:t>
            </w:r>
            <w:r w:rsidRPr="00AD4557">
              <w:rPr>
                <w:rFonts w:asciiTheme="minorHAnsi" w:hAnsiTheme="minorHAnsi" w:cs="Arial"/>
                <w:b/>
                <w:bCs/>
                <w:sz w:val="16"/>
                <w:szCs w:val="16"/>
                <w:lang w:val="en-US" w:eastAsia="zh-CN"/>
              </w:rPr>
              <w:t>,</w:t>
            </w:r>
            <w:r w:rsidR="00502E68">
              <w:rPr>
                <w:rFonts w:asciiTheme="minorHAnsi" w:hAnsiTheme="minorHAnsi" w:cs="Arial"/>
                <w:b/>
                <w:bCs/>
                <w:sz w:val="16"/>
                <w:szCs w:val="16"/>
                <w:lang w:val="en-US" w:eastAsia="zh-CN"/>
              </w:rPr>
              <w:t>030</w:t>
            </w:r>
            <w:r w:rsidRPr="00AD4557">
              <w:rPr>
                <w:rFonts w:asciiTheme="minorHAnsi" w:hAnsiTheme="minorHAnsi" w:cs="Arial"/>
                <w:b/>
                <w:bCs/>
                <w:sz w:val="16"/>
                <w:szCs w:val="16"/>
                <w:lang w:val="en-US" w:eastAsia="zh-CN"/>
              </w:rPr>
              <w:t xml:space="preserve"> </w:t>
            </w:r>
          </w:p>
        </w:tc>
      </w:tr>
      <w:tr w:rsidR="00AD4557" w:rsidRPr="00AD4557" w:rsidTr="000107D0">
        <w:trPr>
          <w:trHeight w:val="255"/>
        </w:trPr>
        <w:tc>
          <w:tcPr>
            <w:tcW w:w="581" w:type="pct"/>
            <w:tcBorders>
              <w:top w:val="nil"/>
              <w:left w:val="single" w:sz="4" w:space="0" w:color="auto"/>
              <w:bottom w:val="nil"/>
              <w:right w:val="nil"/>
            </w:tcBorders>
            <w:shd w:val="clear" w:color="auto" w:fill="auto"/>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Finance expenses</w:t>
            </w:r>
          </w:p>
        </w:tc>
        <w:tc>
          <w:tcPr>
            <w:tcW w:w="267" w:type="pct"/>
            <w:tcBorders>
              <w:top w:val="nil"/>
              <w:left w:val="single" w:sz="4" w:space="0" w:color="auto"/>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135 </w:t>
            </w:r>
          </w:p>
        </w:tc>
        <w:tc>
          <w:tcPr>
            <w:tcW w:w="289"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17 </w:t>
            </w:r>
          </w:p>
        </w:tc>
        <w:tc>
          <w:tcPr>
            <w:tcW w:w="308"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11 </w:t>
            </w:r>
          </w:p>
        </w:tc>
        <w:tc>
          <w:tcPr>
            <w:tcW w:w="322"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39 </w:t>
            </w:r>
          </w:p>
        </w:tc>
        <w:tc>
          <w:tcPr>
            <w:tcW w:w="343" w:type="pct"/>
            <w:tcBorders>
              <w:top w:val="nil"/>
              <w:left w:val="nil"/>
              <w:bottom w:val="nil"/>
              <w:right w:val="nil"/>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369 </w:t>
            </w:r>
          </w:p>
        </w:tc>
        <w:tc>
          <w:tcPr>
            <w:tcW w:w="367" w:type="pct"/>
            <w:tcBorders>
              <w:top w:val="nil"/>
              <w:left w:val="single" w:sz="4" w:space="0" w:color="auto"/>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571 </w:t>
            </w:r>
          </w:p>
        </w:tc>
        <w:tc>
          <w:tcPr>
            <w:tcW w:w="349"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90"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82"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22 </w:t>
            </w:r>
          </w:p>
        </w:tc>
        <w:tc>
          <w:tcPr>
            <w:tcW w:w="237"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51 </w:t>
            </w:r>
          </w:p>
        </w:tc>
        <w:tc>
          <w:tcPr>
            <w:tcW w:w="197"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16 </w:t>
            </w:r>
          </w:p>
        </w:tc>
        <w:tc>
          <w:tcPr>
            <w:tcW w:w="232"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68"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12 </w:t>
            </w:r>
          </w:p>
        </w:tc>
        <w:tc>
          <w:tcPr>
            <w:tcW w:w="357"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w:t>
            </w:r>
          </w:p>
        </w:tc>
        <w:tc>
          <w:tcPr>
            <w:tcW w:w="311" w:type="pct"/>
            <w:tcBorders>
              <w:top w:val="nil"/>
              <w:left w:val="nil"/>
              <w:bottom w:val="nil"/>
              <w:right w:val="single" w:sz="4" w:space="0" w:color="auto"/>
            </w:tcBorders>
            <w:shd w:val="clear" w:color="auto" w:fill="auto"/>
            <w:noWrap/>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6"/>
                <w:szCs w:val="16"/>
                <w:lang w:val="en-US" w:eastAsia="zh-CN"/>
              </w:rPr>
            </w:pPr>
            <w:r w:rsidRPr="00AD4557">
              <w:rPr>
                <w:rFonts w:asciiTheme="minorHAnsi" w:hAnsiTheme="minorHAnsi" w:cs="Arial"/>
                <w:b/>
                <w:bCs/>
                <w:sz w:val="16"/>
                <w:szCs w:val="16"/>
                <w:lang w:val="en-US" w:eastAsia="zh-CN"/>
              </w:rPr>
              <w:t xml:space="preserve">              674 </w:t>
            </w:r>
          </w:p>
        </w:tc>
      </w:tr>
      <w:tr w:rsidR="00AD4557" w:rsidRPr="00AD4557" w:rsidTr="000107D0">
        <w:trPr>
          <w:trHeight w:val="255"/>
        </w:trPr>
        <w:tc>
          <w:tcPr>
            <w:tcW w:w="581" w:type="pct"/>
            <w:tcBorders>
              <w:top w:val="nil"/>
              <w:left w:val="single" w:sz="4" w:space="0" w:color="auto"/>
              <w:bottom w:val="nil"/>
              <w:right w:val="nil"/>
            </w:tcBorders>
            <w:shd w:val="clear" w:color="auto" w:fill="auto"/>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67" w:type="pct"/>
            <w:tcBorders>
              <w:top w:val="nil"/>
              <w:left w:val="single" w:sz="4" w:space="0" w:color="auto"/>
              <w:bottom w:val="nil"/>
              <w:right w:val="single" w:sz="4" w:space="0" w:color="auto"/>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89" w:type="pct"/>
            <w:tcBorders>
              <w:top w:val="nil"/>
              <w:left w:val="nil"/>
              <w:bottom w:val="nil"/>
              <w:right w:val="single" w:sz="4" w:space="0" w:color="auto"/>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08" w:type="pct"/>
            <w:tcBorders>
              <w:top w:val="nil"/>
              <w:left w:val="nil"/>
              <w:bottom w:val="nil"/>
              <w:right w:val="single" w:sz="4" w:space="0" w:color="auto"/>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22" w:type="pct"/>
            <w:tcBorders>
              <w:top w:val="nil"/>
              <w:left w:val="nil"/>
              <w:bottom w:val="nil"/>
              <w:right w:val="single" w:sz="4" w:space="0" w:color="auto"/>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43" w:type="pct"/>
            <w:tcBorders>
              <w:top w:val="nil"/>
              <w:left w:val="nil"/>
              <w:bottom w:val="nil"/>
              <w:right w:val="nil"/>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67" w:type="pct"/>
            <w:tcBorders>
              <w:top w:val="nil"/>
              <w:left w:val="single" w:sz="4" w:space="0" w:color="auto"/>
              <w:bottom w:val="nil"/>
              <w:right w:val="single" w:sz="4" w:space="0" w:color="auto"/>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49" w:type="pct"/>
            <w:tcBorders>
              <w:top w:val="nil"/>
              <w:left w:val="nil"/>
              <w:bottom w:val="nil"/>
              <w:right w:val="single" w:sz="4" w:space="0" w:color="auto"/>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90" w:type="pct"/>
            <w:tcBorders>
              <w:top w:val="nil"/>
              <w:left w:val="nil"/>
              <w:bottom w:val="nil"/>
              <w:right w:val="single" w:sz="4" w:space="0" w:color="auto"/>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82" w:type="pct"/>
            <w:tcBorders>
              <w:top w:val="nil"/>
              <w:left w:val="nil"/>
              <w:bottom w:val="nil"/>
              <w:right w:val="single" w:sz="4" w:space="0" w:color="auto"/>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37" w:type="pct"/>
            <w:tcBorders>
              <w:top w:val="nil"/>
              <w:left w:val="nil"/>
              <w:bottom w:val="nil"/>
              <w:right w:val="single" w:sz="4" w:space="0" w:color="auto"/>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197" w:type="pct"/>
            <w:tcBorders>
              <w:top w:val="nil"/>
              <w:left w:val="nil"/>
              <w:bottom w:val="nil"/>
              <w:right w:val="single" w:sz="4" w:space="0" w:color="auto"/>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32" w:type="pct"/>
            <w:tcBorders>
              <w:top w:val="nil"/>
              <w:left w:val="nil"/>
              <w:bottom w:val="nil"/>
              <w:right w:val="single" w:sz="4" w:space="0" w:color="auto"/>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68" w:type="pct"/>
            <w:tcBorders>
              <w:top w:val="nil"/>
              <w:left w:val="nil"/>
              <w:bottom w:val="nil"/>
              <w:right w:val="single" w:sz="4" w:space="0" w:color="auto"/>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57" w:type="pct"/>
            <w:tcBorders>
              <w:top w:val="nil"/>
              <w:left w:val="nil"/>
              <w:bottom w:val="nil"/>
              <w:right w:val="single" w:sz="4" w:space="0" w:color="auto"/>
            </w:tcBorders>
            <w:shd w:val="clear" w:color="auto" w:fill="auto"/>
            <w:noWrap/>
            <w:vAlign w:val="bottom"/>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11" w:type="pct"/>
            <w:tcBorders>
              <w:top w:val="nil"/>
              <w:left w:val="nil"/>
              <w:bottom w:val="nil"/>
              <w:right w:val="single" w:sz="4" w:space="0" w:color="auto"/>
            </w:tcBorders>
            <w:shd w:val="clear" w:color="auto" w:fill="auto"/>
            <w:noWrap/>
            <w:vAlign w:val="bottom"/>
            <w:hideMark/>
          </w:tcPr>
          <w:p w:rsidR="00AD4557" w:rsidRPr="00AD4557" w:rsidRDefault="00AD4557" w:rsidP="000107D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6"/>
                <w:szCs w:val="16"/>
                <w:lang w:val="en-US" w:eastAsia="zh-CN"/>
              </w:rPr>
            </w:pPr>
            <w:r w:rsidRPr="00AD4557">
              <w:rPr>
                <w:rFonts w:asciiTheme="minorHAnsi" w:hAnsiTheme="minorHAnsi" w:cs="Arial"/>
                <w:b/>
                <w:bCs/>
                <w:sz w:val="16"/>
                <w:szCs w:val="16"/>
                <w:lang w:val="en-US" w:eastAsia="zh-CN"/>
              </w:rPr>
              <w:t xml:space="preserve">                          </w:t>
            </w:r>
          </w:p>
        </w:tc>
      </w:tr>
      <w:tr w:rsidR="00AD4557" w:rsidRPr="00AD4557" w:rsidTr="000107D0">
        <w:trPr>
          <w:trHeight w:val="255"/>
        </w:trPr>
        <w:tc>
          <w:tcPr>
            <w:tcW w:w="581" w:type="pct"/>
            <w:tcBorders>
              <w:top w:val="single" w:sz="4" w:space="0" w:color="auto"/>
              <w:left w:val="single" w:sz="4" w:space="0" w:color="auto"/>
              <w:bottom w:val="single" w:sz="4" w:space="0" w:color="auto"/>
              <w:right w:val="nil"/>
            </w:tcBorders>
            <w:shd w:val="clear" w:color="auto" w:fill="auto"/>
            <w:noWrap/>
            <w:vAlign w:val="center"/>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Total expenses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78,504 </w:t>
            </w:r>
          </w:p>
        </w:tc>
        <w:tc>
          <w:tcPr>
            <w:tcW w:w="289" w:type="pct"/>
            <w:tcBorders>
              <w:top w:val="single" w:sz="4" w:space="0" w:color="auto"/>
              <w:left w:val="nil"/>
              <w:bottom w:val="single" w:sz="4" w:space="0" w:color="auto"/>
              <w:right w:val="single" w:sz="4" w:space="0" w:color="auto"/>
            </w:tcBorders>
            <w:shd w:val="clear" w:color="auto" w:fill="auto"/>
            <w:noWrap/>
            <w:vAlign w:val="center"/>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27,442 </w:t>
            </w:r>
          </w:p>
        </w:tc>
        <w:tc>
          <w:tcPr>
            <w:tcW w:w="308" w:type="pct"/>
            <w:tcBorders>
              <w:top w:val="single" w:sz="4" w:space="0" w:color="auto"/>
              <w:left w:val="nil"/>
              <w:bottom w:val="single" w:sz="4" w:space="0" w:color="auto"/>
              <w:right w:val="single" w:sz="4" w:space="0" w:color="auto"/>
            </w:tcBorders>
            <w:shd w:val="clear" w:color="auto" w:fill="auto"/>
            <w:noWrap/>
            <w:vAlign w:val="center"/>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12,298 </w:t>
            </w:r>
          </w:p>
        </w:tc>
        <w:tc>
          <w:tcPr>
            <w:tcW w:w="322" w:type="pct"/>
            <w:tcBorders>
              <w:top w:val="single" w:sz="4" w:space="0" w:color="auto"/>
              <w:left w:val="nil"/>
              <w:bottom w:val="single" w:sz="4" w:space="0" w:color="auto"/>
              <w:right w:val="single" w:sz="4" w:space="0" w:color="auto"/>
            </w:tcBorders>
            <w:shd w:val="clear" w:color="auto" w:fill="auto"/>
            <w:noWrap/>
            <w:vAlign w:val="center"/>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27,744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rsidR="00AD4557" w:rsidRPr="00AD4557" w:rsidRDefault="00AD4557" w:rsidP="00502E6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3</w:t>
            </w:r>
            <w:r w:rsidR="00502E68">
              <w:rPr>
                <w:rFonts w:asciiTheme="minorHAnsi" w:hAnsiTheme="minorHAnsi" w:cs="Arial"/>
                <w:b/>
                <w:bCs/>
                <w:color w:val="000000"/>
                <w:sz w:val="16"/>
                <w:szCs w:val="16"/>
                <w:lang w:val="en-US" w:eastAsia="zh-CN"/>
              </w:rPr>
              <w:t>1</w:t>
            </w:r>
            <w:r w:rsidRPr="00AD4557">
              <w:rPr>
                <w:rFonts w:asciiTheme="minorHAnsi" w:hAnsiTheme="minorHAnsi" w:cs="Arial"/>
                <w:b/>
                <w:bCs/>
                <w:color w:val="000000"/>
                <w:sz w:val="16"/>
                <w:szCs w:val="16"/>
                <w:lang w:val="en-US" w:eastAsia="zh-CN"/>
              </w:rPr>
              <w:t>,</w:t>
            </w:r>
            <w:r w:rsidR="00502E68">
              <w:rPr>
                <w:rFonts w:asciiTheme="minorHAnsi" w:hAnsiTheme="minorHAnsi" w:cs="Arial"/>
                <w:b/>
                <w:bCs/>
                <w:color w:val="000000"/>
                <w:sz w:val="16"/>
                <w:szCs w:val="16"/>
                <w:lang w:val="en-US" w:eastAsia="zh-CN"/>
              </w:rPr>
              <w:t>152</w:t>
            </w:r>
            <w:r w:rsidRPr="00AD4557">
              <w:rPr>
                <w:rFonts w:asciiTheme="minorHAnsi" w:hAnsiTheme="minorHAnsi" w:cs="Arial"/>
                <w:b/>
                <w:bCs/>
                <w:color w:val="000000"/>
                <w:sz w:val="16"/>
                <w:szCs w:val="16"/>
                <w:lang w:val="en-US" w:eastAsia="zh-CN"/>
              </w:rPr>
              <w:t xml:space="preserve"> </w:t>
            </w:r>
          </w:p>
        </w:tc>
        <w:tc>
          <w:tcPr>
            <w:tcW w:w="367" w:type="pct"/>
            <w:tcBorders>
              <w:top w:val="single" w:sz="4" w:space="0" w:color="auto"/>
              <w:left w:val="nil"/>
              <w:bottom w:val="single" w:sz="4" w:space="0" w:color="auto"/>
              <w:right w:val="single" w:sz="4" w:space="0" w:color="auto"/>
            </w:tcBorders>
            <w:shd w:val="clear" w:color="auto" w:fill="auto"/>
            <w:noWrap/>
            <w:vAlign w:val="center"/>
            <w:hideMark/>
          </w:tcPr>
          <w:p w:rsidR="00AD4557" w:rsidRPr="00AD4557" w:rsidRDefault="00AD4557" w:rsidP="00502E6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17</w:t>
            </w:r>
            <w:r w:rsidR="00502E68">
              <w:rPr>
                <w:rFonts w:asciiTheme="minorHAnsi" w:hAnsiTheme="minorHAnsi" w:cs="Arial"/>
                <w:b/>
                <w:bCs/>
                <w:color w:val="000000"/>
                <w:sz w:val="16"/>
                <w:szCs w:val="16"/>
                <w:lang w:val="en-US" w:eastAsia="zh-CN"/>
              </w:rPr>
              <w:t>7</w:t>
            </w:r>
            <w:r w:rsidRPr="00AD4557">
              <w:rPr>
                <w:rFonts w:asciiTheme="minorHAnsi" w:hAnsiTheme="minorHAnsi" w:cs="Arial"/>
                <w:b/>
                <w:bCs/>
                <w:color w:val="000000"/>
                <w:sz w:val="16"/>
                <w:szCs w:val="16"/>
                <w:lang w:val="en-US" w:eastAsia="zh-CN"/>
              </w:rPr>
              <w:t>,</w:t>
            </w:r>
            <w:r w:rsidR="00502E68">
              <w:rPr>
                <w:rFonts w:asciiTheme="minorHAnsi" w:hAnsiTheme="minorHAnsi" w:cs="Arial"/>
                <w:b/>
                <w:bCs/>
                <w:color w:val="000000"/>
                <w:sz w:val="16"/>
                <w:szCs w:val="16"/>
                <w:lang w:val="en-US" w:eastAsia="zh-CN"/>
              </w:rPr>
              <w:t>140</w:t>
            </w:r>
            <w:r w:rsidRPr="00AD4557">
              <w:rPr>
                <w:rFonts w:asciiTheme="minorHAnsi" w:hAnsiTheme="minorHAnsi" w:cs="Arial"/>
                <w:b/>
                <w:bCs/>
                <w:color w:val="000000"/>
                <w:sz w:val="16"/>
                <w:szCs w:val="16"/>
                <w:lang w:val="en-US" w:eastAsia="zh-CN"/>
              </w:rPr>
              <w:t xml:space="preserve"> </w:t>
            </w:r>
          </w:p>
        </w:tc>
        <w:tc>
          <w:tcPr>
            <w:tcW w:w="349" w:type="pct"/>
            <w:tcBorders>
              <w:top w:val="single" w:sz="4" w:space="0" w:color="auto"/>
              <w:left w:val="nil"/>
              <w:bottom w:val="single" w:sz="4" w:space="0" w:color="auto"/>
              <w:right w:val="single" w:sz="4" w:space="0" w:color="auto"/>
            </w:tcBorders>
            <w:shd w:val="clear" w:color="auto" w:fill="auto"/>
            <w:noWrap/>
            <w:vAlign w:val="center"/>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718 </w:t>
            </w:r>
          </w:p>
        </w:tc>
        <w:tc>
          <w:tcPr>
            <w:tcW w:w="290" w:type="pct"/>
            <w:tcBorders>
              <w:top w:val="single" w:sz="4" w:space="0" w:color="auto"/>
              <w:left w:val="nil"/>
              <w:bottom w:val="single" w:sz="4" w:space="0" w:color="auto"/>
              <w:right w:val="single" w:sz="4" w:space="0" w:color="auto"/>
            </w:tcBorders>
            <w:shd w:val="clear" w:color="auto" w:fill="auto"/>
            <w:noWrap/>
            <w:vAlign w:val="center"/>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22 </w:t>
            </w:r>
          </w:p>
        </w:tc>
        <w:tc>
          <w:tcPr>
            <w:tcW w:w="282" w:type="pct"/>
            <w:tcBorders>
              <w:top w:val="single" w:sz="4" w:space="0" w:color="auto"/>
              <w:left w:val="nil"/>
              <w:bottom w:val="single" w:sz="4" w:space="0" w:color="auto"/>
              <w:right w:val="single" w:sz="4" w:space="0" w:color="auto"/>
            </w:tcBorders>
            <w:shd w:val="clear" w:color="auto" w:fill="auto"/>
            <w:noWrap/>
            <w:vAlign w:val="center"/>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2,848 </w:t>
            </w:r>
          </w:p>
        </w:tc>
        <w:tc>
          <w:tcPr>
            <w:tcW w:w="237" w:type="pct"/>
            <w:tcBorders>
              <w:top w:val="single" w:sz="4" w:space="0" w:color="auto"/>
              <w:left w:val="nil"/>
              <w:bottom w:val="single" w:sz="4" w:space="0" w:color="auto"/>
              <w:right w:val="single" w:sz="4" w:space="0" w:color="auto"/>
            </w:tcBorders>
            <w:shd w:val="clear" w:color="auto" w:fill="auto"/>
            <w:noWrap/>
            <w:vAlign w:val="center"/>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8,990 </w:t>
            </w:r>
          </w:p>
        </w:tc>
        <w:tc>
          <w:tcPr>
            <w:tcW w:w="197" w:type="pct"/>
            <w:tcBorders>
              <w:top w:val="single" w:sz="4" w:space="0" w:color="auto"/>
              <w:left w:val="nil"/>
              <w:bottom w:val="single" w:sz="4" w:space="0" w:color="auto"/>
              <w:right w:val="single" w:sz="4" w:space="0" w:color="auto"/>
            </w:tcBorders>
            <w:shd w:val="clear" w:color="auto" w:fill="auto"/>
            <w:noWrap/>
            <w:vAlign w:val="center"/>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98 </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25 </w:t>
            </w:r>
          </w:p>
        </w:tc>
        <w:tc>
          <w:tcPr>
            <w:tcW w:w="268" w:type="pct"/>
            <w:tcBorders>
              <w:top w:val="single" w:sz="4" w:space="0" w:color="auto"/>
              <w:left w:val="nil"/>
              <w:bottom w:val="single" w:sz="4" w:space="0" w:color="auto"/>
              <w:right w:val="single" w:sz="4" w:space="0" w:color="auto"/>
            </w:tcBorders>
            <w:shd w:val="clear" w:color="auto" w:fill="auto"/>
            <w:noWrap/>
            <w:vAlign w:val="center"/>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7,394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-2,501 </w:t>
            </w:r>
          </w:p>
        </w:tc>
        <w:tc>
          <w:tcPr>
            <w:tcW w:w="311" w:type="pct"/>
            <w:tcBorders>
              <w:top w:val="single" w:sz="4" w:space="0" w:color="auto"/>
              <w:left w:val="nil"/>
              <w:bottom w:val="single" w:sz="4" w:space="0" w:color="auto"/>
              <w:right w:val="single" w:sz="4" w:space="0" w:color="auto"/>
            </w:tcBorders>
            <w:shd w:val="clear" w:color="auto" w:fill="auto"/>
            <w:noWrap/>
            <w:vAlign w:val="center"/>
            <w:hideMark/>
          </w:tcPr>
          <w:p w:rsidR="00AD4557" w:rsidRPr="00AD4557" w:rsidRDefault="00AD4557" w:rsidP="00502E6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194,</w:t>
            </w:r>
            <w:r w:rsidR="00502E68">
              <w:rPr>
                <w:rFonts w:asciiTheme="minorHAnsi" w:hAnsiTheme="minorHAnsi" w:cs="Arial"/>
                <w:b/>
                <w:bCs/>
                <w:color w:val="000000"/>
                <w:sz w:val="16"/>
                <w:szCs w:val="16"/>
                <w:lang w:val="en-US" w:eastAsia="zh-CN"/>
              </w:rPr>
              <w:t>733</w:t>
            </w:r>
            <w:r w:rsidRPr="00AD4557">
              <w:rPr>
                <w:rFonts w:asciiTheme="minorHAnsi" w:hAnsiTheme="minorHAnsi" w:cs="Arial"/>
                <w:b/>
                <w:bCs/>
                <w:color w:val="000000"/>
                <w:sz w:val="16"/>
                <w:szCs w:val="16"/>
                <w:lang w:val="en-US" w:eastAsia="zh-CN"/>
              </w:rPr>
              <w:t xml:space="preserve"> </w:t>
            </w:r>
          </w:p>
        </w:tc>
      </w:tr>
      <w:tr w:rsidR="00AD4557" w:rsidRPr="00AD4557" w:rsidTr="000107D0">
        <w:trPr>
          <w:trHeight w:val="510"/>
        </w:trPr>
        <w:tc>
          <w:tcPr>
            <w:tcW w:w="581" w:type="pct"/>
            <w:tcBorders>
              <w:top w:val="single" w:sz="4" w:space="0" w:color="auto"/>
              <w:left w:val="single" w:sz="4" w:space="0" w:color="auto"/>
              <w:bottom w:val="single" w:sz="4" w:space="0" w:color="auto"/>
              <w:right w:val="nil"/>
            </w:tcBorders>
            <w:shd w:val="clear" w:color="auto" w:fill="auto"/>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Surplus / (deficit) for the period</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4557" w:rsidRPr="00AD4557" w:rsidRDefault="005316DD" w:rsidP="005316D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Pr>
                <w:rFonts w:asciiTheme="minorHAnsi" w:hAnsiTheme="minorHAnsi" w:cs="Arial"/>
                <w:b/>
                <w:bCs/>
                <w:color w:val="000000"/>
                <w:sz w:val="16"/>
                <w:szCs w:val="16"/>
                <w:lang w:val="en-US" w:eastAsia="zh-CN"/>
              </w:rPr>
              <w:t>-</w:t>
            </w:r>
            <w:r w:rsidR="00AD4557" w:rsidRPr="00AD4557">
              <w:rPr>
                <w:rFonts w:asciiTheme="minorHAnsi" w:hAnsiTheme="minorHAnsi" w:cs="Arial"/>
                <w:b/>
                <w:bCs/>
                <w:color w:val="000000"/>
                <w:sz w:val="16"/>
                <w:szCs w:val="16"/>
                <w:lang w:val="en-US" w:eastAsia="zh-CN"/>
              </w:rPr>
              <w:t xml:space="preserve">78,389 </w:t>
            </w:r>
          </w:p>
        </w:tc>
        <w:tc>
          <w:tcPr>
            <w:tcW w:w="289" w:type="pct"/>
            <w:tcBorders>
              <w:top w:val="single" w:sz="4" w:space="0" w:color="auto"/>
              <w:left w:val="nil"/>
              <w:bottom w:val="single" w:sz="4" w:space="0" w:color="auto"/>
              <w:right w:val="single" w:sz="4" w:space="0" w:color="auto"/>
            </w:tcBorders>
            <w:shd w:val="clear" w:color="auto" w:fill="auto"/>
            <w:noWrap/>
            <w:vAlign w:val="center"/>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14,175 </w:t>
            </w:r>
          </w:p>
        </w:tc>
        <w:tc>
          <w:tcPr>
            <w:tcW w:w="308" w:type="pct"/>
            <w:tcBorders>
              <w:top w:val="single" w:sz="4" w:space="0" w:color="auto"/>
              <w:left w:val="nil"/>
              <w:bottom w:val="single" w:sz="4" w:space="0" w:color="auto"/>
              <w:right w:val="single" w:sz="4" w:space="0" w:color="auto"/>
            </w:tcBorders>
            <w:shd w:val="clear" w:color="auto" w:fill="auto"/>
            <w:noWrap/>
            <w:vAlign w:val="center"/>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-4,609 </w:t>
            </w:r>
          </w:p>
        </w:tc>
        <w:tc>
          <w:tcPr>
            <w:tcW w:w="322" w:type="pct"/>
            <w:tcBorders>
              <w:top w:val="single" w:sz="4" w:space="0" w:color="auto"/>
              <w:left w:val="nil"/>
              <w:bottom w:val="single" w:sz="4" w:space="0" w:color="auto"/>
              <w:right w:val="single" w:sz="4" w:space="0" w:color="auto"/>
            </w:tcBorders>
            <w:shd w:val="clear" w:color="auto" w:fill="auto"/>
            <w:noWrap/>
            <w:vAlign w:val="center"/>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-25,939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79,463 </w:t>
            </w:r>
          </w:p>
        </w:tc>
        <w:tc>
          <w:tcPr>
            <w:tcW w:w="367" w:type="pct"/>
            <w:tcBorders>
              <w:top w:val="single" w:sz="4" w:space="0" w:color="auto"/>
              <w:left w:val="nil"/>
              <w:bottom w:val="single" w:sz="4" w:space="0" w:color="auto"/>
              <w:right w:val="single" w:sz="4" w:space="0" w:color="auto"/>
            </w:tcBorders>
            <w:shd w:val="clear" w:color="auto" w:fill="auto"/>
            <w:noWrap/>
            <w:vAlign w:val="center"/>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-15,298 </w:t>
            </w:r>
          </w:p>
        </w:tc>
        <w:tc>
          <w:tcPr>
            <w:tcW w:w="349" w:type="pct"/>
            <w:tcBorders>
              <w:top w:val="single" w:sz="4" w:space="0" w:color="auto"/>
              <w:left w:val="nil"/>
              <w:bottom w:val="single" w:sz="4" w:space="0" w:color="auto"/>
              <w:right w:val="single" w:sz="4" w:space="0" w:color="auto"/>
            </w:tcBorders>
            <w:shd w:val="clear" w:color="auto" w:fill="auto"/>
            <w:noWrap/>
            <w:vAlign w:val="center"/>
            <w:hideMark/>
          </w:tcPr>
          <w:p w:rsidR="00AD4557" w:rsidRPr="00AD4557" w:rsidRDefault="00AD4557" w:rsidP="005316D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-671 </w:t>
            </w:r>
          </w:p>
        </w:tc>
        <w:tc>
          <w:tcPr>
            <w:tcW w:w="290" w:type="pct"/>
            <w:tcBorders>
              <w:top w:val="single" w:sz="4" w:space="0" w:color="auto"/>
              <w:left w:val="nil"/>
              <w:bottom w:val="single" w:sz="4" w:space="0" w:color="auto"/>
              <w:right w:val="single" w:sz="4" w:space="0" w:color="auto"/>
            </w:tcBorders>
            <w:shd w:val="clear" w:color="auto" w:fill="auto"/>
            <w:noWrap/>
            <w:vAlign w:val="center"/>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-21 </w:t>
            </w:r>
          </w:p>
        </w:tc>
        <w:tc>
          <w:tcPr>
            <w:tcW w:w="282" w:type="pct"/>
            <w:tcBorders>
              <w:top w:val="single" w:sz="4" w:space="0" w:color="auto"/>
              <w:left w:val="nil"/>
              <w:bottom w:val="single" w:sz="4" w:space="0" w:color="auto"/>
              <w:right w:val="single" w:sz="4" w:space="0" w:color="auto"/>
            </w:tcBorders>
            <w:shd w:val="clear" w:color="auto" w:fill="auto"/>
            <w:noWrap/>
            <w:vAlign w:val="center"/>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-545 </w:t>
            </w:r>
          </w:p>
        </w:tc>
        <w:tc>
          <w:tcPr>
            <w:tcW w:w="237" w:type="pct"/>
            <w:tcBorders>
              <w:top w:val="single" w:sz="4" w:space="0" w:color="auto"/>
              <w:left w:val="nil"/>
              <w:bottom w:val="single" w:sz="4" w:space="0" w:color="auto"/>
              <w:right w:val="single" w:sz="4" w:space="0" w:color="auto"/>
            </w:tcBorders>
            <w:shd w:val="clear" w:color="auto" w:fill="auto"/>
            <w:noWrap/>
            <w:vAlign w:val="center"/>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-477 </w:t>
            </w:r>
          </w:p>
        </w:tc>
        <w:tc>
          <w:tcPr>
            <w:tcW w:w="197" w:type="pct"/>
            <w:tcBorders>
              <w:top w:val="single" w:sz="4" w:space="0" w:color="auto"/>
              <w:left w:val="nil"/>
              <w:bottom w:val="single" w:sz="4" w:space="0" w:color="auto"/>
              <w:right w:val="single" w:sz="4" w:space="0" w:color="auto"/>
            </w:tcBorders>
            <w:shd w:val="clear" w:color="auto" w:fill="auto"/>
            <w:noWrap/>
            <w:vAlign w:val="center"/>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-63 </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0 </w:t>
            </w:r>
          </w:p>
        </w:tc>
        <w:tc>
          <w:tcPr>
            <w:tcW w:w="268" w:type="pct"/>
            <w:tcBorders>
              <w:top w:val="single" w:sz="4" w:space="0" w:color="auto"/>
              <w:left w:val="nil"/>
              <w:bottom w:val="single" w:sz="4" w:space="0" w:color="auto"/>
              <w:right w:val="single" w:sz="4" w:space="0" w:color="auto"/>
            </w:tcBorders>
            <w:shd w:val="clear" w:color="auto" w:fill="auto"/>
            <w:noWrap/>
            <w:vAlign w:val="center"/>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-3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AD4557" w:rsidRPr="00AD4557" w:rsidRDefault="00AD4557"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   </w:t>
            </w:r>
          </w:p>
        </w:tc>
        <w:tc>
          <w:tcPr>
            <w:tcW w:w="311" w:type="pct"/>
            <w:tcBorders>
              <w:top w:val="single" w:sz="4" w:space="0" w:color="auto"/>
              <w:left w:val="nil"/>
              <w:bottom w:val="single" w:sz="4" w:space="0" w:color="auto"/>
              <w:right w:val="single" w:sz="4" w:space="0" w:color="auto"/>
            </w:tcBorders>
            <w:shd w:val="clear" w:color="auto" w:fill="auto"/>
            <w:noWrap/>
            <w:vAlign w:val="center"/>
            <w:hideMark/>
          </w:tcPr>
          <w:p w:rsidR="00AD4557" w:rsidRPr="00AD4557" w:rsidRDefault="00AD4557" w:rsidP="000107D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-17,078 </w:t>
            </w:r>
          </w:p>
        </w:tc>
      </w:tr>
    </w:tbl>
    <w:p w:rsidR="00E54F79" w:rsidRDefault="00E54F79" w:rsidP="009172C4">
      <w:pPr>
        <w:tabs>
          <w:tab w:val="clear" w:pos="567"/>
          <w:tab w:val="clear" w:pos="1134"/>
          <w:tab w:val="clear" w:pos="1701"/>
          <w:tab w:val="clear" w:pos="2268"/>
          <w:tab w:val="clear" w:pos="2835"/>
        </w:tabs>
        <w:overflowPunct/>
        <w:autoSpaceDE/>
        <w:autoSpaceDN/>
        <w:adjustRightInd/>
        <w:spacing w:before="0"/>
        <w:ind w:left="-851"/>
        <w:textAlignment w:val="auto"/>
        <w:rPr>
          <w:b/>
          <w:bCs/>
          <w:lang w:val="en-US"/>
        </w:rPr>
      </w:pPr>
    </w:p>
    <w:p w:rsidR="00E54F79" w:rsidRDefault="00E54F79" w:rsidP="009172C4">
      <w:pPr>
        <w:tabs>
          <w:tab w:val="clear" w:pos="567"/>
          <w:tab w:val="clear" w:pos="1134"/>
          <w:tab w:val="clear" w:pos="1701"/>
          <w:tab w:val="clear" w:pos="2268"/>
          <w:tab w:val="clear" w:pos="2835"/>
        </w:tabs>
        <w:overflowPunct/>
        <w:autoSpaceDE/>
        <w:autoSpaceDN/>
        <w:adjustRightInd/>
        <w:spacing w:before="0"/>
        <w:ind w:left="-851"/>
        <w:textAlignment w:val="auto"/>
        <w:rPr>
          <w:b/>
          <w:bCs/>
          <w:lang w:val="en-US"/>
        </w:rPr>
      </w:pPr>
    </w:p>
    <w:p w:rsidR="0022373A" w:rsidRPr="00294F70" w:rsidRDefault="0022373A" w:rsidP="007129CA">
      <w:pPr>
        <w:tabs>
          <w:tab w:val="clear" w:pos="567"/>
          <w:tab w:val="clear" w:pos="1134"/>
          <w:tab w:val="clear" w:pos="1701"/>
          <w:tab w:val="clear" w:pos="2268"/>
          <w:tab w:val="clear" w:pos="2835"/>
        </w:tabs>
        <w:overflowPunct/>
        <w:autoSpaceDE/>
        <w:autoSpaceDN/>
        <w:adjustRightInd/>
        <w:spacing w:before="0"/>
        <w:ind w:left="-851"/>
        <w:textAlignment w:val="auto"/>
        <w:rPr>
          <w:b/>
          <w:bCs/>
          <w:lang w:val="en-US"/>
        </w:rPr>
      </w:pPr>
      <w:r w:rsidRPr="00294F70">
        <w:rPr>
          <w:b/>
          <w:bCs/>
          <w:lang w:val="en-US"/>
        </w:rPr>
        <w:t>Segment reporting – Statement of financial performance</w:t>
      </w:r>
      <w:bookmarkEnd w:id="134"/>
      <w:r w:rsidRPr="00294F70">
        <w:rPr>
          <w:b/>
          <w:bCs/>
          <w:lang w:val="en-US"/>
        </w:rPr>
        <w:t xml:space="preserve"> 201</w:t>
      </w:r>
      <w:bookmarkEnd w:id="135"/>
      <w:r w:rsidR="007129CA">
        <w:rPr>
          <w:b/>
          <w:bCs/>
          <w:lang w:val="en-US"/>
        </w:rPr>
        <w:t>6</w:t>
      </w:r>
    </w:p>
    <w:p w:rsidR="0022373A" w:rsidRDefault="0022373A" w:rsidP="005D3458">
      <w:pPr>
        <w:rPr>
          <w:lang w:val="en-US"/>
        </w:rPr>
      </w:pPr>
    </w:p>
    <w:tbl>
      <w:tblPr>
        <w:tblW w:w="15877" w:type="dxa"/>
        <w:tblInd w:w="-714" w:type="dxa"/>
        <w:tblLayout w:type="fixed"/>
        <w:tblLook w:val="04A0" w:firstRow="1" w:lastRow="0" w:firstColumn="1" w:lastColumn="0" w:noHBand="0" w:noVBand="1"/>
      </w:tblPr>
      <w:tblGrid>
        <w:gridCol w:w="2127"/>
        <w:gridCol w:w="850"/>
        <w:gridCol w:w="709"/>
        <w:gridCol w:w="1134"/>
        <w:gridCol w:w="851"/>
        <w:gridCol w:w="1134"/>
        <w:gridCol w:w="1134"/>
        <w:gridCol w:w="992"/>
        <w:gridCol w:w="1134"/>
        <w:gridCol w:w="850"/>
        <w:gridCol w:w="851"/>
        <w:gridCol w:w="850"/>
        <w:gridCol w:w="1134"/>
        <w:gridCol w:w="1134"/>
        <w:gridCol w:w="993"/>
      </w:tblGrid>
      <w:tr w:rsidR="007129CA" w:rsidRPr="007B36B9" w:rsidTr="00AD4557">
        <w:trPr>
          <w:trHeight w:val="727"/>
        </w:trPr>
        <w:tc>
          <w:tcPr>
            <w:tcW w:w="2127" w:type="dxa"/>
            <w:tcBorders>
              <w:top w:val="single" w:sz="4" w:space="0" w:color="auto"/>
              <w:left w:val="single" w:sz="4" w:space="0" w:color="auto"/>
              <w:bottom w:val="single" w:sz="4" w:space="0" w:color="auto"/>
              <w:right w:val="nil"/>
            </w:tcBorders>
            <w:shd w:val="clear" w:color="auto" w:fill="auto"/>
            <w:noWrap/>
            <w:vAlign w:val="center"/>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16"/>
                <w:szCs w:val="16"/>
                <w:lang w:val="en-US" w:eastAsia="zh-CN"/>
              </w:rPr>
            </w:pPr>
            <w:r w:rsidRPr="007B36B9">
              <w:rPr>
                <w:rFonts w:asciiTheme="minorHAnsi" w:hAnsiTheme="minorHAnsi" w:cs="Arial"/>
                <w:b/>
                <w:bCs/>
                <w:color w:val="000000"/>
                <w:sz w:val="16"/>
                <w:szCs w:val="16"/>
                <w:lang w:val="en-US" w:eastAsia="zh-CN"/>
              </w:rPr>
              <w:t xml:space="preserve">In thousands of CHF </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6"/>
                <w:szCs w:val="16"/>
                <w:lang w:val="en-US" w:eastAsia="zh-CN"/>
              </w:rPr>
            </w:pPr>
            <w:r w:rsidRPr="007B36B9">
              <w:rPr>
                <w:rFonts w:asciiTheme="minorHAnsi" w:hAnsiTheme="minorHAnsi" w:cs="Arial"/>
                <w:b/>
                <w:bCs/>
                <w:color w:val="000000"/>
                <w:sz w:val="16"/>
                <w:szCs w:val="16"/>
                <w:lang w:val="en-US" w:eastAsia="zh-CN"/>
              </w:rPr>
              <w:t>Gen. Secret.</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6"/>
                <w:szCs w:val="16"/>
                <w:lang w:val="en-US" w:eastAsia="zh-CN"/>
              </w:rPr>
            </w:pPr>
            <w:proofErr w:type="spellStart"/>
            <w:r w:rsidRPr="007B36B9">
              <w:rPr>
                <w:rFonts w:asciiTheme="minorHAnsi" w:hAnsiTheme="minorHAnsi" w:cs="Arial"/>
                <w:b/>
                <w:bCs/>
                <w:color w:val="000000"/>
                <w:sz w:val="16"/>
                <w:szCs w:val="16"/>
                <w:lang w:val="en-US" w:eastAsia="zh-CN"/>
              </w:rPr>
              <w:t>Radioc</w:t>
            </w:r>
            <w:proofErr w:type="spellEnd"/>
            <w:r w:rsidRPr="007B36B9">
              <w:rPr>
                <w:rFonts w:asciiTheme="minorHAnsi" w:hAnsiTheme="minorHAnsi" w:cs="Arial"/>
                <w:b/>
                <w:bCs/>
                <w:color w:val="000000"/>
                <w:sz w:val="16"/>
                <w:szCs w:val="16"/>
                <w:lang w:val="en-US" w:eastAsia="zh-CN"/>
              </w:rPr>
              <w:t>. Sector</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6"/>
                <w:szCs w:val="16"/>
                <w:lang w:val="en-US" w:eastAsia="zh-CN"/>
              </w:rPr>
            </w:pPr>
            <w:proofErr w:type="spellStart"/>
            <w:r w:rsidRPr="007B36B9">
              <w:rPr>
                <w:rFonts w:asciiTheme="minorHAnsi" w:hAnsiTheme="minorHAnsi" w:cs="Arial"/>
                <w:b/>
                <w:bCs/>
                <w:color w:val="000000"/>
                <w:sz w:val="16"/>
                <w:szCs w:val="16"/>
                <w:lang w:val="en-US" w:eastAsia="zh-CN"/>
              </w:rPr>
              <w:t>Telec</w:t>
            </w:r>
            <w:proofErr w:type="spellEnd"/>
            <w:r w:rsidRPr="007B36B9">
              <w:rPr>
                <w:rFonts w:asciiTheme="minorHAnsi" w:hAnsiTheme="minorHAnsi" w:cs="Arial"/>
                <w:b/>
                <w:bCs/>
                <w:color w:val="000000"/>
                <w:sz w:val="16"/>
                <w:szCs w:val="16"/>
                <w:lang w:val="en-US" w:eastAsia="zh-CN"/>
              </w:rPr>
              <w:t>. Stand. Sector</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6"/>
                <w:szCs w:val="16"/>
                <w:lang w:val="en-US" w:eastAsia="zh-CN"/>
              </w:rPr>
            </w:pPr>
            <w:r w:rsidRPr="007B36B9">
              <w:rPr>
                <w:rFonts w:asciiTheme="minorHAnsi" w:hAnsiTheme="minorHAnsi" w:cs="Arial"/>
                <w:b/>
                <w:bCs/>
                <w:color w:val="000000"/>
                <w:sz w:val="16"/>
                <w:szCs w:val="16"/>
                <w:lang w:val="en-US" w:eastAsia="zh-CN"/>
              </w:rPr>
              <w:t xml:space="preserve"> </w:t>
            </w:r>
            <w:proofErr w:type="spellStart"/>
            <w:r w:rsidRPr="007B36B9">
              <w:rPr>
                <w:rFonts w:asciiTheme="minorHAnsi" w:hAnsiTheme="minorHAnsi" w:cs="Arial"/>
                <w:b/>
                <w:bCs/>
                <w:color w:val="000000"/>
                <w:sz w:val="16"/>
                <w:szCs w:val="16"/>
                <w:lang w:val="en-US" w:eastAsia="zh-CN"/>
              </w:rPr>
              <w:t>Telec</w:t>
            </w:r>
            <w:proofErr w:type="spellEnd"/>
            <w:r w:rsidRPr="007B36B9">
              <w:rPr>
                <w:rFonts w:asciiTheme="minorHAnsi" w:hAnsiTheme="minorHAnsi" w:cs="Arial"/>
                <w:b/>
                <w:bCs/>
                <w:color w:val="000000"/>
                <w:sz w:val="16"/>
                <w:szCs w:val="16"/>
                <w:lang w:val="en-US" w:eastAsia="zh-CN"/>
              </w:rPr>
              <w:t xml:space="preserve">. </w:t>
            </w:r>
            <w:proofErr w:type="spellStart"/>
            <w:r w:rsidRPr="007B36B9">
              <w:rPr>
                <w:rFonts w:asciiTheme="minorHAnsi" w:hAnsiTheme="minorHAnsi" w:cs="Arial"/>
                <w:b/>
                <w:bCs/>
                <w:color w:val="000000"/>
                <w:sz w:val="16"/>
                <w:szCs w:val="16"/>
                <w:lang w:val="en-US" w:eastAsia="zh-CN"/>
              </w:rPr>
              <w:t>Dev't</w:t>
            </w:r>
            <w:proofErr w:type="spellEnd"/>
            <w:r w:rsidRPr="007B36B9">
              <w:rPr>
                <w:rFonts w:asciiTheme="minorHAnsi" w:hAnsiTheme="minorHAnsi" w:cs="Arial"/>
                <w:b/>
                <w:bCs/>
                <w:color w:val="000000"/>
                <w:sz w:val="16"/>
                <w:szCs w:val="16"/>
                <w:lang w:val="en-US" w:eastAsia="zh-CN"/>
              </w:rPr>
              <w:t xml:space="preserve"> Sector </w:t>
            </w:r>
          </w:p>
        </w:tc>
        <w:tc>
          <w:tcPr>
            <w:tcW w:w="1134" w:type="dxa"/>
            <w:tcBorders>
              <w:top w:val="single" w:sz="4" w:space="0" w:color="auto"/>
              <w:left w:val="nil"/>
              <w:bottom w:val="single" w:sz="4" w:space="0" w:color="auto"/>
              <w:right w:val="nil"/>
            </w:tcBorders>
            <w:shd w:val="clear" w:color="auto" w:fill="auto"/>
            <w:vAlign w:val="center"/>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6"/>
                <w:szCs w:val="16"/>
                <w:lang w:val="en-US" w:eastAsia="zh-CN"/>
              </w:rPr>
            </w:pPr>
            <w:r w:rsidRPr="007B36B9">
              <w:rPr>
                <w:rFonts w:asciiTheme="minorHAnsi" w:hAnsiTheme="minorHAnsi" w:cs="Arial"/>
                <w:b/>
                <w:bCs/>
                <w:color w:val="000000"/>
                <w:sz w:val="16"/>
                <w:szCs w:val="16"/>
                <w:lang w:val="en-US" w:eastAsia="zh-CN"/>
              </w:rPr>
              <w:t xml:space="preserve"> Not attributable to a segment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6"/>
                <w:szCs w:val="16"/>
                <w:lang w:val="en-US" w:eastAsia="zh-CN"/>
              </w:rPr>
            </w:pPr>
            <w:r w:rsidRPr="007B36B9">
              <w:rPr>
                <w:rFonts w:asciiTheme="minorHAnsi" w:hAnsiTheme="minorHAnsi" w:cs="Arial"/>
                <w:b/>
                <w:bCs/>
                <w:color w:val="000000"/>
                <w:sz w:val="16"/>
                <w:szCs w:val="16"/>
                <w:lang w:val="en-US" w:eastAsia="zh-CN"/>
              </w:rPr>
              <w:t xml:space="preserve"> Total Funds 1000+1010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6"/>
                <w:szCs w:val="16"/>
                <w:lang w:val="en-US" w:eastAsia="zh-CN"/>
              </w:rPr>
            </w:pPr>
            <w:r w:rsidRPr="007B36B9">
              <w:rPr>
                <w:rFonts w:asciiTheme="minorHAnsi" w:hAnsiTheme="minorHAnsi" w:cs="Arial"/>
                <w:b/>
                <w:bCs/>
                <w:color w:val="000000"/>
                <w:sz w:val="16"/>
                <w:szCs w:val="16"/>
                <w:lang w:val="en-US" w:eastAsia="zh-CN"/>
              </w:rPr>
              <w:t xml:space="preserve"> Insurance</w:t>
            </w:r>
            <w:r w:rsidRPr="007B36B9">
              <w:rPr>
                <w:rFonts w:asciiTheme="minorHAnsi" w:hAnsiTheme="minorHAnsi" w:cs="Arial"/>
                <w:b/>
                <w:bCs/>
                <w:color w:val="000000"/>
                <w:sz w:val="16"/>
                <w:szCs w:val="16"/>
                <w:lang w:val="en-US" w:eastAsia="zh-CN"/>
              </w:rPr>
              <w:br/>
              <w:t>fund</w:t>
            </w:r>
            <w:r w:rsidRPr="007B36B9">
              <w:rPr>
                <w:rFonts w:asciiTheme="minorHAnsi" w:hAnsiTheme="minorHAnsi" w:cs="Arial"/>
                <w:b/>
                <w:bCs/>
                <w:color w:val="000000"/>
                <w:sz w:val="16"/>
                <w:szCs w:val="16"/>
                <w:lang w:val="en-US" w:eastAsia="zh-CN"/>
              </w:rPr>
              <w:b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6"/>
                <w:szCs w:val="16"/>
                <w:lang w:val="en-US" w:eastAsia="zh-CN"/>
              </w:rPr>
            </w:pPr>
            <w:r w:rsidRPr="007B36B9">
              <w:rPr>
                <w:rFonts w:asciiTheme="minorHAnsi" w:hAnsiTheme="minorHAnsi" w:cs="Arial"/>
                <w:b/>
                <w:bCs/>
                <w:color w:val="000000"/>
                <w:sz w:val="16"/>
                <w:szCs w:val="16"/>
                <w:lang w:val="en-US" w:eastAsia="zh-CN"/>
              </w:rPr>
              <w:t xml:space="preserve"> Voluntary</w:t>
            </w:r>
            <w:r w:rsidRPr="007B36B9">
              <w:rPr>
                <w:rFonts w:asciiTheme="minorHAnsi" w:hAnsiTheme="minorHAnsi" w:cs="Arial"/>
                <w:b/>
                <w:bCs/>
                <w:color w:val="000000"/>
                <w:sz w:val="16"/>
                <w:szCs w:val="16"/>
                <w:lang w:val="en-US" w:eastAsia="zh-CN"/>
              </w:rPr>
              <w:br/>
            </w:r>
            <w:proofErr w:type="spellStart"/>
            <w:r w:rsidRPr="007B36B9">
              <w:rPr>
                <w:rFonts w:asciiTheme="minorHAnsi" w:hAnsiTheme="minorHAnsi" w:cs="Arial"/>
                <w:b/>
                <w:bCs/>
                <w:color w:val="000000"/>
                <w:sz w:val="16"/>
                <w:szCs w:val="16"/>
                <w:lang w:val="en-US" w:eastAsia="zh-CN"/>
              </w:rPr>
              <w:t>contribs</w:t>
            </w:r>
            <w:proofErr w:type="spellEnd"/>
            <w:r w:rsidRPr="007B36B9">
              <w:rPr>
                <w:rFonts w:asciiTheme="minorHAnsi" w:hAnsiTheme="minorHAnsi" w:cs="Arial"/>
                <w:b/>
                <w:bCs/>
                <w:color w:val="000000"/>
                <w:sz w:val="16"/>
                <w:szCs w:val="16"/>
                <w:lang w:val="en-US" w:eastAsia="zh-CN"/>
              </w:rPr>
              <w:b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6"/>
                <w:szCs w:val="16"/>
                <w:lang w:val="en-US" w:eastAsia="zh-CN"/>
              </w:rPr>
            </w:pPr>
            <w:r w:rsidRPr="007B36B9">
              <w:rPr>
                <w:rFonts w:asciiTheme="minorHAnsi" w:hAnsiTheme="minorHAnsi" w:cs="Arial"/>
                <w:b/>
                <w:bCs/>
                <w:color w:val="000000"/>
                <w:sz w:val="16"/>
                <w:szCs w:val="16"/>
                <w:lang w:val="en-US" w:eastAsia="zh-CN"/>
              </w:rPr>
              <w:t xml:space="preserve"> FIT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6"/>
                <w:szCs w:val="16"/>
                <w:lang w:val="en-US" w:eastAsia="zh-CN"/>
              </w:rPr>
            </w:pPr>
            <w:r w:rsidRPr="007B36B9">
              <w:rPr>
                <w:rFonts w:asciiTheme="minorHAnsi" w:hAnsiTheme="minorHAnsi" w:cs="Arial"/>
                <w:b/>
                <w:bCs/>
                <w:color w:val="000000"/>
                <w:sz w:val="16"/>
                <w:szCs w:val="16"/>
                <w:lang w:val="en-US" w:eastAsia="zh-CN"/>
              </w:rPr>
              <w:t xml:space="preserve"> ICTDF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6"/>
                <w:szCs w:val="16"/>
                <w:lang w:val="en-US" w:eastAsia="zh-CN"/>
              </w:rPr>
            </w:pPr>
            <w:r w:rsidRPr="007B36B9">
              <w:rPr>
                <w:rFonts w:asciiTheme="minorHAnsi" w:hAnsiTheme="minorHAnsi" w:cs="Arial"/>
                <w:b/>
                <w:bCs/>
                <w:color w:val="000000"/>
                <w:sz w:val="16"/>
                <w:szCs w:val="16"/>
                <w:lang w:val="en-US" w:eastAsia="zh-CN"/>
              </w:rPr>
              <w:t xml:space="preserve"> UNDP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6"/>
                <w:szCs w:val="16"/>
                <w:lang w:val="en-US" w:eastAsia="zh-CN"/>
              </w:rPr>
            </w:pPr>
            <w:r w:rsidRPr="007B36B9">
              <w:rPr>
                <w:rFonts w:asciiTheme="minorHAnsi" w:hAnsiTheme="minorHAnsi" w:cs="Arial"/>
                <w:b/>
                <w:bCs/>
                <w:color w:val="000000"/>
                <w:sz w:val="16"/>
                <w:szCs w:val="16"/>
                <w:lang w:val="en-US" w:eastAsia="zh-CN"/>
              </w:rPr>
              <w:t xml:space="preserve"> Telecom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6"/>
                <w:szCs w:val="16"/>
                <w:lang w:val="en-US" w:eastAsia="zh-CN"/>
              </w:rPr>
            </w:pPr>
            <w:r w:rsidRPr="007B36B9">
              <w:rPr>
                <w:rFonts w:asciiTheme="minorHAnsi" w:hAnsiTheme="minorHAnsi" w:cs="Arial"/>
                <w:b/>
                <w:bCs/>
                <w:color w:val="000000"/>
                <w:sz w:val="16"/>
                <w:szCs w:val="16"/>
                <w:lang w:val="en-US" w:eastAsia="zh-CN"/>
              </w:rPr>
              <w:t xml:space="preserve"> Inter-sectors eliminations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6"/>
                <w:szCs w:val="16"/>
                <w:lang w:val="en-US" w:eastAsia="zh-CN"/>
              </w:rPr>
            </w:pPr>
            <w:r w:rsidRPr="007B36B9">
              <w:rPr>
                <w:rFonts w:asciiTheme="minorHAnsi" w:hAnsiTheme="minorHAnsi" w:cs="Arial"/>
                <w:b/>
                <w:bCs/>
                <w:color w:val="000000"/>
                <w:sz w:val="16"/>
                <w:szCs w:val="16"/>
                <w:lang w:val="en-US" w:eastAsia="zh-CN"/>
              </w:rPr>
              <w:t xml:space="preserve"> Total  </w:t>
            </w:r>
          </w:p>
        </w:tc>
      </w:tr>
      <w:tr w:rsidR="007129CA" w:rsidRPr="007B36B9" w:rsidTr="00AD4557">
        <w:trPr>
          <w:trHeight w:val="202"/>
        </w:trPr>
        <w:tc>
          <w:tcPr>
            <w:tcW w:w="2127" w:type="dxa"/>
            <w:tcBorders>
              <w:top w:val="nil"/>
              <w:left w:val="single" w:sz="4" w:space="0" w:color="auto"/>
              <w:bottom w:val="nil"/>
              <w:right w:val="nil"/>
            </w:tcBorders>
            <w:shd w:val="clear" w:color="auto" w:fill="auto"/>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4"/>
                <w:szCs w:val="14"/>
                <w:lang w:val="en-US" w:eastAsia="zh-CN"/>
              </w:rPr>
            </w:pPr>
            <w:r w:rsidRPr="007B36B9">
              <w:rPr>
                <w:rFonts w:ascii="Arial" w:hAnsi="Arial" w:cs="Arial"/>
                <w:color w:val="000000"/>
                <w:sz w:val="14"/>
                <w:szCs w:val="14"/>
                <w:lang w:val="en-US" w:eastAsia="zh-CN"/>
              </w:rPr>
              <w:t> </w:t>
            </w:r>
          </w:p>
        </w:tc>
        <w:tc>
          <w:tcPr>
            <w:tcW w:w="850" w:type="dxa"/>
            <w:tcBorders>
              <w:top w:val="single" w:sz="4" w:space="0" w:color="auto"/>
              <w:left w:val="single" w:sz="4" w:space="0" w:color="auto"/>
              <w:bottom w:val="nil"/>
              <w:right w:val="single" w:sz="4" w:space="0" w:color="auto"/>
            </w:tcBorders>
            <w:shd w:val="clear" w:color="auto" w:fill="auto"/>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709" w:type="dxa"/>
            <w:tcBorders>
              <w:top w:val="single" w:sz="4" w:space="0" w:color="auto"/>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1134" w:type="dxa"/>
            <w:tcBorders>
              <w:top w:val="single" w:sz="4" w:space="0" w:color="auto"/>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851"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1134" w:type="dxa"/>
            <w:tcBorders>
              <w:top w:val="nil"/>
              <w:left w:val="nil"/>
              <w:bottom w:val="nil"/>
              <w:right w:val="nil"/>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1134" w:type="dxa"/>
            <w:tcBorders>
              <w:top w:val="nil"/>
              <w:left w:val="single" w:sz="4" w:space="0" w:color="auto"/>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992"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1134"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850"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851"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850"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1134"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1134"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993"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r>
      <w:tr w:rsidR="007129CA" w:rsidRPr="007B36B9" w:rsidTr="00AD4557">
        <w:trPr>
          <w:trHeight w:val="202"/>
        </w:trPr>
        <w:tc>
          <w:tcPr>
            <w:tcW w:w="2127" w:type="dxa"/>
            <w:tcBorders>
              <w:top w:val="nil"/>
              <w:left w:val="single" w:sz="4" w:space="0" w:color="auto"/>
              <w:bottom w:val="nil"/>
              <w:right w:val="nil"/>
            </w:tcBorders>
            <w:shd w:val="clear" w:color="auto" w:fill="auto"/>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4"/>
                <w:szCs w:val="14"/>
                <w:lang w:val="en-US" w:eastAsia="zh-CN"/>
              </w:rPr>
            </w:pPr>
            <w:r w:rsidRPr="007B36B9">
              <w:rPr>
                <w:rFonts w:ascii="Arial" w:hAnsi="Arial" w:cs="Arial"/>
                <w:b/>
                <w:bCs/>
                <w:color w:val="000000"/>
                <w:sz w:val="14"/>
                <w:szCs w:val="14"/>
                <w:lang w:val="en-US" w:eastAsia="zh-CN"/>
              </w:rPr>
              <w:t>REVENUE</w:t>
            </w:r>
          </w:p>
        </w:tc>
        <w:tc>
          <w:tcPr>
            <w:tcW w:w="850" w:type="dxa"/>
            <w:tcBorders>
              <w:top w:val="nil"/>
              <w:left w:val="single" w:sz="4" w:space="0" w:color="auto"/>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709"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1134"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851"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1134" w:type="dxa"/>
            <w:tcBorders>
              <w:top w:val="nil"/>
              <w:left w:val="nil"/>
              <w:bottom w:val="nil"/>
              <w:right w:val="nil"/>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1134" w:type="dxa"/>
            <w:tcBorders>
              <w:top w:val="nil"/>
              <w:left w:val="single" w:sz="4" w:space="0" w:color="auto"/>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992"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1134"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850"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851"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850"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1134"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1134"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993"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r>
      <w:tr w:rsidR="007129CA" w:rsidRPr="007B36B9" w:rsidTr="00AD4557">
        <w:trPr>
          <w:trHeight w:val="202"/>
        </w:trPr>
        <w:tc>
          <w:tcPr>
            <w:tcW w:w="2127" w:type="dxa"/>
            <w:tcBorders>
              <w:top w:val="nil"/>
              <w:left w:val="single" w:sz="4" w:space="0" w:color="auto"/>
              <w:bottom w:val="nil"/>
              <w:right w:val="nil"/>
            </w:tcBorders>
            <w:shd w:val="clear" w:color="auto" w:fill="auto"/>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4"/>
                <w:szCs w:val="14"/>
                <w:lang w:val="en-US" w:eastAsia="zh-CN"/>
              </w:rPr>
            </w:pPr>
            <w:r w:rsidRPr="007B36B9">
              <w:rPr>
                <w:rFonts w:ascii="Arial" w:hAnsi="Arial" w:cs="Arial"/>
                <w:b/>
                <w:bCs/>
                <w:color w:val="000000"/>
                <w:sz w:val="14"/>
                <w:szCs w:val="14"/>
                <w:lang w:val="en-US" w:eastAsia="zh-CN"/>
              </w:rPr>
              <w:t> </w:t>
            </w:r>
          </w:p>
        </w:tc>
        <w:tc>
          <w:tcPr>
            <w:tcW w:w="850" w:type="dxa"/>
            <w:tcBorders>
              <w:top w:val="nil"/>
              <w:left w:val="single" w:sz="4" w:space="0" w:color="auto"/>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709"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p>
        </w:tc>
        <w:tc>
          <w:tcPr>
            <w:tcW w:w="1134"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851"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1134" w:type="dxa"/>
            <w:tcBorders>
              <w:top w:val="nil"/>
              <w:left w:val="nil"/>
              <w:bottom w:val="nil"/>
              <w:right w:val="nil"/>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1134" w:type="dxa"/>
            <w:tcBorders>
              <w:top w:val="nil"/>
              <w:left w:val="single" w:sz="4" w:space="0" w:color="auto"/>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992"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1134"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850"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851"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850"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1134"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1134"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993"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r>
      <w:tr w:rsidR="007129CA" w:rsidRPr="007B36B9" w:rsidTr="00AD4557">
        <w:trPr>
          <w:trHeight w:val="202"/>
        </w:trPr>
        <w:tc>
          <w:tcPr>
            <w:tcW w:w="2127" w:type="dxa"/>
            <w:tcBorders>
              <w:top w:val="nil"/>
              <w:left w:val="single" w:sz="4" w:space="0" w:color="auto"/>
              <w:bottom w:val="nil"/>
              <w:right w:val="nil"/>
            </w:tcBorders>
            <w:shd w:val="clear" w:color="auto" w:fill="auto"/>
            <w:hideMark/>
          </w:tcPr>
          <w:p w:rsidR="007129CA" w:rsidRPr="00524DF0" w:rsidRDefault="007129CA" w:rsidP="00AD45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524DF0">
              <w:rPr>
                <w:rFonts w:asciiTheme="minorHAnsi" w:hAnsiTheme="minorHAnsi" w:cs="Arial"/>
                <w:color w:val="000000"/>
                <w:sz w:val="16"/>
                <w:szCs w:val="16"/>
                <w:lang w:val="en-US" w:eastAsia="zh-CN"/>
              </w:rPr>
              <w:t>Assessed contributions</w:t>
            </w:r>
          </w:p>
        </w:tc>
        <w:tc>
          <w:tcPr>
            <w:tcW w:w="850" w:type="dxa"/>
            <w:tcBorders>
              <w:top w:val="nil"/>
              <w:left w:val="single" w:sz="4" w:space="0" w:color="auto"/>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709"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6,776 </w:t>
            </w:r>
          </w:p>
        </w:tc>
        <w:tc>
          <w:tcPr>
            <w:tcW w:w="1134"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7,879 </w:t>
            </w:r>
          </w:p>
        </w:tc>
        <w:tc>
          <w:tcPr>
            <w:tcW w:w="851"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1,642 </w:t>
            </w:r>
          </w:p>
        </w:tc>
        <w:tc>
          <w:tcPr>
            <w:tcW w:w="1134" w:type="dxa"/>
            <w:tcBorders>
              <w:top w:val="nil"/>
              <w:left w:val="nil"/>
              <w:bottom w:val="nil"/>
              <w:right w:val="nil"/>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106,591 </w:t>
            </w:r>
          </w:p>
        </w:tc>
        <w:tc>
          <w:tcPr>
            <w:tcW w:w="1134" w:type="dxa"/>
            <w:tcBorders>
              <w:top w:val="nil"/>
              <w:left w:val="single" w:sz="4" w:space="0" w:color="auto"/>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122,888 </w:t>
            </w:r>
          </w:p>
        </w:tc>
        <w:tc>
          <w:tcPr>
            <w:tcW w:w="992"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1134" w:type="dxa"/>
            <w:tcBorders>
              <w:top w:val="nil"/>
              <w:left w:val="nil"/>
              <w:bottom w:val="nil"/>
              <w:right w:val="nil"/>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850" w:type="dxa"/>
            <w:tcBorders>
              <w:top w:val="nil"/>
              <w:left w:val="single" w:sz="4" w:space="0" w:color="auto"/>
              <w:bottom w:val="nil"/>
              <w:right w:val="nil"/>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851" w:type="dxa"/>
            <w:tcBorders>
              <w:top w:val="nil"/>
              <w:left w:val="single" w:sz="4" w:space="0" w:color="auto"/>
              <w:bottom w:val="nil"/>
              <w:right w:val="nil"/>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850" w:type="dxa"/>
            <w:tcBorders>
              <w:top w:val="nil"/>
              <w:left w:val="single" w:sz="4" w:space="0" w:color="auto"/>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1134"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1134" w:type="dxa"/>
            <w:tcBorders>
              <w:top w:val="nil"/>
              <w:left w:val="nil"/>
              <w:bottom w:val="nil"/>
              <w:right w:val="nil"/>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p>
        </w:tc>
        <w:tc>
          <w:tcPr>
            <w:tcW w:w="993" w:type="dxa"/>
            <w:tcBorders>
              <w:top w:val="nil"/>
              <w:left w:val="single" w:sz="4" w:space="0" w:color="auto"/>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122,888   </w:t>
            </w:r>
          </w:p>
        </w:tc>
      </w:tr>
      <w:tr w:rsidR="007129CA" w:rsidRPr="007B36B9" w:rsidTr="00AD4557">
        <w:trPr>
          <w:trHeight w:val="202"/>
        </w:trPr>
        <w:tc>
          <w:tcPr>
            <w:tcW w:w="2127" w:type="dxa"/>
            <w:tcBorders>
              <w:top w:val="nil"/>
              <w:left w:val="single" w:sz="4" w:space="0" w:color="auto"/>
              <w:bottom w:val="nil"/>
              <w:right w:val="nil"/>
            </w:tcBorders>
            <w:shd w:val="clear" w:color="auto" w:fill="auto"/>
            <w:hideMark/>
          </w:tcPr>
          <w:p w:rsidR="007129CA" w:rsidRPr="00524DF0" w:rsidRDefault="007129CA" w:rsidP="00AD45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524DF0">
              <w:rPr>
                <w:rFonts w:asciiTheme="minorHAnsi" w:hAnsiTheme="minorHAnsi" w:cs="Arial"/>
                <w:color w:val="000000"/>
                <w:sz w:val="16"/>
                <w:szCs w:val="16"/>
                <w:lang w:val="en-US" w:eastAsia="zh-CN"/>
              </w:rPr>
              <w:t>Voluntary contributions</w:t>
            </w:r>
          </w:p>
        </w:tc>
        <w:tc>
          <w:tcPr>
            <w:tcW w:w="850" w:type="dxa"/>
            <w:tcBorders>
              <w:top w:val="nil"/>
              <w:left w:val="single" w:sz="4" w:space="0" w:color="auto"/>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709"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1134"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851"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1134" w:type="dxa"/>
            <w:tcBorders>
              <w:top w:val="nil"/>
              <w:left w:val="nil"/>
              <w:bottom w:val="nil"/>
              <w:right w:val="nil"/>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3 </w:t>
            </w:r>
          </w:p>
        </w:tc>
        <w:tc>
          <w:tcPr>
            <w:tcW w:w="1134" w:type="dxa"/>
            <w:tcBorders>
              <w:top w:val="nil"/>
              <w:left w:val="single" w:sz="4" w:space="0" w:color="auto"/>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3 </w:t>
            </w:r>
          </w:p>
        </w:tc>
        <w:tc>
          <w:tcPr>
            <w:tcW w:w="992"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1134"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3,053 </w:t>
            </w:r>
          </w:p>
        </w:tc>
        <w:tc>
          <w:tcPr>
            <w:tcW w:w="850"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6,328 </w:t>
            </w:r>
          </w:p>
        </w:tc>
        <w:tc>
          <w:tcPr>
            <w:tcW w:w="851"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850"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847 </w:t>
            </w:r>
          </w:p>
        </w:tc>
        <w:tc>
          <w:tcPr>
            <w:tcW w:w="1134" w:type="dxa"/>
            <w:tcBorders>
              <w:top w:val="nil"/>
              <w:left w:val="nil"/>
              <w:bottom w:val="nil"/>
              <w:right w:val="nil"/>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p>
        </w:tc>
        <w:tc>
          <w:tcPr>
            <w:tcW w:w="1134" w:type="dxa"/>
            <w:tcBorders>
              <w:top w:val="nil"/>
              <w:left w:val="single" w:sz="4" w:space="0" w:color="auto"/>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993"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10,232   </w:t>
            </w:r>
          </w:p>
        </w:tc>
      </w:tr>
      <w:tr w:rsidR="007129CA" w:rsidRPr="007B36B9" w:rsidTr="00AD4557">
        <w:trPr>
          <w:trHeight w:val="202"/>
        </w:trPr>
        <w:tc>
          <w:tcPr>
            <w:tcW w:w="2127" w:type="dxa"/>
            <w:tcBorders>
              <w:top w:val="nil"/>
              <w:left w:val="single" w:sz="4" w:space="0" w:color="auto"/>
              <w:bottom w:val="nil"/>
              <w:right w:val="nil"/>
            </w:tcBorders>
            <w:shd w:val="clear" w:color="auto" w:fill="auto"/>
            <w:hideMark/>
          </w:tcPr>
          <w:p w:rsidR="007129CA" w:rsidRPr="00524DF0" w:rsidRDefault="007129CA" w:rsidP="00AD45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524DF0">
              <w:rPr>
                <w:rFonts w:asciiTheme="minorHAnsi" w:hAnsiTheme="minorHAnsi" w:cs="Arial"/>
                <w:color w:val="000000"/>
                <w:sz w:val="16"/>
                <w:szCs w:val="16"/>
                <w:lang w:val="en-US" w:eastAsia="zh-CN"/>
              </w:rPr>
              <w:t>Publications</w:t>
            </w:r>
          </w:p>
        </w:tc>
        <w:tc>
          <w:tcPr>
            <w:tcW w:w="850" w:type="dxa"/>
            <w:tcBorders>
              <w:top w:val="nil"/>
              <w:left w:val="single" w:sz="4" w:space="0" w:color="auto"/>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w:t>
            </w:r>
            <w:r>
              <w:rPr>
                <w:rFonts w:asciiTheme="minorHAnsi" w:hAnsiTheme="minorHAnsi" w:cs="Arial"/>
                <w:color w:val="000000"/>
                <w:sz w:val="16"/>
                <w:szCs w:val="16"/>
                <w:lang w:val="en-US" w:eastAsia="zh-CN"/>
              </w:rPr>
              <w:t>9</w:t>
            </w:r>
            <w:r w:rsidRPr="007B36B9">
              <w:rPr>
                <w:rFonts w:asciiTheme="minorHAnsi" w:hAnsiTheme="minorHAnsi" w:cs="Arial"/>
                <w:color w:val="000000"/>
                <w:sz w:val="16"/>
                <w:szCs w:val="16"/>
                <w:lang w:val="en-US" w:eastAsia="zh-CN"/>
              </w:rPr>
              <w:t xml:space="preserve">0 </w:t>
            </w:r>
          </w:p>
        </w:tc>
        <w:tc>
          <w:tcPr>
            <w:tcW w:w="709"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18,703 </w:t>
            </w:r>
          </w:p>
        </w:tc>
        <w:tc>
          <w:tcPr>
            <w:tcW w:w="1134"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39 </w:t>
            </w:r>
          </w:p>
        </w:tc>
        <w:tc>
          <w:tcPr>
            <w:tcW w:w="851"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163 </w:t>
            </w:r>
          </w:p>
        </w:tc>
        <w:tc>
          <w:tcPr>
            <w:tcW w:w="1134" w:type="dxa"/>
            <w:tcBorders>
              <w:top w:val="nil"/>
              <w:left w:val="nil"/>
              <w:bottom w:val="nil"/>
              <w:right w:val="nil"/>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1134" w:type="dxa"/>
            <w:tcBorders>
              <w:top w:val="nil"/>
              <w:left w:val="single" w:sz="4" w:space="0" w:color="auto"/>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18,994 </w:t>
            </w:r>
          </w:p>
        </w:tc>
        <w:tc>
          <w:tcPr>
            <w:tcW w:w="992"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1134"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850"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851"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850"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1134" w:type="dxa"/>
            <w:tcBorders>
              <w:top w:val="nil"/>
              <w:left w:val="nil"/>
              <w:bottom w:val="nil"/>
              <w:right w:val="nil"/>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p>
        </w:tc>
        <w:tc>
          <w:tcPr>
            <w:tcW w:w="1134" w:type="dxa"/>
            <w:tcBorders>
              <w:top w:val="nil"/>
              <w:left w:val="single" w:sz="4" w:space="0" w:color="auto"/>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993"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18,994   </w:t>
            </w:r>
          </w:p>
        </w:tc>
      </w:tr>
      <w:tr w:rsidR="007129CA" w:rsidRPr="007B36B9" w:rsidTr="00AD4557">
        <w:trPr>
          <w:trHeight w:val="202"/>
        </w:trPr>
        <w:tc>
          <w:tcPr>
            <w:tcW w:w="2127" w:type="dxa"/>
            <w:tcBorders>
              <w:top w:val="nil"/>
              <w:left w:val="single" w:sz="4" w:space="0" w:color="auto"/>
              <w:bottom w:val="nil"/>
              <w:right w:val="nil"/>
            </w:tcBorders>
            <w:shd w:val="clear" w:color="auto" w:fill="auto"/>
            <w:hideMark/>
          </w:tcPr>
          <w:p w:rsidR="007129CA" w:rsidRPr="00524DF0" w:rsidRDefault="007129CA" w:rsidP="00AD45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524DF0">
              <w:rPr>
                <w:rFonts w:asciiTheme="minorHAnsi" w:hAnsiTheme="minorHAnsi" w:cs="Arial"/>
                <w:color w:val="000000"/>
                <w:sz w:val="16"/>
                <w:szCs w:val="16"/>
                <w:lang w:val="en-US" w:eastAsia="zh-CN"/>
              </w:rPr>
              <w:t>Cost recovery</w:t>
            </w:r>
          </w:p>
        </w:tc>
        <w:tc>
          <w:tcPr>
            <w:tcW w:w="850" w:type="dxa"/>
            <w:tcBorders>
              <w:top w:val="nil"/>
              <w:left w:val="single" w:sz="4" w:space="0" w:color="auto"/>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10 </w:t>
            </w:r>
          </w:p>
        </w:tc>
        <w:tc>
          <w:tcPr>
            <w:tcW w:w="709"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13,231 </w:t>
            </w:r>
          </w:p>
        </w:tc>
        <w:tc>
          <w:tcPr>
            <w:tcW w:w="1134"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118 </w:t>
            </w:r>
          </w:p>
        </w:tc>
        <w:tc>
          <w:tcPr>
            <w:tcW w:w="851"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   </w:t>
            </w:r>
          </w:p>
        </w:tc>
        <w:tc>
          <w:tcPr>
            <w:tcW w:w="1134" w:type="dxa"/>
            <w:tcBorders>
              <w:top w:val="nil"/>
              <w:left w:val="nil"/>
              <w:bottom w:val="nil"/>
              <w:right w:val="nil"/>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152 </w:t>
            </w:r>
          </w:p>
        </w:tc>
        <w:tc>
          <w:tcPr>
            <w:tcW w:w="1134" w:type="dxa"/>
            <w:tcBorders>
              <w:top w:val="nil"/>
              <w:left w:val="single" w:sz="4" w:space="0" w:color="auto"/>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13,510 </w:t>
            </w:r>
          </w:p>
        </w:tc>
        <w:tc>
          <w:tcPr>
            <w:tcW w:w="992"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1134"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850"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851"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850"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1134"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1134"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2,517 </w:t>
            </w:r>
          </w:p>
        </w:tc>
        <w:tc>
          <w:tcPr>
            <w:tcW w:w="993"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16,027   </w:t>
            </w:r>
          </w:p>
        </w:tc>
      </w:tr>
      <w:tr w:rsidR="007129CA" w:rsidRPr="007B36B9" w:rsidTr="00AD4557">
        <w:trPr>
          <w:trHeight w:val="202"/>
        </w:trPr>
        <w:tc>
          <w:tcPr>
            <w:tcW w:w="2127" w:type="dxa"/>
            <w:tcBorders>
              <w:top w:val="nil"/>
              <w:left w:val="single" w:sz="4" w:space="0" w:color="auto"/>
              <w:bottom w:val="nil"/>
              <w:right w:val="nil"/>
            </w:tcBorders>
            <w:shd w:val="clear" w:color="auto" w:fill="auto"/>
            <w:hideMark/>
          </w:tcPr>
          <w:p w:rsidR="007129CA" w:rsidRPr="00524DF0" w:rsidRDefault="007129CA" w:rsidP="00AD45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524DF0">
              <w:rPr>
                <w:rFonts w:asciiTheme="minorHAnsi" w:hAnsiTheme="minorHAnsi" w:cs="Arial"/>
                <w:color w:val="000000"/>
                <w:sz w:val="16"/>
                <w:szCs w:val="16"/>
                <w:lang w:val="en-US" w:eastAsia="zh-CN"/>
              </w:rPr>
              <w:t>Other revenues</w:t>
            </w:r>
          </w:p>
        </w:tc>
        <w:tc>
          <w:tcPr>
            <w:tcW w:w="850" w:type="dxa"/>
            <w:tcBorders>
              <w:top w:val="nil"/>
              <w:left w:val="single" w:sz="4" w:space="0" w:color="auto"/>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38 </w:t>
            </w:r>
          </w:p>
        </w:tc>
        <w:tc>
          <w:tcPr>
            <w:tcW w:w="709"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280 </w:t>
            </w:r>
          </w:p>
        </w:tc>
        <w:tc>
          <w:tcPr>
            <w:tcW w:w="1134"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1 </w:t>
            </w:r>
          </w:p>
        </w:tc>
        <w:tc>
          <w:tcPr>
            <w:tcW w:w="851"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1 </w:t>
            </w:r>
          </w:p>
        </w:tc>
        <w:tc>
          <w:tcPr>
            <w:tcW w:w="1134" w:type="dxa"/>
            <w:tcBorders>
              <w:top w:val="nil"/>
              <w:left w:val="nil"/>
              <w:bottom w:val="nil"/>
              <w:right w:val="nil"/>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176</w:t>
            </w:r>
          </w:p>
        </w:tc>
        <w:tc>
          <w:tcPr>
            <w:tcW w:w="1134" w:type="dxa"/>
            <w:tcBorders>
              <w:top w:val="nil"/>
              <w:left w:val="single" w:sz="4" w:space="0" w:color="auto"/>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495 </w:t>
            </w:r>
          </w:p>
        </w:tc>
        <w:tc>
          <w:tcPr>
            <w:tcW w:w="992"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1134"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1 </w:t>
            </w:r>
          </w:p>
        </w:tc>
        <w:tc>
          <w:tcPr>
            <w:tcW w:w="850"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7</w:t>
            </w:r>
            <w:r>
              <w:rPr>
                <w:rFonts w:asciiTheme="minorHAnsi" w:hAnsiTheme="minorHAnsi" w:cs="Arial"/>
                <w:color w:val="000000"/>
                <w:sz w:val="16"/>
                <w:szCs w:val="16"/>
                <w:lang w:val="en-US" w:eastAsia="zh-CN"/>
              </w:rPr>
              <w:t>2</w:t>
            </w:r>
            <w:r w:rsidRPr="007B36B9">
              <w:rPr>
                <w:rFonts w:asciiTheme="minorHAnsi" w:hAnsiTheme="minorHAnsi" w:cs="Arial"/>
                <w:color w:val="000000"/>
                <w:sz w:val="16"/>
                <w:szCs w:val="16"/>
                <w:lang w:val="en-US" w:eastAsia="zh-CN"/>
              </w:rPr>
              <w:t xml:space="preserve"> </w:t>
            </w:r>
          </w:p>
        </w:tc>
        <w:tc>
          <w:tcPr>
            <w:tcW w:w="851"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850"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1134"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8,846 </w:t>
            </w:r>
          </w:p>
        </w:tc>
        <w:tc>
          <w:tcPr>
            <w:tcW w:w="1134"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993"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9,414   </w:t>
            </w:r>
          </w:p>
        </w:tc>
      </w:tr>
      <w:tr w:rsidR="007129CA" w:rsidRPr="007B36B9" w:rsidTr="00AD4557">
        <w:trPr>
          <w:trHeight w:val="202"/>
        </w:trPr>
        <w:tc>
          <w:tcPr>
            <w:tcW w:w="2127" w:type="dxa"/>
            <w:tcBorders>
              <w:top w:val="nil"/>
              <w:left w:val="single" w:sz="4" w:space="0" w:color="auto"/>
              <w:bottom w:val="nil"/>
              <w:right w:val="nil"/>
            </w:tcBorders>
            <w:shd w:val="clear" w:color="auto" w:fill="auto"/>
            <w:hideMark/>
          </w:tcPr>
          <w:p w:rsidR="007129CA" w:rsidRPr="00524DF0" w:rsidRDefault="007129CA" w:rsidP="00AD45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524DF0">
              <w:rPr>
                <w:rFonts w:asciiTheme="minorHAnsi" w:hAnsiTheme="minorHAnsi" w:cs="Arial"/>
                <w:color w:val="000000"/>
                <w:sz w:val="16"/>
                <w:szCs w:val="16"/>
                <w:lang w:val="en-US" w:eastAsia="zh-CN"/>
              </w:rPr>
              <w:t>Finance Revenue</w:t>
            </w:r>
          </w:p>
        </w:tc>
        <w:tc>
          <w:tcPr>
            <w:tcW w:w="850" w:type="dxa"/>
            <w:tcBorders>
              <w:top w:val="nil"/>
              <w:left w:val="single" w:sz="4" w:space="0" w:color="auto"/>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709"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0 </w:t>
            </w:r>
          </w:p>
        </w:tc>
        <w:tc>
          <w:tcPr>
            <w:tcW w:w="1134"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p>
        </w:tc>
        <w:tc>
          <w:tcPr>
            <w:tcW w:w="851"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1 </w:t>
            </w:r>
          </w:p>
        </w:tc>
        <w:tc>
          <w:tcPr>
            <w:tcW w:w="1134" w:type="dxa"/>
            <w:tcBorders>
              <w:top w:val="nil"/>
              <w:left w:val="nil"/>
              <w:bottom w:val="nil"/>
              <w:right w:val="nil"/>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360 </w:t>
            </w:r>
          </w:p>
        </w:tc>
        <w:tc>
          <w:tcPr>
            <w:tcW w:w="1134" w:type="dxa"/>
            <w:tcBorders>
              <w:top w:val="nil"/>
              <w:left w:val="single" w:sz="4" w:space="0" w:color="auto"/>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361 </w:t>
            </w:r>
          </w:p>
        </w:tc>
        <w:tc>
          <w:tcPr>
            <w:tcW w:w="992"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1 </w:t>
            </w:r>
          </w:p>
        </w:tc>
        <w:tc>
          <w:tcPr>
            <w:tcW w:w="1134"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1 </w:t>
            </w:r>
          </w:p>
        </w:tc>
        <w:tc>
          <w:tcPr>
            <w:tcW w:w="850"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183 </w:t>
            </w:r>
          </w:p>
        </w:tc>
        <w:tc>
          <w:tcPr>
            <w:tcW w:w="851"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1 </w:t>
            </w:r>
          </w:p>
        </w:tc>
        <w:tc>
          <w:tcPr>
            <w:tcW w:w="850"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1134"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15 </w:t>
            </w:r>
          </w:p>
        </w:tc>
        <w:tc>
          <w:tcPr>
            <w:tcW w:w="1134"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993"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562   </w:t>
            </w:r>
          </w:p>
        </w:tc>
      </w:tr>
      <w:tr w:rsidR="007129CA" w:rsidRPr="007B36B9" w:rsidTr="00AD4557">
        <w:trPr>
          <w:trHeight w:val="202"/>
        </w:trPr>
        <w:tc>
          <w:tcPr>
            <w:tcW w:w="2127" w:type="dxa"/>
            <w:tcBorders>
              <w:top w:val="nil"/>
              <w:left w:val="single" w:sz="4" w:space="0" w:color="auto"/>
              <w:bottom w:val="nil"/>
              <w:right w:val="nil"/>
            </w:tcBorders>
            <w:shd w:val="clear" w:color="auto" w:fill="auto"/>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4"/>
                <w:szCs w:val="14"/>
                <w:lang w:val="en-US" w:eastAsia="zh-CN"/>
              </w:rPr>
            </w:pPr>
            <w:r w:rsidRPr="007B36B9">
              <w:rPr>
                <w:rFonts w:ascii="Arial" w:hAnsi="Arial" w:cs="Arial"/>
                <w:color w:val="000000"/>
                <w:sz w:val="14"/>
                <w:szCs w:val="14"/>
                <w:lang w:val="en-US" w:eastAsia="zh-CN"/>
              </w:rPr>
              <w:t> </w:t>
            </w:r>
          </w:p>
        </w:tc>
        <w:tc>
          <w:tcPr>
            <w:tcW w:w="850" w:type="dxa"/>
            <w:tcBorders>
              <w:top w:val="nil"/>
              <w:left w:val="single" w:sz="4" w:space="0" w:color="auto"/>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709"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1134"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851"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1134" w:type="dxa"/>
            <w:tcBorders>
              <w:top w:val="nil"/>
              <w:left w:val="nil"/>
              <w:bottom w:val="nil"/>
              <w:right w:val="nil"/>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1134" w:type="dxa"/>
            <w:tcBorders>
              <w:top w:val="nil"/>
              <w:left w:val="single" w:sz="4" w:space="0" w:color="auto"/>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992"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1134"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850"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851"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850"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1134"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1134"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993"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w:t>
            </w:r>
          </w:p>
        </w:tc>
      </w:tr>
      <w:tr w:rsidR="007129CA" w:rsidRPr="007B36B9" w:rsidTr="00AD4557">
        <w:trPr>
          <w:trHeight w:val="288"/>
        </w:trPr>
        <w:tc>
          <w:tcPr>
            <w:tcW w:w="2127" w:type="dxa"/>
            <w:tcBorders>
              <w:top w:val="single" w:sz="4" w:space="0" w:color="auto"/>
              <w:left w:val="single" w:sz="4" w:space="0" w:color="auto"/>
              <w:bottom w:val="single" w:sz="4" w:space="0" w:color="auto"/>
              <w:right w:val="nil"/>
            </w:tcBorders>
            <w:shd w:val="clear" w:color="auto" w:fill="auto"/>
            <w:noWrap/>
            <w:vAlign w:val="center"/>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4"/>
                <w:szCs w:val="14"/>
                <w:lang w:val="en-US" w:eastAsia="zh-CN"/>
              </w:rPr>
            </w:pPr>
            <w:r w:rsidRPr="007B36B9">
              <w:rPr>
                <w:rFonts w:ascii="Arial" w:hAnsi="Arial" w:cs="Arial"/>
                <w:b/>
                <w:bCs/>
                <w:color w:val="000000"/>
                <w:sz w:val="14"/>
                <w:szCs w:val="14"/>
                <w:lang w:val="en-US" w:eastAsia="zh-CN"/>
              </w:rPr>
              <w:t>Total revenue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B36B9">
              <w:rPr>
                <w:rFonts w:asciiTheme="minorHAnsi" w:hAnsiTheme="minorHAnsi" w:cs="Arial"/>
                <w:b/>
                <w:bCs/>
                <w:color w:val="000000"/>
                <w:sz w:val="16"/>
                <w:szCs w:val="16"/>
                <w:lang w:val="en-US" w:eastAsia="zh-CN"/>
              </w:rPr>
              <w:t xml:space="preserve">         138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B36B9">
              <w:rPr>
                <w:rFonts w:asciiTheme="minorHAnsi" w:hAnsiTheme="minorHAnsi" w:cs="Arial"/>
                <w:b/>
                <w:bCs/>
                <w:color w:val="000000"/>
                <w:sz w:val="16"/>
                <w:szCs w:val="16"/>
                <w:lang w:val="en-US" w:eastAsia="zh-CN"/>
              </w:rPr>
              <w:t xml:space="preserve">38,990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B36B9">
              <w:rPr>
                <w:rFonts w:asciiTheme="minorHAnsi" w:hAnsiTheme="minorHAnsi" w:cs="Arial"/>
                <w:b/>
                <w:bCs/>
                <w:color w:val="000000"/>
                <w:sz w:val="16"/>
                <w:szCs w:val="16"/>
                <w:lang w:val="en-US" w:eastAsia="zh-CN"/>
              </w:rPr>
              <w:t xml:space="preserve">             8,037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B36B9">
              <w:rPr>
                <w:rFonts w:asciiTheme="minorHAnsi" w:hAnsiTheme="minorHAnsi" w:cs="Arial"/>
                <w:b/>
                <w:bCs/>
                <w:color w:val="000000"/>
                <w:sz w:val="16"/>
                <w:szCs w:val="16"/>
                <w:lang w:val="en-US" w:eastAsia="zh-CN"/>
              </w:rPr>
              <w:t xml:space="preserve">     1,807 </w:t>
            </w:r>
          </w:p>
        </w:tc>
        <w:tc>
          <w:tcPr>
            <w:tcW w:w="1134" w:type="dxa"/>
            <w:tcBorders>
              <w:top w:val="single" w:sz="4" w:space="0" w:color="auto"/>
              <w:left w:val="nil"/>
              <w:bottom w:val="single" w:sz="4" w:space="0" w:color="auto"/>
              <w:right w:val="nil"/>
            </w:tcBorders>
            <w:shd w:val="clear" w:color="auto" w:fill="auto"/>
            <w:noWrap/>
            <w:vAlign w:val="center"/>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B36B9">
              <w:rPr>
                <w:rFonts w:asciiTheme="minorHAnsi" w:hAnsiTheme="minorHAnsi" w:cs="Arial"/>
                <w:b/>
                <w:bCs/>
                <w:color w:val="000000"/>
                <w:sz w:val="16"/>
                <w:szCs w:val="16"/>
                <w:lang w:val="en-US" w:eastAsia="zh-CN"/>
              </w:rPr>
              <w:t xml:space="preserve">      107,281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B36B9">
              <w:rPr>
                <w:rFonts w:asciiTheme="minorHAnsi" w:hAnsiTheme="minorHAnsi" w:cs="Arial"/>
                <w:b/>
                <w:bCs/>
                <w:color w:val="000000"/>
                <w:sz w:val="16"/>
                <w:szCs w:val="16"/>
                <w:lang w:val="en-US" w:eastAsia="zh-CN"/>
              </w:rPr>
              <w:t xml:space="preserve">         156,252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B36B9">
              <w:rPr>
                <w:rFonts w:asciiTheme="minorHAnsi" w:hAnsiTheme="minorHAnsi" w:cs="Arial"/>
                <w:b/>
                <w:bCs/>
                <w:color w:val="000000"/>
                <w:sz w:val="16"/>
                <w:szCs w:val="16"/>
                <w:lang w:val="en-US" w:eastAsia="zh-CN"/>
              </w:rPr>
              <w:t xml:space="preserve">                          1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B36B9">
              <w:rPr>
                <w:rFonts w:asciiTheme="minorHAnsi" w:hAnsiTheme="minorHAnsi" w:cs="Arial"/>
                <w:b/>
                <w:bCs/>
                <w:color w:val="000000"/>
                <w:sz w:val="16"/>
                <w:szCs w:val="16"/>
                <w:lang w:val="en-US" w:eastAsia="zh-CN"/>
              </w:rPr>
              <w:t xml:space="preserve">              3,055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B36B9">
              <w:rPr>
                <w:rFonts w:asciiTheme="minorHAnsi" w:hAnsiTheme="minorHAnsi" w:cs="Arial"/>
                <w:b/>
                <w:bCs/>
                <w:color w:val="000000"/>
                <w:sz w:val="16"/>
                <w:szCs w:val="16"/>
                <w:lang w:val="en-US" w:eastAsia="zh-CN"/>
              </w:rPr>
              <w:t xml:space="preserve"> 6,583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B36B9">
              <w:rPr>
                <w:rFonts w:asciiTheme="minorHAnsi" w:hAnsiTheme="minorHAnsi" w:cs="Arial"/>
                <w:b/>
                <w:bCs/>
                <w:color w:val="000000"/>
                <w:sz w:val="16"/>
                <w:szCs w:val="16"/>
                <w:lang w:val="en-US" w:eastAsia="zh-CN"/>
              </w:rPr>
              <w:t xml:space="preserve">       1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B36B9">
              <w:rPr>
                <w:rFonts w:asciiTheme="minorHAnsi" w:hAnsiTheme="minorHAnsi" w:cs="Arial"/>
                <w:b/>
                <w:bCs/>
                <w:color w:val="000000"/>
                <w:sz w:val="16"/>
                <w:szCs w:val="16"/>
                <w:lang w:val="en-US" w:eastAsia="zh-CN"/>
              </w:rPr>
              <w:t xml:space="preserve">    847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B36B9">
              <w:rPr>
                <w:rFonts w:asciiTheme="minorHAnsi" w:hAnsiTheme="minorHAnsi" w:cs="Arial"/>
                <w:b/>
                <w:bCs/>
                <w:color w:val="000000"/>
                <w:sz w:val="16"/>
                <w:szCs w:val="16"/>
                <w:lang w:val="en-US" w:eastAsia="zh-CN"/>
              </w:rPr>
              <w:t xml:space="preserve">            8,861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B36B9">
              <w:rPr>
                <w:rFonts w:asciiTheme="minorHAnsi" w:hAnsiTheme="minorHAnsi" w:cs="Arial"/>
                <w:b/>
                <w:bCs/>
                <w:color w:val="000000"/>
                <w:sz w:val="16"/>
                <w:szCs w:val="16"/>
                <w:lang w:val="en-US" w:eastAsia="zh-CN"/>
              </w:rPr>
              <w:t xml:space="preserve">           2,517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B36B9">
              <w:rPr>
                <w:rFonts w:asciiTheme="minorHAnsi" w:hAnsiTheme="minorHAnsi" w:cs="Arial"/>
                <w:b/>
                <w:bCs/>
                <w:color w:val="000000"/>
                <w:sz w:val="16"/>
                <w:szCs w:val="16"/>
                <w:lang w:val="en-US" w:eastAsia="zh-CN"/>
              </w:rPr>
              <w:t xml:space="preserve">     178,117 </w:t>
            </w:r>
          </w:p>
        </w:tc>
      </w:tr>
      <w:tr w:rsidR="007129CA" w:rsidRPr="007B36B9" w:rsidTr="00AD4557">
        <w:trPr>
          <w:trHeight w:val="202"/>
        </w:trPr>
        <w:tc>
          <w:tcPr>
            <w:tcW w:w="2127" w:type="dxa"/>
            <w:tcBorders>
              <w:top w:val="nil"/>
              <w:left w:val="single" w:sz="4" w:space="0" w:color="auto"/>
              <w:bottom w:val="nil"/>
              <w:right w:val="nil"/>
            </w:tcBorders>
            <w:shd w:val="clear" w:color="auto" w:fill="auto"/>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4"/>
                <w:szCs w:val="14"/>
                <w:lang w:val="en-US" w:eastAsia="zh-CN"/>
              </w:rPr>
            </w:pPr>
            <w:r w:rsidRPr="007B36B9">
              <w:rPr>
                <w:rFonts w:ascii="Arial" w:hAnsi="Arial" w:cs="Arial"/>
                <w:b/>
                <w:bCs/>
                <w:color w:val="000000"/>
                <w:sz w:val="14"/>
                <w:szCs w:val="14"/>
                <w:lang w:val="en-US" w:eastAsia="zh-CN"/>
              </w:rPr>
              <w:t> </w:t>
            </w:r>
          </w:p>
        </w:tc>
        <w:tc>
          <w:tcPr>
            <w:tcW w:w="850" w:type="dxa"/>
            <w:tcBorders>
              <w:top w:val="nil"/>
              <w:left w:val="single" w:sz="4" w:space="0" w:color="auto"/>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709"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1134"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851"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1134" w:type="dxa"/>
            <w:tcBorders>
              <w:top w:val="nil"/>
              <w:left w:val="nil"/>
              <w:bottom w:val="nil"/>
              <w:right w:val="nil"/>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1134" w:type="dxa"/>
            <w:tcBorders>
              <w:top w:val="nil"/>
              <w:left w:val="single" w:sz="4" w:space="0" w:color="auto"/>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992"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1134"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850"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851"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850"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1134"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1134"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993"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r>
      <w:tr w:rsidR="007129CA" w:rsidRPr="007B36B9" w:rsidTr="00AD4557">
        <w:trPr>
          <w:trHeight w:val="202"/>
        </w:trPr>
        <w:tc>
          <w:tcPr>
            <w:tcW w:w="2127" w:type="dxa"/>
            <w:tcBorders>
              <w:top w:val="nil"/>
              <w:left w:val="single" w:sz="4" w:space="0" w:color="auto"/>
              <w:bottom w:val="nil"/>
              <w:right w:val="nil"/>
            </w:tcBorders>
            <w:shd w:val="clear" w:color="auto" w:fill="auto"/>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4"/>
                <w:szCs w:val="14"/>
                <w:lang w:val="en-US" w:eastAsia="zh-CN"/>
              </w:rPr>
            </w:pPr>
            <w:r w:rsidRPr="007B36B9">
              <w:rPr>
                <w:rFonts w:ascii="Arial" w:hAnsi="Arial" w:cs="Arial"/>
                <w:b/>
                <w:bCs/>
                <w:color w:val="000000"/>
                <w:sz w:val="14"/>
                <w:szCs w:val="14"/>
                <w:lang w:val="en-US" w:eastAsia="zh-CN"/>
              </w:rPr>
              <w:t>EXPENSES</w:t>
            </w:r>
          </w:p>
        </w:tc>
        <w:tc>
          <w:tcPr>
            <w:tcW w:w="850" w:type="dxa"/>
            <w:tcBorders>
              <w:top w:val="nil"/>
              <w:left w:val="single" w:sz="4" w:space="0" w:color="auto"/>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709"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1134"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851"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1134" w:type="dxa"/>
            <w:tcBorders>
              <w:top w:val="nil"/>
              <w:left w:val="nil"/>
              <w:bottom w:val="nil"/>
              <w:right w:val="nil"/>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p>
        </w:tc>
        <w:tc>
          <w:tcPr>
            <w:tcW w:w="1134" w:type="dxa"/>
            <w:tcBorders>
              <w:top w:val="nil"/>
              <w:left w:val="single" w:sz="4" w:space="0" w:color="auto"/>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992"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1134"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850"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851"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850"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1134"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1134"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993"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r>
      <w:tr w:rsidR="007129CA" w:rsidRPr="007B36B9" w:rsidTr="00AD4557">
        <w:trPr>
          <w:trHeight w:val="202"/>
        </w:trPr>
        <w:tc>
          <w:tcPr>
            <w:tcW w:w="2127" w:type="dxa"/>
            <w:tcBorders>
              <w:top w:val="nil"/>
              <w:left w:val="single" w:sz="4" w:space="0" w:color="auto"/>
              <w:bottom w:val="nil"/>
              <w:right w:val="nil"/>
            </w:tcBorders>
            <w:shd w:val="clear" w:color="auto" w:fill="auto"/>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4"/>
                <w:szCs w:val="14"/>
                <w:lang w:val="en-US" w:eastAsia="zh-CN"/>
              </w:rPr>
            </w:pPr>
            <w:r w:rsidRPr="007B36B9">
              <w:rPr>
                <w:rFonts w:ascii="Arial" w:hAnsi="Arial" w:cs="Arial"/>
                <w:b/>
                <w:bCs/>
                <w:color w:val="000000"/>
                <w:sz w:val="14"/>
                <w:szCs w:val="14"/>
                <w:lang w:val="en-US" w:eastAsia="zh-CN"/>
              </w:rPr>
              <w:t> </w:t>
            </w:r>
          </w:p>
        </w:tc>
        <w:tc>
          <w:tcPr>
            <w:tcW w:w="850" w:type="dxa"/>
            <w:tcBorders>
              <w:top w:val="nil"/>
              <w:left w:val="single" w:sz="4" w:space="0" w:color="auto"/>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709"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1134"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851"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1134" w:type="dxa"/>
            <w:tcBorders>
              <w:top w:val="nil"/>
              <w:left w:val="nil"/>
              <w:bottom w:val="nil"/>
              <w:right w:val="nil"/>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1134" w:type="dxa"/>
            <w:tcBorders>
              <w:top w:val="nil"/>
              <w:left w:val="single" w:sz="4" w:space="0" w:color="auto"/>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992"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1134"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850"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851"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850"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1134"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1134"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993"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r>
      <w:tr w:rsidR="007129CA" w:rsidRPr="007B36B9" w:rsidTr="00AD4557">
        <w:trPr>
          <w:trHeight w:val="202"/>
        </w:trPr>
        <w:tc>
          <w:tcPr>
            <w:tcW w:w="2127" w:type="dxa"/>
            <w:tcBorders>
              <w:top w:val="nil"/>
              <w:left w:val="single" w:sz="4" w:space="0" w:color="auto"/>
              <w:bottom w:val="nil"/>
              <w:right w:val="nil"/>
            </w:tcBorders>
            <w:shd w:val="clear" w:color="auto" w:fill="auto"/>
            <w:hideMark/>
          </w:tcPr>
          <w:p w:rsidR="007129CA" w:rsidRPr="00524DF0" w:rsidRDefault="007129CA" w:rsidP="00AD45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524DF0">
              <w:rPr>
                <w:rFonts w:asciiTheme="minorHAnsi" w:hAnsiTheme="minorHAnsi" w:cs="Arial"/>
                <w:color w:val="000000"/>
                <w:sz w:val="16"/>
                <w:szCs w:val="16"/>
                <w:lang w:val="en-US" w:eastAsia="zh-CN"/>
              </w:rPr>
              <w:t>Employee expenses</w:t>
            </w:r>
          </w:p>
        </w:tc>
        <w:tc>
          <w:tcPr>
            <w:tcW w:w="850" w:type="dxa"/>
            <w:tcBorders>
              <w:top w:val="nil"/>
              <w:left w:val="single" w:sz="4" w:space="0" w:color="auto"/>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68,005 </w:t>
            </w:r>
          </w:p>
        </w:tc>
        <w:tc>
          <w:tcPr>
            <w:tcW w:w="709"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Pr>
                <w:rFonts w:asciiTheme="minorHAnsi" w:hAnsiTheme="minorHAnsi" w:cs="Arial"/>
                <w:color w:val="000000"/>
                <w:sz w:val="16"/>
                <w:szCs w:val="16"/>
                <w:lang w:val="en-US" w:eastAsia="zh-CN"/>
              </w:rPr>
              <w:t>2</w:t>
            </w:r>
            <w:r w:rsidRPr="007B36B9">
              <w:rPr>
                <w:rFonts w:asciiTheme="minorHAnsi" w:hAnsiTheme="minorHAnsi" w:cs="Arial"/>
                <w:color w:val="000000"/>
                <w:sz w:val="16"/>
                <w:szCs w:val="16"/>
                <w:lang w:val="en-US" w:eastAsia="zh-CN"/>
              </w:rPr>
              <w:t xml:space="preserve">5,288 </w:t>
            </w:r>
          </w:p>
        </w:tc>
        <w:tc>
          <w:tcPr>
            <w:tcW w:w="1134"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11,696 </w:t>
            </w:r>
          </w:p>
        </w:tc>
        <w:tc>
          <w:tcPr>
            <w:tcW w:w="851"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22,165 </w:t>
            </w:r>
          </w:p>
        </w:tc>
        <w:tc>
          <w:tcPr>
            <w:tcW w:w="1134"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13,667 </w:t>
            </w:r>
          </w:p>
        </w:tc>
        <w:tc>
          <w:tcPr>
            <w:tcW w:w="1134"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w:t>
            </w:r>
            <w:r>
              <w:rPr>
                <w:rFonts w:asciiTheme="minorHAnsi" w:hAnsiTheme="minorHAnsi" w:cs="Arial"/>
                <w:color w:val="000000"/>
                <w:sz w:val="16"/>
                <w:szCs w:val="16"/>
                <w:lang w:val="en-US" w:eastAsia="zh-CN"/>
              </w:rPr>
              <w:t>14</w:t>
            </w:r>
            <w:r w:rsidRPr="007B36B9">
              <w:rPr>
                <w:rFonts w:asciiTheme="minorHAnsi" w:hAnsiTheme="minorHAnsi" w:cs="Arial"/>
                <w:color w:val="000000"/>
                <w:sz w:val="16"/>
                <w:szCs w:val="16"/>
                <w:lang w:val="en-US" w:eastAsia="zh-CN"/>
              </w:rPr>
              <w:t xml:space="preserve">0,822 </w:t>
            </w:r>
          </w:p>
        </w:tc>
        <w:tc>
          <w:tcPr>
            <w:tcW w:w="992"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22 </w:t>
            </w:r>
          </w:p>
        </w:tc>
        <w:tc>
          <w:tcPr>
            <w:tcW w:w="1134"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874 </w:t>
            </w:r>
          </w:p>
        </w:tc>
        <w:tc>
          <w:tcPr>
            <w:tcW w:w="850"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1,038 </w:t>
            </w:r>
          </w:p>
        </w:tc>
        <w:tc>
          <w:tcPr>
            <w:tcW w:w="851"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80 </w:t>
            </w:r>
          </w:p>
        </w:tc>
        <w:tc>
          <w:tcPr>
            <w:tcW w:w="850"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766 </w:t>
            </w:r>
          </w:p>
        </w:tc>
        <w:tc>
          <w:tcPr>
            <w:tcW w:w="1134"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3,397 </w:t>
            </w:r>
          </w:p>
        </w:tc>
        <w:tc>
          <w:tcPr>
            <w:tcW w:w="1134"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993"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w:t>
            </w:r>
            <w:r>
              <w:rPr>
                <w:rFonts w:asciiTheme="minorHAnsi" w:hAnsiTheme="minorHAnsi" w:cs="Arial"/>
                <w:color w:val="000000"/>
                <w:sz w:val="16"/>
                <w:szCs w:val="16"/>
                <w:lang w:val="en-US" w:eastAsia="zh-CN"/>
              </w:rPr>
              <w:t>146</w:t>
            </w:r>
            <w:r w:rsidRPr="007B36B9">
              <w:rPr>
                <w:rFonts w:asciiTheme="minorHAnsi" w:hAnsiTheme="minorHAnsi" w:cs="Arial"/>
                <w:color w:val="000000"/>
                <w:sz w:val="16"/>
                <w:szCs w:val="16"/>
                <w:lang w:val="en-US" w:eastAsia="zh-CN"/>
              </w:rPr>
              <w:t xml:space="preserve">,999 </w:t>
            </w:r>
          </w:p>
        </w:tc>
      </w:tr>
      <w:tr w:rsidR="007129CA" w:rsidRPr="007B36B9" w:rsidTr="00AD4557">
        <w:trPr>
          <w:trHeight w:val="202"/>
        </w:trPr>
        <w:tc>
          <w:tcPr>
            <w:tcW w:w="2127" w:type="dxa"/>
            <w:tcBorders>
              <w:top w:val="nil"/>
              <w:left w:val="single" w:sz="4" w:space="0" w:color="auto"/>
              <w:bottom w:val="nil"/>
              <w:right w:val="nil"/>
            </w:tcBorders>
            <w:shd w:val="clear" w:color="auto" w:fill="auto"/>
            <w:hideMark/>
          </w:tcPr>
          <w:p w:rsidR="007129CA" w:rsidRPr="00524DF0" w:rsidRDefault="007129CA" w:rsidP="00AD45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524DF0">
              <w:rPr>
                <w:rFonts w:asciiTheme="minorHAnsi" w:hAnsiTheme="minorHAnsi" w:cs="Arial"/>
                <w:color w:val="000000"/>
                <w:sz w:val="16"/>
                <w:szCs w:val="16"/>
                <w:lang w:val="en-US" w:eastAsia="zh-CN"/>
              </w:rPr>
              <w:t>Mission expenses</w:t>
            </w:r>
          </w:p>
        </w:tc>
        <w:tc>
          <w:tcPr>
            <w:tcW w:w="850" w:type="dxa"/>
            <w:tcBorders>
              <w:top w:val="nil"/>
              <w:left w:val="single" w:sz="4" w:space="0" w:color="auto"/>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854 </w:t>
            </w:r>
          </w:p>
        </w:tc>
        <w:tc>
          <w:tcPr>
            <w:tcW w:w="709"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949 </w:t>
            </w:r>
          </w:p>
        </w:tc>
        <w:tc>
          <w:tcPr>
            <w:tcW w:w="1134"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979 </w:t>
            </w:r>
          </w:p>
        </w:tc>
        <w:tc>
          <w:tcPr>
            <w:tcW w:w="851"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2,416 </w:t>
            </w:r>
          </w:p>
        </w:tc>
        <w:tc>
          <w:tcPr>
            <w:tcW w:w="1134" w:type="dxa"/>
            <w:tcBorders>
              <w:top w:val="nil"/>
              <w:left w:val="nil"/>
              <w:bottom w:val="nil"/>
              <w:right w:val="nil"/>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1134" w:type="dxa"/>
            <w:tcBorders>
              <w:top w:val="nil"/>
              <w:left w:val="single" w:sz="4" w:space="0" w:color="auto"/>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5,199 </w:t>
            </w:r>
          </w:p>
        </w:tc>
        <w:tc>
          <w:tcPr>
            <w:tcW w:w="992"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1134"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578 </w:t>
            </w:r>
          </w:p>
        </w:tc>
        <w:tc>
          <w:tcPr>
            <w:tcW w:w="850"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805 </w:t>
            </w:r>
          </w:p>
        </w:tc>
        <w:tc>
          <w:tcPr>
            <w:tcW w:w="851"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850"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2 </w:t>
            </w:r>
          </w:p>
        </w:tc>
        <w:tc>
          <w:tcPr>
            <w:tcW w:w="1134"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413 </w:t>
            </w:r>
          </w:p>
        </w:tc>
        <w:tc>
          <w:tcPr>
            <w:tcW w:w="1134"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993"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6,997 </w:t>
            </w:r>
          </w:p>
        </w:tc>
      </w:tr>
      <w:tr w:rsidR="007129CA" w:rsidRPr="007B36B9" w:rsidTr="00AD4557">
        <w:trPr>
          <w:trHeight w:val="202"/>
        </w:trPr>
        <w:tc>
          <w:tcPr>
            <w:tcW w:w="2127" w:type="dxa"/>
            <w:tcBorders>
              <w:top w:val="nil"/>
              <w:left w:val="single" w:sz="4" w:space="0" w:color="auto"/>
              <w:bottom w:val="nil"/>
              <w:right w:val="nil"/>
            </w:tcBorders>
            <w:shd w:val="clear" w:color="auto" w:fill="auto"/>
            <w:hideMark/>
          </w:tcPr>
          <w:p w:rsidR="007129CA" w:rsidRPr="00524DF0" w:rsidRDefault="007129CA" w:rsidP="00AD45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524DF0">
              <w:rPr>
                <w:rFonts w:asciiTheme="minorHAnsi" w:hAnsiTheme="minorHAnsi" w:cs="Arial"/>
                <w:color w:val="000000"/>
                <w:sz w:val="16"/>
                <w:szCs w:val="16"/>
                <w:lang w:val="en-US" w:eastAsia="zh-CN"/>
              </w:rPr>
              <w:t>Contractual services</w:t>
            </w:r>
          </w:p>
        </w:tc>
        <w:tc>
          <w:tcPr>
            <w:tcW w:w="850" w:type="dxa"/>
            <w:tcBorders>
              <w:top w:val="nil"/>
              <w:left w:val="single" w:sz="4" w:space="0" w:color="auto"/>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4,440 </w:t>
            </w:r>
          </w:p>
        </w:tc>
        <w:tc>
          <w:tcPr>
            <w:tcW w:w="709"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186 </w:t>
            </w:r>
          </w:p>
        </w:tc>
        <w:tc>
          <w:tcPr>
            <w:tcW w:w="1134"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488 </w:t>
            </w:r>
          </w:p>
        </w:tc>
        <w:tc>
          <w:tcPr>
            <w:tcW w:w="851"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2,164 </w:t>
            </w:r>
          </w:p>
        </w:tc>
        <w:tc>
          <w:tcPr>
            <w:tcW w:w="1134" w:type="dxa"/>
            <w:tcBorders>
              <w:top w:val="nil"/>
              <w:left w:val="nil"/>
              <w:bottom w:val="nil"/>
              <w:right w:val="nil"/>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183 </w:t>
            </w:r>
          </w:p>
        </w:tc>
        <w:tc>
          <w:tcPr>
            <w:tcW w:w="1134" w:type="dxa"/>
            <w:tcBorders>
              <w:top w:val="nil"/>
              <w:left w:val="single" w:sz="4" w:space="0" w:color="auto"/>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7,461 </w:t>
            </w:r>
          </w:p>
        </w:tc>
        <w:tc>
          <w:tcPr>
            <w:tcW w:w="992"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1134"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854 </w:t>
            </w:r>
          </w:p>
        </w:tc>
        <w:tc>
          <w:tcPr>
            <w:tcW w:w="850"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4,298 </w:t>
            </w:r>
          </w:p>
        </w:tc>
        <w:tc>
          <w:tcPr>
            <w:tcW w:w="851"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850"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1134"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1,494 </w:t>
            </w:r>
          </w:p>
        </w:tc>
        <w:tc>
          <w:tcPr>
            <w:tcW w:w="1134"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993"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14,107 </w:t>
            </w:r>
          </w:p>
        </w:tc>
      </w:tr>
      <w:tr w:rsidR="007129CA" w:rsidRPr="007B36B9" w:rsidTr="00AD4557">
        <w:trPr>
          <w:trHeight w:val="608"/>
        </w:trPr>
        <w:tc>
          <w:tcPr>
            <w:tcW w:w="2127" w:type="dxa"/>
            <w:tcBorders>
              <w:top w:val="nil"/>
              <w:left w:val="single" w:sz="4" w:space="0" w:color="auto"/>
              <w:bottom w:val="nil"/>
              <w:right w:val="nil"/>
            </w:tcBorders>
            <w:shd w:val="clear" w:color="auto" w:fill="auto"/>
            <w:vAlign w:val="center"/>
            <w:hideMark/>
          </w:tcPr>
          <w:p w:rsidR="007129CA" w:rsidRPr="00524DF0" w:rsidRDefault="007129CA" w:rsidP="00AD45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524DF0">
              <w:rPr>
                <w:rFonts w:asciiTheme="minorHAnsi" w:hAnsiTheme="minorHAnsi" w:cs="Arial"/>
                <w:color w:val="000000"/>
                <w:sz w:val="16"/>
                <w:szCs w:val="16"/>
                <w:lang w:val="en-US" w:eastAsia="zh-CN"/>
              </w:rPr>
              <w:t>Rental and maintenance of premises and equipment</w:t>
            </w:r>
          </w:p>
        </w:tc>
        <w:tc>
          <w:tcPr>
            <w:tcW w:w="850" w:type="dxa"/>
            <w:tcBorders>
              <w:top w:val="nil"/>
              <w:left w:val="single" w:sz="4" w:space="0" w:color="auto"/>
              <w:bottom w:val="nil"/>
              <w:right w:val="single" w:sz="4" w:space="0" w:color="auto"/>
            </w:tcBorders>
            <w:shd w:val="clear" w:color="auto" w:fill="auto"/>
            <w:noWrap/>
            <w:vAlign w:val="center"/>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3,850 </w:t>
            </w:r>
          </w:p>
        </w:tc>
        <w:tc>
          <w:tcPr>
            <w:tcW w:w="709" w:type="dxa"/>
            <w:tcBorders>
              <w:top w:val="nil"/>
              <w:left w:val="nil"/>
              <w:bottom w:val="nil"/>
              <w:right w:val="single" w:sz="4" w:space="0" w:color="auto"/>
            </w:tcBorders>
            <w:shd w:val="clear" w:color="auto" w:fill="auto"/>
            <w:noWrap/>
            <w:vAlign w:val="center"/>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44 </w:t>
            </w:r>
          </w:p>
        </w:tc>
        <w:tc>
          <w:tcPr>
            <w:tcW w:w="1134" w:type="dxa"/>
            <w:tcBorders>
              <w:top w:val="nil"/>
              <w:left w:val="nil"/>
              <w:bottom w:val="nil"/>
              <w:right w:val="single" w:sz="4" w:space="0" w:color="auto"/>
            </w:tcBorders>
            <w:shd w:val="clear" w:color="auto" w:fill="auto"/>
            <w:noWrap/>
            <w:vAlign w:val="center"/>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59 </w:t>
            </w:r>
          </w:p>
        </w:tc>
        <w:tc>
          <w:tcPr>
            <w:tcW w:w="851" w:type="dxa"/>
            <w:tcBorders>
              <w:top w:val="nil"/>
              <w:left w:val="nil"/>
              <w:bottom w:val="nil"/>
              <w:right w:val="single" w:sz="4" w:space="0" w:color="auto"/>
            </w:tcBorders>
            <w:shd w:val="clear" w:color="auto" w:fill="auto"/>
            <w:noWrap/>
            <w:vAlign w:val="center"/>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89 </w:t>
            </w:r>
          </w:p>
        </w:tc>
        <w:tc>
          <w:tcPr>
            <w:tcW w:w="1134" w:type="dxa"/>
            <w:tcBorders>
              <w:top w:val="nil"/>
              <w:left w:val="nil"/>
              <w:bottom w:val="nil"/>
              <w:right w:val="nil"/>
            </w:tcBorders>
            <w:shd w:val="clear" w:color="auto" w:fill="auto"/>
            <w:noWrap/>
            <w:vAlign w:val="center"/>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174 </w:t>
            </w:r>
          </w:p>
        </w:tc>
        <w:tc>
          <w:tcPr>
            <w:tcW w:w="1134" w:type="dxa"/>
            <w:tcBorders>
              <w:top w:val="nil"/>
              <w:left w:val="single" w:sz="4" w:space="0" w:color="auto"/>
              <w:bottom w:val="nil"/>
              <w:right w:val="single" w:sz="4" w:space="0" w:color="auto"/>
            </w:tcBorders>
            <w:shd w:val="clear" w:color="auto" w:fill="auto"/>
            <w:noWrap/>
            <w:vAlign w:val="center"/>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4,216 </w:t>
            </w:r>
          </w:p>
        </w:tc>
        <w:tc>
          <w:tcPr>
            <w:tcW w:w="992" w:type="dxa"/>
            <w:tcBorders>
              <w:top w:val="nil"/>
              <w:left w:val="nil"/>
              <w:bottom w:val="nil"/>
              <w:right w:val="single" w:sz="4" w:space="0" w:color="auto"/>
            </w:tcBorders>
            <w:shd w:val="clear" w:color="auto" w:fill="auto"/>
            <w:noWrap/>
            <w:vAlign w:val="center"/>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1134" w:type="dxa"/>
            <w:tcBorders>
              <w:top w:val="nil"/>
              <w:left w:val="nil"/>
              <w:bottom w:val="nil"/>
              <w:right w:val="single" w:sz="4" w:space="0" w:color="auto"/>
            </w:tcBorders>
            <w:shd w:val="clear" w:color="auto" w:fill="auto"/>
            <w:noWrap/>
            <w:vAlign w:val="center"/>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137 </w:t>
            </w:r>
          </w:p>
        </w:tc>
        <w:tc>
          <w:tcPr>
            <w:tcW w:w="850" w:type="dxa"/>
            <w:tcBorders>
              <w:top w:val="nil"/>
              <w:left w:val="nil"/>
              <w:bottom w:val="nil"/>
              <w:right w:val="single" w:sz="4" w:space="0" w:color="auto"/>
            </w:tcBorders>
            <w:shd w:val="clear" w:color="auto" w:fill="auto"/>
            <w:noWrap/>
            <w:vAlign w:val="center"/>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851" w:type="dxa"/>
            <w:tcBorders>
              <w:top w:val="nil"/>
              <w:left w:val="nil"/>
              <w:bottom w:val="nil"/>
              <w:right w:val="single" w:sz="4" w:space="0" w:color="auto"/>
            </w:tcBorders>
            <w:shd w:val="clear" w:color="auto" w:fill="auto"/>
            <w:noWrap/>
            <w:vAlign w:val="center"/>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850" w:type="dxa"/>
            <w:tcBorders>
              <w:top w:val="nil"/>
              <w:left w:val="nil"/>
              <w:bottom w:val="nil"/>
              <w:right w:val="single" w:sz="4" w:space="0" w:color="auto"/>
            </w:tcBorders>
            <w:shd w:val="clear" w:color="auto" w:fill="auto"/>
            <w:noWrap/>
            <w:vAlign w:val="center"/>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1134" w:type="dxa"/>
            <w:tcBorders>
              <w:top w:val="nil"/>
              <w:left w:val="nil"/>
              <w:bottom w:val="nil"/>
              <w:right w:val="single" w:sz="4" w:space="0" w:color="auto"/>
            </w:tcBorders>
            <w:shd w:val="clear" w:color="auto" w:fill="auto"/>
            <w:noWrap/>
            <w:vAlign w:val="center"/>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519 </w:t>
            </w:r>
          </w:p>
        </w:tc>
        <w:tc>
          <w:tcPr>
            <w:tcW w:w="1134" w:type="dxa"/>
            <w:tcBorders>
              <w:top w:val="nil"/>
              <w:left w:val="nil"/>
              <w:bottom w:val="nil"/>
              <w:right w:val="single" w:sz="4" w:space="0" w:color="auto"/>
            </w:tcBorders>
            <w:shd w:val="clear" w:color="auto" w:fill="auto"/>
            <w:noWrap/>
            <w:vAlign w:val="center"/>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993" w:type="dxa"/>
            <w:tcBorders>
              <w:top w:val="nil"/>
              <w:left w:val="nil"/>
              <w:bottom w:val="nil"/>
              <w:right w:val="single" w:sz="4" w:space="0" w:color="auto"/>
            </w:tcBorders>
            <w:shd w:val="clear" w:color="auto" w:fill="auto"/>
            <w:noWrap/>
            <w:vAlign w:val="center"/>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4,872 </w:t>
            </w:r>
          </w:p>
        </w:tc>
      </w:tr>
      <w:tr w:rsidR="007129CA" w:rsidRPr="007B36B9" w:rsidTr="00AD4557">
        <w:trPr>
          <w:trHeight w:val="202"/>
        </w:trPr>
        <w:tc>
          <w:tcPr>
            <w:tcW w:w="2127" w:type="dxa"/>
            <w:tcBorders>
              <w:top w:val="nil"/>
              <w:left w:val="single" w:sz="4" w:space="0" w:color="auto"/>
              <w:bottom w:val="nil"/>
              <w:right w:val="nil"/>
            </w:tcBorders>
            <w:shd w:val="clear" w:color="auto" w:fill="auto"/>
            <w:hideMark/>
          </w:tcPr>
          <w:p w:rsidR="007129CA" w:rsidRPr="00524DF0" w:rsidRDefault="007129CA" w:rsidP="00AD45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524DF0">
              <w:rPr>
                <w:rFonts w:asciiTheme="minorHAnsi" w:hAnsiTheme="minorHAnsi" w:cs="Arial"/>
                <w:color w:val="000000"/>
                <w:sz w:val="16"/>
                <w:szCs w:val="16"/>
                <w:lang w:val="en-US" w:eastAsia="zh-CN"/>
              </w:rPr>
              <w:t>Equipment and supplies</w:t>
            </w:r>
          </w:p>
        </w:tc>
        <w:tc>
          <w:tcPr>
            <w:tcW w:w="850" w:type="dxa"/>
            <w:tcBorders>
              <w:top w:val="nil"/>
              <w:left w:val="single" w:sz="4" w:space="0" w:color="auto"/>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1,101 </w:t>
            </w:r>
          </w:p>
        </w:tc>
        <w:tc>
          <w:tcPr>
            <w:tcW w:w="709"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535 </w:t>
            </w:r>
          </w:p>
        </w:tc>
        <w:tc>
          <w:tcPr>
            <w:tcW w:w="1134"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143 </w:t>
            </w:r>
          </w:p>
        </w:tc>
        <w:tc>
          <w:tcPr>
            <w:tcW w:w="851"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567 </w:t>
            </w:r>
          </w:p>
        </w:tc>
        <w:tc>
          <w:tcPr>
            <w:tcW w:w="1134" w:type="dxa"/>
            <w:tcBorders>
              <w:top w:val="nil"/>
              <w:left w:val="nil"/>
              <w:bottom w:val="nil"/>
              <w:right w:val="nil"/>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18 </w:t>
            </w:r>
          </w:p>
        </w:tc>
        <w:tc>
          <w:tcPr>
            <w:tcW w:w="1134" w:type="dxa"/>
            <w:tcBorders>
              <w:top w:val="nil"/>
              <w:left w:val="single" w:sz="4" w:space="0" w:color="auto"/>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2,363 </w:t>
            </w:r>
          </w:p>
        </w:tc>
        <w:tc>
          <w:tcPr>
            <w:tcW w:w="992"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1134"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180 </w:t>
            </w:r>
          </w:p>
        </w:tc>
        <w:tc>
          <w:tcPr>
            <w:tcW w:w="850"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6</w:t>
            </w:r>
            <w:r>
              <w:rPr>
                <w:rFonts w:asciiTheme="minorHAnsi" w:hAnsiTheme="minorHAnsi" w:cs="Arial"/>
                <w:color w:val="000000"/>
                <w:sz w:val="16"/>
                <w:szCs w:val="16"/>
                <w:lang w:val="en-US" w:eastAsia="zh-CN"/>
              </w:rPr>
              <w:t>3</w:t>
            </w:r>
            <w:r w:rsidRPr="007B36B9">
              <w:rPr>
                <w:rFonts w:asciiTheme="minorHAnsi" w:hAnsiTheme="minorHAnsi" w:cs="Arial"/>
                <w:color w:val="000000"/>
                <w:sz w:val="16"/>
                <w:szCs w:val="16"/>
                <w:lang w:val="en-US" w:eastAsia="zh-CN"/>
              </w:rPr>
              <w:t xml:space="preserve">5 </w:t>
            </w:r>
          </w:p>
        </w:tc>
        <w:tc>
          <w:tcPr>
            <w:tcW w:w="851"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850"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1134"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113 </w:t>
            </w:r>
          </w:p>
        </w:tc>
        <w:tc>
          <w:tcPr>
            <w:tcW w:w="1134"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993"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3,291 </w:t>
            </w:r>
          </w:p>
        </w:tc>
      </w:tr>
      <w:tr w:rsidR="007129CA" w:rsidRPr="007B36B9" w:rsidTr="00AD4557">
        <w:trPr>
          <w:trHeight w:val="202"/>
        </w:trPr>
        <w:tc>
          <w:tcPr>
            <w:tcW w:w="2127" w:type="dxa"/>
            <w:tcBorders>
              <w:top w:val="nil"/>
              <w:left w:val="single" w:sz="4" w:space="0" w:color="auto"/>
              <w:bottom w:val="nil"/>
              <w:right w:val="nil"/>
            </w:tcBorders>
            <w:shd w:val="clear" w:color="auto" w:fill="auto"/>
            <w:hideMark/>
          </w:tcPr>
          <w:p w:rsidR="007129CA" w:rsidRPr="00524DF0" w:rsidRDefault="007129CA" w:rsidP="00AD45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524DF0">
              <w:rPr>
                <w:rFonts w:asciiTheme="minorHAnsi" w:hAnsiTheme="minorHAnsi" w:cs="Arial"/>
                <w:color w:val="000000"/>
                <w:sz w:val="16"/>
                <w:szCs w:val="16"/>
                <w:lang w:val="en-US" w:eastAsia="zh-CN"/>
              </w:rPr>
              <w:t>Depreciation</w:t>
            </w:r>
          </w:p>
        </w:tc>
        <w:tc>
          <w:tcPr>
            <w:tcW w:w="850" w:type="dxa"/>
            <w:tcBorders>
              <w:top w:val="nil"/>
              <w:left w:val="single" w:sz="4" w:space="0" w:color="auto"/>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p>
        </w:tc>
        <w:tc>
          <w:tcPr>
            <w:tcW w:w="709"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1134"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851"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1134" w:type="dxa"/>
            <w:tcBorders>
              <w:top w:val="nil"/>
              <w:left w:val="nil"/>
              <w:bottom w:val="nil"/>
              <w:right w:val="nil"/>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5,359 </w:t>
            </w:r>
          </w:p>
        </w:tc>
        <w:tc>
          <w:tcPr>
            <w:tcW w:w="1134" w:type="dxa"/>
            <w:tcBorders>
              <w:top w:val="nil"/>
              <w:left w:val="single" w:sz="4" w:space="0" w:color="auto"/>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5,359 </w:t>
            </w:r>
          </w:p>
        </w:tc>
        <w:tc>
          <w:tcPr>
            <w:tcW w:w="992"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1134"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249 </w:t>
            </w:r>
          </w:p>
        </w:tc>
        <w:tc>
          <w:tcPr>
            <w:tcW w:w="850"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2 </w:t>
            </w:r>
          </w:p>
        </w:tc>
        <w:tc>
          <w:tcPr>
            <w:tcW w:w="851"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850"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1134"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1134"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993"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5,610 </w:t>
            </w:r>
          </w:p>
        </w:tc>
      </w:tr>
      <w:tr w:rsidR="007129CA" w:rsidRPr="007B36B9" w:rsidTr="00AD4557">
        <w:trPr>
          <w:trHeight w:val="608"/>
        </w:trPr>
        <w:tc>
          <w:tcPr>
            <w:tcW w:w="2127" w:type="dxa"/>
            <w:tcBorders>
              <w:top w:val="nil"/>
              <w:left w:val="single" w:sz="4" w:space="0" w:color="auto"/>
              <w:bottom w:val="nil"/>
              <w:right w:val="nil"/>
            </w:tcBorders>
            <w:shd w:val="clear" w:color="auto" w:fill="auto"/>
            <w:hideMark/>
          </w:tcPr>
          <w:p w:rsidR="007129CA" w:rsidRPr="00524DF0" w:rsidRDefault="007129CA" w:rsidP="00AD45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524DF0">
              <w:rPr>
                <w:rFonts w:asciiTheme="minorHAnsi" w:hAnsiTheme="minorHAnsi" w:cs="Arial"/>
                <w:color w:val="000000"/>
                <w:sz w:val="16"/>
                <w:szCs w:val="16"/>
                <w:lang w:val="en-US" w:eastAsia="zh-CN"/>
              </w:rPr>
              <w:t>Shipping, telecommunication and services expenses</w:t>
            </w:r>
          </w:p>
        </w:tc>
        <w:tc>
          <w:tcPr>
            <w:tcW w:w="850" w:type="dxa"/>
            <w:tcBorders>
              <w:top w:val="nil"/>
              <w:left w:val="single" w:sz="4" w:space="0" w:color="auto"/>
              <w:bottom w:val="nil"/>
              <w:right w:val="single" w:sz="4" w:space="0" w:color="auto"/>
            </w:tcBorders>
            <w:shd w:val="clear" w:color="auto" w:fill="auto"/>
            <w:noWrap/>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1,359 </w:t>
            </w:r>
          </w:p>
        </w:tc>
        <w:tc>
          <w:tcPr>
            <w:tcW w:w="709" w:type="dxa"/>
            <w:tcBorders>
              <w:top w:val="nil"/>
              <w:left w:val="nil"/>
              <w:bottom w:val="nil"/>
              <w:right w:val="single" w:sz="4" w:space="0" w:color="auto"/>
            </w:tcBorders>
            <w:shd w:val="clear" w:color="auto" w:fill="auto"/>
            <w:noWrap/>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w:t>
            </w:r>
            <w:r>
              <w:rPr>
                <w:rFonts w:asciiTheme="minorHAnsi" w:hAnsiTheme="minorHAnsi" w:cs="Arial"/>
                <w:color w:val="000000"/>
                <w:sz w:val="16"/>
                <w:szCs w:val="16"/>
                <w:lang w:val="en-US" w:eastAsia="zh-CN"/>
              </w:rPr>
              <w:t>1</w:t>
            </w:r>
            <w:r w:rsidRPr="007B36B9">
              <w:rPr>
                <w:rFonts w:asciiTheme="minorHAnsi" w:hAnsiTheme="minorHAnsi" w:cs="Arial"/>
                <w:color w:val="000000"/>
                <w:sz w:val="16"/>
                <w:szCs w:val="16"/>
                <w:lang w:val="en-US" w:eastAsia="zh-CN"/>
              </w:rPr>
              <w:t xml:space="preserve">92 </w:t>
            </w:r>
          </w:p>
        </w:tc>
        <w:tc>
          <w:tcPr>
            <w:tcW w:w="1134" w:type="dxa"/>
            <w:tcBorders>
              <w:top w:val="nil"/>
              <w:left w:val="nil"/>
              <w:bottom w:val="nil"/>
              <w:right w:val="single" w:sz="4" w:space="0" w:color="auto"/>
            </w:tcBorders>
            <w:shd w:val="clear" w:color="auto" w:fill="auto"/>
            <w:noWrap/>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67 </w:t>
            </w:r>
          </w:p>
        </w:tc>
        <w:tc>
          <w:tcPr>
            <w:tcW w:w="851" w:type="dxa"/>
            <w:tcBorders>
              <w:top w:val="nil"/>
              <w:left w:val="nil"/>
              <w:bottom w:val="nil"/>
              <w:right w:val="single" w:sz="4" w:space="0" w:color="auto"/>
            </w:tcBorders>
            <w:shd w:val="clear" w:color="auto" w:fill="auto"/>
            <w:noWrap/>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147 </w:t>
            </w:r>
          </w:p>
        </w:tc>
        <w:tc>
          <w:tcPr>
            <w:tcW w:w="1134" w:type="dxa"/>
            <w:tcBorders>
              <w:top w:val="nil"/>
              <w:left w:val="nil"/>
              <w:bottom w:val="nil"/>
              <w:right w:val="nil"/>
            </w:tcBorders>
            <w:shd w:val="clear" w:color="auto" w:fill="auto"/>
            <w:noWrap/>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1134" w:type="dxa"/>
            <w:tcBorders>
              <w:top w:val="nil"/>
              <w:left w:val="single" w:sz="4" w:space="0" w:color="auto"/>
              <w:bottom w:val="nil"/>
              <w:right w:val="single" w:sz="4" w:space="0" w:color="auto"/>
            </w:tcBorders>
            <w:shd w:val="clear" w:color="auto" w:fill="auto"/>
            <w:noWrap/>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1,765 </w:t>
            </w:r>
          </w:p>
        </w:tc>
        <w:tc>
          <w:tcPr>
            <w:tcW w:w="992" w:type="dxa"/>
            <w:tcBorders>
              <w:top w:val="nil"/>
              <w:left w:val="nil"/>
              <w:bottom w:val="nil"/>
              <w:right w:val="single" w:sz="4" w:space="0" w:color="auto"/>
            </w:tcBorders>
            <w:shd w:val="clear" w:color="auto" w:fill="auto"/>
            <w:noWrap/>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1134" w:type="dxa"/>
            <w:tcBorders>
              <w:top w:val="nil"/>
              <w:left w:val="nil"/>
              <w:bottom w:val="nil"/>
              <w:right w:val="single" w:sz="4" w:space="0" w:color="auto"/>
            </w:tcBorders>
            <w:shd w:val="clear" w:color="auto" w:fill="auto"/>
            <w:noWrap/>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2 </w:t>
            </w:r>
          </w:p>
        </w:tc>
        <w:tc>
          <w:tcPr>
            <w:tcW w:w="850" w:type="dxa"/>
            <w:tcBorders>
              <w:top w:val="nil"/>
              <w:left w:val="nil"/>
              <w:bottom w:val="nil"/>
              <w:right w:val="single" w:sz="4" w:space="0" w:color="auto"/>
            </w:tcBorders>
            <w:shd w:val="clear" w:color="auto" w:fill="auto"/>
            <w:noWrap/>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12 </w:t>
            </w:r>
          </w:p>
        </w:tc>
        <w:tc>
          <w:tcPr>
            <w:tcW w:w="851" w:type="dxa"/>
            <w:tcBorders>
              <w:top w:val="nil"/>
              <w:left w:val="nil"/>
              <w:bottom w:val="nil"/>
              <w:right w:val="single" w:sz="4" w:space="0" w:color="auto"/>
            </w:tcBorders>
            <w:shd w:val="clear" w:color="auto" w:fill="auto"/>
            <w:noWrap/>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850" w:type="dxa"/>
            <w:tcBorders>
              <w:top w:val="nil"/>
              <w:left w:val="nil"/>
              <w:bottom w:val="nil"/>
              <w:right w:val="single" w:sz="4" w:space="0" w:color="auto"/>
            </w:tcBorders>
            <w:shd w:val="clear" w:color="auto" w:fill="auto"/>
            <w:noWrap/>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1134" w:type="dxa"/>
            <w:tcBorders>
              <w:top w:val="nil"/>
              <w:left w:val="nil"/>
              <w:bottom w:val="nil"/>
              <w:right w:val="single" w:sz="4" w:space="0" w:color="auto"/>
            </w:tcBorders>
            <w:shd w:val="clear" w:color="auto" w:fill="auto"/>
            <w:noWrap/>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25 </w:t>
            </w:r>
          </w:p>
        </w:tc>
        <w:tc>
          <w:tcPr>
            <w:tcW w:w="1134" w:type="dxa"/>
            <w:tcBorders>
              <w:top w:val="nil"/>
              <w:left w:val="nil"/>
              <w:bottom w:val="nil"/>
              <w:right w:val="single" w:sz="4" w:space="0" w:color="auto"/>
            </w:tcBorders>
            <w:shd w:val="clear" w:color="auto" w:fill="auto"/>
            <w:noWrap/>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993" w:type="dxa"/>
            <w:tcBorders>
              <w:top w:val="nil"/>
              <w:left w:val="nil"/>
              <w:bottom w:val="nil"/>
              <w:right w:val="single" w:sz="4" w:space="0" w:color="auto"/>
            </w:tcBorders>
            <w:shd w:val="clear" w:color="auto" w:fill="auto"/>
            <w:noWrap/>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1,804 </w:t>
            </w:r>
          </w:p>
        </w:tc>
      </w:tr>
      <w:tr w:rsidR="007129CA" w:rsidRPr="007B36B9" w:rsidTr="00AD4557">
        <w:trPr>
          <w:trHeight w:val="428"/>
        </w:trPr>
        <w:tc>
          <w:tcPr>
            <w:tcW w:w="2127" w:type="dxa"/>
            <w:tcBorders>
              <w:top w:val="nil"/>
              <w:left w:val="single" w:sz="4" w:space="0" w:color="auto"/>
              <w:bottom w:val="nil"/>
              <w:right w:val="nil"/>
            </w:tcBorders>
            <w:shd w:val="clear" w:color="auto" w:fill="auto"/>
            <w:vAlign w:val="center"/>
            <w:hideMark/>
          </w:tcPr>
          <w:p w:rsidR="007129CA" w:rsidRPr="00524DF0" w:rsidRDefault="007129CA" w:rsidP="00AD45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524DF0">
              <w:rPr>
                <w:rFonts w:asciiTheme="minorHAnsi" w:hAnsiTheme="minorHAnsi" w:cs="Arial"/>
                <w:color w:val="000000"/>
                <w:sz w:val="16"/>
                <w:szCs w:val="16"/>
                <w:lang w:val="en-US" w:eastAsia="zh-CN"/>
              </w:rPr>
              <w:t>Auditing of accounts and inter-organizational contributions</w:t>
            </w:r>
          </w:p>
        </w:tc>
        <w:tc>
          <w:tcPr>
            <w:tcW w:w="850" w:type="dxa"/>
            <w:tcBorders>
              <w:top w:val="nil"/>
              <w:left w:val="single" w:sz="4" w:space="0" w:color="auto"/>
              <w:bottom w:val="nil"/>
              <w:right w:val="single" w:sz="4" w:space="0" w:color="auto"/>
            </w:tcBorders>
            <w:shd w:val="clear" w:color="auto" w:fill="auto"/>
            <w:noWrap/>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537 </w:t>
            </w:r>
          </w:p>
        </w:tc>
        <w:tc>
          <w:tcPr>
            <w:tcW w:w="709" w:type="dxa"/>
            <w:tcBorders>
              <w:top w:val="nil"/>
              <w:left w:val="nil"/>
              <w:bottom w:val="nil"/>
              <w:right w:val="single" w:sz="4" w:space="0" w:color="auto"/>
            </w:tcBorders>
            <w:shd w:val="clear" w:color="auto" w:fill="auto"/>
            <w:noWrap/>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1134" w:type="dxa"/>
            <w:tcBorders>
              <w:top w:val="nil"/>
              <w:left w:val="nil"/>
              <w:bottom w:val="nil"/>
              <w:right w:val="single" w:sz="4" w:space="0" w:color="auto"/>
            </w:tcBorders>
            <w:shd w:val="clear" w:color="auto" w:fill="auto"/>
            <w:noWrap/>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851" w:type="dxa"/>
            <w:tcBorders>
              <w:top w:val="nil"/>
              <w:left w:val="nil"/>
              <w:bottom w:val="nil"/>
              <w:right w:val="single" w:sz="4" w:space="0" w:color="auto"/>
            </w:tcBorders>
            <w:shd w:val="clear" w:color="auto" w:fill="auto"/>
            <w:noWrap/>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50 </w:t>
            </w:r>
          </w:p>
        </w:tc>
        <w:tc>
          <w:tcPr>
            <w:tcW w:w="1134" w:type="dxa"/>
            <w:tcBorders>
              <w:top w:val="nil"/>
              <w:left w:val="nil"/>
              <w:bottom w:val="nil"/>
              <w:right w:val="nil"/>
            </w:tcBorders>
            <w:shd w:val="clear" w:color="auto" w:fill="auto"/>
            <w:noWrap/>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1134" w:type="dxa"/>
            <w:tcBorders>
              <w:top w:val="nil"/>
              <w:left w:val="single" w:sz="4" w:space="0" w:color="auto"/>
              <w:bottom w:val="nil"/>
              <w:right w:val="single" w:sz="4" w:space="0" w:color="auto"/>
            </w:tcBorders>
            <w:shd w:val="clear" w:color="auto" w:fill="auto"/>
            <w:noWrap/>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587 </w:t>
            </w:r>
          </w:p>
        </w:tc>
        <w:tc>
          <w:tcPr>
            <w:tcW w:w="992" w:type="dxa"/>
            <w:tcBorders>
              <w:top w:val="nil"/>
              <w:left w:val="nil"/>
              <w:bottom w:val="nil"/>
              <w:right w:val="single" w:sz="4" w:space="0" w:color="auto"/>
            </w:tcBorders>
            <w:shd w:val="clear" w:color="auto" w:fill="auto"/>
            <w:noWrap/>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1134" w:type="dxa"/>
            <w:tcBorders>
              <w:top w:val="nil"/>
              <w:left w:val="nil"/>
              <w:bottom w:val="nil"/>
              <w:right w:val="single" w:sz="4" w:space="0" w:color="auto"/>
            </w:tcBorders>
            <w:shd w:val="clear" w:color="auto" w:fill="auto"/>
            <w:noWrap/>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850" w:type="dxa"/>
            <w:tcBorders>
              <w:top w:val="nil"/>
              <w:left w:val="nil"/>
              <w:bottom w:val="nil"/>
              <w:right w:val="single" w:sz="4" w:space="0" w:color="auto"/>
            </w:tcBorders>
            <w:shd w:val="clear" w:color="auto" w:fill="auto"/>
            <w:noWrap/>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851" w:type="dxa"/>
            <w:tcBorders>
              <w:top w:val="nil"/>
              <w:left w:val="nil"/>
              <w:bottom w:val="nil"/>
              <w:right w:val="single" w:sz="4" w:space="0" w:color="auto"/>
            </w:tcBorders>
            <w:shd w:val="clear" w:color="auto" w:fill="auto"/>
            <w:noWrap/>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850" w:type="dxa"/>
            <w:tcBorders>
              <w:top w:val="nil"/>
              <w:left w:val="nil"/>
              <w:bottom w:val="nil"/>
              <w:right w:val="single" w:sz="4" w:space="0" w:color="auto"/>
            </w:tcBorders>
            <w:shd w:val="clear" w:color="auto" w:fill="auto"/>
            <w:noWrap/>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1134" w:type="dxa"/>
            <w:tcBorders>
              <w:top w:val="nil"/>
              <w:left w:val="nil"/>
              <w:bottom w:val="nil"/>
              <w:right w:val="single" w:sz="4" w:space="0" w:color="auto"/>
            </w:tcBorders>
            <w:shd w:val="clear" w:color="auto" w:fill="auto"/>
            <w:noWrap/>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1134" w:type="dxa"/>
            <w:tcBorders>
              <w:top w:val="nil"/>
              <w:left w:val="nil"/>
              <w:bottom w:val="nil"/>
              <w:right w:val="single" w:sz="4" w:space="0" w:color="auto"/>
            </w:tcBorders>
            <w:shd w:val="clear" w:color="auto" w:fill="auto"/>
            <w:noWrap/>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993" w:type="dxa"/>
            <w:tcBorders>
              <w:top w:val="nil"/>
              <w:left w:val="nil"/>
              <w:bottom w:val="nil"/>
              <w:right w:val="single" w:sz="4" w:space="0" w:color="auto"/>
            </w:tcBorders>
            <w:shd w:val="clear" w:color="auto" w:fill="auto"/>
            <w:noWrap/>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Pr>
                <w:rFonts w:asciiTheme="minorHAnsi" w:hAnsiTheme="minorHAnsi" w:cs="Arial"/>
                <w:color w:val="000000"/>
                <w:sz w:val="16"/>
                <w:szCs w:val="16"/>
                <w:lang w:val="en-US" w:eastAsia="zh-CN"/>
              </w:rPr>
              <w:t xml:space="preserve">   </w:t>
            </w:r>
            <w:r w:rsidRPr="007B36B9">
              <w:rPr>
                <w:rFonts w:asciiTheme="minorHAnsi" w:hAnsiTheme="minorHAnsi" w:cs="Arial"/>
                <w:color w:val="000000"/>
                <w:sz w:val="16"/>
                <w:szCs w:val="16"/>
                <w:lang w:val="en-US" w:eastAsia="zh-CN"/>
              </w:rPr>
              <w:t xml:space="preserve"> 587 </w:t>
            </w:r>
          </w:p>
        </w:tc>
      </w:tr>
      <w:tr w:rsidR="007129CA" w:rsidRPr="007B36B9" w:rsidTr="00AD4557">
        <w:trPr>
          <w:trHeight w:val="202"/>
        </w:trPr>
        <w:tc>
          <w:tcPr>
            <w:tcW w:w="2127" w:type="dxa"/>
            <w:tcBorders>
              <w:top w:val="nil"/>
              <w:left w:val="single" w:sz="4" w:space="0" w:color="auto"/>
              <w:bottom w:val="nil"/>
              <w:right w:val="nil"/>
            </w:tcBorders>
            <w:shd w:val="clear" w:color="auto" w:fill="auto"/>
            <w:hideMark/>
          </w:tcPr>
          <w:p w:rsidR="007129CA" w:rsidRPr="00524DF0" w:rsidRDefault="007129CA" w:rsidP="00AD45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524DF0">
              <w:rPr>
                <w:rFonts w:asciiTheme="minorHAnsi" w:hAnsiTheme="minorHAnsi" w:cs="Arial"/>
                <w:color w:val="000000"/>
                <w:sz w:val="16"/>
                <w:szCs w:val="16"/>
                <w:lang w:val="en-US" w:eastAsia="zh-CN"/>
              </w:rPr>
              <w:t>Other expenses</w:t>
            </w:r>
          </w:p>
        </w:tc>
        <w:tc>
          <w:tcPr>
            <w:tcW w:w="850" w:type="dxa"/>
            <w:tcBorders>
              <w:top w:val="nil"/>
              <w:left w:val="single" w:sz="4" w:space="0" w:color="auto"/>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25 </w:t>
            </w:r>
          </w:p>
        </w:tc>
        <w:tc>
          <w:tcPr>
            <w:tcW w:w="709"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1134"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10 </w:t>
            </w:r>
          </w:p>
        </w:tc>
        <w:tc>
          <w:tcPr>
            <w:tcW w:w="851"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w:t>
            </w:r>
            <w:r>
              <w:rPr>
                <w:rFonts w:asciiTheme="minorHAnsi" w:hAnsiTheme="minorHAnsi" w:cs="Arial"/>
                <w:color w:val="000000"/>
                <w:sz w:val="16"/>
                <w:szCs w:val="16"/>
                <w:lang w:val="en-US" w:eastAsia="zh-CN"/>
              </w:rPr>
              <w:t>1</w:t>
            </w:r>
            <w:r w:rsidRPr="007B36B9">
              <w:rPr>
                <w:rFonts w:asciiTheme="minorHAnsi" w:hAnsiTheme="minorHAnsi" w:cs="Arial"/>
                <w:color w:val="000000"/>
                <w:sz w:val="16"/>
                <w:szCs w:val="16"/>
                <w:lang w:val="en-US" w:eastAsia="zh-CN"/>
              </w:rPr>
              <w:t xml:space="preserve">0 </w:t>
            </w:r>
          </w:p>
        </w:tc>
        <w:tc>
          <w:tcPr>
            <w:tcW w:w="1134" w:type="dxa"/>
            <w:tcBorders>
              <w:top w:val="nil"/>
              <w:left w:val="nil"/>
              <w:bottom w:val="nil"/>
              <w:right w:val="nil"/>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1,980 </w:t>
            </w:r>
          </w:p>
        </w:tc>
        <w:tc>
          <w:tcPr>
            <w:tcW w:w="1134" w:type="dxa"/>
            <w:tcBorders>
              <w:top w:val="nil"/>
              <w:left w:val="single" w:sz="4" w:space="0" w:color="auto"/>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2,024 </w:t>
            </w:r>
          </w:p>
        </w:tc>
        <w:tc>
          <w:tcPr>
            <w:tcW w:w="992"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1134"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146 </w:t>
            </w:r>
          </w:p>
        </w:tc>
        <w:tc>
          <w:tcPr>
            <w:tcW w:w="850"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-3 </w:t>
            </w:r>
          </w:p>
        </w:tc>
        <w:tc>
          <w:tcPr>
            <w:tcW w:w="851"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850"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w:t>
            </w:r>
          </w:p>
        </w:tc>
        <w:tc>
          <w:tcPr>
            <w:tcW w:w="1134"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453 </w:t>
            </w:r>
          </w:p>
        </w:tc>
        <w:tc>
          <w:tcPr>
            <w:tcW w:w="1134"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2,517 </w:t>
            </w:r>
          </w:p>
        </w:tc>
        <w:tc>
          <w:tcPr>
            <w:tcW w:w="993"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5,137 </w:t>
            </w:r>
          </w:p>
        </w:tc>
      </w:tr>
      <w:tr w:rsidR="007129CA" w:rsidRPr="007B36B9" w:rsidTr="00AD4557">
        <w:trPr>
          <w:trHeight w:val="202"/>
        </w:trPr>
        <w:tc>
          <w:tcPr>
            <w:tcW w:w="2127" w:type="dxa"/>
            <w:tcBorders>
              <w:top w:val="nil"/>
              <w:left w:val="single" w:sz="4" w:space="0" w:color="auto"/>
              <w:bottom w:val="nil"/>
              <w:right w:val="nil"/>
            </w:tcBorders>
            <w:shd w:val="clear" w:color="auto" w:fill="auto"/>
            <w:hideMark/>
          </w:tcPr>
          <w:p w:rsidR="007129CA" w:rsidRPr="00524DF0" w:rsidRDefault="007129CA" w:rsidP="00AD45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524DF0">
              <w:rPr>
                <w:rFonts w:asciiTheme="minorHAnsi" w:hAnsiTheme="minorHAnsi" w:cs="Arial"/>
                <w:color w:val="000000"/>
                <w:sz w:val="16"/>
                <w:szCs w:val="16"/>
                <w:lang w:val="en-US" w:eastAsia="zh-CN"/>
              </w:rPr>
              <w:t>Finance expenses</w:t>
            </w:r>
          </w:p>
        </w:tc>
        <w:tc>
          <w:tcPr>
            <w:tcW w:w="850" w:type="dxa"/>
            <w:tcBorders>
              <w:top w:val="nil"/>
              <w:left w:val="single" w:sz="4" w:space="0" w:color="auto"/>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228 </w:t>
            </w:r>
          </w:p>
        </w:tc>
        <w:tc>
          <w:tcPr>
            <w:tcW w:w="709"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25 </w:t>
            </w:r>
          </w:p>
        </w:tc>
        <w:tc>
          <w:tcPr>
            <w:tcW w:w="1134"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20 </w:t>
            </w:r>
          </w:p>
        </w:tc>
        <w:tc>
          <w:tcPr>
            <w:tcW w:w="851"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52 </w:t>
            </w:r>
          </w:p>
        </w:tc>
        <w:tc>
          <w:tcPr>
            <w:tcW w:w="1134" w:type="dxa"/>
            <w:tcBorders>
              <w:top w:val="nil"/>
              <w:left w:val="nil"/>
              <w:bottom w:val="nil"/>
              <w:right w:val="nil"/>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-15 </w:t>
            </w:r>
          </w:p>
        </w:tc>
        <w:tc>
          <w:tcPr>
            <w:tcW w:w="1134" w:type="dxa"/>
            <w:tcBorders>
              <w:top w:val="nil"/>
              <w:left w:val="single" w:sz="4" w:space="0" w:color="auto"/>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309 </w:t>
            </w:r>
          </w:p>
        </w:tc>
        <w:tc>
          <w:tcPr>
            <w:tcW w:w="992"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1134"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12 </w:t>
            </w:r>
          </w:p>
        </w:tc>
        <w:tc>
          <w:tcPr>
            <w:tcW w:w="850"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65 </w:t>
            </w:r>
          </w:p>
        </w:tc>
        <w:tc>
          <w:tcPr>
            <w:tcW w:w="851"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850"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1134"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21 </w:t>
            </w:r>
          </w:p>
        </w:tc>
        <w:tc>
          <w:tcPr>
            <w:tcW w:w="1134"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w:t>
            </w:r>
          </w:p>
        </w:tc>
        <w:tc>
          <w:tcPr>
            <w:tcW w:w="993"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xml:space="preserve">            407 </w:t>
            </w:r>
          </w:p>
        </w:tc>
      </w:tr>
      <w:tr w:rsidR="007129CA" w:rsidRPr="007B36B9" w:rsidTr="00AD4557">
        <w:trPr>
          <w:trHeight w:val="202"/>
        </w:trPr>
        <w:tc>
          <w:tcPr>
            <w:tcW w:w="2127" w:type="dxa"/>
            <w:tcBorders>
              <w:top w:val="nil"/>
              <w:left w:val="single" w:sz="4" w:space="0" w:color="auto"/>
              <w:bottom w:val="nil"/>
              <w:right w:val="nil"/>
            </w:tcBorders>
            <w:shd w:val="clear" w:color="auto" w:fill="auto"/>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4"/>
                <w:szCs w:val="14"/>
                <w:lang w:val="en-US" w:eastAsia="zh-CN"/>
              </w:rPr>
            </w:pPr>
            <w:r w:rsidRPr="007B36B9">
              <w:rPr>
                <w:rFonts w:ascii="Arial" w:hAnsi="Arial" w:cs="Arial"/>
                <w:color w:val="000000"/>
                <w:sz w:val="14"/>
                <w:szCs w:val="14"/>
                <w:lang w:val="en-US" w:eastAsia="zh-CN"/>
              </w:rPr>
              <w:t> </w:t>
            </w:r>
          </w:p>
        </w:tc>
        <w:tc>
          <w:tcPr>
            <w:tcW w:w="850" w:type="dxa"/>
            <w:tcBorders>
              <w:top w:val="nil"/>
              <w:left w:val="single" w:sz="4" w:space="0" w:color="auto"/>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709"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1134"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851"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1134" w:type="dxa"/>
            <w:tcBorders>
              <w:top w:val="nil"/>
              <w:left w:val="nil"/>
              <w:bottom w:val="nil"/>
              <w:right w:val="nil"/>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1134" w:type="dxa"/>
            <w:tcBorders>
              <w:top w:val="nil"/>
              <w:left w:val="single" w:sz="4" w:space="0" w:color="auto"/>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992"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1134"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850"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851"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850"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1134"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1134"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B36B9">
              <w:rPr>
                <w:rFonts w:asciiTheme="minorHAnsi" w:hAnsiTheme="minorHAnsi" w:cs="Arial"/>
                <w:color w:val="000000"/>
                <w:sz w:val="16"/>
                <w:szCs w:val="16"/>
                <w:lang w:val="en-US" w:eastAsia="zh-CN"/>
              </w:rPr>
              <w:t> </w:t>
            </w:r>
          </w:p>
        </w:tc>
        <w:tc>
          <w:tcPr>
            <w:tcW w:w="993" w:type="dxa"/>
            <w:tcBorders>
              <w:top w:val="nil"/>
              <w:left w:val="nil"/>
              <w:bottom w:val="nil"/>
              <w:right w:val="single" w:sz="4" w:space="0" w:color="auto"/>
            </w:tcBorders>
            <w:shd w:val="clear" w:color="auto" w:fill="auto"/>
            <w:noWrap/>
            <w:vAlign w:val="bottom"/>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Pr>
                <w:rFonts w:asciiTheme="minorHAnsi" w:hAnsiTheme="minorHAnsi" w:cs="Arial"/>
                <w:color w:val="000000"/>
                <w:sz w:val="16"/>
                <w:szCs w:val="16"/>
                <w:lang w:val="en-US" w:eastAsia="zh-CN"/>
              </w:rPr>
              <w:t xml:space="preserve">                      </w:t>
            </w:r>
            <w:r w:rsidRPr="007B36B9">
              <w:rPr>
                <w:rFonts w:asciiTheme="minorHAnsi" w:hAnsiTheme="minorHAnsi" w:cs="Arial"/>
                <w:color w:val="000000"/>
                <w:sz w:val="16"/>
                <w:szCs w:val="16"/>
                <w:lang w:val="en-US" w:eastAsia="zh-CN"/>
              </w:rPr>
              <w:t xml:space="preserve">  </w:t>
            </w:r>
          </w:p>
        </w:tc>
      </w:tr>
      <w:tr w:rsidR="007129CA" w:rsidRPr="007B36B9" w:rsidTr="00AD4557">
        <w:trPr>
          <w:trHeight w:val="351"/>
        </w:trPr>
        <w:tc>
          <w:tcPr>
            <w:tcW w:w="2127" w:type="dxa"/>
            <w:tcBorders>
              <w:top w:val="single" w:sz="4" w:space="0" w:color="auto"/>
              <w:left w:val="single" w:sz="4" w:space="0" w:color="auto"/>
              <w:bottom w:val="single" w:sz="4" w:space="0" w:color="auto"/>
              <w:right w:val="nil"/>
            </w:tcBorders>
            <w:shd w:val="clear" w:color="auto" w:fill="auto"/>
            <w:noWrap/>
            <w:vAlign w:val="center"/>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4"/>
                <w:szCs w:val="14"/>
                <w:lang w:val="en-US" w:eastAsia="zh-CN"/>
              </w:rPr>
            </w:pPr>
            <w:r w:rsidRPr="007B36B9">
              <w:rPr>
                <w:rFonts w:ascii="Arial" w:hAnsi="Arial" w:cs="Arial"/>
                <w:b/>
                <w:bCs/>
                <w:color w:val="000000"/>
                <w:sz w:val="14"/>
                <w:szCs w:val="14"/>
                <w:lang w:val="en-US" w:eastAsia="zh-CN"/>
              </w:rPr>
              <w:t>Total expenses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B36B9">
              <w:rPr>
                <w:rFonts w:asciiTheme="minorHAnsi" w:hAnsiTheme="minorHAnsi" w:cs="Arial"/>
                <w:b/>
                <w:bCs/>
                <w:color w:val="000000"/>
                <w:sz w:val="16"/>
                <w:szCs w:val="16"/>
                <w:lang w:val="en-US" w:eastAsia="zh-CN"/>
              </w:rPr>
              <w:t xml:space="preserve">    80,854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B36B9">
              <w:rPr>
                <w:rFonts w:asciiTheme="minorHAnsi" w:hAnsiTheme="minorHAnsi" w:cs="Arial"/>
                <w:b/>
                <w:bCs/>
                <w:color w:val="000000"/>
                <w:sz w:val="16"/>
                <w:szCs w:val="16"/>
                <w:lang w:val="en-US" w:eastAsia="zh-CN"/>
              </w:rPr>
              <w:t xml:space="preserve"> 27,219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B36B9">
              <w:rPr>
                <w:rFonts w:asciiTheme="minorHAnsi" w:hAnsiTheme="minorHAnsi" w:cs="Arial"/>
                <w:b/>
                <w:bCs/>
                <w:color w:val="000000"/>
                <w:sz w:val="16"/>
                <w:szCs w:val="16"/>
                <w:lang w:val="en-US" w:eastAsia="zh-CN"/>
              </w:rPr>
              <w:t xml:space="preserve">            13,462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B36B9">
              <w:rPr>
                <w:rFonts w:asciiTheme="minorHAnsi" w:hAnsiTheme="minorHAnsi" w:cs="Arial"/>
                <w:b/>
                <w:bCs/>
                <w:color w:val="000000"/>
                <w:sz w:val="16"/>
                <w:szCs w:val="16"/>
                <w:lang w:val="en-US" w:eastAsia="zh-CN"/>
              </w:rPr>
              <w:t xml:space="preserve">    27,658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B36B9">
              <w:rPr>
                <w:rFonts w:asciiTheme="minorHAnsi" w:hAnsiTheme="minorHAnsi" w:cs="Arial"/>
                <w:b/>
                <w:bCs/>
                <w:color w:val="000000"/>
                <w:sz w:val="16"/>
                <w:szCs w:val="16"/>
                <w:lang w:val="en-US" w:eastAsia="zh-CN"/>
              </w:rPr>
              <w:t xml:space="preserve">         21,366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B36B9">
              <w:rPr>
                <w:rFonts w:asciiTheme="minorHAnsi" w:hAnsiTheme="minorHAnsi" w:cs="Arial"/>
                <w:b/>
                <w:bCs/>
                <w:color w:val="000000"/>
                <w:sz w:val="16"/>
                <w:szCs w:val="16"/>
                <w:lang w:val="en-US" w:eastAsia="zh-CN"/>
              </w:rPr>
              <w:t xml:space="preserve">          170,104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B36B9">
              <w:rPr>
                <w:rFonts w:asciiTheme="minorHAnsi" w:hAnsiTheme="minorHAnsi" w:cs="Arial"/>
                <w:b/>
                <w:bCs/>
                <w:color w:val="000000"/>
                <w:sz w:val="16"/>
                <w:szCs w:val="16"/>
                <w:lang w:val="en-US" w:eastAsia="zh-CN"/>
              </w:rPr>
              <w:t xml:space="preserve">                        22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B36B9">
              <w:rPr>
                <w:rFonts w:asciiTheme="minorHAnsi" w:hAnsiTheme="minorHAnsi" w:cs="Arial"/>
                <w:b/>
                <w:bCs/>
                <w:color w:val="000000"/>
                <w:sz w:val="16"/>
                <w:szCs w:val="16"/>
                <w:lang w:val="en-US" w:eastAsia="zh-CN"/>
              </w:rPr>
              <w:t xml:space="preserve">              3,032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B36B9">
              <w:rPr>
                <w:rFonts w:asciiTheme="minorHAnsi" w:hAnsiTheme="minorHAnsi" w:cs="Arial"/>
                <w:b/>
                <w:bCs/>
                <w:color w:val="000000"/>
                <w:sz w:val="16"/>
                <w:szCs w:val="16"/>
                <w:lang w:val="en-US" w:eastAsia="zh-CN"/>
              </w:rPr>
              <w:t xml:space="preserve"> 6,852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B36B9">
              <w:rPr>
                <w:rFonts w:asciiTheme="minorHAnsi" w:hAnsiTheme="minorHAnsi" w:cs="Arial"/>
                <w:b/>
                <w:bCs/>
                <w:color w:val="000000"/>
                <w:sz w:val="16"/>
                <w:szCs w:val="16"/>
                <w:lang w:val="en-US" w:eastAsia="zh-CN"/>
              </w:rPr>
              <w:t xml:space="preserve">     80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B36B9">
              <w:rPr>
                <w:rFonts w:asciiTheme="minorHAnsi" w:hAnsiTheme="minorHAnsi" w:cs="Arial"/>
                <w:b/>
                <w:bCs/>
                <w:color w:val="000000"/>
                <w:sz w:val="16"/>
                <w:szCs w:val="16"/>
                <w:lang w:val="en-US" w:eastAsia="zh-CN"/>
              </w:rPr>
              <w:t xml:space="preserve">    768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B36B9">
              <w:rPr>
                <w:rFonts w:asciiTheme="minorHAnsi" w:hAnsiTheme="minorHAnsi" w:cs="Arial"/>
                <w:b/>
                <w:bCs/>
                <w:color w:val="000000"/>
                <w:sz w:val="16"/>
                <w:szCs w:val="16"/>
                <w:lang w:val="en-US" w:eastAsia="zh-CN"/>
              </w:rPr>
              <w:t xml:space="preserve">            6,435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B36B9">
              <w:rPr>
                <w:rFonts w:asciiTheme="minorHAnsi" w:hAnsiTheme="minorHAnsi" w:cs="Arial"/>
                <w:b/>
                <w:bCs/>
                <w:color w:val="000000"/>
                <w:sz w:val="16"/>
                <w:szCs w:val="16"/>
                <w:lang w:val="en-US" w:eastAsia="zh-CN"/>
              </w:rPr>
              <w:t xml:space="preserve">          2,517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B36B9">
              <w:rPr>
                <w:rFonts w:asciiTheme="minorHAnsi" w:hAnsiTheme="minorHAnsi" w:cs="Arial"/>
                <w:b/>
                <w:bCs/>
                <w:color w:val="000000"/>
                <w:sz w:val="16"/>
                <w:szCs w:val="16"/>
                <w:lang w:val="en-US" w:eastAsia="zh-CN"/>
              </w:rPr>
              <w:t xml:space="preserve">     189,810 </w:t>
            </w:r>
          </w:p>
        </w:tc>
      </w:tr>
      <w:tr w:rsidR="007129CA" w:rsidRPr="007B36B9" w:rsidTr="00AD4557">
        <w:trPr>
          <w:trHeight w:val="566"/>
        </w:trPr>
        <w:tc>
          <w:tcPr>
            <w:tcW w:w="2127" w:type="dxa"/>
            <w:tcBorders>
              <w:top w:val="single" w:sz="4" w:space="0" w:color="auto"/>
              <w:left w:val="single" w:sz="4" w:space="0" w:color="auto"/>
              <w:bottom w:val="single" w:sz="4" w:space="0" w:color="auto"/>
              <w:right w:val="nil"/>
            </w:tcBorders>
            <w:shd w:val="clear" w:color="auto" w:fill="auto"/>
            <w:hideMark/>
          </w:tcPr>
          <w:p w:rsidR="007129CA" w:rsidRDefault="007129CA" w:rsidP="00AD455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4"/>
                <w:szCs w:val="14"/>
                <w:lang w:val="en-US" w:eastAsia="zh-CN"/>
              </w:rPr>
            </w:pPr>
          </w:p>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4"/>
                <w:szCs w:val="14"/>
                <w:lang w:val="en-US" w:eastAsia="zh-CN"/>
              </w:rPr>
            </w:pPr>
            <w:r w:rsidRPr="007B36B9">
              <w:rPr>
                <w:rFonts w:ascii="Arial" w:hAnsi="Arial" w:cs="Arial"/>
                <w:b/>
                <w:bCs/>
                <w:color w:val="000000"/>
                <w:sz w:val="14"/>
                <w:szCs w:val="14"/>
                <w:lang w:val="en-US" w:eastAsia="zh-CN"/>
              </w:rPr>
              <w:t>Surplus / (deficit) for the period</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B36B9">
              <w:rPr>
                <w:rFonts w:asciiTheme="minorHAnsi" w:hAnsiTheme="minorHAnsi" w:cs="Arial"/>
                <w:b/>
                <w:bCs/>
                <w:color w:val="000000"/>
                <w:sz w:val="16"/>
                <w:szCs w:val="16"/>
                <w:lang w:val="en-US" w:eastAsia="zh-CN"/>
              </w:rPr>
              <w:t xml:space="preserve"> -80,717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B36B9">
              <w:rPr>
                <w:rFonts w:asciiTheme="minorHAnsi" w:hAnsiTheme="minorHAnsi" w:cs="Arial"/>
                <w:b/>
                <w:bCs/>
                <w:color w:val="000000"/>
                <w:sz w:val="16"/>
                <w:szCs w:val="16"/>
                <w:lang w:val="en-US" w:eastAsia="zh-CN"/>
              </w:rPr>
              <w:t xml:space="preserve"> 11,770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B36B9">
              <w:rPr>
                <w:rFonts w:asciiTheme="minorHAnsi" w:hAnsiTheme="minorHAnsi" w:cs="Arial"/>
                <w:b/>
                <w:bCs/>
                <w:color w:val="000000"/>
                <w:sz w:val="16"/>
                <w:szCs w:val="16"/>
                <w:lang w:val="en-US" w:eastAsia="zh-CN"/>
              </w:rPr>
              <w:t xml:space="preserve">            -5,426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B36B9">
              <w:rPr>
                <w:rFonts w:asciiTheme="minorHAnsi" w:hAnsiTheme="minorHAnsi" w:cs="Arial"/>
                <w:b/>
                <w:bCs/>
                <w:color w:val="000000"/>
                <w:sz w:val="16"/>
                <w:szCs w:val="16"/>
                <w:lang w:val="en-US" w:eastAsia="zh-CN"/>
              </w:rPr>
              <w:t xml:space="preserve">   -25,852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B36B9">
              <w:rPr>
                <w:rFonts w:asciiTheme="minorHAnsi" w:hAnsiTheme="minorHAnsi" w:cs="Arial"/>
                <w:b/>
                <w:bCs/>
                <w:color w:val="000000"/>
                <w:sz w:val="16"/>
                <w:szCs w:val="16"/>
                <w:lang w:val="en-US" w:eastAsia="zh-CN"/>
              </w:rPr>
              <w:t xml:space="preserve">         85,915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B36B9">
              <w:rPr>
                <w:rFonts w:asciiTheme="minorHAnsi" w:hAnsiTheme="minorHAnsi" w:cs="Arial"/>
                <w:b/>
                <w:bCs/>
                <w:color w:val="000000"/>
                <w:sz w:val="16"/>
                <w:szCs w:val="16"/>
                <w:lang w:val="en-US" w:eastAsia="zh-CN"/>
              </w:rPr>
              <w:t xml:space="preserve">          -13,852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B36B9">
              <w:rPr>
                <w:rFonts w:asciiTheme="minorHAnsi" w:hAnsiTheme="minorHAnsi" w:cs="Arial"/>
                <w:b/>
                <w:bCs/>
                <w:color w:val="000000"/>
                <w:sz w:val="16"/>
                <w:szCs w:val="16"/>
                <w:lang w:val="en-US" w:eastAsia="zh-CN"/>
              </w:rPr>
              <w:t xml:space="preserve">                      -21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B36B9">
              <w:rPr>
                <w:rFonts w:asciiTheme="minorHAnsi" w:hAnsiTheme="minorHAnsi" w:cs="Arial"/>
                <w:b/>
                <w:bCs/>
                <w:color w:val="000000"/>
                <w:sz w:val="16"/>
                <w:szCs w:val="16"/>
                <w:lang w:val="en-US" w:eastAsia="zh-CN"/>
              </w:rPr>
              <w:t xml:space="preserve">                    23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B36B9">
              <w:rPr>
                <w:rFonts w:asciiTheme="minorHAnsi" w:hAnsiTheme="minorHAnsi" w:cs="Arial"/>
                <w:b/>
                <w:bCs/>
                <w:color w:val="000000"/>
                <w:sz w:val="16"/>
                <w:szCs w:val="16"/>
                <w:lang w:val="en-US" w:eastAsia="zh-CN"/>
              </w:rPr>
              <w:t xml:space="preserve">   -269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B36B9">
              <w:rPr>
                <w:rFonts w:asciiTheme="minorHAnsi" w:hAnsiTheme="minorHAnsi" w:cs="Arial"/>
                <w:b/>
                <w:bCs/>
                <w:color w:val="000000"/>
                <w:sz w:val="16"/>
                <w:szCs w:val="16"/>
                <w:lang w:val="en-US" w:eastAsia="zh-CN"/>
              </w:rPr>
              <w:t xml:space="preserve">   -79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B36B9">
              <w:rPr>
                <w:rFonts w:asciiTheme="minorHAnsi" w:hAnsiTheme="minorHAnsi" w:cs="Arial"/>
                <w:b/>
                <w:bCs/>
                <w:color w:val="000000"/>
                <w:sz w:val="16"/>
                <w:szCs w:val="16"/>
                <w:lang w:val="en-US" w:eastAsia="zh-CN"/>
              </w:rPr>
              <w:t xml:space="preserve">    79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B36B9">
              <w:rPr>
                <w:rFonts w:asciiTheme="minorHAnsi" w:hAnsiTheme="minorHAnsi" w:cs="Arial"/>
                <w:b/>
                <w:bCs/>
                <w:color w:val="000000"/>
                <w:sz w:val="16"/>
                <w:szCs w:val="16"/>
                <w:lang w:val="en-US" w:eastAsia="zh-CN"/>
              </w:rPr>
              <w:t xml:space="preserve">             2,426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B36B9">
              <w:rPr>
                <w:rFonts w:asciiTheme="minorHAnsi" w:hAnsiTheme="minorHAnsi" w:cs="Arial"/>
                <w:b/>
                <w:bCs/>
                <w:color w:val="000000"/>
                <w:sz w:val="16"/>
                <w:szCs w:val="16"/>
                <w:lang w:val="en-US" w:eastAsia="zh-CN"/>
              </w:rPr>
              <w:t xml:space="preserve">           -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7129CA" w:rsidRPr="007B36B9" w:rsidRDefault="007129CA" w:rsidP="00AD455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B36B9">
              <w:rPr>
                <w:rFonts w:asciiTheme="minorHAnsi" w:hAnsiTheme="minorHAnsi" w:cs="Arial"/>
                <w:b/>
                <w:bCs/>
                <w:color w:val="000000"/>
                <w:sz w:val="16"/>
                <w:szCs w:val="16"/>
                <w:lang w:val="en-US" w:eastAsia="zh-CN"/>
              </w:rPr>
              <w:t xml:space="preserve">       -11,693 </w:t>
            </w:r>
          </w:p>
        </w:tc>
      </w:tr>
    </w:tbl>
    <w:p w:rsidR="007B36B9" w:rsidRPr="001C2A98" w:rsidRDefault="007B36B9" w:rsidP="00C11E81">
      <w:pPr>
        <w:tabs>
          <w:tab w:val="left" w:pos="12191"/>
        </w:tabs>
        <w:rPr>
          <w:lang w:val="en-US"/>
        </w:rPr>
        <w:sectPr w:rsidR="007B36B9" w:rsidRPr="001C2A98" w:rsidSect="00104A3E">
          <w:pgSz w:w="16838" w:h="11906" w:orient="landscape" w:code="9"/>
          <w:pgMar w:top="624" w:right="253" w:bottom="851" w:left="1134" w:header="426" w:footer="709" w:gutter="0"/>
          <w:cols w:space="708"/>
          <w:docGrid w:linePitch="360"/>
        </w:sectPr>
      </w:pPr>
    </w:p>
    <w:p w:rsidR="00E755AA" w:rsidRDefault="00E755AA" w:rsidP="006D6709">
      <w:pPr>
        <w:pStyle w:val="Heading5"/>
        <w:spacing w:before="0"/>
        <w:jc w:val="both"/>
        <w:rPr>
          <w:lang w:val="en-US"/>
        </w:rPr>
      </w:pPr>
      <w:bookmarkStart w:id="136" w:name="_Toc305764118"/>
      <w:bookmarkStart w:id="137" w:name="_Toc329011660"/>
      <w:r w:rsidRPr="00132398">
        <w:rPr>
          <w:lang w:val="en-US"/>
        </w:rPr>
        <w:t>Note 2</w:t>
      </w:r>
      <w:r w:rsidR="006D6709" w:rsidRPr="00132398">
        <w:rPr>
          <w:lang w:val="en-US"/>
        </w:rPr>
        <w:t>5</w:t>
      </w:r>
      <w:r w:rsidRPr="00132398">
        <w:rPr>
          <w:lang w:val="en-US"/>
        </w:rPr>
        <w:tab/>
        <w:t>Regional Presence</w:t>
      </w:r>
    </w:p>
    <w:p w:rsidR="00412B8E" w:rsidRPr="00412B8E" w:rsidRDefault="00412B8E" w:rsidP="006D747B">
      <w:pPr>
        <w:spacing w:before="0"/>
        <w:rPr>
          <w:lang w:val="en-US"/>
        </w:rPr>
      </w:pPr>
    </w:p>
    <w:tbl>
      <w:tblPr>
        <w:tblW w:w="10798" w:type="dxa"/>
        <w:tblInd w:w="-567" w:type="dxa"/>
        <w:tblLook w:val="04A0" w:firstRow="1" w:lastRow="0" w:firstColumn="1" w:lastColumn="0" w:noHBand="0" w:noVBand="1"/>
      </w:tblPr>
      <w:tblGrid>
        <w:gridCol w:w="1985"/>
        <w:gridCol w:w="690"/>
        <w:gridCol w:w="752"/>
        <w:gridCol w:w="732"/>
        <w:gridCol w:w="911"/>
        <w:gridCol w:w="749"/>
        <w:gridCol w:w="704"/>
        <w:gridCol w:w="719"/>
        <w:gridCol w:w="704"/>
        <w:gridCol w:w="730"/>
        <w:gridCol w:w="704"/>
        <w:gridCol w:w="714"/>
        <w:gridCol w:w="704"/>
      </w:tblGrid>
      <w:tr w:rsidR="00412B8E" w:rsidRPr="002C5178" w:rsidTr="004716D5">
        <w:trPr>
          <w:trHeight w:val="217"/>
        </w:trPr>
        <w:tc>
          <w:tcPr>
            <w:tcW w:w="1985" w:type="dxa"/>
            <w:tcBorders>
              <w:top w:val="nil"/>
              <w:left w:val="nil"/>
              <w:bottom w:val="nil"/>
              <w:right w:val="nil"/>
            </w:tcBorders>
            <w:shd w:val="clear" w:color="auto" w:fill="auto"/>
            <w:noWrap/>
            <w:vAlign w:val="bottom"/>
            <w:hideMark/>
          </w:tcPr>
          <w:p w:rsidR="002C5178" w:rsidRPr="002C5178" w:rsidRDefault="002C5178" w:rsidP="00412B8E">
            <w:pPr>
              <w:tabs>
                <w:tab w:val="clear" w:pos="567"/>
                <w:tab w:val="clear" w:pos="1134"/>
                <w:tab w:val="clear" w:pos="1701"/>
                <w:tab w:val="clear" w:pos="2268"/>
                <w:tab w:val="clear" w:pos="2835"/>
              </w:tabs>
              <w:overflowPunct/>
              <w:autoSpaceDE/>
              <w:autoSpaceDN/>
              <w:adjustRightInd/>
              <w:spacing w:before="0"/>
              <w:ind w:left="-675" w:firstLine="675"/>
              <w:textAlignment w:val="auto"/>
              <w:rPr>
                <w:rFonts w:ascii="Times New Roman" w:hAnsi="Times New Roman"/>
                <w:sz w:val="20"/>
                <w:szCs w:val="24"/>
                <w:lang w:val="en-US" w:eastAsia="zh-CN"/>
              </w:rPr>
            </w:pPr>
          </w:p>
        </w:tc>
        <w:tc>
          <w:tcPr>
            <w:tcW w:w="1442"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2C5178" w:rsidRPr="002C5178" w:rsidRDefault="002C5178" w:rsidP="002C5178">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8"/>
                <w:szCs w:val="18"/>
                <w:lang w:val="en-US" w:eastAsia="zh-CN"/>
              </w:rPr>
            </w:pPr>
            <w:r w:rsidRPr="002C5178">
              <w:rPr>
                <w:rFonts w:asciiTheme="minorHAnsi" w:hAnsiTheme="minorHAnsi" w:cs="Arial"/>
                <w:b/>
                <w:bCs/>
                <w:color w:val="000000"/>
                <w:sz w:val="18"/>
                <w:szCs w:val="18"/>
                <w:lang w:val="en-US" w:eastAsia="zh-CN"/>
              </w:rPr>
              <w:t>AFRICA</w:t>
            </w:r>
          </w:p>
        </w:tc>
        <w:tc>
          <w:tcPr>
            <w:tcW w:w="1643" w:type="dxa"/>
            <w:gridSpan w:val="2"/>
            <w:tcBorders>
              <w:top w:val="single" w:sz="8" w:space="0" w:color="auto"/>
              <w:left w:val="nil"/>
              <w:bottom w:val="single" w:sz="8" w:space="0" w:color="auto"/>
              <w:right w:val="single" w:sz="8" w:space="0" w:color="000000"/>
            </w:tcBorders>
            <w:shd w:val="clear" w:color="auto" w:fill="auto"/>
            <w:noWrap/>
            <w:vAlign w:val="bottom"/>
            <w:hideMark/>
          </w:tcPr>
          <w:p w:rsidR="002C5178" w:rsidRPr="002C5178" w:rsidRDefault="002C5178" w:rsidP="002C5178">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8"/>
                <w:szCs w:val="18"/>
                <w:lang w:val="en-US" w:eastAsia="zh-CN"/>
              </w:rPr>
            </w:pPr>
            <w:r w:rsidRPr="002C5178">
              <w:rPr>
                <w:rFonts w:asciiTheme="minorHAnsi" w:hAnsiTheme="minorHAnsi" w:cs="Arial"/>
                <w:b/>
                <w:bCs/>
                <w:color w:val="000000"/>
                <w:sz w:val="18"/>
                <w:szCs w:val="18"/>
                <w:lang w:val="en-US" w:eastAsia="zh-CN"/>
              </w:rPr>
              <w:t>AMERICAS</w:t>
            </w:r>
          </w:p>
        </w:tc>
        <w:tc>
          <w:tcPr>
            <w:tcW w:w="1453" w:type="dxa"/>
            <w:gridSpan w:val="2"/>
            <w:tcBorders>
              <w:top w:val="single" w:sz="8" w:space="0" w:color="auto"/>
              <w:left w:val="nil"/>
              <w:bottom w:val="single" w:sz="8" w:space="0" w:color="auto"/>
              <w:right w:val="single" w:sz="8" w:space="0" w:color="000000"/>
            </w:tcBorders>
            <w:shd w:val="clear" w:color="auto" w:fill="auto"/>
            <w:noWrap/>
            <w:vAlign w:val="bottom"/>
            <w:hideMark/>
          </w:tcPr>
          <w:p w:rsidR="002C5178" w:rsidRPr="002C5178" w:rsidRDefault="002C5178" w:rsidP="002C5178">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8"/>
                <w:szCs w:val="18"/>
                <w:lang w:val="en-US" w:eastAsia="zh-CN"/>
              </w:rPr>
            </w:pPr>
            <w:r w:rsidRPr="002C5178">
              <w:rPr>
                <w:rFonts w:asciiTheme="minorHAnsi" w:hAnsiTheme="minorHAnsi" w:cs="Arial"/>
                <w:b/>
                <w:bCs/>
                <w:color w:val="000000"/>
                <w:sz w:val="18"/>
                <w:szCs w:val="18"/>
                <w:lang w:val="en-US" w:eastAsia="zh-CN"/>
              </w:rPr>
              <w:t xml:space="preserve">ARAB </w:t>
            </w:r>
          </w:p>
        </w:tc>
        <w:tc>
          <w:tcPr>
            <w:tcW w:w="1423" w:type="dxa"/>
            <w:gridSpan w:val="2"/>
            <w:tcBorders>
              <w:top w:val="single" w:sz="8" w:space="0" w:color="auto"/>
              <w:left w:val="nil"/>
              <w:bottom w:val="single" w:sz="8" w:space="0" w:color="auto"/>
              <w:right w:val="single" w:sz="8" w:space="0" w:color="000000"/>
            </w:tcBorders>
            <w:shd w:val="clear" w:color="auto" w:fill="auto"/>
            <w:noWrap/>
            <w:vAlign w:val="bottom"/>
            <w:hideMark/>
          </w:tcPr>
          <w:p w:rsidR="002C5178" w:rsidRPr="002C5178" w:rsidRDefault="002C5178" w:rsidP="002C5178">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8"/>
                <w:szCs w:val="18"/>
                <w:lang w:val="en-US" w:eastAsia="zh-CN"/>
              </w:rPr>
            </w:pPr>
            <w:r w:rsidRPr="002C5178">
              <w:rPr>
                <w:rFonts w:asciiTheme="minorHAnsi" w:hAnsiTheme="minorHAnsi" w:cs="Arial"/>
                <w:b/>
                <w:bCs/>
                <w:color w:val="000000"/>
                <w:sz w:val="18"/>
                <w:szCs w:val="18"/>
                <w:lang w:val="en-US" w:eastAsia="zh-CN"/>
              </w:rPr>
              <w:t>ASIA &amp;  PACIFIC</w:t>
            </w:r>
          </w:p>
        </w:tc>
        <w:tc>
          <w:tcPr>
            <w:tcW w:w="1434" w:type="dxa"/>
            <w:gridSpan w:val="2"/>
            <w:tcBorders>
              <w:top w:val="single" w:sz="8" w:space="0" w:color="auto"/>
              <w:left w:val="nil"/>
              <w:bottom w:val="single" w:sz="8" w:space="0" w:color="auto"/>
              <w:right w:val="single" w:sz="8" w:space="0" w:color="000000"/>
            </w:tcBorders>
            <w:shd w:val="clear" w:color="auto" w:fill="auto"/>
            <w:noWrap/>
            <w:vAlign w:val="bottom"/>
            <w:hideMark/>
          </w:tcPr>
          <w:p w:rsidR="002C5178" w:rsidRPr="002C5178" w:rsidRDefault="002C5178" w:rsidP="002C5178">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8"/>
                <w:szCs w:val="18"/>
                <w:lang w:val="en-US" w:eastAsia="zh-CN"/>
              </w:rPr>
            </w:pPr>
            <w:r w:rsidRPr="002C5178">
              <w:rPr>
                <w:rFonts w:asciiTheme="minorHAnsi" w:hAnsiTheme="minorHAnsi" w:cs="Arial"/>
                <w:b/>
                <w:bCs/>
                <w:color w:val="000000"/>
                <w:sz w:val="18"/>
                <w:szCs w:val="18"/>
                <w:lang w:val="en-US" w:eastAsia="zh-CN"/>
              </w:rPr>
              <w:t>CIS</w:t>
            </w:r>
          </w:p>
        </w:tc>
        <w:tc>
          <w:tcPr>
            <w:tcW w:w="1418" w:type="dxa"/>
            <w:gridSpan w:val="2"/>
            <w:tcBorders>
              <w:top w:val="single" w:sz="8" w:space="0" w:color="auto"/>
              <w:left w:val="nil"/>
              <w:bottom w:val="single" w:sz="8" w:space="0" w:color="auto"/>
              <w:right w:val="single" w:sz="8" w:space="0" w:color="000000"/>
            </w:tcBorders>
            <w:shd w:val="clear" w:color="auto" w:fill="auto"/>
            <w:noWrap/>
            <w:vAlign w:val="bottom"/>
            <w:hideMark/>
          </w:tcPr>
          <w:p w:rsidR="002C5178" w:rsidRPr="002C5178" w:rsidRDefault="002C5178" w:rsidP="002C5178">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8"/>
                <w:szCs w:val="18"/>
                <w:lang w:val="en-US" w:eastAsia="zh-CN"/>
              </w:rPr>
            </w:pPr>
            <w:r w:rsidRPr="002C5178">
              <w:rPr>
                <w:rFonts w:asciiTheme="minorHAnsi" w:hAnsiTheme="minorHAnsi" w:cs="Arial"/>
                <w:b/>
                <w:bCs/>
                <w:color w:val="000000"/>
                <w:sz w:val="18"/>
                <w:szCs w:val="18"/>
                <w:lang w:val="en-US" w:eastAsia="zh-CN"/>
              </w:rPr>
              <w:t>EUROPE</w:t>
            </w:r>
          </w:p>
        </w:tc>
      </w:tr>
      <w:tr w:rsidR="00412B8E" w:rsidRPr="002C5178" w:rsidTr="004716D5">
        <w:trPr>
          <w:trHeight w:val="302"/>
        </w:trPr>
        <w:tc>
          <w:tcPr>
            <w:tcW w:w="1985" w:type="dxa"/>
            <w:tcBorders>
              <w:top w:val="nil"/>
              <w:left w:val="nil"/>
              <w:bottom w:val="single" w:sz="8" w:space="0" w:color="auto"/>
              <w:right w:val="nil"/>
            </w:tcBorders>
            <w:shd w:val="clear" w:color="auto" w:fill="auto"/>
            <w:noWrap/>
            <w:vAlign w:val="bottom"/>
            <w:hideMark/>
          </w:tcPr>
          <w:p w:rsidR="002C5178" w:rsidRPr="002C5178" w:rsidRDefault="002C5178" w:rsidP="002C5178">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2C5178">
              <w:rPr>
                <w:rFonts w:ascii="Arial" w:hAnsi="Arial" w:cs="Arial"/>
                <w:color w:val="000000"/>
                <w:sz w:val="20"/>
                <w:lang w:val="en-US" w:eastAsia="zh-CN"/>
              </w:rPr>
              <w:t> </w:t>
            </w:r>
          </w:p>
        </w:tc>
        <w:tc>
          <w:tcPr>
            <w:tcW w:w="690" w:type="dxa"/>
            <w:tcBorders>
              <w:top w:val="nil"/>
              <w:left w:val="single" w:sz="8" w:space="0" w:color="auto"/>
              <w:bottom w:val="single" w:sz="8" w:space="0" w:color="auto"/>
              <w:right w:val="nil"/>
            </w:tcBorders>
            <w:shd w:val="clear" w:color="auto" w:fill="auto"/>
            <w:noWrap/>
            <w:vAlign w:val="center"/>
            <w:hideMark/>
          </w:tcPr>
          <w:p w:rsidR="002C5178" w:rsidRPr="002C5178" w:rsidRDefault="002C5178" w:rsidP="002C5178">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6"/>
                <w:szCs w:val="16"/>
                <w:lang w:val="en-US" w:eastAsia="zh-CN"/>
              </w:rPr>
            </w:pPr>
            <w:r w:rsidRPr="002C5178">
              <w:rPr>
                <w:rFonts w:asciiTheme="minorHAnsi" w:hAnsiTheme="minorHAnsi" w:cs="Arial"/>
                <w:b/>
                <w:bCs/>
                <w:color w:val="000000"/>
                <w:sz w:val="16"/>
                <w:szCs w:val="16"/>
                <w:lang w:val="en-US" w:eastAsia="zh-CN"/>
              </w:rPr>
              <w:t>Budget</w:t>
            </w:r>
          </w:p>
        </w:tc>
        <w:tc>
          <w:tcPr>
            <w:tcW w:w="752" w:type="dxa"/>
            <w:tcBorders>
              <w:top w:val="nil"/>
              <w:left w:val="nil"/>
              <w:bottom w:val="single" w:sz="8" w:space="0" w:color="auto"/>
              <w:right w:val="single" w:sz="8" w:space="0" w:color="auto"/>
            </w:tcBorders>
            <w:shd w:val="clear" w:color="auto" w:fill="auto"/>
            <w:noWrap/>
            <w:vAlign w:val="center"/>
            <w:hideMark/>
          </w:tcPr>
          <w:p w:rsidR="002C5178" w:rsidRPr="002C5178" w:rsidRDefault="002C5178" w:rsidP="002C5178">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6"/>
                <w:szCs w:val="16"/>
                <w:lang w:val="en-US" w:eastAsia="zh-CN"/>
              </w:rPr>
            </w:pPr>
            <w:r w:rsidRPr="002C5178">
              <w:rPr>
                <w:rFonts w:asciiTheme="minorHAnsi" w:hAnsiTheme="minorHAnsi" w:cs="Arial"/>
                <w:b/>
                <w:bCs/>
                <w:color w:val="000000"/>
                <w:sz w:val="16"/>
                <w:szCs w:val="16"/>
                <w:lang w:val="en-US" w:eastAsia="zh-CN"/>
              </w:rPr>
              <w:t>Actuals</w:t>
            </w:r>
          </w:p>
        </w:tc>
        <w:tc>
          <w:tcPr>
            <w:tcW w:w="732" w:type="dxa"/>
            <w:tcBorders>
              <w:top w:val="nil"/>
              <w:left w:val="nil"/>
              <w:bottom w:val="single" w:sz="8" w:space="0" w:color="auto"/>
              <w:right w:val="nil"/>
            </w:tcBorders>
            <w:shd w:val="clear" w:color="auto" w:fill="auto"/>
            <w:noWrap/>
            <w:vAlign w:val="center"/>
            <w:hideMark/>
          </w:tcPr>
          <w:p w:rsidR="002C5178" w:rsidRPr="002C5178" w:rsidRDefault="002C5178" w:rsidP="002C5178">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6"/>
                <w:szCs w:val="16"/>
                <w:lang w:val="en-US" w:eastAsia="zh-CN"/>
              </w:rPr>
            </w:pPr>
            <w:r w:rsidRPr="002C5178">
              <w:rPr>
                <w:rFonts w:asciiTheme="minorHAnsi" w:hAnsiTheme="minorHAnsi" w:cs="Arial"/>
                <w:b/>
                <w:bCs/>
                <w:color w:val="000000"/>
                <w:sz w:val="16"/>
                <w:szCs w:val="16"/>
                <w:lang w:val="en-US" w:eastAsia="zh-CN"/>
              </w:rPr>
              <w:t>Budget</w:t>
            </w:r>
          </w:p>
        </w:tc>
        <w:tc>
          <w:tcPr>
            <w:tcW w:w="911" w:type="dxa"/>
            <w:tcBorders>
              <w:top w:val="nil"/>
              <w:left w:val="nil"/>
              <w:bottom w:val="single" w:sz="8" w:space="0" w:color="auto"/>
              <w:right w:val="single" w:sz="8" w:space="0" w:color="auto"/>
            </w:tcBorders>
            <w:shd w:val="clear" w:color="auto" w:fill="auto"/>
            <w:noWrap/>
            <w:vAlign w:val="center"/>
            <w:hideMark/>
          </w:tcPr>
          <w:p w:rsidR="002C5178" w:rsidRPr="002C5178" w:rsidRDefault="002C5178" w:rsidP="002C5178">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6"/>
                <w:szCs w:val="16"/>
                <w:lang w:val="en-US" w:eastAsia="zh-CN"/>
              </w:rPr>
            </w:pPr>
            <w:r w:rsidRPr="002C5178">
              <w:rPr>
                <w:rFonts w:asciiTheme="minorHAnsi" w:hAnsiTheme="minorHAnsi" w:cs="Arial"/>
                <w:b/>
                <w:bCs/>
                <w:color w:val="000000"/>
                <w:sz w:val="16"/>
                <w:szCs w:val="16"/>
                <w:lang w:val="en-US" w:eastAsia="zh-CN"/>
              </w:rPr>
              <w:t>Actuals</w:t>
            </w:r>
          </w:p>
        </w:tc>
        <w:tc>
          <w:tcPr>
            <w:tcW w:w="749" w:type="dxa"/>
            <w:tcBorders>
              <w:top w:val="nil"/>
              <w:left w:val="nil"/>
              <w:bottom w:val="single" w:sz="8" w:space="0" w:color="auto"/>
              <w:right w:val="nil"/>
            </w:tcBorders>
            <w:shd w:val="clear" w:color="auto" w:fill="auto"/>
            <w:noWrap/>
            <w:vAlign w:val="center"/>
            <w:hideMark/>
          </w:tcPr>
          <w:p w:rsidR="002C5178" w:rsidRPr="002C5178" w:rsidRDefault="002C5178" w:rsidP="002C5178">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6"/>
                <w:szCs w:val="16"/>
                <w:lang w:val="en-US" w:eastAsia="zh-CN"/>
              </w:rPr>
            </w:pPr>
            <w:r w:rsidRPr="002C5178">
              <w:rPr>
                <w:rFonts w:asciiTheme="minorHAnsi" w:hAnsiTheme="minorHAnsi" w:cs="Arial"/>
                <w:b/>
                <w:bCs/>
                <w:color w:val="000000"/>
                <w:sz w:val="16"/>
                <w:szCs w:val="16"/>
                <w:lang w:val="en-US" w:eastAsia="zh-CN"/>
              </w:rPr>
              <w:t>Budget</w:t>
            </w:r>
          </w:p>
        </w:tc>
        <w:tc>
          <w:tcPr>
            <w:tcW w:w="704" w:type="dxa"/>
            <w:tcBorders>
              <w:top w:val="nil"/>
              <w:left w:val="nil"/>
              <w:bottom w:val="single" w:sz="8" w:space="0" w:color="auto"/>
              <w:right w:val="single" w:sz="8" w:space="0" w:color="auto"/>
            </w:tcBorders>
            <w:shd w:val="clear" w:color="auto" w:fill="auto"/>
            <w:noWrap/>
            <w:vAlign w:val="center"/>
            <w:hideMark/>
          </w:tcPr>
          <w:p w:rsidR="002C5178" w:rsidRPr="002C5178" w:rsidRDefault="002C5178" w:rsidP="002C5178">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6"/>
                <w:szCs w:val="16"/>
                <w:lang w:val="en-US" w:eastAsia="zh-CN"/>
              </w:rPr>
            </w:pPr>
            <w:r w:rsidRPr="002C5178">
              <w:rPr>
                <w:rFonts w:asciiTheme="minorHAnsi" w:hAnsiTheme="minorHAnsi" w:cs="Arial"/>
                <w:b/>
                <w:bCs/>
                <w:color w:val="000000"/>
                <w:sz w:val="16"/>
                <w:szCs w:val="16"/>
                <w:lang w:val="en-US" w:eastAsia="zh-CN"/>
              </w:rPr>
              <w:t>Actuals</w:t>
            </w:r>
          </w:p>
        </w:tc>
        <w:tc>
          <w:tcPr>
            <w:tcW w:w="719" w:type="dxa"/>
            <w:tcBorders>
              <w:top w:val="nil"/>
              <w:left w:val="nil"/>
              <w:bottom w:val="single" w:sz="8" w:space="0" w:color="auto"/>
              <w:right w:val="nil"/>
            </w:tcBorders>
            <w:shd w:val="clear" w:color="auto" w:fill="auto"/>
            <w:noWrap/>
            <w:vAlign w:val="center"/>
            <w:hideMark/>
          </w:tcPr>
          <w:p w:rsidR="002C5178" w:rsidRPr="002C5178" w:rsidRDefault="002C5178" w:rsidP="002C5178">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6"/>
                <w:szCs w:val="16"/>
                <w:lang w:val="en-US" w:eastAsia="zh-CN"/>
              </w:rPr>
            </w:pPr>
            <w:r w:rsidRPr="002C5178">
              <w:rPr>
                <w:rFonts w:asciiTheme="minorHAnsi" w:hAnsiTheme="minorHAnsi" w:cs="Arial"/>
                <w:b/>
                <w:bCs/>
                <w:color w:val="000000"/>
                <w:sz w:val="16"/>
                <w:szCs w:val="16"/>
                <w:lang w:val="en-US" w:eastAsia="zh-CN"/>
              </w:rPr>
              <w:t>Budget</w:t>
            </w:r>
          </w:p>
        </w:tc>
        <w:tc>
          <w:tcPr>
            <w:tcW w:w="704" w:type="dxa"/>
            <w:tcBorders>
              <w:top w:val="nil"/>
              <w:left w:val="nil"/>
              <w:bottom w:val="single" w:sz="8" w:space="0" w:color="auto"/>
              <w:right w:val="single" w:sz="8" w:space="0" w:color="auto"/>
            </w:tcBorders>
            <w:shd w:val="clear" w:color="auto" w:fill="auto"/>
            <w:noWrap/>
            <w:vAlign w:val="center"/>
            <w:hideMark/>
          </w:tcPr>
          <w:p w:rsidR="002C5178" w:rsidRPr="002C5178" w:rsidRDefault="002C5178" w:rsidP="002C5178">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6"/>
                <w:szCs w:val="16"/>
                <w:lang w:val="en-US" w:eastAsia="zh-CN"/>
              </w:rPr>
            </w:pPr>
            <w:r w:rsidRPr="002C5178">
              <w:rPr>
                <w:rFonts w:asciiTheme="minorHAnsi" w:hAnsiTheme="minorHAnsi" w:cs="Arial"/>
                <w:b/>
                <w:bCs/>
                <w:color w:val="000000"/>
                <w:sz w:val="16"/>
                <w:szCs w:val="16"/>
                <w:lang w:val="en-US" w:eastAsia="zh-CN"/>
              </w:rPr>
              <w:t>Actuals</w:t>
            </w:r>
          </w:p>
        </w:tc>
        <w:tc>
          <w:tcPr>
            <w:tcW w:w="730" w:type="dxa"/>
            <w:tcBorders>
              <w:top w:val="nil"/>
              <w:left w:val="nil"/>
              <w:bottom w:val="single" w:sz="8" w:space="0" w:color="auto"/>
              <w:right w:val="nil"/>
            </w:tcBorders>
            <w:shd w:val="clear" w:color="auto" w:fill="auto"/>
            <w:noWrap/>
            <w:vAlign w:val="center"/>
            <w:hideMark/>
          </w:tcPr>
          <w:p w:rsidR="002C5178" w:rsidRPr="002C5178" w:rsidRDefault="002C5178" w:rsidP="002C5178">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6"/>
                <w:szCs w:val="16"/>
                <w:lang w:val="en-US" w:eastAsia="zh-CN"/>
              </w:rPr>
            </w:pPr>
            <w:r w:rsidRPr="002C5178">
              <w:rPr>
                <w:rFonts w:asciiTheme="minorHAnsi" w:hAnsiTheme="minorHAnsi" w:cs="Arial"/>
                <w:b/>
                <w:bCs/>
                <w:color w:val="000000"/>
                <w:sz w:val="16"/>
                <w:szCs w:val="16"/>
                <w:lang w:val="en-US" w:eastAsia="zh-CN"/>
              </w:rPr>
              <w:t>Budget</w:t>
            </w:r>
          </w:p>
        </w:tc>
        <w:tc>
          <w:tcPr>
            <w:tcW w:w="704" w:type="dxa"/>
            <w:tcBorders>
              <w:top w:val="nil"/>
              <w:left w:val="nil"/>
              <w:bottom w:val="single" w:sz="8" w:space="0" w:color="auto"/>
              <w:right w:val="single" w:sz="8" w:space="0" w:color="auto"/>
            </w:tcBorders>
            <w:shd w:val="clear" w:color="auto" w:fill="auto"/>
            <w:noWrap/>
            <w:vAlign w:val="center"/>
            <w:hideMark/>
          </w:tcPr>
          <w:p w:rsidR="002C5178" w:rsidRPr="002C5178" w:rsidRDefault="002C5178" w:rsidP="002C5178">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6"/>
                <w:szCs w:val="16"/>
                <w:lang w:val="en-US" w:eastAsia="zh-CN"/>
              </w:rPr>
            </w:pPr>
            <w:r w:rsidRPr="002C5178">
              <w:rPr>
                <w:rFonts w:asciiTheme="minorHAnsi" w:hAnsiTheme="minorHAnsi" w:cs="Arial"/>
                <w:b/>
                <w:bCs/>
                <w:color w:val="000000"/>
                <w:sz w:val="16"/>
                <w:szCs w:val="16"/>
                <w:lang w:val="en-US" w:eastAsia="zh-CN"/>
              </w:rPr>
              <w:t>Actuals</w:t>
            </w:r>
          </w:p>
        </w:tc>
        <w:tc>
          <w:tcPr>
            <w:tcW w:w="714" w:type="dxa"/>
            <w:tcBorders>
              <w:top w:val="nil"/>
              <w:left w:val="nil"/>
              <w:bottom w:val="single" w:sz="8" w:space="0" w:color="auto"/>
              <w:right w:val="nil"/>
            </w:tcBorders>
            <w:shd w:val="clear" w:color="auto" w:fill="auto"/>
            <w:noWrap/>
            <w:vAlign w:val="center"/>
            <w:hideMark/>
          </w:tcPr>
          <w:p w:rsidR="002C5178" w:rsidRPr="002C5178" w:rsidRDefault="002C5178" w:rsidP="002C5178">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6"/>
                <w:szCs w:val="16"/>
                <w:lang w:val="en-US" w:eastAsia="zh-CN"/>
              </w:rPr>
            </w:pPr>
            <w:r w:rsidRPr="002C5178">
              <w:rPr>
                <w:rFonts w:asciiTheme="minorHAnsi" w:hAnsiTheme="minorHAnsi" w:cs="Arial"/>
                <w:b/>
                <w:bCs/>
                <w:color w:val="000000"/>
                <w:sz w:val="16"/>
                <w:szCs w:val="16"/>
                <w:lang w:val="en-US" w:eastAsia="zh-CN"/>
              </w:rPr>
              <w:t>Budget</w:t>
            </w:r>
          </w:p>
        </w:tc>
        <w:tc>
          <w:tcPr>
            <w:tcW w:w="704" w:type="dxa"/>
            <w:tcBorders>
              <w:top w:val="nil"/>
              <w:left w:val="nil"/>
              <w:bottom w:val="single" w:sz="8" w:space="0" w:color="auto"/>
              <w:right w:val="single" w:sz="8" w:space="0" w:color="auto"/>
            </w:tcBorders>
            <w:shd w:val="clear" w:color="auto" w:fill="auto"/>
            <w:noWrap/>
            <w:vAlign w:val="center"/>
            <w:hideMark/>
          </w:tcPr>
          <w:p w:rsidR="002C5178" w:rsidRPr="002C5178" w:rsidRDefault="002C5178" w:rsidP="002C5178">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6"/>
                <w:szCs w:val="16"/>
                <w:lang w:val="en-US" w:eastAsia="zh-CN"/>
              </w:rPr>
            </w:pPr>
            <w:r w:rsidRPr="002C5178">
              <w:rPr>
                <w:rFonts w:asciiTheme="minorHAnsi" w:hAnsiTheme="minorHAnsi" w:cs="Arial"/>
                <w:b/>
                <w:bCs/>
                <w:color w:val="000000"/>
                <w:sz w:val="16"/>
                <w:szCs w:val="16"/>
                <w:lang w:val="en-US" w:eastAsia="zh-CN"/>
              </w:rPr>
              <w:t>Actuals</w:t>
            </w:r>
          </w:p>
        </w:tc>
      </w:tr>
      <w:tr w:rsidR="00412B8E" w:rsidRPr="002C5178" w:rsidTr="004716D5">
        <w:trPr>
          <w:trHeight w:val="242"/>
        </w:trPr>
        <w:tc>
          <w:tcPr>
            <w:tcW w:w="1985" w:type="dxa"/>
            <w:tcBorders>
              <w:top w:val="nil"/>
              <w:left w:val="single" w:sz="8" w:space="0" w:color="auto"/>
              <w:bottom w:val="nil"/>
              <w:right w:val="nil"/>
            </w:tcBorders>
            <w:shd w:val="clear" w:color="auto" w:fill="auto"/>
            <w:noWrap/>
            <w:vAlign w:val="bottom"/>
            <w:hideMark/>
          </w:tcPr>
          <w:p w:rsidR="002C5178" w:rsidRPr="002C5178" w:rsidRDefault="002C5178" w:rsidP="002C517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2C5178">
              <w:rPr>
                <w:rFonts w:asciiTheme="minorHAnsi" w:hAnsiTheme="minorHAnsi" w:cs="Arial"/>
                <w:color w:val="000000"/>
                <w:sz w:val="16"/>
                <w:szCs w:val="16"/>
                <w:lang w:val="en-US" w:eastAsia="zh-CN"/>
              </w:rPr>
              <w:t>Employee expenses</w:t>
            </w:r>
          </w:p>
        </w:tc>
        <w:tc>
          <w:tcPr>
            <w:tcW w:w="690" w:type="dxa"/>
            <w:tcBorders>
              <w:top w:val="nil"/>
              <w:left w:val="single" w:sz="8" w:space="0" w:color="auto"/>
              <w:bottom w:val="nil"/>
              <w:right w:val="single" w:sz="4" w:space="0" w:color="auto"/>
            </w:tcBorders>
            <w:shd w:val="clear" w:color="auto" w:fill="auto"/>
            <w:noWrap/>
            <w:vAlign w:val="bottom"/>
            <w:hideMark/>
          </w:tcPr>
          <w:p w:rsidR="002C5178" w:rsidRPr="002C5178" w:rsidRDefault="002C5178" w:rsidP="0098600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2C5178">
              <w:rPr>
                <w:rFonts w:asciiTheme="minorHAnsi" w:hAnsiTheme="minorHAnsi" w:cs="Arial"/>
                <w:color w:val="000000"/>
                <w:sz w:val="18"/>
                <w:szCs w:val="18"/>
                <w:lang w:val="en-US" w:eastAsia="zh-CN"/>
              </w:rPr>
              <w:t>1</w:t>
            </w:r>
            <w:r w:rsidR="0098600C">
              <w:rPr>
                <w:rFonts w:asciiTheme="minorHAnsi" w:hAnsiTheme="minorHAnsi" w:cs="Arial"/>
                <w:color w:val="000000"/>
                <w:sz w:val="18"/>
                <w:szCs w:val="18"/>
                <w:lang w:val="en-US" w:eastAsia="zh-CN"/>
              </w:rPr>
              <w:t>,865</w:t>
            </w:r>
          </w:p>
        </w:tc>
        <w:tc>
          <w:tcPr>
            <w:tcW w:w="752" w:type="dxa"/>
            <w:tcBorders>
              <w:top w:val="nil"/>
              <w:left w:val="nil"/>
              <w:bottom w:val="nil"/>
              <w:right w:val="single" w:sz="8" w:space="0" w:color="auto"/>
            </w:tcBorders>
            <w:shd w:val="clear" w:color="auto" w:fill="auto"/>
            <w:noWrap/>
            <w:vAlign w:val="bottom"/>
            <w:hideMark/>
          </w:tcPr>
          <w:p w:rsidR="002C5178" w:rsidRPr="002C5178" w:rsidRDefault="0098600C" w:rsidP="0098600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Pr>
                <w:rFonts w:asciiTheme="minorHAnsi" w:hAnsiTheme="minorHAnsi" w:cs="Arial"/>
                <w:color w:val="000000"/>
                <w:sz w:val="18"/>
                <w:szCs w:val="18"/>
                <w:lang w:val="en-US" w:eastAsia="zh-CN"/>
              </w:rPr>
              <w:t>1,954</w:t>
            </w:r>
          </w:p>
        </w:tc>
        <w:tc>
          <w:tcPr>
            <w:tcW w:w="732" w:type="dxa"/>
            <w:tcBorders>
              <w:top w:val="nil"/>
              <w:left w:val="nil"/>
              <w:bottom w:val="nil"/>
              <w:right w:val="single" w:sz="4" w:space="0" w:color="auto"/>
            </w:tcBorders>
            <w:shd w:val="clear" w:color="auto" w:fill="auto"/>
            <w:noWrap/>
            <w:vAlign w:val="bottom"/>
            <w:hideMark/>
          </w:tcPr>
          <w:p w:rsidR="002C5178" w:rsidRPr="002C5178" w:rsidRDefault="002C5178" w:rsidP="00903C8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2C5178">
              <w:rPr>
                <w:rFonts w:asciiTheme="minorHAnsi" w:hAnsiTheme="minorHAnsi" w:cs="Arial"/>
                <w:color w:val="000000"/>
                <w:sz w:val="18"/>
                <w:szCs w:val="18"/>
                <w:lang w:val="en-US" w:eastAsia="zh-CN"/>
              </w:rPr>
              <w:t>2</w:t>
            </w:r>
            <w:r w:rsidR="00903C8F">
              <w:rPr>
                <w:rFonts w:asciiTheme="minorHAnsi" w:hAnsiTheme="minorHAnsi" w:cs="Arial"/>
                <w:color w:val="000000"/>
                <w:sz w:val="18"/>
                <w:szCs w:val="18"/>
                <w:lang w:val="en-US" w:eastAsia="zh-CN"/>
              </w:rPr>
              <w:t>,036</w:t>
            </w:r>
          </w:p>
        </w:tc>
        <w:tc>
          <w:tcPr>
            <w:tcW w:w="911" w:type="dxa"/>
            <w:tcBorders>
              <w:top w:val="nil"/>
              <w:left w:val="nil"/>
              <w:bottom w:val="nil"/>
              <w:right w:val="single" w:sz="8" w:space="0" w:color="auto"/>
            </w:tcBorders>
            <w:shd w:val="clear" w:color="auto" w:fill="auto"/>
            <w:noWrap/>
            <w:vAlign w:val="bottom"/>
            <w:hideMark/>
          </w:tcPr>
          <w:p w:rsidR="002C5178" w:rsidRPr="002C5178" w:rsidRDefault="002C5178" w:rsidP="00903C8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2C5178">
              <w:rPr>
                <w:rFonts w:asciiTheme="minorHAnsi" w:hAnsiTheme="minorHAnsi" w:cs="Arial"/>
                <w:color w:val="000000"/>
                <w:sz w:val="18"/>
                <w:szCs w:val="18"/>
                <w:lang w:val="en-US" w:eastAsia="zh-CN"/>
              </w:rPr>
              <w:t>2</w:t>
            </w:r>
            <w:r w:rsidR="00903C8F">
              <w:rPr>
                <w:rFonts w:asciiTheme="minorHAnsi" w:hAnsiTheme="minorHAnsi" w:cs="Arial"/>
                <w:color w:val="000000"/>
                <w:sz w:val="18"/>
                <w:szCs w:val="18"/>
                <w:lang w:val="en-US" w:eastAsia="zh-CN"/>
              </w:rPr>
              <w:t>.066</w:t>
            </w:r>
          </w:p>
        </w:tc>
        <w:tc>
          <w:tcPr>
            <w:tcW w:w="749" w:type="dxa"/>
            <w:tcBorders>
              <w:top w:val="nil"/>
              <w:left w:val="nil"/>
              <w:bottom w:val="nil"/>
              <w:right w:val="single" w:sz="4" w:space="0" w:color="auto"/>
            </w:tcBorders>
            <w:shd w:val="clear" w:color="auto" w:fill="auto"/>
            <w:noWrap/>
            <w:vAlign w:val="bottom"/>
            <w:hideMark/>
          </w:tcPr>
          <w:p w:rsidR="002C5178" w:rsidRPr="002C5178" w:rsidRDefault="002C5178" w:rsidP="00903C8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2C5178">
              <w:rPr>
                <w:rFonts w:asciiTheme="minorHAnsi" w:hAnsiTheme="minorHAnsi" w:cs="Arial"/>
                <w:color w:val="000000"/>
                <w:sz w:val="18"/>
                <w:szCs w:val="18"/>
                <w:lang w:val="en-US" w:eastAsia="zh-CN"/>
              </w:rPr>
              <w:t>8</w:t>
            </w:r>
            <w:r w:rsidR="00903C8F">
              <w:rPr>
                <w:rFonts w:asciiTheme="minorHAnsi" w:hAnsiTheme="minorHAnsi" w:cs="Arial"/>
                <w:color w:val="000000"/>
                <w:sz w:val="18"/>
                <w:szCs w:val="18"/>
                <w:lang w:val="en-US" w:eastAsia="zh-CN"/>
              </w:rPr>
              <w:t>60</w:t>
            </w:r>
          </w:p>
        </w:tc>
        <w:tc>
          <w:tcPr>
            <w:tcW w:w="704" w:type="dxa"/>
            <w:tcBorders>
              <w:top w:val="nil"/>
              <w:left w:val="nil"/>
              <w:bottom w:val="nil"/>
              <w:right w:val="single" w:sz="8" w:space="0" w:color="auto"/>
            </w:tcBorders>
            <w:shd w:val="clear" w:color="auto" w:fill="auto"/>
            <w:noWrap/>
            <w:vAlign w:val="bottom"/>
            <w:hideMark/>
          </w:tcPr>
          <w:p w:rsidR="002C5178" w:rsidRPr="002C5178" w:rsidRDefault="00903C8F" w:rsidP="00903C8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Pr>
                <w:rFonts w:asciiTheme="minorHAnsi" w:hAnsiTheme="minorHAnsi" w:cs="Arial"/>
                <w:color w:val="000000"/>
                <w:sz w:val="18"/>
                <w:szCs w:val="18"/>
                <w:lang w:val="en-US" w:eastAsia="zh-CN"/>
              </w:rPr>
              <w:t>788</w:t>
            </w:r>
          </w:p>
        </w:tc>
        <w:tc>
          <w:tcPr>
            <w:tcW w:w="719" w:type="dxa"/>
            <w:tcBorders>
              <w:top w:val="nil"/>
              <w:left w:val="nil"/>
              <w:bottom w:val="nil"/>
              <w:right w:val="single" w:sz="4" w:space="0" w:color="auto"/>
            </w:tcBorders>
            <w:shd w:val="clear" w:color="auto" w:fill="auto"/>
            <w:noWrap/>
            <w:vAlign w:val="bottom"/>
            <w:hideMark/>
          </w:tcPr>
          <w:p w:rsidR="002C5178" w:rsidRPr="002C5178" w:rsidRDefault="002C5178" w:rsidP="00903C8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2C5178">
              <w:rPr>
                <w:rFonts w:asciiTheme="minorHAnsi" w:hAnsiTheme="minorHAnsi" w:cs="Arial"/>
                <w:color w:val="000000"/>
                <w:sz w:val="18"/>
                <w:szCs w:val="18"/>
                <w:lang w:val="en-US" w:eastAsia="zh-CN"/>
              </w:rPr>
              <w:t>1</w:t>
            </w:r>
            <w:r w:rsidR="00903C8F">
              <w:rPr>
                <w:rFonts w:asciiTheme="minorHAnsi" w:hAnsiTheme="minorHAnsi" w:cs="Arial"/>
                <w:color w:val="000000"/>
                <w:sz w:val="18"/>
                <w:szCs w:val="18"/>
                <w:lang w:val="en-US" w:eastAsia="zh-CN"/>
              </w:rPr>
              <w:t>,267</w:t>
            </w:r>
          </w:p>
        </w:tc>
        <w:tc>
          <w:tcPr>
            <w:tcW w:w="704" w:type="dxa"/>
            <w:tcBorders>
              <w:top w:val="nil"/>
              <w:left w:val="nil"/>
              <w:bottom w:val="nil"/>
              <w:right w:val="single" w:sz="8" w:space="0" w:color="auto"/>
            </w:tcBorders>
            <w:shd w:val="clear" w:color="auto" w:fill="auto"/>
            <w:noWrap/>
            <w:vAlign w:val="bottom"/>
            <w:hideMark/>
          </w:tcPr>
          <w:p w:rsidR="002C5178" w:rsidRPr="002C5178" w:rsidRDefault="002C5178" w:rsidP="00903C8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2C5178">
              <w:rPr>
                <w:rFonts w:asciiTheme="minorHAnsi" w:hAnsiTheme="minorHAnsi" w:cs="Arial"/>
                <w:color w:val="000000"/>
                <w:sz w:val="18"/>
                <w:szCs w:val="18"/>
                <w:lang w:val="en-US" w:eastAsia="zh-CN"/>
              </w:rPr>
              <w:t>1</w:t>
            </w:r>
            <w:r w:rsidR="00903C8F">
              <w:rPr>
                <w:rFonts w:asciiTheme="minorHAnsi" w:hAnsiTheme="minorHAnsi" w:cs="Arial"/>
                <w:color w:val="000000"/>
                <w:sz w:val="18"/>
                <w:szCs w:val="18"/>
                <w:lang w:val="en-US" w:eastAsia="zh-CN"/>
              </w:rPr>
              <w:t>,214</w:t>
            </w:r>
          </w:p>
        </w:tc>
        <w:tc>
          <w:tcPr>
            <w:tcW w:w="730" w:type="dxa"/>
            <w:tcBorders>
              <w:top w:val="nil"/>
              <w:left w:val="nil"/>
              <w:bottom w:val="nil"/>
              <w:right w:val="single" w:sz="4" w:space="0" w:color="auto"/>
            </w:tcBorders>
            <w:shd w:val="clear" w:color="auto" w:fill="auto"/>
            <w:noWrap/>
            <w:vAlign w:val="bottom"/>
            <w:hideMark/>
          </w:tcPr>
          <w:p w:rsidR="002C5178" w:rsidRPr="002C5178" w:rsidRDefault="00903C8F" w:rsidP="00903C8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Pr>
                <w:rFonts w:asciiTheme="minorHAnsi" w:hAnsiTheme="minorHAnsi" w:cs="Arial"/>
                <w:color w:val="000000"/>
                <w:sz w:val="18"/>
                <w:szCs w:val="18"/>
                <w:lang w:val="en-US" w:eastAsia="zh-CN"/>
              </w:rPr>
              <w:t>390</w:t>
            </w:r>
          </w:p>
        </w:tc>
        <w:tc>
          <w:tcPr>
            <w:tcW w:w="704" w:type="dxa"/>
            <w:tcBorders>
              <w:top w:val="nil"/>
              <w:left w:val="nil"/>
              <w:bottom w:val="nil"/>
              <w:right w:val="single" w:sz="8" w:space="0" w:color="auto"/>
            </w:tcBorders>
            <w:shd w:val="clear" w:color="auto" w:fill="auto"/>
            <w:noWrap/>
            <w:vAlign w:val="bottom"/>
            <w:hideMark/>
          </w:tcPr>
          <w:p w:rsidR="002C5178" w:rsidRPr="002C5178" w:rsidRDefault="00903C8F" w:rsidP="00903C8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Pr>
                <w:rFonts w:asciiTheme="minorHAnsi" w:hAnsiTheme="minorHAnsi" w:cs="Arial"/>
                <w:color w:val="000000"/>
                <w:sz w:val="18"/>
                <w:szCs w:val="18"/>
                <w:lang w:val="en-US" w:eastAsia="zh-CN"/>
              </w:rPr>
              <w:t>313</w:t>
            </w:r>
          </w:p>
        </w:tc>
        <w:tc>
          <w:tcPr>
            <w:tcW w:w="714" w:type="dxa"/>
            <w:tcBorders>
              <w:top w:val="nil"/>
              <w:left w:val="nil"/>
              <w:bottom w:val="nil"/>
              <w:right w:val="single" w:sz="4" w:space="0" w:color="auto"/>
            </w:tcBorders>
            <w:shd w:val="clear" w:color="auto" w:fill="auto"/>
            <w:noWrap/>
            <w:vAlign w:val="bottom"/>
            <w:hideMark/>
          </w:tcPr>
          <w:p w:rsidR="002C5178" w:rsidRPr="002C5178" w:rsidRDefault="002C5178" w:rsidP="00903C8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2C5178">
              <w:rPr>
                <w:rFonts w:asciiTheme="minorHAnsi" w:hAnsiTheme="minorHAnsi" w:cs="Arial"/>
                <w:color w:val="000000"/>
                <w:sz w:val="18"/>
                <w:szCs w:val="18"/>
                <w:lang w:val="en-US" w:eastAsia="zh-CN"/>
              </w:rPr>
              <w:t> </w:t>
            </w:r>
            <w:r w:rsidR="00903C8F">
              <w:rPr>
                <w:rFonts w:asciiTheme="minorHAnsi" w:hAnsiTheme="minorHAnsi" w:cs="Arial"/>
                <w:color w:val="000000"/>
                <w:sz w:val="18"/>
                <w:szCs w:val="18"/>
                <w:lang w:val="en-US" w:eastAsia="zh-CN"/>
              </w:rPr>
              <w:t>535</w:t>
            </w:r>
          </w:p>
        </w:tc>
        <w:tc>
          <w:tcPr>
            <w:tcW w:w="704" w:type="dxa"/>
            <w:tcBorders>
              <w:top w:val="nil"/>
              <w:left w:val="nil"/>
              <w:bottom w:val="nil"/>
              <w:right w:val="single" w:sz="8" w:space="0" w:color="auto"/>
            </w:tcBorders>
            <w:shd w:val="clear" w:color="auto" w:fill="auto"/>
            <w:noWrap/>
            <w:vAlign w:val="bottom"/>
            <w:hideMark/>
          </w:tcPr>
          <w:p w:rsidR="002C5178" w:rsidRPr="002C5178" w:rsidRDefault="00903C8F" w:rsidP="00903C8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Pr>
                <w:rFonts w:asciiTheme="minorHAnsi" w:hAnsiTheme="minorHAnsi" w:cs="Arial"/>
                <w:color w:val="000000"/>
                <w:sz w:val="18"/>
                <w:szCs w:val="18"/>
                <w:lang w:val="en-US" w:eastAsia="zh-CN"/>
              </w:rPr>
              <w:t>473</w:t>
            </w:r>
          </w:p>
        </w:tc>
      </w:tr>
      <w:tr w:rsidR="00412B8E" w:rsidRPr="002C5178" w:rsidTr="004716D5">
        <w:trPr>
          <w:trHeight w:val="242"/>
        </w:trPr>
        <w:tc>
          <w:tcPr>
            <w:tcW w:w="1985" w:type="dxa"/>
            <w:tcBorders>
              <w:top w:val="nil"/>
              <w:left w:val="single" w:sz="8" w:space="0" w:color="auto"/>
              <w:bottom w:val="nil"/>
              <w:right w:val="nil"/>
            </w:tcBorders>
            <w:shd w:val="clear" w:color="auto" w:fill="auto"/>
            <w:noWrap/>
            <w:vAlign w:val="bottom"/>
            <w:hideMark/>
          </w:tcPr>
          <w:p w:rsidR="002C5178" w:rsidRPr="002C5178" w:rsidRDefault="002C5178" w:rsidP="002C517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2C5178">
              <w:rPr>
                <w:rFonts w:asciiTheme="minorHAnsi" w:hAnsiTheme="minorHAnsi" w:cs="Arial"/>
                <w:color w:val="000000"/>
                <w:sz w:val="16"/>
                <w:szCs w:val="16"/>
                <w:lang w:val="en-US" w:eastAsia="zh-CN"/>
              </w:rPr>
              <w:t>Mission expenses</w:t>
            </w:r>
          </w:p>
        </w:tc>
        <w:tc>
          <w:tcPr>
            <w:tcW w:w="690" w:type="dxa"/>
            <w:tcBorders>
              <w:top w:val="nil"/>
              <w:left w:val="single" w:sz="8" w:space="0" w:color="auto"/>
              <w:bottom w:val="nil"/>
              <w:right w:val="single" w:sz="4" w:space="0" w:color="auto"/>
            </w:tcBorders>
            <w:shd w:val="clear" w:color="auto" w:fill="auto"/>
            <w:noWrap/>
            <w:vAlign w:val="bottom"/>
            <w:hideMark/>
          </w:tcPr>
          <w:p w:rsidR="002C5178" w:rsidRPr="002C5178" w:rsidRDefault="002C5178" w:rsidP="002C517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2C5178">
              <w:rPr>
                <w:rFonts w:asciiTheme="minorHAnsi" w:hAnsiTheme="minorHAnsi" w:cs="Arial"/>
                <w:color w:val="000000"/>
                <w:sz w:val="18"/>
                <w:szCs w:val="18"/>
                <w:lang w:val="en-US" w:eastAsia="zh-CN"/>
              </w:rPr>
              <w:t>55</w:t>
            </w:r>
          </w:p>
        </w:tc>
        <w:tc>
          <w:tcPr>
            <w:tcW w:w="752" w:type="dxa"/>
            <w:tcBorders>
              <w:top w:val="nil"/>
              <w:left w:val="nil"/>
              <w:bottom w:val="nil"/>
              <w:right w:val="single" w:sz="8" w:space="0" w:color="auto"/>
            </w:tcBorders>
            <w:shd w:val="clear" w:color="auto" w:fill="auto"/>
            <w:noWrap/>
            <w:vAlign w:val="bottom"/>
            <w:hideMark/>
          </w:tcPr>
          <w:p w:rsidR="002C5178" w:rsidRPr="002C5178" w:rsidRDefault="002C5178" w:rsidP="002C517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2C5178">
              <w:rPr>
                <w:rFonts w:asciiTheme="minorHAnsi" w:hAnsiTheme="minorHAnsi" w:cs="Arial"/>
                <w:color w:val="000000"/>
                <w:sz w:val="18"/>
                <w:szCs w:val="18"/>
                <w:lang w:val="en-US" w:eastAsia="zh-CN"/>
              </w:rPr>
              <w:t>48</w:t>
            </w:r>
          </w:p>
        </w:tc>
        <w:tc>
          <w:tcPr>
            <w:tcW w:w="732" w:type="dxa"/>
            <w:tcBorders>
              <w:top w:val="nil"/>
              <w:left w:val="nil"/>
              <w:bottom w:val="nil"/>
              <w:right w:val="single" w:sz="4" w:space="0" w:color="auto"/>
            </w:tcBorders>
            <w:shd w:val="clear" w:color="auto" w:fill="auto"/>
            <w:noWrap/>
            <w:vAlign w:val="bottom"/>
            <w:hideMark/>
          </w:tcPr>
          <w:p w:rsidR="002C5178" w:rsidRPr="002C5178" w:rsidRDefault="002C5178" w:rsidP="002C517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2C5178">
              <w:rPr>
                <w:rFonts w:asciiTheme="minorHAnsi" w:hAnsiTheme="minorHAnsi" w:cs="Arial"/>
                <w:color w:val="000000"/>
                <w:sz w:val="18"/>
                <w:szCs w:val="18"/>
                <w:lang w:val="en-US" w:eastAsia="zh-CN"/>
              </w:rPr>
              <w:t>55</w:t>
            </w:r>
          </w:p>
        </w:tc>
        <w:tc>
          <w:tcPr>
            <w:tcW w:w="911" w:type="dxa"/>
            <w:tcBorders>
              <w:top w:val="nil"/>
              <w:left w:val="nil"/>
              <w:bottom w:val="nil"/>
              <w:right w:val="single" w:sz="8" w:space="0" w:color="auto"/>
            </w:tcBorders>
            <w:shd w:val="clear" w:color="auto" w:fill="auto"/>
            <w:noWrap/>
            <w:vAlign w:val="bottom"/>
            <w:hideMark/>
          </w:tcPr>
          <w:p w:rsidR="002C5178" w:rsidRPr="002C5178" w:rsidRDefault="002C5178" w:rsidP="00903C8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2C5178">
              <w:rPr>
                <w:rFonts w:asciiTheme="minorHAnsi" w:hAnsiTheme="minorHAnsi" w:cs="Arial"/>
                <w:color w:val="000000"/>
                <w:sz w:val="18"/>
                <w:szCs w:val="18"/>
                <w:lang w:val="en-US" w:eastAsia="zh-CN"/>
              </w:rPr>
              <w:t>5</w:t>
            </w:r>
            <w:r w:rsidR="00903C8F">
              <w:rPr>
                <w:rFonts w:asciiTheme="minorHAnsi" w:hAnsiTheme="minorHAnsi" w:cs="Arial"/>
                <w:color w:val="000000"/>
                <w:sz w:val="18"/>
                <w:szCs w:val="18"/>
                <w:lang w:val="en-US" w:eastAsia="zh-CN"/>
              </w:rPr>
              <w:t>2</w:t>
            </w:r>
          </w:p>
        </w:tc>
        <w:tc>
          <w:tcPr>
            <w:tcW w:w="749" w:type="dxa"/>
            <w:tcBorders>
              <w:top w:val="nil"/>
              <w:left w:val="nil"/>
              <w:bottom w:val="nil"/>
              <w:right w:val="single" w:sz="4" w:space="0" w:color="auto"/>
            </w:tcBorders>
            <w:shd w:val="clear" w:color="auto" w:fill="auto"/>
            <w:noWrap/>
            <w:vAlign w:val="bottom"/>
            <w:hideMark/>
          </w:tcPr>
          <w:p w:rsidR="002C5178" w:rsidRPr="002C5178" w:rsidRDefault="002C5178" w:rsidP="002C517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2C5178">
              <w:rPr>
                <w:rFonts w:asciiTheme="minorHAnsi" w:hAnsiTheme="minorHAnsi" w:cs="Arial"/>
                <w:color w:val="000000"/>
                <w:sz w:val="18"/>
                <w:szCs w:val="18"/>
                <w:lang w:val="en-US" w:eastAsia="zh-CN"/>
              </w:rPr>
              <w:t>35</w:t>
            </w:r>
          </w:p>
        </w:tc>
        <w:tc>
          <w:tcPr>
            <w:tcW w:w="704" w:type="dxa"/>
            <w:tcBorders>
              <w:top w:val="nil"/>
              <w:left w:val="nil"/>
              <w:bottom w:val="nil"/>
              <w:right w:val="single" w:sz="8" w:space="0" w:color="auto"/>
            </w:tcBorders>
            <w:shd w:val="clear" w:color="auto" w:fill="auto"/>
            <w:noWrap/>
            <w:vAlign w:val="bottom"/>
            <w:hideMark/>
          </w:tcPr>
          <w:p w:rsidR="002C5178" w:rsidRPr="002C5178" w:rsidRDefault="00903C8F" w:rsidP="00903C8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Pr>
                <w:rFonts w:asciiTheme="minorHAnsi" w:hAnsiTheme="minorHAnsi" w:cs="Arial"/>
                <w:color w:val="000000"/>
                <w:sz w:val="18"/>
                <w:szCs w:val="18"/>
                <w:lang w:val="en-US" w:eastAsia="zh-CN"/>
              </w:rPr>
              <w:t>38</w:t>
            </w:r>
          </w:p>
        </w:tc>
        <w:tc>
          <w:tcPr>
            <w:tcW w:w="719" w:type="dxa"/>
            <w:tcBorders>
              <w:top w:val="nil"/>
              <w:left w:val="nil"/>
              <w:bottom w:val="nil"/>
              <w:right w:val="single" w:sz="4" w:space="0" w:color="auto"/>
            </w:tcBorders>
            <w:shd w:val="clear" w:color="auto" w:fill="auto"/>
            <w:noWrap/>
            <w:vAlign w:val="bottom"/>
            <w:hideMark/>
          </w:tcPr>
          <w:p w:rsidR="002C5178" w:rsidRPr="002C5178" w:rsidRDefault="002C5178" w:rsidP="002C517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2C5178">
              <w:rPr>
                <w:rFonts w:asciiTheme="minorHAnsi" w:hAnsiTheme="minorHAnsi" w:cs="Arial"/>
                <w:color w:val="000000"/>
                <w:sz w:val="18"/>
                <w:szCs w:val="18"/>
                <w:lang w:val="en-US" w:eastAsia="zh-CN"/>
              </w:rPr>
              <w:t>40</w:t>
            </w:r>
          </w:p>
        </w:tc>
        <w:tc>
          <w:tcPr>
            <w:tcW w:w="704" w:type="dxa"/>
            <w:tcBorders>
              <w:top w:val="nil"/>
              <w:left w:val="nil"/>
              <w:bottom w:val="nil"/>
              <w:right w:val="single" w:sz="8" w:space="0" w:color="auto"/>
            </w:tcBorders>
            <w:shd w:val="clear" w:color="auto" w:fill="auto"/>
            <w:noWrap/>
            <w:vAlign w:val="bottom"/>
            <w:hideMark/>
          </w:tcPr>
          <w:p w:rsidR="002C5178" w:rsidRPr="002C5178" w:rsidRDefault="00903C8F" w:rsidP="002C517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Pr>
                <w:rFonts w:asciiTheme="minorHAnsi" w:hAnsiTheme="minorHAnsi" w:cs="Arial"/>
                <w:color w:val="000000"/>
                <w:sz w:val="18"/>
                <w:szCs w:val="18"/>
                <w:lang w:val="en-US" w:eastAsia="zh-CN"/>
              </w:rPr>
              <w:t>43</w:t>
            </w:r>
          </w:p>
        </w:tc>
        <w:tc>
          <w:tcPr>
            <w:tcW w:w="730" w:type="dxa"/>
            <w:tcBorders>
              <w:top w:val="nil"/>
              <w:left w:val="nil"/>
              <w:bottom w:val="nil"/>
              <w:right w:val="single" w:sz="4" w:space="0" w:color="auto"/>
            </w:tcBorders>
            <w:shd w:val="clear" w:color="auto" w:fill="auto"/>
            <w:noWrap/>
            <w:vAlign w:val="bottom"/>
            <w:hideMark/>
          </w:tcPr>
          <w:p w:rsidR="002C5178" w:rsidRPr="002C5178" w:rsidRDefault="00903C8F" w:rsidP="002C517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Pr>
                <w:rFonts w:asciiTheme="minorHAnsi" w:hAnsiTheme="minorHAnsi" w:cs="Arial"/>
                <w:color w:val="000000"/>
                <w:sz w:val="18"/>
                <w:szCs w:val="18"/>
                <w:lang w:val="en-US" w:eastAsia="zh-CN"/>
              </w:rPr>
              <w:t>25</w:t>
            </w:r>
          </w:p>
        </w:tc>
        <w:tc>
          <w:tcPr>
            <w:tcW w:w="704" w:type="dxa"/>
            <w:tcBorders>
              <w:top w:val="nil"/>
              <w:left w:val="nil"/>
              <w:bottom w:val="nil"/>
              <w:right w:val="single" w:sz="8" w:space="0" w:color="auto"/>
            </w:tcBorders>
            <w:shd w:val="clear" w:color="auto" w:fill="auto"/>
            <w:noWrap/>
            <w:vAlign w:val="bottom"/>
            <w:hideMark/>
          </w:tcPr>
          <w:p w:rsidR="002C5178" w:rsidRPr="002C5178" w:rsidRDefault="00903C8F" w:rsidP="002C517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Pr>
                <w:rFonts w:asciiTheme="minorHAnsi" w:hAnsiTheme="minorHAnsi" w:cs="Arial"/>
                <w:color w:val="000000"/>
                <w:sz w:val="18"/>
                <w:szCs w:val="18"/>
                <w:lang w:val="en-US" w:eastAsia="zh-CN"/>
              </w:rPr>
              <w:t>23</w:t>
            </w:r>
          </w:p>
        </w:tc>
        <w:tc>
          <w:tcPr>
            <w:tcW w:w="714" w:type="dxa"/>
            <w:tcBorders>
              <w:top w:val="nil"/>
              <w:left w:val="nil"/>
              <w:bottom w:val="nil"/>
              <w:right w:val="single" w:sz="4" w:space="0" w:color="auto"/>
            </w:tcBorders>
            <w:shd w:val="clear" w:color="auto" w:fill="auto"/>
            <w:noWrap/>
            <w:vAlign w:val="bottom"/>
            <w:hideMark/>
          </w:tcPr>
          <w:p w:rsidR="002C5178" w:rsidRPr="002C5178" w:rsidRDefault="00903C8F" w:rsidP="002C517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Pr>
                <w:rFonts w:asciiTheme="minorHAnsi" w:hAnsiTheme="minorHAnsi" w:cs="Arial"/>
                <w:color w:val="000000"/>
                <w:sz w:val="18"/>
                <w:szCs w:val="18"/>
                <w:lang w:val="en-US" w:eastAsia="zh-CN"/>
              </w:rPr>
              <w:t>20</w:t>
            </w:r>
          </w:p>
        </w:tc>
        <w:tc>
          <w:tcPr>
            <w:tcW w:w="704" w:type="dxa"/>
            <w:tcBorders>
              <w:top w:val="nil"/>
              <w:left w:val="nil"/>
              <w:bottom w:val="nil"/>
              <w:right w:val="single" w:sz="8" w:space="0" w:color="auto"/>
            </w:tcBorders>
            <w:shd w:val="clear" w:color="auto" w:fill="auto"/>
            <w:noWrap/>
            <w:vAlign w:val="bottom"/>
            <w:hideMark/>
          </w:tcPr>
          <w:p w:rsidR="002C5178" w:rsidRPr="002C5178" w:rsidRDefault="00903C8F" w:rsidP="002C517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Pr>
                <w:rFonts w:asciiTheme="minorHAnsi" w:hAnsiTheme="minorHAnsi" w:cs="Arial"/>
                <w:color w:val="000000"/>
                <w:sz w:val="18"/>
                <w:szCs w:val="18"/>
                <w:lang w:val="en-US" w:eastAsia="zh-CN"/>
              </w:rPr>
              <w:t>23</w:t>
            </w:r>
          </w:p>
        </w:tc>
      </w:tr>
      <w:tr w:rsidR="00412B8E" w:rsidRPr="002C5178" w:rsidTr="004716D5">
        <w:trPr>
          <w:trHeight w:val="242"/>
        </w:trPr>
        <w:tc>
          <w:tcPr>
            <w:tcW w:w="1985" w:type="dxa"/>
            <w:tcBorders>
              <w:top w:val="nil"/>
              <w:left w:val="single" w:sz="8" w:space="0" w:color="auto"/>
              <w:bottom w:val="nil"/>
              <w:right w:val="nil"/>
            </w:tcBorders>
            <w:shd w:val="clear" w:color="auto" w:fill="auto"/>
            <w:noWrap/>
            <w:vAlign w:val="bottom"/>
            <w:hideMark/>
          </w:tcPr>
          <w:p w:rsidR="002C5178" w:rsidRPr="002C5178" w:rsidRDefault="006A5D29" w:rsidP="002C517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2C5178">
              <w:rPr>
                <w:rFonts w:asciiTheme="minorHAnsi" w:hAnsiTheme="minorHAnsi" w:cs="Arial"/>
                <w:color w:val="000000"/>
                <w:sz w:val="16"/>
                <w:szCs w:val="16"/>
                <w:lang w:val="en-US" w:eastAsia="zh-CN"/>
              </w:rPr>
              <w:t>Contractual</w:t>
            </w:r>
            <w:r w:rsidR="002C5178" w:rsidRPr="002C5178">
              <w:rPr>
                <w:rFonts w:asciiTheme="minorHAnsi" w:hAnsiTheme="minorHAnsi" w:cs="Arial"/>
                <w:color w:val="000000"/>
                <w:sz w:val="16"/>
                <w:szCs w:val="16"/>
                <w:lang w:val="en-US" w:eastAsia="zh-CN"/>
              </w:rPr>
              <w:t xml:space="preserve"> services</w:t>
            </w:r>
          </w:p>
        </w:tc>
        <w:tc>
          <w:tcPr>
            <w:tcW w:w="690" w:type="dxa"/>
            <w:tcBorders>
              <w:top w:val="nil"/>
              <w:left w:val="single" w:sz="8" w:space="0" w:color="auto"/>
              <w:bottom w:val="nil"/>
              <w:right w:val="single" w:sz="4" w:space="0" w:color="auto"/>
            </w:tcBorders>
            <w:shd w:val="clear" w:color="auto" w:fill="auto"/>
            <w:noWrap/>
            <w:vAlign w:val="bottom"/>
            <w:hideMark/>
          </w:tcPr>
          <w:p w:rsidR="002C5178" w:rsidRPr="002C5178" w:rsidRDefault="002C5178" w:rsidP="002C517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8"/>
                <w:szCs w:val="18"/>
                <w:lang w:val="en-US" w:eastAsia="zh-CN"/>
              </w:rPr>
            </w:pPr>
            <w:r w:rsidRPr="002C5178">
              <w:rPr>
                <w:rFonts w:asciiTheme="minorHAnsi" w:hAnsiTheme="minorHAnsi" w:cs="Arial"/>
                <w:color w:val="000000"/>
                <w:sz w:val="18"/>
                <w:szCs w:val="18"/>
                <w:lang w:val="en-US" w:eastAsia="zh-CN"/>
              </w:rPr>
              <w:t> </w:t>
            </w:r>
          </w:p>
        </w:tc>
        <w:tc>
          <w:tcPr>
            <w:tcW w:w="752" w:type="dxa"/>
            <w:tcBorders>
              <w:top w:val="nil"/>
              <w:left w:val="nil"/>
              <w:bottom w:val="nil"/>
              <w:right w:val="single" w:sz="8" w:space="0" w:color="auto"/>
            </w:tcBorders>
            <w:shd w:val="clear" w:color="auto" w:fill="auto"/>
            <w:noWrap/>
            <w:vAlign w:val="bottom"/>
            <w:hideMark/>
          </w:tcPr>
          <w:p w:rsidR="002C5178" w:rsidRPr="002C5178" w:rsidRDefault="0098600C" w:rsidP="0098600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Pr>
                <w:rFonts w:asciiTheme="minorHAnsi" w:hAnsiTheme="minorHAnsi" w:cs="Arial"/>
                <w:color w:val="000000"/>
                <w:sz w:val="18"/>
                <w:szCs w:val="18"/>
                <w:lang w:val="en-US" w:eastAsia="zh-CN"/>
              </w:rPr>
              <w:t>7</w:t>
            </w:r>
          </w:p>
        </w:tc>
        <w:tc>
          <w:tcPr>
            <w:tcW w:w="732" w:type="dxa"/>
            <w:tcBorders>
              <w:top w:val="nil"/>
              <w:left w:val="nil"/>
              <w:bottom w:val="nil"/>
              <w:right w:val="single" w:sz="4" w:space="0" w:color="auto"/>
            </w:tcBorders>
            <w:shd w:val="clear" w:color="auto" w:fill="auto"/>
            <w:noWrap/>
            <w:vAlign w:val="bottom"/>
            <w:hideMark/>
          </w:tcPr>
          <w:p w:rsidR="002C5178" w:rsidRPr="002C5178" w:rsidRDefault="002C5178" w:rsidP="002C517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8"/>
                <w:szCs w:val="18"/>
                <w:lang w:val="en-US" w:eastAsia="zh-CN"/>
              </w:rPr>
            </w:pPr>
            <w:r w:rsidRPr="002C5178">
              <w:rPr>
                <w:rFonts w:asciiTheme="minorHAnsi" w:hAnsiTheme="minorHAnsi" w:cs="Arial"/>
                <w:color w:val="000000"/>
                <w:sz w:val="18"/>
                <w:szCs w:val="18"/>
                <w:lang w:val="en-US" w:eastAsia="zh-CN"/>
              </w:rPr>
              <w:t> </w:t>
            </w:r>
          </w:p>
        </w:tc>
        <w:tc>
          <w:tcPr>
            <w:tcW w:w="911" w:type="dxa"/>
            <w:tcBorders>
              <w:top w:val="nil"/>
              <w:left w:val="nil"/>
              <w:bottom w:val="nil"/>
              <w:right w:val="single" w:sz="8" w:space="0" w:color="auto"/>
            </w:tcBorders>
            <w:shd w:val="clear" w:color="auto" w:fill="auto"/>
            <w:noWrap/>
            <w:vAlign w:val="bottom"/>
            <w:hideMark/>
          </w:tcPr>
          <w:p w:rsidR="002C5178" w:rsidRPr="002C5178" w:rsidRDefault="00903C8F" w:rsidP="002C517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Pr>
                <w:rFonts w:asciiTheme="minorHAnsi" w:hAnsiTheme="minorHAnsi" w:cs="Arial"/>
                <w:color w:val="000000"/>
                <w:sz w:val="18"/>
                <w:szCs w:val="18"/>
                <w:lang w:val="en-US" w:eastAsia="zh-CN"/>
              </w:rPr>
              <w:t>1</w:t>
            </w:r>
          </w:p>
        </w:tc>
        <w:tc>
          <w:tcPr>
            <w:tcW w:w="749" w:type="dxa"/>
            <w:tcBorders>
              <w:top w:val="nil"/>
              <w:left w:val="nil"/>
              <w:bottom w:val="nil"/>
              <w:right w:val="single" w:sz="4" w:space="0" w:color="auto"/>
            </w:tcBorders>
            <w:shd w:val="clear" w:color="auto" w:fill="auto"/>
            <w:noWrap/>
            <w:vAlign w:val="bottom"/>
            <w:hideMark/>
          </w:tcPr>
          <w:p w:rsidR="002C5178" w:rsidRPr="002C5178" w:rsidRDefault="002C5178" w:rsidP="002C517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8"/>
                <w:szCs w:val="18"/>
                <w:lang w:val="en-US" w:eastAsia="zh-CN"/>
              </w:rPr>
            </w:pPr>
            <w:r w:rsidRPr="002C5178">
              <w:rPr>
                <w:rFonts w:asciiTheme="minorHAnsi" w:hAnsiTheme="minorHAnsi" w:cs="Arial"/>
                <w:color w:val="000000"/>
                <w:sz w:val="18"/>
                <w:szCs w:val="18"/>
                <w:lang w:val="en-US" w:eastAsia="zh-CN"/>
              </w:rPr>
              <w:t> </w:t>
            </w:r>
          </w:p>
        </w:tc>
        <w:tc>
          <w:tcPr>
            <w:tcW w:w="704" w:type="dxa"/>
            <w:tcBorders>
              <w:top w:val="nil"/>
              <w:left w:val="nil"/>
              <w:bottom w:val="nil"/>
              <w:right w:val="single" w:sz="8" w:space="0" w:color="auto"/>
            </w:tcBorders>
            <w:shd w:val="clear" w:color="auto" w:fill="auto"/>
            <w:noWrap/>
            <w:vAlign w:val="bottom"/>
            <w:hideMark/>
          </w:tcPr>
          <w:p w:rsidR="002C5178" w:rsidRPr="002C5178" w:rsidRDefault="00903C8F" w:rsidP="002C517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Pr>
                <w:rFonts w:asciiTheme="minorHAnsi" w:hAnsiTheme="minorHAnsi" w:cs="Arial"/>
                <w:color w:val="000000"/>
                <w:sz w:val="18"/>
                <w:szCs w:val="18"/>
                <w:lang w:val="en-US" w:eastAsia="zh-CN"/>
              </w:rPr>
              <w:t>2</w:t>
            </w:r>
          </w:p>
        </w:tc>
        <w:tc>
          <w:tcPr>
            <w:tcW w:w="719" w:type="dxa"/>
            <w:tcBorders>
              <w:top w:val="nil"/>
              <w:left w:val="nil"/>
              <w:bottom w:val="nil"/>
              <w:right w:val="single" w:sz="4" w:space="0" w:color="auto"/>
            </w:tcBorders>
            <w:shd w:val="clear" w:color="auto" w:fill="auto"/>
            <w:noWrap/>
            <w:vAlign w:val="bottom"/>
            <w:hideMark/>
          </w:tcPr>
          <w:p w:rsidR="002C5178" w:rsidRPr="002C5178" w:rsidRDefault="002C5178" w:rsidP="002C517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8"/>
                <w:szCs w:val="18"/>
                <w:lang w:val="en-US" w:eastAsia="zh-CN"/>
              </w:rPr>
            </w:pPr>
            <w:r w:rsidRPr="002C5178">
              <w:rPr>
                <w:rFonts w:asciiTheme="minorHAnsi" w:hAnsiTheme="minorHAnsi" w:cs="Arial"/>
                <w:color w:val="000000"/>
                <w:sz w:val="18"/>
                <w:szCs w:val="18"/>
                <w:lang w:val="en-US" w:eastAsia="zh-CN"/>
              </w:rPr>
              <w:t> </w:t>
            </w:r>
          </w:p>
        </w:tc>
        <w:tc>
          <w:tcPr>
            <w:tcW w:w="704" w:type="dxa"/>
            <w:tcBorders>
              <w:top w:val="nil"/>
              <w:left w:val="nil"/>
              <w:bottom w:val="nil"/>
              <w:right w:val="single" w:sz="8" w:space="0" w:color="auto"/>
            </w:tcBorders>
            <w:shd w:val="clear" w:color="auto" w:fill="auto"/>
            <w:noWrap/>
            <w:vAlign w:val="bottom"/>
            <w:hideMark/>
          </w:tcPr>
          <w:p w:rsidR="002C5178" w:rsidRPr="002C5178" w:rsidRDefault="00903C8F" w:rsidP="002C517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Pr>
                <w:rFonts w:asciiTheme="minorHAnsi" w:hAnsiTheme="minorHAnsi" w:cs="Arial"/>
                <w:color w:val="000000"/>
                <w:sz w:val="18"/>
                <w:szCs w:val="18"/>
                <w:lang w:val="en-US" w:eastAsia="zh-CN"/>
              </w:rPr>
              <w:t>6</w:t>
            </w:r>
          </w:p>
        </w:tc>
        <w:tc>
          <w:tcPr>
            <w:tcW w:w="730" w:type="dxa"/>
            <w:tcBorders>
              <w:top w:val="nil"/>
              <w:left w:val="nil"/>
              <w:bottom w:val="nil"/>
              <w:right w:val="single" w:sz="4" w:space="0" w:color="auto"/>
            </w:tcBorders>
            <w:shd w:val="clear" w:color="auto" w:fill="auto"/>
            <w:noWrap/>
            <w:vAlign w:val="bottom"/>
            <w:hideMark/>
          </w:tcPr>
          <w:p w:rsidR="002C5178" w:rsidRPr="002C5178" w:rsidRDefault="002C5178" w:rsidP="002C517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8"/>
                <w:szCs w:val="18"/>
                <w:lang w:val="en-US" w:eastAsia="zh-CN"/>
              </w:rPr>
            </w:pPr>
            <w:r w:rsidRPr="002C5178">
              <w:rPr>
                <w:rFonts w:asciiTheme="minorHAnsi" w:hAnsiTheme="minorHAnsi" w:cs="Arial"/>
                <w:color w:val="000000"/>
                <w:sz w:val="18"/>
                <w:szCs w:val="18"/>
                <w:lang w:val="en-US" w:eastAsia="zh-CN"/>
              </w:rPr>
              <w:t> </w:t>
            </w:r>
          </w:p>
        </w:tc>
        <w:tc>
          <w:tcPr>
            <w:tcW w:w="704" w:type="dxa"/>
            <w:tcBorders>
              <w:top w:val="nil"/>
              <w:left w:val="nil"/>
              <w:bottom w:val="nil"/>
              <w:right w:val="single" w:sz="8" w:space="0" w:color="auto"/>
            </w:tcBorders>
            <w:shd w:val="clear" w:color="auto" w:fill="auto"/>
            <w:noWrap/>
            <w:vAlign w:val="bottom"/>
            <w:hideMark/>
          </w:tcPr>
          <w:p w:rsidR="002C5178" w:rsidRPr="002C5178" w:rsidRDefault="002C5178" w:rsidP="002C517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2C5178">
              <w:rPr>
                <w:rFonts w:asciiTheme="minorHAnsi" w:hAnsiTheme="minorHAnsi" w:cs="Arial"/>
                <w:color w:val="000000"/>
                <w:sz w:val="18"/>
                <w:szCs w:val="18"/>
                <w:lang w:val="en-US" w:eastAsia="zh-CN"/>
              </w:rPr>
              <w:t>-</w:t>
            </w:r>
          </w:p>
        </w:tc>
        <w:tc>
          <w:tcPr>
            <w:tcW w:w="714" w:type="dxa"/>
            <w:tcBorders>
              <w:top w:val="nil"/>
              <w:left w:val="nil"/>
              <w:bottom w:val="nil"/>
              <w:right w:val="single" w:sz="4" w:space="0" w:color="auto"/>
            </w:tcBorders>
            <w:shd w:val="clear" w:color="auto" w:fill="auto"/>
            <w:noWrap/>
            <w:vAlign w:val="bottom"/>
            <w:hideMark/>
          </w:tcPr>
          <w:p w:rsidR="002C5178" w:rsidRPr="002C5178" w:rsidRDefault="002C5178" w:rsidP="002C517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8"/>
                <w:szCs w:val="18"/>
                <w:lang w:val="en-US" w:eastAsia="zh-CN"/>
              </w:rPr>
            </w:pPr>
            <w:r w:rsidRPr="002C5178">
              <w:rPr>
                <w:rFonts w:asciiTheme="minorHAnsi" w:hAnsiTheme="minorHAnsi" w:cs="Arial"/>
                <w:color w:val="000000"/>
                <w:sz w:val="18"/>
                <w:szCs w:val="18"/>
                <w:lang w:val="en-US" w:eastAsia="zh-CN"/>
              </w:rPr>
              <w:t> </w:t>
            </w:r>
          </w:p>
        </w:tc>
        <w:tc>
          <w:tcPr>
            <w:tcW w:w="704" w:type="dxa"/>
            <w:tcBorders>
              <w:top w:val="nil"/>
              <w:left w:val="nil"/>
              <w:bottom w:val="nil"/>
              <w:right w:val="single" w:sz="8" w:space="0" w:color="auto"/>
            </w:tcBorders>
            <w:shd w:val="clear" w:color="auto" w:fill="auto"/>
            <w:noWrap/>
            <w:vAlign w:val="bottom"/>
            <w:hideMark/>
          </w:tcPr>
          <w:p w:rsidR="002C5178" w:rsidRPr="002C5178" w:rsidRDefault="002C5178" w:rsidP="002C517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2C5178">
              <w:rPr>
                <w:rFonts w:asciiTheme="minorHAnsi" w:hAnsiTheme="minorHAnsi" w:cs="Arial"/>
                <w:color w:val="000000"/>
                <w:sz w:val="18"/>
                <w:szCs w:val="18"/>
                <w:lang w:val="en-US" w:eastAsia="zh-CN"/>
              </w:rPr>
              <w:t>-</w:t>
            </w:r>
          </w:p>
        </w:tc>
      </w:tr>
      <w:tr w:rsidR="00412B8E" w:rsidRPr="002C5178" w:rsidTr="004716D5">
        <w:trPr>
          <w:trHeight w:val="242"/>
        </w:trPr>
        <w:tc>
          <w:tcPr>
            <w:tcW w:w="1985" w:type="dxa"/>
            <w:tcBorders>
              <w:top w:val="nil"/>
              <w:left w:val="single" w:sz="8" w:space="0" w:color="auto"/>
              <w:bottom w:val="nil"/>
              <w:right w:val="nil"/>
            </w:tcBorders>
            <w:shd w:val="clear" w:color="auto" w:fill="auto"/>
            <w:noWrap/>
            <w:vAlign w:val="bottom"/>
            <w:hideMark/>
          </w:tcPr>
          <w:p w:rsidR="002C5178" w:rsidRPr="002C5178" w:rsidRDefault="002C5178" w:rsidP="002C517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2C5178">
              <w:rPr>
                <w:rFonts w:asciiTheme="minorHAnsi" w:hAnsiTheme="minorHAnsi" w:cs="Arial"/>
                <w:color w:val="000000"/>
                <w:sz w:val="16"/>
                <w:szCs w:val="16"/>
                <w:lang w:val="en-US" w:eastAsia="zh-CN"/>
              </w:rPr>
              <w:t>Rental and maintenance</w:t>
            </w:r>
          </w:p>
        </w:tc>
        <w:tc>
          <w:tcPr>
            <w:tcW w:w="690" w:type="dxa"/>
            <w:tcBorders>
              <w:top w:val="nil"/>
              <w:left w:val="single" w:sz="8" w:space="0" w:color="auto"/>
              <w:bottom w:val="nil"/>
              <w:right w:val="single" w:sz="4" w:space="0" w:color="auto"/>
            </w:tcBorders>
            <w:shd w:val="clear" w:color="auto" w:fill="auto"/>
            <w:noWrap/>
            <w:vAlign w:val="bottom"/>
            <w:hideMark/>
          </w:tcPr>
          <w:p w:rsidR="002C5178" w:rsidRPr="002C5178" w:rsidRDefault="002C5178" w:rsidP="002C517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8"/>
                <w:szCs w:val="18"/>
                <w:lang w:val="en-US" w:eastAsia="zh-CN"/>
              </w:rPr>
            </w:pPr>
            <w:r w:rsidRPr="002C5178">
              <w:rPr>
                <w:rFonts w:asciiTheme="minorHAnsi" w:hAnsiTheme="minorHAnsi" w:cs="Arial"/>
                <w:color w:val="000000"/>
                <w:sz w:val="18"/>
                <w:szCs w:val="18"/>
                <w:lang w:val="en-US" w:eastAsia="zh-CN"/>
              </w:rPr>
              <w:t> </w:t>
            </w:r>
          </w:p>
        </w:tc>
        <w:tc>
          <w:tcPr>
            <w:tcW w:w="752" w:type="dxa"/>
            <w:tcBorders>
              <w:top w:val="nil"/>
              <w:left w:val="nil"/>
              <w:bottom w:val="nil"/>
              <w:right w:val="single" w:sz="8" w:space="0" w:color="auto"/>
            </w:tcBorders>
            <w:shd w:val="clear" w:color="auto" w:fill="auto"/>
            <w:noWrap/>
            <w:vAlign w:val="bottom"/>
            <w:hideMark/>
          </w:tcPr>
          <w:p w:rsidR="002C5178" w:rsidRPr="002C5178" w:rsidRDefault="0098600C" w:rsidP="0098600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Pr>
                <w:rFonts w:asciiTheme="minorHAnsi" w:hAnsiTheme="minorHAnsi" w:cs="Arial"/>
                <w:color w:val="000000"/>
                <w:sz w:val="18"/>
                <w:szCs w:val="18"/>
                <w:lang w:val="en-US" w:eastAsia="zh-CN"/>
              </w:rPr>
              <w:t>30</w:t>
            </w:r>
          </w:p>
        </w:tc>
        <w:tc>
          <w:tcPr>
            <w:tcW w:w="732" w:type="dxa"/>
            <w:tcBorders>
              <w:top w:val="nil"/>
              <w:left w:val="nil"/>
              <w:bottom w:val="nil"/>
              <w:right w:val="single" w:sz="4" w:space="0" w:color="auto"/>
            </w:tcBorders>
            <w:shd w:val="clear" w:color="auto" w:fill="auto"/>
            <w:noWrap/>
            <w:vAlign w:val="bottom"/>
            <w:hideMark/>
          </w:tcPr>
          <w:p w:rsidR="002C5178" w:rsidRPr="002C5178" w:rsidRDefault="002C5178" w:rsidP="002C517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8"/>
                <w:szCs w:val="18"/>
                <w:lang w:val="en-US" w:eastAsia="zh-CN"/>
              </w:rPr>
            </w:pPr>
            <w:r w:rsidRPr="002C5178">
              <w:rPr>
                <w:rFonts w:asciiTheme="minorHAnsi" w:hAnsiTheme="minorHAnsi" w:cs="Arial"/>
                <w:color w:val="000000"/>
                <w:sz w:val="18"/>
                <w:szCs w:val="18"/>
                <w:lang w:val="en-US" w:eastAsia="zh-CN"/>
              </w:rPr>
              <w:t> </w:t>
            </w:r>
          </w:p>
        </w:tc>
        <w:tc>
          <w:tcPr>
            <w:tcW w:w="911" w:type="dxa"/>
            <w:tcBorders>
              <w:top w:val="nil"/>
              <w:left w:val="nil"/>
              <w:bottom w:val="nil"/>
              <w:right w:val="single" w:sz="8" w:space="0" w:color="auto"/>
            </w:tcBorders>
            <w:shd w:val="clear" w:color="auto" w:fill="auto"/>
            <w:noWrap/>
            <w:vAlign w:val="bottom"/>
            <w:hideMark/>
          </w:tcPr>
          <w:p w:rsidR="002C5178" w:rsidRPr="002C5178" w:rsidRDefault="00903C8F" w:rsidP="002C517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Pr>
                <w:rFonts w:asciiTheme="minorHAnsi" w:hAnsiTheme="minorHAnsi" w:cs="Arial"/>
                <w:color w:val="000000"/>
                <w:sz w:val="18"/>
                <w:szCs w:val="18"/>
                <w:lang w:val="en-US" w:eastAsia="zh-CN"/>
              </w:rPr>
              <w:t>6</w:t>
            </w:r>
          </w:p>
        </w:tc>
        <w:tc>
          <w:tcPr>
            <w:tcW w:w="749" w:type="dxa"/>
            <w:tcBorders>
              <w:top w:val="nil"/>
              <w:left w:val="nil"/>
              <w:bottom w:val="nil"/>
              <w:right w:val="single" w:sz="4" w:space="0" w:color="auto"/>
            </w:tcBorders>
            <w:shd w:val="clear" w:color="auto" w:fill="auto"/>
            <w:noWrap/>
            <w:vAlign w:val="bottom"/>
            <w:hideMark/>
          </w:tcPr>
          <w:p w:rsidR="002C5178" w:rsidRPr="002C5178" w:rsidRDefault="002C5178" w:rsidP="002C517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8"/>
                <w:szCs w:val="18"/>
                <w:lang w:val="en-US" w:eastAsia="zh-CN"/>
              </w:rPr>
            </w:pPr>
            <w:r w:rsidRPr="002C5178">
              <w:rPr>
                <w:rFonts w:asciiTheme="minorHAnsi" w:hAnsiTheme="minorHAnsi" w:cs="Arial"/>
                <w:color w:val="000000"/>
                <w:sz w:val="18"/>
                <w:szCs w:val="18"/>
                <w:lang w:val="en-US" w:eastAsia="zh-CN"/>
              </w:rPr>
              <w:t> </w:t>
            </w:r>
          </w:p>
        </w:tc>
        <w:tc>
          <w:tcPr>
            <w:tcW w:w="704" w:type="dxa"/>
            <w:tcBorders>
              <w:top w:val="nil"/>
              <w:left w:val="nil"/>
              <w:bottom w:val="nil"/>
              <w:right w:val="single" w:sz="8" w:space="0" w:color="auto"/>
            </w:tcBorders>
            <w:shd w:val="clear" w:color="auto" w:fill="auto"/>
            <w:noWrap/>
            <w:vAlign w:val="bottom"/>
            <w:hideMark/>
          </w:tcPr>
          <w:p w:rsidR="002C5178" w:rsidRPr="002C5178" w:rsidRDefault="002C5178" w:rsidP="002C517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2C5178">
              <w:rPr>
                <w:rFonts w:asciiTheme="minorHAnsi" w:hAnsiTheme="minorHAnsi" w:cs="Arial"/>
                <w:color w:val="000000"/>
                <w:sz w:val="18"/>
                <w:szCs w:val="18"/>
                <w:lang w:val="en-US" w:eastAsia="zh-CN"/>
              </w:rPr>
              <w:t>1</w:t>
            </w:r>
          </w:p>
        </w:tc>
        <w:tc>
          <w:tcPr>
            <w:tcW w:w="719" w:type="dxa"/>
            <w:tcBorders>
              <w:top w:val="nil"/>
              <w:left w:val="nil"/>
              <w:bottom w:val="nil"/>
              <w:right w:val="single" w:sz="4" w:space="0" w:color="auto"/>
            </w:tcBorders>
            <w:shd w:val="clear" w:color="auto" w:fill="auto"/>
            <w:noWrap/>
            <w:vAlign w:val="bottom"/>
            <w:hideMark/>
          </w:tcPr>
          <w:p w:rsidR="002C5178" w:rsidRPr="002C5178" w:rsidRDefault="002C5178" w:rsidP="002C517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8"/>
                <w:szCs w:val="18"/>
                <w:lang w:val="en-US" w:eastAsia="zh-CN"/>
              </w:rPr>
            </w:pPr>
            <w:r w:rsidRPr="002C5178">
              <w:rPr>
                <w:rFonts w:asciiTheme="minorHAnsi" w:hAnsiTheme="minorHAnsi" w:cs="Arial"/>
                <w:color w:val="000000"/>
                <w:sz w:val="18"/>
                <w:szCs w:val="18"/>
                <w:lang w:val="en-US" w:eastAsia="zh-CN"/>
              </w:rPr>
              <w:t> </w:t>
            </w:r>
          </w:p>
        </w:tc>
        <w:tc>
          <w:tcPr>
            <w:tcW w:w="704" w:type="dxa"/>
            <w:tcBorders>
              <w:top w:val="nil"/>
              <w:left w:val="nil"/>
              <w:bottom w:val="nil"/>
              <w:right w:val="single" w:sz="8" w:space="0" w:color="auto"/>
            </w:tcBorders>
            <w:shd w:val="clear" w:color="auto" w:fill="auto"/>
            <w:noWrap/>
            <w:vAlign w:val="bottom"/>
            <w:hideMark/>
          </w:tcPr>
          <w:p w:rsidR="002C5178" w:rsidRPr="002C5178" w:rsidRDefault="00903C8F" w:rsidP="002C517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Pr>
                <w:rFonts w:asciiTheme="minorHAnsi" w:hAnsiTheme="minorHAnsi" w:cs="Arial"/>
                <w:color w:val="000000"/>
                <w:sz w:val="18"/>
                <w:szCs w:val="18"/>
                <w:lang w:val="en-US" w:eastAsia="zh-CN"/>
              </w:rPr>
              <w:t>5</w:t>
            </w:r>
          </w:p>
        </w:tc>
        <w:tc>
          <w:tcPr>
            <w:tcW w:w="730" w:type="dxa"/>
            <w:tcBorders>
              <w:top w:val="nil"/>
              <w:left w:val="nil"/>
              <w:bottom w:val="nil"/>
              <w:right w:val="single" w:sz="4" w:space="0" w:color="auto"/>
            </w:tcBorders>
            <w:shd w:val="clear" w:color="auto" w:fill="auto"/>
            <w:noWrap/>
            <w:vAlign w:val="bottom"/>
            <w:hideMark/>
          </w:tcPr>
          <w:p w:rsidR="002C5178" w:rsidRPr="002C5178" w:rsidRDefault="002C5178" w:rsidP="002C517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8"/>
                <w:szCs w:val="18"/>
                <w:lang w:val="en-US" w:eastAsia="zh-CN"/>
              </w:rPr>
            </w:pPr>
            <w:r w:rsidRPr="002C5178">
              <w:rPr>
                <w:rFonts w:asciiTheme="minorHAnsi" w:hAnsiTheme="minorHAnsi" w:cs="Arial"/>
                <w:color w:val="000000"/>
                <w:sz w:val="18"/>
                <w:szCs w:val="18"/>
                <w:lang w:val="en-US" w:eastAsia="zh-CN"/>
              </w:rPr>
              <w:t> </w:t>
            </w:r>
          </w:p>
        </w:tc>
        <w:tc>
          <w:tcPr>
            <w:tcW w:w="704" w:type="dxa"/>
            <w:tcBorders>
              <w:top w:val="nil"/>
              <w:left w:val="nil"/>
              <w:bottom w:val="nil"/>
              <w:right w:val="single" w:sz="8" w:space="0" w:color="auto"/>
            </w:tcBorders>
            <w:shd w:val="clear" w:color="auto" w:fill="auto"/>
            <w:noWrap/>
            <w:vAlign w:val="bottom"/>
            <w:hideMark/>
          </w:tcPr>
          <w:p w:rsidR="002C5178" w:rsidRPr="002C5178" w:rsidRDefault="002C5178" w:rsidP="002C517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2C5178">
              <w:rPr>
                <w:rFonts w:asciiTheme="minorHAnsi" w:hAnsiTheme="minorHAnsi" w:cs="Arial"/>
                <w:color w:val="000000"/>
                <w:sz w:val="18"/>
                <w:szCs w:val="18"/>
                <w:lang w:val="en-US" w:eastAsia="zh-CN"/>
              </w:rPr>
              <w:t>-</w:t>
            </w:r>
          </w:p>
        </w:tc>
        <w:tc>
          <w:tcPr>
            <w:tcW w:w="714" w:type="dxa"/>
            <w:tcBorders>
              <w:top w:val="nil"/>
              <w:left w:val="nil"/>
              <w:bottom w:val="nil"/>
              <w:right w:val="single" w:sz="4" w:space="0" w:color="auto"/>
            </w:tcBorders>
            <w:shd w:val="clear" w:color="auto" w:fill="auto"/>
            <w:noWrap/>
            <w:vAlign w:val="bottom"/>
            <w:hideMark/>
          </w:tcPr>
          <w:p w:rsidR="002C5178" w:rsidRPr="002C5178" w:rsidRDefault="002C5178" w:rsidP="002C517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8"/>
                <w:szCs w:val="18"/>
                <w:lang w:val="en-US" w:eastAsia="zh-CN"/>
              </w:rPr>
            </w:pPr>
            <w:r w:rsidRPr="002C5178">
              <w:rPr>
                <w:rFonts w:asciiTheme="minorHAnsi" w:hAnsiTheme="minorHAnsi" w:cs="Arial"/>
                <w:color w:val="000000"/>
                <w:sz w:val="18"/>
                <w:szCs w:val="18"/>
                <w:lang w:val="en-US" w:eastAsia="zh-CN"/>
              </w:rPr>
              <w:t> </w:t>
            </w:r>
          </w:p>
        </w:tc>
        <w:tc>
          <w:tcPr>
            <w:tcW w:w="704" w:type="dxa"/>
            <w:tcBorders>
              <w:top w:val="nil"/>
              <w:left w:val="nil"/>
              <w:bottom w:val="nil"/>
              <w:right w:val="single" w:sz="8" w:space="0" w:color="auto"/>
            </w:tcBorders>
            <w:shd w:val="clear" w:color="auto" w:fill="auto"/>
            <w:noWrap/>
            <w:vAlign w:val="bottom"/>
            <w:hideMark/>
          </w:tcPr>
          <w:p w:rsidR="002C5178" w:rsidRPr="002C5178" w:rsidRDefault="002C5178" w:rsidP="002C517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2C5178">
              <w:rPr>
                <w:rFonts w:asciiTheme="minorHAnsi" w:hAnsiTheme="minorHAnsi" w:cs="Arial"/>
                <w:color w:val="000000"/>
                <w:sz w:val="18"/>
                <w:szCs w:val="18"/>
                <w:lang w:val="en-US" w:eastAsia="zh-CN"/>
              </w:rPr>
              <w:t>-</w:t>
            </w:r>
          </w:p>
        </w:tc>
      </w:tr>
      <w:tr w:rsidR="00412B8E" w:rsidRPr="002C5178" w:rsidTr="004716D5">
        <w:trPr>
          <w:trHeight w:val="242"/>
        </w:trPr>
        <w:tc>
          <w:tcPr>
            <w:tcW w:w="1985" w:type="dxa"/>
            <w:tcBorders>
              <w:top w:val="nil"/>
              <w:left w:val="single" w:sz="8" w:space="0" w:color="auto"/>
              <w:bottom w:val="nil"/>
              <w:right w:val="nil"/>
            </w:tcBorders>
            <w:shd w:val="clear" w:color="auto" w:fill="auto"/>
            <w:noWrap/>
            <w:vAlign w:val="bottom"/>
            <w:hideMark/>
          </w:tcPr>
          <w:p w:rsidR="002C5178" w:rsidRPr="002C5178" w:rsidRDefault="006A5D29" w:rsidP="002C517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2C5178">
              <w:rPr>
                <w:rFonts w:asciiTheme="minorHAnsi" w:hAnsiTheme="minorHAnsi" w:cs="Arial"/>
                <w:color w:val="000000"/>
                <w:sz w:val="16"/>
                <w:szCs w:val="16"/>
                <w:lang w:val="en-US" w:eastAsia="zh-CN"/>
              </w:rPr>
              <w:t>Equipment</w:t>
            </w:r>
            <w:r w:rsidR="002C5178" w:rsidRPr="002C5178">
              <w:rPr>
                <w:rFonts w:asciiTheme="minorHAnsi" w:hAnsiTheme="minorHAnsi" w:cs="Arial"/>
                <w:color w:val="000000"/>
                <w:sz w:val="16"/>
                <w:szCs w:val="16"/>
                <w:lang w:val="en-US" w:eastAsia="zh-CN"/>
              </w:rPr>
              <w:t xml:space="preserve"> and supplies</w:t>
            </w:r>
          </w:p>
        </w:tc>
        <w:tc>
          <w:tcPr>
            <w:tcW w:w="690" w:type="dxa"/>
            <w:tcBorders>
              <w:top w:val="nil"/>
              <w:left w:val="single" w:sz="8" w:space="0" w:color="auto"/>
              <w:bottom w:val="nil"/>
              <w:right w:val="single" w:sz="4" w:space="0" w:color="auto"/>
            </w:tcBorders>
            <w:shd w:val="clear" w:color="auto" w:fill="auto"/>
            <w:noWrap/>
            <w:vAlign w:val="bottom"/>
            <w:hideMark/>
          </w:tcPr>
          <w:p w:rsidR="002C5178" w:rsidRPr="002C5178" w:rsidRDefault="002C5178" w:rsidP="002C517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8"/>
                <w:szCs w:val="18"/>
                <w:lang w:val="en-US" w:eastAsia="zh-CN"/>
              </w:rPr>
            </w:pPr>
            <w:r w:rsidRPr="002C5178">
              <w:rPr>
                <w:rFonts w:asciiTheme="minorHAnsi" w:hAnsiTheme="minorHAnsi" w:cs="Arial"/>
                <w:color w:val="000000"/>
                <w:sz w:val="18"/>
                <w:szCs w:val="18"/>
                <w:lang w:val="en-US" w:eastAsia="zh-CN"/>
              </w:rPr>
              <w:t> </w:t>
            </w:r>
          </w:p>
        </w:tc>
        <w:tc>
          <w:tcPr>
            <w:tcW w:w="752" w:type="dxa"/>
            <w:tcBorders>
              <w:top w:val="nil"/>
              <w:left w:val="nil"/>
              <w:bottom w:val="nil"/>
              <w:right w:val="single" w:sz="8" w:space="0" w:color="auto"/>
            </w:tcBorders>
            <w:shd w:val="clear" w:color="auto" w:fill="auto"/>
            <w:noWrap/>
            <w:vAlign w:val="bottom"/>
            <w:hideMark/>
          </w:tcPr>
          <w:p w:rsidR="002C5178" w:rsidRPr="002C5178" w:rsidRDefault="0098600C" w:rsidP="002C517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Pr>
                <w:rFonts w:asciiTheme="minorHAnsi" w:hAnsiTheme="minorHAnsi" w:cs="Arial"/>
                <w:color w:val="000000"/>
                <w:sz w:val="18"/>
                <w:szCs w:val="18"/>
                <w:lang w:val="en-US" w:eastAsia="zh-CN"/>
              </w:rPr>
              <w:t>6</w:t>
            </w:r>
          </w:p>
        </w:tc>
        <w:tc>
          <w:tcPr>
            <w:tcW w:w="732" w:type="dxa"/>
            <w:tcBorders>
              <w:top w:val="nil"/>
              <w:left w:val="nil"/>
              <w:bottom w:val="nil"/>
              <w:right w:val="single" w:sz="4" w:space="0" w:color="auto"/>
            </w:tcBorders>
            <w:shd w:val="clear" w:color="auto" w:fill="auto"/>
            <w:noWrap/>
            <w:vAlign w:val="bottom"/>
            <w:hideMark/>
          </w:tcPr>
          <w:p w:rsidR="002C5178" w:rsidRPr="002C5178" w:rsidRDefault="002C5178" w:rsidP="002C517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8"/>
                <w:szCs w:val="18"/>
                <w:lang w:val="en-US" w:eastAsia="zh-CN"/>
              </w:rPr>
            </w:pPr>
            <w:r w:rsidRPr="002C5178">
              <w:rPr>
                <w:rFonts w:asciiTheme="minorHAnsi" w:hAnsiTheme="minorHAnsi" w:cs="Arial"/>
                <w:color w:val="000000"/>
                <w:sz w:val="18"/>
                <w:szCs w:val="18"/>
                <w:lang w:val="en-US" w:eastAsia="zh-CN"/>
              </w:rPr>
              <w:t> </w:t>
            </w:r>
          </w:p>
        </w:tc>
        <w:tc>
          <w:tcPr>
            <w:tcW w:w="911" w:type="dxa"/>
            <w:tcBorders>
              <w:top w:val="nil"/>
              <w:left w:val="nil"/>
              <w:bottom w:val="nil"/>
              <w:right w:val="single" w:sz="8" w:space="0" w:color="auto"/>
            </w:tcBorders>
            <w:shd w:val="clear" w:color="auto" w:fill="auto"/>
            <w:noWrap/>
            <w:vAlign w:val="bottom"/>
            <w:hideMark/>
          </w:tcPr>
          <w:p w:rsidR="002C5178" w:rsidRPr="002C5178" w:rsidRDefault="002C5178" w:rsidP="002C517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2C5178">
              <w:rPr>
                <w:rFonts w:asciiTheme="minorHAnsi" w:hAnsiTheme="minorHAnsi" w:cs="Arial"/>
                <w:color w:val="000000"/>
                <w:sz w:val="18"/>
                <w:szCs w:val="18"/>
                <w:lang w:val="en-US" w:eastAsia="zh-CN"/>
              </w:rPr>
              <w:t>8</w:t>
            </w:r>
          </w:p>
        </w:tc>
        <w:tc>
          <w:tcPr>
            <w:tcW w:w="749" w:type="dxa"/>
            <w:tcBorders>
              <w:top w:val="nil"/>
              <w:left w:val="nil"/>
              <w:bottom w:val="nil"/>
              <w:right w:val="single" w:sz="4" w:space="0" w:color="auto"/>
            </w:tcBorders>
            <w:shd w:val="clear" w:color="auto" w:fill="auto"/>
            <w:noWrap/>
            <w:vAlign w:val="bottom"/>
            <w:hideMark/>
          </w:tcPr>
          <w:p w:rsidR="002C5178" w:rsidRPr="002C5178" w:rsidRDefault="002C5178" w:rsidP="002C517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8"/>
                <w:szCs w:val="18"/>
                <w:lang w:val="en-US" w:eastAsia="zh-CN"/>
              </w:rPr>
            </w:pPr>
            <w:r w:rsidRPr="002C5178">
              <w:rPr>
                <w:rFonts w:asciiTheme="minorHAnsi" w:hAnsiTheme="minorHAnsi" w:cs="Arial"/>
                <w:color w:val="000000"/>
                <w:sz w:val="18"/>
                <w:szCs w:val="18"/>
                <w:lang w:val="en-US" w:eastAsia="zh-CN"/>
              </w:rPr>
              <w:t> </w:t>
            </w:r>
          </w:p>
        </w:tc>
        <w:tc>
          <w:tcPr>
            <w:tcW w:w="704" w:type="dxa"/>
            <w:tcBorders>
              <w:top w:val="nil"/>
              <w:left w:val="nil"/>
              <w:bottom w:val="nil"/>
              <w:right w:val="single" w:sz="8" w:space="0" w:color="auto"/>
            </w:tcBorders>
            <w:shd w:val="clear" w:color="auto" w:fill="auto"/>
            <w:noWrap/>
            <w:vAlign w:val="bottom"/>
            <w:hideMark/>
          </w:tcPr>
          <w:p w:rsidR="002C5178" w:rsidRPr="002C5178" w:rsidRDefault="002C5178" w:rsidP="002C517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2C5178">
              <w:rPr>
                <w:rFonts w:asciiTheme="minorHAnsi" w:hAnsiTheme="minorHAnsi" w:cs="Arial"/>
                <w:color w:val="000000"/>
                <w:sz w:val="18"/>
                <w:szCs w:val="18"/>
                <w:lang w:val="en-US" w:eastAsia="zh-CN"/>
              </w:rPr>
              <w:t>1</w:t>
            </w:r>
          </w:p>
        </w:tc>
        <w:tc>
          <w:tcPr>
            <w:tcW w:w="719" w:type="dxa"/>
            <w:tcBorders>
              <w:top w:val="nil"/>
              <w:left w:val="nil"/>
              <w:bottom w:val="nil"/>
              <w:right w:val="single" w:sz="4" w:space="0" w:color="auto"/>
            </w:tcBorders>
            <w:shd w:val="clear" w:color="auto" w:fill="auto"/>
            <w:noWrap/>
            <w:vAlign w:val="bottom"/>
            <w:hideMark/>
          </w:tcPr>
          <w:p w:rsidR="002C5178" w:rsidRPr="002C5178" w:rsidRDefault="002C5178" w:rsidP="002C517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8"/>
                <w:szCs w:val="18"/>
                <w:lang w:val="en-US" w:eastAsia="zh-CN"/>
              </w:rPr>
            </w:pPr>
            <w:r w:rsidRPr="002C5178">
              <w:rPr>
                <w:rFonts w:asciiTheme="minorHAnsi" w:hAnsiTheme="minorHAnsi" w:cs="Arial"/>
                <w:color w:val="000000"/>
                <w:sz w:val="18"/>
                <w:szCs w:val="18"/>
                <w:lang w:val="en-US" w:eastAsia="zh-CN"/>
              </w:rPr>
              <w:t> </w:t>
            </w:r>
          </w:p>
        </w:tc>
        <w:tc>
          <w:tcPr>
            <w:tcW w:w="704" w:type="dxa"/>
            <w:tcBorders>
              <w:top w:val="nil"/>
              <w:left w:val="nil"/>
              <w:bottom w:val="nil"/>
              <w:right w:val="single" w:sz="8" w:space="0" w:color="auto"/>
            </w:tcBorders>
            <w:shd w:val="clear" w:color="auto" w:fill="auto"/>
            <w:noWrap/>
            <w:vAlign w:val="bottom"/>
            <w:hideMark/>
          </w:tcPr>
          <w:p w:rsidR="002C5178" w:rsidRPr="002C5178" w:rsidRDefault="00903C8F" w:rsidP="002C517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Pr>
                <w:rFonts w:asciiTheme="minorHAnsi" w:hAnsiTheme="minorHAnsi" w:cs="Arial"/>
                <w:color w:val="000000"/>
                <w:sz w:val="18"/>
                <w:szCs w:val="18"/>
                <w:lang w:val="en-US" w:eastAsia="zh-CN"/>
              </w:rPr>
              <w:t>2</w:t>
            </w:r>
          </w:p>
        </w:tc>
        <w:tc>
          <w:tcPr>
            <w:tcW w:w="730" w:type="dxa"/>
            <w:tcBorders>
              <w:top w:val="nil"/>
              <w:left w:val="nil"/>
              <w:bottom w:val="nil"/>
              <w:right w:val="single" w:sz="4" w:space="0" w:color="auto"/>
            </w:tcBorders>
            <w:shd w:val="clear" w:color="auto" w:fill="auto"/>
            <w:noWrap/>
            <w:vAlign w:val="bottom"/>
            <w:hideMark/>
          </w:tcPr>
          <w:p w:rsidR="002C5178" w:rsidRPr="002C5178" w:rsidRDefault="002C5178" w:rsidP="002C517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8"/>
                <w:szCs w:val="18"/>
                <w:lang w:val="en-US" w:eastAsia="zh-CN"/>
              </w:rPr>
            </w:pPr>
            <w:r w:rsidRPr="002C5178">
              <w:rPr>
                <w:rFonts w:asciiTheme="minorHAnsi" w:hAnsiTheme="minorHAnsi" w:cs="Arial"/>
                <w:color w:val="000000"/>
                <w:sz w:val="18"/>
                <w:szCs w:val="18"/>
                <w:lang w:val="en-US" w:eastAsia="zh-CN"/>
              </w:rPr>
              <w:t> </w:t>
            </w:r>
          </w:p>
        </w:tc>
        <w:tc>
          <w:tcPr>
            <w:tcW w:w="704" w:type="dxa"/>
            <w:tcBorders>
              <w:top w:val="nil"/>
              <w:left w:val="nil"/>
              <w:bottom w:val="nil"/>
              <w:right w:val="single" w:sz="8" w:space="0" w:color="auto"/>
            </w:tcBorders>
            <w:shd w:val="clear" w:color="auto" w:fill="auto"/>
            <w:noWrap/>
            <w:vAlign w:val="bottom"/>
            <w:hideMark/>
          </w:tcPr>
          <w:p w:rsidR="002C5178" w:rsidRPr="002C5178" w:rsidRDefault="00903C8F" w:rsidP="002C517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Pr>
                <w:rFonts w:asciiTheme="minorHAnsi" w:hAnsiTheme="minorHAnsi" w:cs="Arial"/>
                <w:color w:val="000000"/>
                <w:sz w:val="18"/>
                <w:szCs w:val="18"/>
                <w:lang w:val="en-US" w:eastAsia="zh-CN"/>
              </w:rPr>
              <w:t>4</w:t>
            </w:r>
          </w:p>
        </w:tc>
        <w:tc>
          <w:tcPr>
            <w:tcW w:w="714" w:type="dxa"/>
            <w:tcBorders>
              <w:top w:val="nil"/>
              <w:left w:val="nil"/>
              <w:bottom w:val="nil"/>
              <w:right w:val="single" w:sz="4" w:space="0" w:color="auto"/>
            </w:tcBorders>
            <w:shd w:val="clear" w:color="auto" w:fill="auto"/>
            <w:noWrap/>
            <w:vAlign w:val="bottom"/>
            <w:hideMark/>
          </w:tcPr>
          <w:p w:rsidR="002C5178" w:rsidRPr="002C5178" w:rsidRDefault="002C5178" w:rsidP="002C517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8"/>
                <w:szCs w:val="18"/>
                <w:lang w:val="en-US" w:eastAsia="zh-CN"/>
              </w:rPr>
            </w:pPr>
            <w:r w:rsidRPr="002C5178">
              <w:rPr>
                <w:rFonts w:asciiTheme="minorHAnsi" w:hAnsiTheme="minorHAnsi" w:cs="Arial"/>
                <w:color w:val="000000"/>
                <w:sz w:val="18"/>
                <w:szCs w:val="18"/>
                <w:lang w:val="en-US" w:eastAsia="zh-CN"/>
              </w:rPr>
              <w:t> </w:t>
            </w:r>
          </w:p>
        </w:tc>
        <w:tc>
          <w:tcPr>
            <w:tcW w:w="704" w:type="dxa"/>
            <w:tcBorders>
              <w:top w:val="nil"/>
              <w:left w:val="nil"/>
              <w:bottom w:val="nil"/>
              <w:right w:val="single" w:sz="8" w:space="0" w:color="auto"/>
            </w:tcBorders>
            <w:shd w:val="clear" w:color="auto" w:fill="auto"/>
            <w:noWrap/>
            <w:vAlign w:val="bottom"/>
            <w:hideMark/>
          </w:tcPr>
          <w:p w:rsidR="002C5178" w:rsidRPr="002C5178" w:rsidRDefault="00903C8F" w:rsidP="002C517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Pr>
                <w:rFonts w:asciiTheme="minorHAnsi" w:hAnsiTheme="minorHAnsi" w:cs="Arial"/>
                <w:color w:val="000000"/>
                <w:sz w:val="18"/>
                <w:szCs w:val="18"/>
                <w:lang w:val="en-US" w:eastAsia="zh-CN"/>
              </w:rPr>
              <w:t>4</w:t>
            </w:r>
          </w:p>
        </w:tc>
      </w:tr>
      <w:tr w:rsidR="00412B8E" w:rsidRPr="002C5178" w:rsidTr="004716D5">
        <w:trPr>
          <w:trHeight w:val="242"/>
        </w:trPr>
        <w:tc>
          <w:tcPr>
            <w:tcW w:w="1985" w:type="dxa"/>
            <w:tcBorders>
              <w:top w:val="nil"/>
              <w:left w:val="single" w:sz="8" w:space="0" w:color="auto"/>
              <w:bottom w:val="nil"/>
              <w:right w:val="nil"/>
            </w:tcBorders>
            <w:shd w:val="clear" w:color="auto" w:fill="auto"/>
            <w:noWrap/>
            <w:vAlign w:val="bottom"/>
            <w:hideMark/>
          </w:tcPr>
          <w:p w:rsidR="002C5178" w:rsidRPr="002C5178" w:rsidRDefault="002C5178" w:rsidP="002C517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2C5178">
              <w:rPr>
                <w:rFonts w:asciiTheme="minorHAnsi" w:hAnsiTheme="minorHAnsi" w:cs="Arial"/>
                <w:color w:val="000000"/>
                <w:sz w:val="16"/>
                <w:szCs w:val="16"/>
                <w:lang w:val="en-US" w:eastAsia="zh-CN"/>
              </w:rPr>
              <w:t>Shipping, telecommunication</w:t>
            </w:r>
          </w:p>
        </w:tc>
        <w:tc>
          <w:tcPr>
            <w:tcW w:w="690" w:type="dxa"/>
            <w:tcBorders>
              <w:top w:val="nil"/>
              <w:left w:val="single" w:sz="8" w:space="0" w:color="auto"/>
              <w:bottom w:val="nil"/>
              <w:right w:val="single" w:sz="4" w:space="0" w:color="auto"/>
            </w:tcBorders>
            <w:shd w:val="clear" w:color="auto" w:fill="auto"/>
            <w:noWrap/>
            <w:vAlign w:val="bottom"/>
            <w:hideMark/>
          </w:tcPr>
          <w:p w:rsidR="002C5178" w:rsidRPr="002C5178" w:rsidRDefault="002C5178" w:rsidP="002C517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8"/>
                <w:szCs w:val="18"/>
                <w:lang w:val="en-US" w:eastAsia="zh-CN"/>
              </w:rPr>
            </w:pPr>
            <w:r w:rsidRPr="002C5178">
              <w:rPr>
                <w:rFonts w:asciiTheme="minorHAnsi" w:hAnsiTheme="minorHAnsi" w:cs="Arial"/>
                <w:color w:val="000000"/>
                <w:sz w:val="18"/>
                <w:szCs w:val="18"/>
                <w:lang w:val="en-US" w:eastAsia="zh-CN"/>
              </w:rPr>
              <w:t> </w:t>
            </w:r>
          </w:p>
        </w:tc>
        <w:tc>
          <w:tcPr>
            <w:tcW w:w="752" w:type="dxa"/>
            <w:tcBorders>
              <w:top w:val="nil"/>
              <w:left w:val="nil"/>
              <w:bottom w:val="nil"/>
              <w:right w:val="single" w:sz="8" w:space="0" w:color="auto"/>
            </w:tcBorders>
            <w:shd w:val="clear" w:color="auto" w:fill="auto"/>
            <w:noWrap/>
            <w:vAlign w:val="bottom"/>
            <w:hideMark/>
          </w:tcPr>
          <w:p w:rsidR="002C5178" w:rsidRPr="002C5178" w:rsidRDefault="00903C8F" w:rsidP="00903C8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Pr>
                <w:rFonts w:asciiTheme="minorHAnsi" w:hAnsiTheme="minorHAnsi" w:cs="Arial"/>
                <w:color w:val="000000"/>
                <w:sz w:val="18"/>
                <w:szCs w:val="18"/>
                <w:lang w:val="en-US" w:eastAsia="zh-CN"/>
              </w:rPr>
              <w:t>27</w:t>
            </w:r>
          </w:p>
        </w:tc>
        <w:tc>
          <w:tcPr>
            <w:tcW w:w="732" w:type="dxa"/>
            <w:tcBorders>
              <w:top w:val="nil"/>
              <w:left w:val="nil"/>
              <w:bottom w:val="nil"/>
              <w:right w:val="single" w:sz="4" w:space="0" w:color="auto"/>
            </w:tcBorders>
            <w:shd w:val="clear" w:color="auto" w:fill="auto"/>
            <w:noWrap/>
            <w:vAlign w:val="bottom"/>
            <w:hideMark/>
          </w:tcPr>
          <w:p w:rsidR="002C5178" w:rsidRPr="002C5178" w:rsidRDefault="002C5178" w:rsidP="002C517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8"/>
                <w:szCs w:val="18"/>
                <w:lang w:val="en-US" w:eastAsia="zh-CN"/>
              </w:rPr>
            </w:pPr>
            <w:r w:rsidRPr="002C5178">
              <w:rPr>
                <w:rFonts w:asciiTheme="minorHAnsi" w:hAnsiTheme="minorHAnsi" w:cs="Arial"/>
                <w:color w:val="000000"/>
                <w:sz w:val="18"/>
                <w:szCs w:val="18"/>
                <w:lang w:val="en-US" w:eastAsia="zh-CN"/>
              </w:rPr>
              <w:t> </w:t>
            </w:r>
          </w:p>
        </w:tc>
        <w:tc>
          <w:tcPr>
            <w:tcW w:w="911" w:type="dxa"/>
            <w:tcBorders>
              <w:top w:val="nil"/>
              <w:left w:val="nil"/>
              <w:bottom w:val="nil"/>
              <w:right w:val="single" w:sz="8" w:space="0" w:color="auto"/>
            </w:tcBorders>
            <w:shd w:val="clear" w:color="auto" w:fill="auto"/>
            <w:noWrap/>
            <w:vAlign w:val="bottom"/>
            <w:hideMark/>
          </w:tcPr>
          <w:p w:rsidR="002C5178" w:rsidRPr="002C5178" w:rsidRDefault="00903C8F" w:rsidP="002C517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Pr>
                <w:rFonts w:asciiTheme="minorHAnsi" w:hAnsiTheme="minorHAnsi" w:cs="Arial"/>
                <w:color w:val="000000"/>
                <w:sz w:val="18"/>
                <w:szCs w:val="18"/>
                <w:lang w:val="en-US" w:eastAsia="zh-CN"/>
              </w:rPr>
              <w:t>17</w:t>
            </w:r>
          </w:p>
        </w:tc>
        <w:tc>
          <w:tcPr>
            <w:tcW w:w="749" w:type="dxa"/>
            <w:tcBorders>
              <w:top w:val="nil"/>
              <w:left w:val="nil"/>
              <w:bottom w:val="nil"/>
              <w:right w:val="single" w:sz="4" w:space="0" w:color="auto"/>
            </w:tcBorders>
            <w:shd w:val="clear" w:color="auto" w:fill="auto"/>
            <w:noWrap/>
            <w:vAlign w:val="bottom"/>
            <w:hideMark/>
          </w:tcPr>
          <w:p w:rsidR="002C5178" w:rsidRPr="002C5178" w:rsidRDefault="002C5178" w:rsidP="002C517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8"/>
                <w:szCs w:val="18"/>
                <w:lang w:val="en-US" w:eastAsia="zh-CN"/>
              </w:rPr>
            </w:pPr>
            <w:r w:rsidRPr="002C5178">
              <w:rPr>
                <w:rFonts w:asciiTheme="minorHAnsi" w:hAnsiTheme="minorHAnsi" w:cs="Arial"/>
                <w:color w:val="000000"/>
                <w:sz w:val="18"/>
                <w:szCs w:val="18"/>
                <w:lang w:val="en-US" w:eastAsia="zh-CN"/>
              </w:rPr>
              <w:t> </w:t>
            </w:r>
          </w:p>
        </w:tc>
        <w:tc>
          <w:tcPr>
            <w:tcW w:w="704" w:type="dxa"/>
            <w:tcBorders>
              <w:top w:val="nil"/>
              <w:left w:val="nil"/>
              <w:bottom w:val="nil"/>
              <w:right w:val="single" w:sz="8" w:space="0" w:color="auto"/>
            </w:tcBorders>
            <w:shd w:val="clear" w:color="auto" w:fill="auto"/>
            <w:noWrap/>
            <w:vAlign w:val="bottom"/>
            <w:hideMark/>
          </w:tcPr>
          <w:p w:rsidR="002C5178" w:rsidRPr="002C5178" w:rsidRDefault="00903C8F" w:rsidP="002C517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Pr>
                <w:rFonts w:asciiTheme="minorHAnsi" w:hAnsiTheme="minorHAnsi" w:cs="Arial"/>
                <w:color w:val="000000"/>
                <w:sz w:val="18"/>
                <w:szCs w:val="18"/>
                <w:lang w:val="en-US" w:eastAsia="zh-CN"/>
              </w:rPr>
              <w:t>5</w:t>
            </w:r>
          </w:p>
        </w:tc>
        <w:tc>
          <w:tcPr>
            <w:tcW w:w="719" w:type="dxa"/>
            <w:tcBorders>
              <w:top w:val="nil"/>
              <w:left w:val="nil"/>
              <w:bottom w:val="nil"/>
              <w:right w:val="single" w:sz="4" w:space="0" w:color="auto"/>
            </w:tcBorders>
            <w:shd w:val="clear" w:color="auto" w:fill="auto"/>
            <w:noWrap/>
            <w:vAlign w:val="bottom"/>
            <w:hideMark/>
          </w:tcPr>
          <w:p w:rsidR="002C5178" w:rsidRPr="002C5178" w:rsidRDefault="002C5178" w:rsidP="002C517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8"/>
                <w:szCs w:val="18"/>
                <w:lang w:val="en-US" w:eastAsia="zh-CN"/>
              </w:rPr>
            </w:pPr>
            <w:r w:rsidRPr="002C5178">
              <w:rPr>
                <w:rFonts w:asciiTheme="minorHAnsi" w:hAnsiTheme="minorHAnsi" w:cs="Arial"/>
                <w:color w:val="000000"/>
                <w:sz w:val="18"/>
                <w:szCs w:val="18"/>
                <w:lang w:val="en-US" w:eastAsia="zh-CN"/>
              </w:rPr>
              <w:t> </w:t>
            </w:r>
          </w:p>
        </w:tc>
        <w:tc>
          <w:tcPr>
            <w:tcW w:w="704" w:type="dxa"/>
            <w:tcBorders>
              <w:top w:val="nil"/>
              <w:left w:val="nil"/>
              <w:bottom w:val="nil"/>
              <w:right w:val="single" w:sz="8" w:space="0" w:color="auto"/>
            </w:tcBorders>
            <w:shd w:val="clear" w:color="auto" w:fill="auto"/>
            <w:noWrap/>
            <w:vAlign w:val="bottom"/>
            <w:hideMark/>
          </w:tcPr>
          <w:p w:rsidR="002C5178" w:rsidRPr="002C5178" w:rsidRDefault="00903C8F" w:rsidP="002C517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Pr>
                <w:rFonts w:asciiTheme="minorHAnsi" w:hAnsiTheme="minorHAnsi" w:cs="Arial"/>
                <w:color w:val="000000"/>
                <w:sz w:val="18"/>
                <w:szCs w:val="18"/>
                <w:lang w:val="en-US" w:eastAsia="zh-CN"/>
              </w:rPr>
              <w:t>9</w:t>
            </w:r>
          </w:p>
        </w:tc>
        <w:tc>
          <w:tcPr>
            <w:tcW w:w="730" w:type="dxa"/>
            <w:tcBorders>
              <w:top w:val="nil"/>
              <w:left w:val="nil"/>
              <w:bottom w:val="nil"/>
              <w:right w:val="single" w:sz="4" w:space="0" w:color="auto"/>
            </w:tcBorders>
            <w:shd w:val="clear" w:color="auto" w:fill="auto"/>
            <w:noWrap/>
            <w:vAlign w:val="bottom"/>
            <w:hideMark/>
          </w:tcPr>
          <w:p w:rsidR="002C5178" w:rsidRPr="002C5178" w:rsidRDefault="002C5178" w:rsidP="002C517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8"/>
                <w:szCs w:val="18"/>
                <w:lang w:val="en-US" w:eastAsia="zh-CN"/>
              </w:rPr>
            </w:pPr>
            <w:r w:rsidRPr="002C5178">
              <w:rPr>
                <w:rFonts w:asciiTheme="minorHAnsi" w:hAnsiTheme="minorHAnsi" w:cs="Arial"/>
                <w:color w:val="000000"/>
                <w:sz w:val="18"/>
                <w:szCs w:val="18"/>
                <w:lang w:val="en-US" w:eastAsia="zh-CN"/>
              </w:rPr>
              <w:t> </w:t>
            </w:r>
          </w:p>
        </w:tc>
        <w:tc>
          <w:tcPr>
            <w:tcW w:w="704" w:type="dxa"/>
            <w:tcBorders>
              <w:top w:val="nil"/>
              <w:left w:val="nil"/>
              <w:bottom w:val="nil"/>
              <w:right w:val="single" w:sz="8" w:space="0" w:color="auto"/>
            </w:tcBorders>
            <w:shd w:val="clear" w:color="auto" w:fill="auto"/>
            <w:noWrap/>
            <w:vAlign w:val="bottom"/>
            <w:hideMark/>
          </w:tcPr>
          <w:p w:rsidR="002C5178" w:rsidRPr="002C5178" w:rsidRDefault="00903C8F" w:rsidP="002C517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Pr>
                <w:rFonts w:asciiTheme="minorHAnsi" w:hAnsiTheme="minorHAnsi" w:cs="Arial"/>
                <w:color w:val="000000"/>
                <w:sz w:val="18"/>
                <w:szCs w:val="18"/>
                <w:lang w:val="en-US" w:eastAsia="zh-CN"/>
              </w:rPr>
              <w:t>1</w:t>
            </w:r>
          </w:p>
        </w:tc>
        <w:tc>
          <w:tcPr>
            <w:tcW w:w="714" w:type="dxa"/>
            <w:tcBorders>
              <w:top w:val="nil"/>
              <w:left w:val="nil"/>
              <w:bottom w:val="nil"/>
              <w:right w:val="single" w:sz="4" w:space="0" w:color="auto"/>
            </w:tcBorders>
            <w:shd w:val="clear" w:color="auto" w:fill="auto"/>
            <w:noWrap/>
            <w:vAlign w:val="bottom"/>
            <w:hideMark/>
          </w:tcPr>
          <w:p w:rsidR="002C5178" w:rsidRPr="002C5178" w:rsidRDefault="002C5178" w:rsidP="002C517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8"/>
                <w:szCs w:val="18"/>
                <w:lang w:val="en-US" w:eastAsia="zh-CN"/>
              </w:rPr>
            </w:pPr>
            <w:r w:rsidRPr="002C5178">
              <w:rPr>
                <w:rFonts w:asciiTheme="minorHAnsi" w:hAnsiTheme="minorHAnsi" w:cs="Arial"/>
                <w:color w:val="000000"/>
                <w:sz w:val="18"/>
                <w:szCs w:val="18"/>
                <w:lang w:val="en-US" w:eastAsia="zh-CN"/>
              </w:rPr>
              <w:t> </w:t>
            </w:r>
          </w:p>
        </w:tc>
        <w:tc>
          <w:tcPr>
            <w:tcW w:w="704" w:type="dxa"/>
            <w:tcBorders>
              <w:top w:val="nil"/>
              <w:left w:val="nil"/>
              <w:bottom w:val="nil"/>
              <w:right w:val="single" w:sz="8" w:space="0" w:color="auto"/>
            </w:tcBorders>
            <w:shd w:val="clear" w:color="auto" w:fill="auto"/>
            <w:noWrap/>
            <w:vAlign w:val="bottom"/>
            <w:hideMark/>
          </w:tcPr>
          <w:p w:rsidR="002C5178" w:rsidRPr="002C5178" w:rsidRDefault="00903C8F" w:rsidP="002C517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Pr>
                <w:rFonts w:asciiTheme="minorHAnsi" w:hAnsiTheme="minorHAnsi" w:cs="Arial"/>
                <w:color w:val="000000"/>
                <w:sz w:val="18"/>
                <w:szCs w:val="18"/>
                <w:lang w:val="en-US" w:eastAsia="zh-CN"/>
              </w:rPr>
              <w:t>1</w:t>
            </w:r>
          </w:p>
        </w:tc>
      </w:tr>
      <w:tr w:rsidR="00412B8E" w:rsidRPr="002C5178" w:rsidTr="004716D5">
        <w:trPr>
          <w:trHeight w:val="242"/>
        </w:trPr>
        <w:tc>
          <w:tcPr>
            <w:tcW w:w="1985" w:type="dxa"/>
            <w:tcBorders>
              <w:top w:val="nil"/>
              <w:left w:val="single" w:sz="8" w:space="0" w:color="auto"/>
              <w:bottom w:val="single" w:sz="8" w:space="0" w:color="auto"/>
              <w:right w:val="nil"/>
            </w:tcBorders>
            <w:shd w:val="clear" w:color="auto" w:fill="auto"/>
            <w:noWrap/>
            <w:vAlign w:val="bottom"/>
            <w:hideMark/>
          </w:tcPr>
          <w:p w:rsidR="002C5178" w:rsidRPr="002C5178" w:rsidRDefault="002C5178" w:rsidP="002C517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2C5178">
              <w:rPr>
                <w:rFonts w:asciiTheme="minorHAnsi" w:hAnsiTheme="minorHAnsi" w:cs="Arial"/>
                <w:color w:val="000000"/>
                <w:sz w:val="16"/>
                <w:szCs w:val="16"/>
                <w:lang w:val="en-US" w:eastAsia="zh-CN"/>
              </w:rPr>
              <w:t>Other expenses</w:t>
            </w:r>
          </w:p>
        </w:tc>
        <w:tc>
          <w:tcPr>
            <w:tcW w:w="690" w:type="dxa"/>
            <w:tcBorders>
              <w:top w:val="nil"/>
              <w:left w:val="single" w:sz="8" w:space="0" w:color="auto"/>
              <w:bottom w:val="single" w:sz="8" w:space="0" w:color="auto"/>
              <w:right w:val="single" w:sz="4" w:space="0" w:color="auto"/>
            </w:tcBorders>
            <w:shd w:val="clear" w:color="auto" w:fill="auto"/>
            <w:noWrap/>
            <w:vAlign w:val="bottom"/>
            <w:hideMark/>
          </w:tcPr>
          <w:p w:rsidR="002C5178" w:rsidRPr="002C5178" w:rsidRDefault="002C5178" w:rsidP="002C517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8"/>
                <w:szCs w:val="18"/>
                <w:lang w:val="en-US" w:eastAsia="zh-CN"/>
              </w:rPr>
            </w:pPr>
            <w:r w:rsidRPr="002C5178">
              <w:rPr>
                <w:rFonts w:asciiTheme="minorHAnsi" w:hAnsiTheme="minorHAnsi" w:cs="Arial"/>
                <w:color w:val="000000"/>
                <w:sz w:val="18"/>
                <w:szCs w:val="18"/>
                <w:lang w:val="en-US" w:eastAsia="zh-CN"/>
              </w:rPr>
              <w:t> </w:t>
            </w:r>
          </w:p>
        </w:tc>
        <w:tc>
          <w:tcPr>
            <w:tcW w:w="752" w:type="dxa"/>
            <w:tcBorders>
              <w:top w:val="nil"/>
              <w:left w:val="nil"/>
              <w:bottom w:val="single" w:sz="8" w:space="0" w:color="auto"/>
              <w:right w:val="single" w:sz="8" w:space="0" w:color="auto"/>
            </w:tcBorders>
            <w:shd w:val="clear" w:color="auto" w:fill="auto"/>
            <w:noWrap/>
            <w:vAlign w:val="bottom"/>
            <w:hideMark/>
          </w:tcPr>
          <w:p w:rsidR="002C5178" w:rsidRPr="002C5178" w:rsidRDefault="00903C8F" w:rsidP="00903C8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Pr>
                <w:rFonts w:asciiTheme="minorHAnsi" w:hAnsiTheme="minorHAnsi" w:cs="Arial"/>
                <w:color w:val="000000"/>
                <w:sz w:val="18"/>
                <w:szCs w:val="18"/>
                <w:lang w:val="en-US" w:eastAsia="zh-CN"/>
              </w:rPr>
              <w:t>47</w:t>
            </w:r>
          </w:p>
        </w:tc>
        <w:tc>
          <w:tcPr>
            <w:tcW w:w="732" w:type="dxa"/>
            <w:tcBorders>
              <w:top w:val="nil"/>
              <w:left w:val="nil"/>
              <w:bottom w:val="single" w:sz="8" w:space="0" w:color="auto"/>
              <w:right w:val="single" w:sz="4" w:space="0" w:color="auto"/>
            </w:tcBorders>
            <w:shd w:val="clear" w:color="auto" w:fill="auto"/>
            <w:noWrap/>
            <w:vAlign w:val="bottom"/>
            <w:hideMark/>
          </w:tcPr>
          <w:p w:rsidR="002C5178" w:rsidRPr="002C5178" w:rsidRDefault="002C5178" w:rsidP="002C517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8"/>
                <w:szCs w:val="18"/>
                <w:lang w:val="en-US" w:eastAsia="zh-CN"/>
              </w:rPr>
            </w:pPr>
            <w:r w:rsidRPr="002C5178">
              <w:rPr>
                <w:rFonts w:asciiTheme="minorHAnsi" w:hAnsiTheme="minorHAnsi" w:cs="Arial"/>
                <w:color w:val="000000"/>
                <w:sz w:val="18"/>
                <w:szCs w:val="18"/>
                <w:lang w:val="en-US" w:eastAsia="zh-CN"/>
              </w:rPr>
              <w:t> </w:t>
            </w:r>
          </w:p>
        </w:tc>
        <w:tc>
          <w:tcPr>
            <w:tcW w:w="911" w:type="dxa"/>
            <w:tcBorders>
              <w:top w:val="nil"/>
              <w:left w:val="nil"/>
              <w:bottom w:val="single" w:sz="8" w:space="0" w:color="auto"/>
              <w:right w:val="single" w:sz="8" w:space="0" w:color="auto"/>
            </w:tcBorders>
            <w:shd w:val="clear" w:color="auto" w:fill="auto"/>
            <w:noWrap/>
            <w:vAlign w:val="bottom"/>
            <w:hideMark/>
          </w:tcPr>
          <w:p w:rsidR="002C5178" w:rsidRPr="002C5178" w:rsidRDefault="00903C8F" w:rsidP="00903C8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Pr>
                <w:rFonts w:asciiTheme="minorHAnsi" w:hAnsiTheme="minorHAnsi" w:cs="Arial"/>
                <w:color w:val="000000"/>
                <w:sz w:val="18"/>
                <w:szCs w:val="18"/>
                <w:lang w:val="en-US" w:eastAsia="zh-CN"/>
              </w:rPr>
              <w:t>23</w:t>
            </w:r>
          </w:p>
        </w:tc>
        <w:tc>
          <w:tcPr>
            <w:tcW w:w="749" w:type="dxa"/>
            <w:tcBorders>
              <w:top w:val="nil"/>
              <w:left w:val="nil"/>
              <w:bottom w:val="single" w:sz="8" w:space="0" w:color="auto"/>
              <w:right w:val="single" w:sz="4" w:space="0" w:color="auto"/>
            </w:tcBorders>
            <w:shd w:val="clear" w:color="auto" w:fill="auto"/>
            <w:noWrap/>
            <w:vAlign w:val="bottom"/>
            <w:hideMark/>
          </w:tcPr>
          <w:p w:rsidR="002C5178" w:rsidRPr="002C5178" w:rsidRDefault="002C5178" w:rsidP="002C517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8"/>
                <w:szCs w:val="18"/>
                <w:lang w:val="en-US" w:eastAsia="zh-CN"/>
              </w:rPr>
            </w:pPr>
            <w:r w:rsidRPr="002C5178">
              <w:rPr>
                <w:rFonts w:asciiTheme="minorHAnsi" w:hAnsiTheme="minorHAnsi" w:cs="Arial"/>
                <w:color w:val="000000"/>
                <w:sz w:val="18"/>
                <w:szCs w:val="18"/>
                <w:lang w:val="en-US" w:eastAsia="zh-CN"/>
              </w:rPr>
              <w:t> </w:t>
            </w:r>
          </w:p>
        </w:tc>
        <w:tc>
          <w:tcPr>
            <w:tcW w:w="704" w:type="dxa"/>
            <w:tcBorders>
              <w:top w:val="nil"/>
              <w:left w:val="nil"/>
              <w:bottom w:val="single" w:sz="8" w:space="0" w:color="auto"/>
              <w:right w:val="single" w:sz="8" w:space="0" w:color="auto"/>
            </w:tcBorders>
            <w:shd w:val="clear" w:color="auto" w:fill="auto"/>
            <w:noWrap/>
            <w:vAlign w:val="bottom"/>
            <w:hideMark/>
          </w:tcPr>
          <w:p w:rsidR="002C5178" w:rsidRPr="002C5178" w:rsidRDefault="00903C8F" w:rsidP="002C517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Pr>
                <w:rFonts w:asciiTheme="minorHAnsi" w:hAnsiTheme="minorHAnsi" w:cs="Arial"/>
                <w:color w:val="000000"/>
                <w:sz w:val="18"/>
                <w:szCs w:val="18"/>
                <w:lang w:val="en-US" w:eastAsia="zh-CN"/>
              </w:rPr>
              <w:t>1</w:t>
            </w:r>
          </w:p>
        </w:tc>
        <w:tc>
          <w:tcPr>
            <w:tcW w:w="719" w:type="dxa"/>
            <w:tcBorders>
              <w:top w:val="nil"/>
              <w:left w:val="nil"/>
              <w:bottom w:val="single" w:sz="8" w:space="0" w:color="auto"/>
              <w:right w:val="single" w:sz="4" w:space="0" w:color="auto"/>
            </w:tcBorders>
            <w:shd w:val="clear" w:color="auto" w:fill="auto"/>
            <w:noWrap/>
            <w:vAlign w:val="bottom"/>
            <w:hideMark/>
          </w:tcPr>
          <w:p w:rsidR="002C5178" w:rsidRPr="002C5178" w:rsidRDefault="002C5178" w:rsidP="002C517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8"/>
                <w:szCs w:val="18"/>
                <w:lang w:val="en-US" w:eastAsia="zh-CN"/>
              </w:rPr>
            </w:pPr>
            <w:r w:rsidRPr="002C5178">
              <w:rPr>
                <w:rFonts w:asciiTheme="minorHAnsi" w:hAnsiTheme="minorHAnsi" w:cs="Arial"/>
                <w:color w:val="000000"/>
                <w:sz w:val="18"/>
                <w:szCs w:val="18"/>
                <w:lang w:val="en-US" w:eastAsia="zh-CN"/>
              </w:rPr>
              <w:t> </w:t>
            </w:r>
          </w:p>
        </w:tc>
        <w:tc>
          <w:tcPr>
            <w:tcW w:w="704" w:type="dxa"/>
            <w:tcBorders>
              <w:top w:val="nil"/>
              <w:left w:val="nil"/>
              <w:bottom w:val="single" w:sz="8" w:space="0" w:color="auto"/>
              <w:right w:val="single" w:sz="8" w:space="0" w:color="auto"/>
            </w:tcBorders>
            <w:shd w:val="clear" w:color="auto" w:fill="auto"/>
            <w:noWrap/>
            <w:vAlign w:val="bottom"/>
            <w:hideMark/>
          </w:tcPr>
          <w:p w:rsidR="002C5178" w:rsidRPr="002C5178" w:rsidRDefault="00903C8F" w:rsidP="002C517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Pr>
                <w:rFonts w:asciiTheme="minorHAnsi" w:hAnsiTheme="minorHAnsi" w:cs="Arial"/>
                <w:color w:val="000000"/>
                <w:sz w:val="18"/>
                <w:szCs w:val="18"/>
                <w:lang w:val="en-US" w:eastAsia="zh-CN"/>
              </w:rPr>
              <w:t>3</w:t>
            </w:r>
          </w:p>
        </w:tc>
        <w:tc>
          <w:tcPr>
            <w:tcW w:w="730" w:type="dxa"/>
            <w:tcBorders>
              <w:top w:val="nil"/>
              <w:left w:val="nil"/>
              <w:bottom w:val="single" w:sz="8" w:space="0" w:color="auto"/>
              <w:right w:val="single" w:sz="4" w:space="0" w:color="auto"/>
            </w:tcBorders>
            <w:shd w:val="clear" w:color="auto" w:fill="auto"/>
            <w:noWrap/>
            <w:vAlign w:val="bottom"/>
            <w:hideMark/>
          </w:tcPr>
          <w:p w:rsidR="002C5178" w:rsidRPr="002C5178" w:rsidRDefault="002C5178" w:rsidP="002C517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8"/>
                <w:szCs w:val="18"/>
                <w:lang w:val="en-US" w:eastAsia="zh-CN"/>
              </w:rPr>
            </w:pPr>
            <w:r w:rsidRPr="002C5178">
              <w:rPr>
                <w:rFonts w:asciiTheme="minorHAnsi" w:hAnsiTheme="minorHAnsi" w:cs="Arial"/>
                <w:color w:val="000000"/>
                <w:sz w:val="18"/>
                <w:szCs w:val="18"/>
                <w:lang w:val="en-US" w:eastAsia="zh-CN"/>
              </w:rPr>
              <w:t> </w:t>
            </w:r>
          </w:p>
        </w:tc>
        <w:tc>
          <w:tcPr>
            <w:tcW w:w="704" w:type="dxa"/>
            <w:tcBorders>
              <w:top w:val="nil"/>
              <w:left w:val="nil"/>
              <w:bottom w:val="single" w:sz="8" w:space="0" w:color="auto"/>
              <w:right w:val="single" w:sz="8" w:space="0" w:color="auto"/>
            </w:tcBorders>
            <w:shd w:val="clear" w:color="auto" w:fill="auto"/>
            <w:noWrap/>
            <w:vAlign w:val="bottom"/>
            <w:hideMark/>
          </w:tcPr>
          <w:p w:rsidR="002C5178" w:rsidRPr="002C5178" w:rsidRDefault="002C5178" w:rsidP="002C517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p>
        </w:tc>
        <w:tc>
          <w:tcPr>
            <w:tcW w:w="714" w:type="dxa"/>
            <w:tcBorders>
              <w:top w:val="nil"/>
              <w:left w:val="nil"/>
              <w:bottom w:val="single" w:sz="8" w:space="0" w:color="auto"/>
              <w:right w:val="single" w:sz="4" w:space="0" w:color="auto"/>
            </w:tcBorders>
            <w:shd w:val="clear" w:color="auto" w:fill="auto"/>
            <w:noWrap/>
            <w:vAlign w:val="bottom"/>
            <w:hideMark/>
          </w:tcPr>
          <w:p w:rsidR="002C5178" w:rsidRPr="002C5178" w:rsidRDefault="002C5178" w:rsidP="002C517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8"/>
                <w:szCs w:val="18"/>
                <w:lang w:val="en-US" w:eastAsia="zh-CN"/>
              </w:rPr>
            </w:pPr>
            <w:r w:rsidRPr="002C5178">
              <w:rPr>
                <w:rFonts w:asciiTheme="minorHAnsi" w:hAnsiTheme="minorHAnsi" w:cs="Arial"/>
                <w:color w:val="000000"/>
                <w:sz w:val="18"/>
                <w:szCs w:val="18"/>
                <w:lang w:val="en-US" w:eastAsia="zh-CN"/>
              </w:rPr>
              <w:t> </w:t>
            </w:r>
          </w:p>
        </w:tc>
        <w:tc>
          <w:tcPr>
            <w:tcW w:w="704" w:type="dxa"/>
            <w:tcBorders>
              <w:top w:val="nil"/>
              <w:left w:val="nil"/>
              <w:bottom w:val="single" w:sz="8" w:space="0" w:color="auto"/>
              <w:right w:val="single" w:sz="8" w:space="0" w:color="auto"/>
            </w:tcBorders>
            <w:shd w:val="clear" w:color="auto" w:fill="auto"/>
            <w:noWrap/>
            <w:vAlign w:val="bottom"/>
            <w:hideMark/>
          </w:tcPr>
          <w:p w:rsidR="002C5178" w:rsidRPr="002C5178" w:rsidRDefault="002C5178" w:rsidP="002C517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2C5178">
              <w:rPr>
                <w:rFonts w:asciiTheme="minorHAnsi" w:hAnsiTheme="minorHAnsi" w:cs="Arial"/>
                <w:color w:val="000000"/>
                <w:sz w:val="18"/>
                <w:szCs w:val="18"/>
                <w:lang w:val="en-US" w:eastAsia="zh-CN"/>
              </w:rPr>
              <w:t>-</w:t>
            </w:r>
          </w:p>
        </w:tc>
      </w:tr>
      <w:tr w:rsidR="00412B8E" w:rsidRPr="002C5178" w:rsidTr="004716D5">
        <w:trPr>
          <w:trHeight w:val="290"/>
        </w:trPr>
        <w:tc>
          <w:tcPr>
            <w:tcW w:w="1985" w:type="dxa"/>
            <w:tcBorders>
              <w:top w:val="nil"/>
              <w:left w:val="single" w:sz="8" w:space="0" w:color="auto"/>
              <w:bottom w:val="single" w:sz="8" w:space="0" w:color="auto"/>
              <w:right w:val="single" w:sz="8" w:space="0" w:color="auto"/>
            </w:tcBorders>
            <w:shd w:val="clear" w:color="auto" w:fill="auto"/>
            <w:noWrap/>
            <w:vAlign w:val="bottom"/>
            <w:hideMark/>
          </w:tcPr>
          <w:p w:rsidR="002C5178" w:rsidRPr="002C5178" w:rsidRDefault="002C5178" w:rsidP="002C5178">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6"/>
                <w:szCs w:val="16"/>
                <w:lang w:val="en-US" w:eastAsia="zh-CN"/>
              </w:rPr>
            </w:pPr>
            <w:r w:rsidRPr="002C5178">
              <w:rPr>
                <w:rFonts w:ascii="Arial" w:hAnsi="Arial" w:cs="Arial"/>
                <w:color w:val="000000"/>
                <w:sz w:val="16"/>
                <w:szCs w:val="16"/>
                <w:lang w:val="en-US" w:eastAsia="zh-CN"/>
              </w:rPr>
              <w:t>Total is KCHF</w:t>
            </w:r>
          </w:p>
        </w:tc>
        <w:tc>
          <w:tcPr>
            <w:tcW w:w="690" w:type="dxa"/>
            <w:tcBorders>
              <w:top w:val="nil"/>
              <w:left w:val="nil"/>
              <w:bottom w:val="single" w:sz="8" w:space="0" w:color="auto"/>
              <w:right w:val="single" w:sz="4" w:space="0" w:color="auto"/>
            </w:tcBorders>
            <w:shd w:val="clear" w:color="auto" w:fill="auto"/>
            <w:noWrap/>
            <w:vAlign w:val="center"/>
            <w:hideMark/>
          </w:tcPr>
          <w:p w:rsidR="002C5178" w:rsidRPr="002C5178" w:rsidRDefault="002C5178" w:rsidP="0098600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8"/>
                <w:szCs w:val="18"/>
                <w:lang w:val="en-US" w:eastAsia="zh-CN"/>
              </w:rPr>
            </w:pPr>
            <w:r w:rsidRPr="002C5178">
              <w:rPr>
                <w:rFonts w:asciiTheme="minorHAnsi" w:hAnsiTheme="minorHAnsi" w:cs="Arial"/>
                <w:b/>
                <w:bCs/>
                <w:color w:val="000000"/>
                <w:sz w:val="18"/>
                <w:szCs w:val="18"/>
                <w:lang w:val="en-US" w:eastAsia="zh-CN"/>
              </w:rPr>
              <w:t>1</w:t>
            </w:r>
            <w:r w:rsidR="0098600C">
              <w:rPr>
                <w:rFonts w:asciiTheme="minorHAnsi" w:hAnsiTheme="minorHAnsi" w:cs="Arial"/>
                <w:b/>
                <w:bCs/>
                <w:color w:val="000000"/>
                <w:sz w:val="18"/>
                <w:szCs w:val="18"/>
                <w:lang w:val="en-US" w:eastAsia="zh-CN"/>
              </w:rPr>
              <w:t>,</w:t>
            </w:r>
            <w:r w:rsidRPr="002C5178">
              <w:rPr>
                <w:rFonts w:asciiTheme="minorHAnsi" w:hAnsiTheme="minorHAnsi" w:cs="Arial"/>
                <w:b/>
                <w:bCs/>
                <w:color w:val="000000"/>
                <w:sz w:val="18"/>
                <w:szCs w:val="18"/>
                <w:lang w:val="en-US" w:eastAsia="zh-CN"/>
              </w:rPr>
              <w:t>9</w:t>
            </w:r>
            <w:r w:rsidR="0098600C">
              <w:rPr>
                <w:rFonts w:asciiTheme="minorHAnsi" w:hAnsiTheme="minorHAnsi" w:cs="Arial"/>
                <w:b/>
                <w:bCs/>
                <w:color w:val="000000"/>
                <w:sz w:val="18"/>
                <w:szCs w:val="18"/>
                <w:lang w:val="en-US" w:eastAsia="zh-CN"/>
              </w:rPr>
              <w:t>20</w:t>
            </w:r>
          </w:p>
        </w:tc>
        <w:tc>
          <w:tcPr>
            <w:tcW w:w="752" w:type="dxa"/>
            <w:tcBorders>
              <w:top w:val="nil"/>
              <w:left w:val="nil"/>
              <w:bottom w:val="single" w:sz="8" w:space="0" w:color="auto"/>
              <w:right w:val="single" w:sz="8" w:space="0" w:color="auto"/>
            </w:tcBorders>
            <w:shd w:val="clear" w:color="auto" w:fill="auto"/>
            <w:noWrap/>
            <w:vAlign w:val="center"/>
            <w:hideMark/>
          </w:tcPr>
          <w:p w:rsidR="002C5178" w:rsidRPr="002C5178" w:rsidRDefault="002C5178" w:rsidP="002C517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8"/>
                <w:szCs w:val="18"/>
                <w:lang w:val="en-US" w:eastAsia="zh-CN"/>
              </w:rPr>
            </w:pPr>
            <w:r w:rsidRPr="002C5178">
              <w:rPr>
                <w:rFonts w:asciiTheme="minorHAnsi" w:hAnsiTheme="minorHAnsi" w:cs="Arial"/>
                <w:b/>
                <w:bCs/>
                <w:color w:val="000000"/>
                <w:sz w:val="18"/>
                <w:szCs w:val="18"/>
                <w:lang w:val="en-US" w:eastAsia="zh-CN"/>
              </w:rPr>
              <w:t>2</w:t>
            </w:r>
            <w:r w:rsidR="0098600C">
              <w:rPr>
                <w:rFonts w:asciiTheme="minorHAnsi" w:hAnsiTheme="minorHAnsi" w:cs="Arial"/>
                <w:b/>
                <w:bCs/>
                <w:color w:val="000000"/>
                <w:sz w:val="18"/>
                <w:szCs w:val="18"/>
                <w:lang w:val="en-US" w:eastAsia="zh-CN"/>
              </w:rPr>
              <w:t>,</w:t>
            </w:r>
            <w:r w:rsidRPr="002C5178">
              <w:rPr>
                <w:rFonts w:asciiTheme="minorHAnsi" w:hAnsiTheme="minorHAnsi" w:cs="Arial"/>
                <w:b/>
                <w:bCs/>
                <w:color w:val="000000"/>
                <w:sz w:val="18"/>
                <w:szCs w:val="18"/>
                <w:lang w:val="en-US" w:eastAsia="zh-CN"/>
              </w:rPr>
              <w:t>255</w:t>
            </w:r>
          </w:p>
        </w:tc>
        <w:tc>
          <w:tcPr>
            <w:tcW w:w="732" w:type="dxa"/>
            <w:tcBorders>
              <w:top w:val="nil"/>
              <w:left w:val="nil"/>
              <w:bottom w:val="single" w:sz="8" w:space="0" w:color="auto"/>
              <w:right w:val="single" w:sz="4" w:space="0" w:color="auto"/>
            </w:tcBorders>
            <w:shd w:val="clear" w:color="auto" w:fill="auto"/>
            <w:noWrap/>
            <w:vAlign w:val="center"/>
            <w:hideMark/>
          </w:tcPr>
          <w:p w:rsidR="002C5178" w:rsidRPr="002C5178" w:rsidRDefault="002C5178" w:rsidP="00903C8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8"/>
                <w:szCs w:val="18"/>
                <w:lang w:val="en-US" w:eastAsia="zh-CN"/>
              </w:rPr>
            </w:pPr>
            <w:r w:rsidRPr="002C5178">
              <w:rPr>
                <w:rFonts w:asciiTheme="minorHAnsi" w:hAnsiTheme="minorHAnsi" w:cs="Arial"/>
                <w:b/>
                <w:bCs/>
                <w:color w:val="000000"/>
                <w:sz w:val="18"/>
                <w:szCs w:val="18"/>
                <w:lang w:val="en-US" w:eastAsia="zh-CN"/>
              </w:rPr>
              <w:t>2</w:t>
            </w:r>
            <w:r w:rsidR="0098600C">
              <w:rPr>
                <w:rFonts w:asciiTheme="minorHAnsi" w:hAnsiTheme="minorHAnsi" w:cs="Arial"/>
                <w:b/>
                <w:bCs/>
                <w:color w:val="000000"/>
                <w:sz w:val="18"/>
                <w:szCs w:val="18"/>
                <w:lang w:val="en-US" w:eastAsia="zh-CN"/>
              </w:rPr>
              <w:t>,</w:t>
            </w:r>
            <w:r w:rsidR="00903C8F">
              <w:rPr>
                <w:rFonts w:asciiTheme="minorHAnsi" w:hAnsiTheme="minorHAnsi" w:cs="Arial"/>
                <w:b/>
                <w:bCs/>
                <w:color w:val="000000"/>
                <w:sz w:val="18"/>
                <w:szCs w:val="18"/>
                <w:lang w:val="en-US" w:eastAsia="zh-CN"/>
              </w:rPr>
              <w:t>091</w:t>
            </w:r>
          </w:p>
        </w:tc>
        <w:tc>
          <w:tcPr>
            <w:tcW w:w="911" w:type="dxa"/>
            <w:tcBorders>
              <w:top w:val="nil"/>
              <w:left w:val="nil"/>
              <w:bottom w:val="single" w:sz="8" w:space="0" w:color="auto"/>
              <w:right w:val="single" w:sz="8" w:space="0" w:color="auto"/>
            </w:tcBorders>
            <w:shd w:val="clear" w:color="auto" w:fill="auto"/>
            <w:noWrap/>
            <w:vAlign w:val="center"/>
            <w:hideMark/>
          </w:tcPr>
          <w:p w:rsidR="002C5178" w:rsidRPr="002C5178" w:rsidRDefault="002C5178" w:rsidP="00903C8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8"/>
                <w:szCs w:val="18"/>
                <w:lang w:val="en-US" w:eastAsia="zh-CN"/>
              </w:rPr>
            </w:pPr>
            <w:r w:rsidRPr="002C5178">
              <w:rPr>
                <w:rFonts w:asciiTheme="minorHAnsi" w:hAnsiTheme="minorHAnsi" w:cs="Arial"/>
                <w:b/>
                <w:bCs/>
                <w:color w:val="000000"/>
                <w:sz w:val="18"/>
                <w:szCs w:val="18"/>
                <w:lang w:val="en-US" w:eastAsia="zh-CN"/>
              </w:rPr>
              <w:t>2</w:t>
            </w:r>
            <w:r w:rsidR="0098600C">
              <w:rPr>
                <w:rFonts w:asciiTheme="minorHAnsi" w:hAnsiTheme="minorHAnsi" w:cs="Arial"/>
                <w:b/>
                <w:bCs/>
                <w:color w:val="000000"/>
                <w:sz w:val="18"/>
                <w:szCs w:val="18"/>
                <w:lang w:val="en-US" w:eastAsia="zh-CN"/>
              </w:rPr>
              <w:t>,</w:t>
            </w:r>
            <w:r w:rsidRPr="002C5178">
              <w:rPr>
                <w:rFonts w:asciiTheme="minorHAnsi" w:hAnsiTheme="minorHAnsi" w:cs="Arial"/>
                <w:b/>
                <w:bCs/>
                <w:color w:val="000000"/>
                <w:sz w:val="18"/>
                <w:szCs w:val="18"/>
                <w:lang w:val="en-US" w:eastAsia="zh-CN"/>
              </w:rPr>
              <w:t>1</w:t>
            </w:r>
            <w:r w:rsidR="00903C8F">
              <w:rPr>
                <w:rFonts w:asciiTheme="minorHAnsi" w:hAnsiTheme="minorHAnsi" w:cs="Arial"/>
                <w:b/>
                <w:bCs/>
                <w:color w:val="000000"/>
                <w:sz w:val="18"/>
                <w:szCs w:val="18"/>
                <w:lang w:val="en-US" w:eastAsia="zh-CN"/>
              </w:rPr>
              <w:t>73</w:t>
            </w:r>
          </w:p>
        </w:tc>
        <w:tc>
          <w:tcPr>
            <w:tcW w:w="749" w:type="dxa"/>
            <w:tcBorders>
              <w:top w:val="nil"/>
              <w:left w:val="nil"/>
              <w:bottom w:val="single" w:sz="8" w:space="0" w:color="auto"/>
              <w:right w:val="single" w:sz="4" w:space="0" w:color="auto"/>
            </w:tcBorders>
            <w:shd w:val="clear" w:color="auto" w:fill="auto"/>
            <w:noWrap/>
            <w:vAlign w:val="center"/>
            <w:hideMark/>
          </w:tcPr>
          <w:p w:rsidR="002C5178" w:rsidRPr="002C5178" w:rsidRDefault="002C5178" w:rsidP="00903C8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8"/>
                <w:szCs w:val="18"/>
                <w:lang w:val="en-US" w:eastAsia="zh-CN"/>
              </w:rPr>
            </w:pPr>
            <w:r w:rsidRPr="002C5178">
              <w:rPr>
                <w:rFonts w:asciiTheme="minorHAnsi" w:hAnsiTheme="minorHAnsi" w:cs="Arial"/>
                <w:b/>
                <w:bCs/>
                <w:color w:val="000000"/>
                <w:sz w:val="18"/>
                <w:szCs w:val="18"/>
                <w:lang w:val="en-US" w:eastAsia="zh-CN"/>
              </w:rPr>
              <w:t>8</w:t>
            </w:r>
            <w:r w:rsidR="00903C8F">
              <w:rPr>
                <w:rFonts w:asciiTheme="minorHAnsi" w:hAnsiTheme="minorHAnsi" w:cs="Arial"/>
                <w:b/>
                <w:bCs/>
                <w:color w:val="000000"/>
                <w:sz w:val="18"/>
                <w:szCs w:val="18"/>
                <w:lang w:val="en-US" w:eastAsia="zh-CN"/>
              </w:rPr>
              <w:t>95</w:t>
            </w:r>
          </w:p>
        </w:tc>
        <w:tc>
          <w:tcPr>
            <w:tcW w:w="704" w:type="dxa"/>
            <w:tcBorders>
              <w:top w:val="nil"/>
              <w:left w:val="nil"/>
              <w:bottom w:val="single" w:sz="8" w:space="0" w:color="auto"/>
              <w:right w:val="single" w:sz="8" w:space="0" w:color="auto"/>
            </w:tcBorders>
            <w:shd w:val="clear" w:color="auto" w:fill="auto"/>
            <w:noWrap/>
            <w:vAlign w:val="center"/>
            <w:hideMark/>
          </w:tcPr>
          <w:p w:rsidR="002C5178" w:rsidRPr="002C5178" w:rsidRDefault="002C5178" w:rsidP="00903C8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8"/>
                <w:szCs w:val="18"/>
                <w:lang w:val="en-US" w:eastAsia="zh-CN"/>
              </w:rPr>
            </w:pPr>
            <w:r w:rsidRPr="002C5178">
              <w:rPr>
                <w:rFonts w:asciiTheme="minorHAnsi" w:hAnsiTheme="minorHAnsi" w:cs="Arial"/>
                <w:b/>
                <w:bCs/>
                <w:color w:val="000000"/>
                <w:sz w:val="18"/>
                <w:szCs w:val="18"/>
                <w:lang w:val="en-US" w:eastAsia="zh-CN"/>
              </w:rPr>
              <w:t>8</w:t>
            </w:r>
            <w:r w:rsidR="00903C8F">
              <w:rPr>
                <w:rFonts w:asciiTheme="minorHAnsi" w:hAnsiTheme="minorHAnsi" w:cs="Arial"/>
                <w:b/>
                <w:bCs/>
                <w:color w:val="000000"/>
                <w:sz w:val="18"/>
                <w:szCs w:val="18"/>
                <w:lang w:val="en-US" w:eastAsia="zh-CN"/>
              </w:rPr>
              <w:t>35</w:t>
            </w:r>
          </w:p>
        </w:tc>
        <w:tc>
          <w:tcPr>
            <w:tcW w:w="719" w:type="dxa"/>
            <w:tcBorders>
              <w:top w:val="nil"/>
              <w:left w:val="nil"/>
              <w:bottom w:val="single" w:sz="8" w:space="0" w:color="auto"/>
              <w:right w:val="single" w:sz="4" w:space="0" w:color="auto"/>
            </w:tcBorders>
            <w:shd w:val="clear" w:color="auto" w:fill="auto"/>
            <w:noWrap/>
            <w:vAlign w:val="center"/>
            <w:hideMark/>
          </w:tcPr>
          <w:p w:rsidR="002C5178" w:rsidRPr="002C5178" w:rsidRDefault="002C5178" w:rsidP="006A503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8"/>
                <w:szCs w:val="18"/>
                <w:lang w:val="en-US" w:eastAsia="zh-CN"/>
              </w:rPr>
            </w:pPr>
            <w:r w:rsidRPr="002C5178">
              <w:rPr>
                <w:rFonts w:asciiTheme="minorHAnsi" w:hAnsiTheme="minorHAnsi" w:cs="Arial"/>
                <w:b/>
                <w:bCs/>
                <w:color w:val="000000"/>
                <w:sz w:val="18"/>
                <w:szCs w:val="18"/>
                <w:lang w:val="en-US" w:eastAsia="zh-CN"/>
              </w:rPr>
              <w:t>1</w:t>
            </w:r>
            <w:r w:rsidR="0098600C">
              <w:rPr>
                <w:rFonts w:asciiTheme="minorHAnsi" w:hAnsiTheme="minorHAnsi" w:cs="Arial"/>
                <w:b/>
                <w:bCs/>
                <w:color w:val="000000"/>
                <w:sz w:val="18"/>
                <w:szCs w:val="18"/>
                <w:lang w:val="en-US" w:eastAsia="zh-CN"/>
              </w:rPr>
              <w:t>,</w:t>
            </w:r>
            <w:r w:rsidRPr="002C5178">
              <w:rPr>
                <w:rFonts w:asciiTheme="minorHAnsi" w:hAnsiTheme="minorHAnsi" w:cs="Arial"/>
                <w:b/>
                <w:bCs/>
                <w:color w:val="000000"/>
                <w:sz w:val="18"/>
                <w:szCs w:val="18"/>
                <w:lang w:val="en-US" w:eastAsia="zh-CN"/>
              </w:rPr>
              <w:t>3</w:t>
            </w:r>
            <w:r w:rsidR="00903C8F">
              <w:rPr>
                <w:rFonts w:asciiTheme="minorHAnsi" w:hAnsiTheme="minorHAnsi" w:cs="Arial"/>
                <w:b/>
                <w:bCs/>
                <w:color w:val="000000"/>
                <w:sz w:val="18"/>
                <w:szCs w:val="18"/>
                <w:lang w:val="en-US" w:eastAsia="zh-CN"/>
              </w:rPr>
              <w:t>07</w:t>
            </w:r>
          </w:p>
        </w:tc>
        <w:tc>
          <w:tcPr>
            <w:tcW w:w="704" w:type="dxa"/>
            <w:tcBorders>
              <w:top w:val="nil"/>
              <w:left w:val="nil"/>
              <w:bottom w:val="single" w:sz="8" w:space="0" w:color="auto"/>
              <w:right w:val="single" w:sz="8" w:space="0" w:color="auto"/>
            </w:tcBorders>
            <w:shd w:val="clear" w:color="auto" w:fill="auto"/>
            <w:noWrap/>
            <w:vAlign w:val="center"/>
            <w:hideMark/>
          </w:tcPr>
          <w:p w:rsidR="002C5178" w:rsidRPr="002C5178" w:rsidRDefault="002C5178" w:rsidP="00903C8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8"/>
                <w:szCs w:val="18"/>
                <w:lang w:val="en-US" w:eastAsia="zh-CN"/>
              </w:rPr>
            </w:pPr>
            <w:r w:rsidRPr="002C5178">
              <w:rPr>
                <w:rFonts w:asciiTheme="minorHAnsi" w:hAnsiTheme="minorHAnsi" w:cs="Arial"/>
                <w:b/>
                <w:bCs/>
                <w:color w:val="000000"/>
                <w:sz w:val="18"/>
                <w:szCs w:val="18"/>
                <w:lang w:val="en-US" w:eastAsia="zh-CN"/>
              </w:rPr>
              <w:t>1</w:t>
            </w:r>
            <w:r w:rsidR="0098600C">
              <w:rPr>
                <w:rFonts w:asciiTheme="minorHAnsi" w:hAnsiTheme="minorHAnsi" w:cs="Arial"/>
                <w:b/>
                <w:bCs/>
                <w:color w:val="000000"/>
                <w:sz w:val="18"/>
                <w:szCs w:val="18"/>
                <w:lang w:val="en-US" w:eastAsia="zh-CN"/>
              </w:rPr>
              <w:t>,</w:t>
            </w:r>
            <w:r w:rsidR="00903C8F">
              <w:rPr>
                <w:rFonts w:asciiTheme="minorHAnsi" w:hAnsiTheme="minorHAnsi" w:cs="Arial"/>
                <w:b/>
                <w:bCs/>
                <w:color w:val="000000"/>
                <w:sz w:val="18"/>
                <w:szCs w:val="18"/>
                <w:lang w:val="en-US" w:eastAsia="zh-CN"/>
              </w:rPr>
              <w:t>282</w:t>
            </w:r>
          </w:p>
        </w:tc>
        <w:tc>
          <w:tcPr>
            <w:tcW w:w="730" w:type="dxa"/>
            <w:tcBorders>
              <w:top w:val="nil"/>
              <w:left w:val="nil"/>
              <w:bottom w:val="single" w:sz="8" w:space="0" w:color="auto"/>
              <w:right w:val="single" w:sz="4" w:space="0" w:color="auto"/>
            </w:tcBorders>
            <w:shd w:val="clear" w:color="auto" w:fill="auto"/>
            <w:noWrap/>
            <w:vAlign w:val="center"/>
            <w:hideMark/>
          </w:tcPr>
          <w:p w:rsidR="002C5178" w:rsidRPr="002C5178" w:rsidRDefault="00903C8F" w:rsidP="00903C8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8"/>
                <w:szCs w:val="18"/>
                <w:lang w:val="en-US" w:eastAsia="zh-CN"/>
              </w:rPr>
            </w:pPr>
            <w:r>
              <w:rPr>
                <w:rFonts w:asciiTheme="minorHAnsi" w:hAnsiTheme="minorHAnsi" w:cs="Arial"/>
                <w:b/>
                <w:bCs/>
                <w:color w:val="000000"/>
                <w:sz w:val="18"/>
                <w:szCs w:val="18"/>
                <w:lang w:val="en-US" w:eastAsia="zh-CN"/>
              </w:rPr>
              <w:t>415</w:t>
            </w:r>
          </w:p>
        </w:tc>
        <w:tc>
          <w:tcPr>
            <w:tcW w:w="704" w:type="dxa"/>
            <w:tcBorders>
              <w:top w:val="nil"/>
              <w:left w:val="nil"/>
              <w:bottom w:val="single" w:sz="8" w:space="0" w:color="auto"/>
              <w:right w:val="single" w:sz="8" w:space="0" w:color="auto"/>
            </w:tcBorders>
            <w:shd w:val="clear" w:color="auto" w:fill="auto"/>
            <w:noWrap/>
            <w:vAlign w:val="center"/>
            <w:hideMark/>
          </w:tcPr>
          <w:p w:rsidR="002C5178" w:rsidRPr="002C5178" w:rsidRDefault="00903C8F" w:rsidP="00903C8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8"/>
                <w:szCs w:val="18"/>
                <w:lang w:val="en-US" w:eastAsia="zh-CN"/>
              </w:rPr>
            </w:pPr>
            <w:r>
              <w:rPr>
                <w:rFonts w:asciiTheme="minorHAnsi" w:hAnsiTheme="minorHAnsi" w:cs="Arial"/>
                <w:b/>
                <w:bCs/>
                <w:color w:val="000000"/>
                <w:sz w:val="18"/>
                <w:szCs w:val="18"/>
                <w:lang w:val="en-US" w:eastAsia="zh-CN"/>
              </w:rPr>
              <w:t>340</w:t>
            </w:r>
          </w:p>
        </w:tc>
        <w:tc>
          <w:tcPr>
            <w:tcW w:w="714" w:type="dxa"/>
            <w:tcBorders>
              <w:top w:val="nil"/>
              <w:left w:val="nil"/>
              <w:bottom w:val="single" w:sz="8" w:space="0" w:color="auto"/>
              <w:right w:val="single" w:sz="4" w:space="0" w:color="auto"/>
            </w:tcBorders>
            <w:shd w:val="clear" w:color="auto" w:fill="auto"/>
            <w:noWrap/>
            <w:vAlign w:val="center"/>
            <w:hideMark/>
          </w:tcPr>
          <w:p w:rsidR="002C5178" w:rsidRPr="002C5178" w:rsidRDefault="00903C8F" w:rsidP="00903C8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8"/>
                <w:szCs w:val="18"/>
                <w:lang w:val="en-US" w:eastAsia="zh-CN"/>
              </w:rPr>
            </w:pPr>
            <w:r>
              <w:rPr>
                <w:rFonts w:asciiTheme="minorHAnsi" w:hAnsiTheme="minorHAnsi" w:cs="Arial"/>
                <w:b/>
                <w:bCs/>
                <w:color w:val="000000"/>
                <w:sz w:val="18"/>
                <w:szCs w:val="18"/>
                <w:lang w:val="en-US" w:eastAsia="zh-CN"/>
              </w:rPr>
              <w:t>555</w:t>
            </w:r>
          </w:p>
        </w:tc>
        <w:tc>
          <w:tcPr>
            <w:tcW w:w="704" w:type="dxa"/>
            <w:tcBorders>
              <w:top w:val="nil"/>
              <w:left w:val="nil"/>
              <w:bottom w:val="single" w:sz="8" w:space="0" w:color="auto"/>
              <w:right w:val="single" w:sz="8" w:space="0" w:color="auto"/>
            </w:tcBorders>
            <w:shd w:val="clear" w:color="auto" w:fill="auto"/>
            <w:noWrap/>
            <w:vAlign w:val="center"/>
            <w:hideMark/>
          </w:tcPr>
          <w:p w:rsidR="002C5178" w:rsidRPr="002C5178" w:rsidRDefault="00903C8F" w:rsidP="00903C8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8"/>
                <w:szCs w:val="18"/>
                <w:lang w:val="en-US" w:eastAsia="zh-CN"/>
              </w:rPr>
            </w:pPr>
            <w:r>
              <w:rPr>
                <w:rFonts w:asciiTheme="minorHAnsi" w:hAnsiTheme="minorHAnsi" w:cs="Arial"/>
                <w:b/>
                <w:bCs/>
                <w:color w:val="000000"/>
                <w:sz w:val="18"/>
                <w:szCs w:val="18"/>
                <w:lang w:val="en-US" w:eastAsia="zh-CN"/>
              </w:rPr>
              <w:t>495</w:t>
            </w:r>
          </w:p>
        </w:tc>
      </w:tr>
    </w:tbl>
    <w:p w:rsidR="004716D5" w:rsidRPr="004716D5" w:rsidRDefault="004716D5" w:rsidP="004716D5">
      <w:pPr>
        <w:ind w:right="425"/>
        <w:jc w:val="both"/>
        <w:rPr>
          <w:lang w:val="en-US"/>
        </w:rPr>
      </w:pPr>
      <w:r w:rsidRPr="004716D5">
        <w:rPr>
          <w:lang w:val="en-US"/>
        </w:rPr>
        <w:t>The variances under non-staff costs are mainly due to the fact that, in the 2016-2017 biennium, the budget for operating expenditure (equipment, supplies, audit, etc.) for BDT as a whole, including regional offices, was centralized under BDT common expenditure, whereas the actual expenditure was booked under each regional office.  This situation has been reviewed in the 2018-2019 budget, for operating expenditures, contributions to the pension fund and MORSS entitlements where the related appropriations have been adjusted and allocated to the regional offices budgets.</w:t>
      </w:r>
    </w:p>
    <w:p w:rsidR="004716D5" w:rsidRPr="004716D5" w:rsidRDefault="004716D5" w:rsidP="004716D5">
      <w:pPr>
        <w:ind w:right="425"/>
        <w:jc w:val="both"/>
        <w:rPr>
          <w:lang w:val="en-US"/>
        </w:rPr>
      </w:pPr>
      <w:r w:rsidRPr="004716D5">
        <w:rPr>
          <w:lang w:val="en-US"/>
        </w:rPr>
        <w:t>Over</w:t>
      </w:r>
      <w:r w:rsidR="00362DBC">
        <w:rPr>
          <w:lang w:val="en-US"/>
        </w:rPr>
        <w:t>-</w:t>
      </w:r>
      <w:r w:rsidRPr="004716D5">
        <w:rPr>
          <w:lang w:val="en-US"/>
        </w:rPr>
        <w:t>expenditure in staff costs for the Africa and America regional offices is mainly due to the under-estimation of staff and other staff costs for the staff members, especially for the contributions to the pension fund, the family allowance, the education grants, the travel allowances, MORSS entitlements and the assignment expenses.</w:t>
      </w:r>
    </w:p>
    <w:p w:rsidR="0022373A" w:rsidRPr="00C007DC" w:rsidRDefault="00A165D6" w:rsidP="006D6709">
      <w:pPr>
        <w:pStyle w:val="Heading5"/>
        <w:ind w:right="425"/>
        <w:jc w:val="both"/>
        <w:rPr>
          <w:lang w:val="en-US"/>
        </w:rPr>
      </w:pPr>
      <w:r w:rsidRPr="00A310CE">
        <w:rPr>
          <w:lang w:val="en-US"/>
        </w:rPr>
        <w:t>Note 2</w:t>
      </w:r>
      <w:r w:rsidR="006D6709">
        <w:rPr>
          <w:lang w:val="en-US"/>
        </w:rPr>
        <w:t>6</w:t>
      </w:r>
      <w:r w:rsidR="0022373A" w:rsidRPr="00A310CE">
        <w:rPr>
          <w:lang w:val="en-US"/>
        </w:rPr>
        <w:tab/>
        <w:t>Reconciliation between budgeted amounts and actual amounts</w:t>
      </w:r>
      <w:bookmarkEnd w:id="136"/>
      <w:bookmarkEnd w:id="137"/>
    </w:p>
    <w:p w:rsidR="0022373A" w:rsidRPr="00C007DC" w:rsidRDefault="0022373A" w:rsidP="00FB79E8">
      <w:pPr>
        <w:ind w:right="425"/>
        <w:jc w:val="both"/>
        <w:rPr>
          <w:b/>
          <w:lang w:val="en-US"/>
        </w:rPr>
      </w:pPr>
      <w:r w:rsidRPr="00C007DC">
        <w:rPr>
          <w:lang w:val="en-US"/>
        </w:rPr>
        <w:t xml:space="preserve">The financial statements </w:t>
      </w:r>
      <w:r w:rsidR="00424DD4" w:rsidRPr="00C007DC">
        <w:rPr>
          <w:lang w:val="en-US"/>
        </w:rPr>
        <w:t>includ</w:t>
      </w:r>
      <w:r w:rsidR="00FB79E8">
        <w:rPr>
          <w:lang w:val="en-US"/>
        </w:rPr>
        <w:t>e</w:t>
      </w:r>
      <w:r w:rsidRPr="00C007DC">
        <w:rPr>
          <w:lang w:val="en-US"/>
        </w:rPr>
        <w:t>:</w:t>
      </w:r>
    </w:p>
    <w:p w:rsidR="0022373A" w:rsidRPr="00C007DC" w:rsidRDefault="0022373A" w:rsidP="00C11E81">
      <w:pPr>
        <w:pStyle w:val="enumlev1"/>
        <w:ind w:right="425"/>
        <w:jc w:val="both"/>
        <w:rPr>
          <w:b/>
          <w:lang w:val="en-US"/>
        </w:rPr>
      </w:pPr>
      <w:r w:rsidRPr="00C007DC">
        <w:rPr>
          <w:lang w:val="en-US"/>
        </w:rPr>
        <w:t>•</w:t>
      </w:r>
      <w:r w:rsidRPr="00C007DC">
        <w:rPr>
          <w:lang w:val="en-US"/>
        </w:rPr>
        <w:tab/>
        <w:t>ITU</w:t>
      </w:r>
      <w:r w:rsidR="00424DD4" w:rsidRPr="00C007DC">
        <w:rPr>
          <w:lang w:val="en-US"/>
        </w:rPr>
        <w:t xml:space="preserve"> regular budget</w:t>
      </w:r>
      <w:r w:rsidR="0012192B" w:rsidRPr="00C007DC">
        <w:rPr>
          <w:lang w:val="en-US"/>
        </w:rPr>
        <w:t>;</w:t>
      </w:r>
    </w:p>
    <w:p w:rsidR="0022373A" w:rsidRPr="00C007DC" w:rsidRDefault="0022373A" w:rsidP="00C11E81">
      <w:pPr>
        <w:pStyle w:val="enumlev1"/>
        <w:ind w:right="425"/>
        <w:jc w:val="both"/>
        <w:rPr>
          <w:b/>
          <w:lang w:val="en-US"/>
        </w:rPr>
      </w:pPr>
      <w:r w:rsidRPr="00C007DC">
        <w:rPr>
          <w:lang w:val="en-US"/>
        </w:rPr>
        <w:t>•</w:t>
      </w:r>
      <w:r w:rsidRPr="00C007DC">
        <w:rPr>
          <w:lang w:val="en-US"/>
        </w:rPr>
        <w:tab/>
      </w:r>
      <w:r w:rsidR="001A29CB" w:rsidRPr="00C007DC">
        <w:rPr>
          <w:lang w:val="en-US"/>
        </w:rPr>
        <w:t xml:space="preserve">ITU </w:t>
      </w:r>
      <w:r w:rsidRPr="00C007DC">
        <w:rPr>
          <w:lang w:val="en-US"/>
        </w:rPr>
        <w:t>TELECOM e</w:t>
      </w:r>
      <w:r w:rsidR="001A29CB" w:rsidRPr="00C007DC">
        <w:rPr>
          <w:lang w:val="en-US"/>
        </w:rPr>
        <w:t>vents</w:t>
      </w:r>
      <w:r w:rsidR="0012192B" w:rsidRPr="00C007DC">
        <w:rPr>
          <w:lang w:val="en-US"/>
        </w:rPr>
        <w:t>;</w:t>
      </w:r>
    </w:p>
    <w:p w:rsidR="0022373A" w:rsidRPr="00C007DC" w:rsidRDefault="0022373A" w:rsidP="00C11E81">
      <w:pPr>
        <w:pStyle w:val="enumlev1"/>
        <w:ind w:right="425"/>
        <w:jc w:val="both"/>
        <w:rPr>
          <w:lang w:val="en-US"/>
        </w:rPr>
      </w:pPr>
      <w:r w:rsidRPr="00C007DC">
        <w:rPr>
          <w:lang w:val="en-US"/>
        </w:rPr>
        <w:t>•</w:t>
      </w:r>
      <w:r w:rsidRPr="00C007DC">
        <w:rPr>
          <w:lang w:val="en-US"/>
        </w:rPr>
        <w:tab/>
      </w:r>
      <w:r w:rsidR="00424DD4" w:rsidRPr="00C007DC">
        <w:rPr>
          <w:lang w:val="en-US"/>
        </w:rPr>
        <w:t>Voluntary</w:t>
      </w:r>
      <w:r w:rsidRPr="00C007DC">
        <w:rPr>
          <w:lang w:val="en-US"/>
        </w:rPr>
        <w:t xml:space="preserve"> contributions</w:t>
      </w:r>
      <w:r w:rsidR="0012192B" w:rsidRPr="00C007DC">
        <w:rPr>
          <w:lang w:val="en-US"/>
        </w:rPr>
        <w:t>;</w:t>
      </w:r>
    </w:p>
    <w:p w:rsidR="0022373A" w:rsidRPr="00C007DC" w:rsidRDefault="0022373A" w:rsidP="00C11E81">
      <w:pPr>
        <w:pStyle w:val="enumlev1"/>
        <w:ind w:right="425"/>
        <w:jc w:val="both"/>
        <w:rPr>
          <w:lang w:val="en-US"/>
        </w:rPr>
      </w:pPr>
      <w:r w:rsidRPr="00C007DC">
        <w:rPr>
          <w:lang w:val="en-US"/>
        </w:rPr>
        <w:t>•</w:t>
      </w:r>
      <w:r w:rsidRPr="00C007DC">
        <w:rPr>
          <w:lang w:val="en-US"/>
        </w:rPr>
        <w:tab/>
        <w:t>SS&amp;B funds</w:t>
      </w:r>
      <w:r w:rsidR="0012192B" w:rsidRPr="00C007DC">
        <w:rPr>
          <w:lang w:val="en-US"/>
        </w:rPr>
        <w:t>;</w:t>
      </w:r>
    </w:p>
    <w:p w:rsidR="0022373A" w:rsidRPr="00C007DC" w:rsidRDefault="0022373A" w:rsidP="00C11E81">
      <w:pPr>
        <w:pStyle w:val="enumlev1"/>
        <w:ind w:right="425"/>
        <w:jc w:val="both"/>
        <w:rPr>
          <w:lang w:val="en-US"/>
        </w:rPr>
      </w:pPr>
      <w:r w:rsidRPr="00C007DC">
        <w:rPr>
          <w:lang w:val="en-US"/>
        </w:rPr>
        <w:t>•</w:t>
      </w:r>
      <w:r w:rsidRPr="00C007DC">
        <w:rPr>
          <w:lang w:val="en-US"/>
        </w:rPr>
        <w:tab/>
        <w:t>UNDP, trust funds and ICTDF projects.</w:t>
      </w:r>
    </w:p>
    <w:p w:rsidR="0022373A" w:rsidRPr="00C007DC" w:rsidRDefault="0022373A" w:rsidP="00C11E81">
      <w:pPr>
        <w:ind w:right="425"/>
        <w:jc w:val="both"/>
        <w:rPr>
          <w:lang w:val="en-US"/>
        </w:rPr>
      </w:pPr>
      <w:r w:rsidRPr="00C007DC">
        <w:rPr>
          <w:lang w:val="en-US"/>
        </w:rPr>
        <w:t>The Union</w:t>
      </w:r>
      <w:r w:rsidR="007A552E" w:rsidRPr="00C007DC">
        <w:rPr>
          <w:lang w:val="en-US"/>
        </w:rPr>
        <w:t>’</w:t>
      </w:r>
      <w:r w:rsidRPr="00C007DC">
        <w:rPr>
          <w:lang w:val="en-US"/>
        </w:rPr>
        <w:t>s budget and financial statements are establis</w:t>
      </w:r>
      <w:r w:rsidR="00840C32" w:rsidRPr="00C007DC">
        <w:rPr>
          <w:lang w:val="en-US"/>
        </w:rPr>
        <w:t xml:space="preserve">hed on different bases. </w:t>
      </w:r>
      <w:r w:rsidR="000A039E" w:rsidRPr="00C007DC">
        <w:rPr>
          <w:lang w:val="en-US"/>
        </w:rPr>
        <w:t xml:space="preserve">The </w:t>
      </w:r>
      <w:r w:rsidR="00111BDD" w:rsidRPr="00C007DC">
        <w:rPr>
          <w:lang w:val="en-US"/>
        </w:rPr>
        <w:t>201</w:t>
      </w:r>
      <w:r w:rsidR="00E755AA">
        <w:rPr>
          <w:lang w:val="en-US"/>
        </w:rPr>
        <w:t>6</w:t>
      </w:r>
      <w:r w:rsidR="000A039E" w:rsidRPr="00C007DC">
        <w:rPr>
          <w:lang w:val="en-US"/>
        </w:rPr>
        <w:t>-201</w:t>
      </w:r>
      <w:r w:rsidR="00E755AA">
        <w:rPr>
          <w:lang w:val="en-US"/>
        </w:rPr>
        <w:t>7</w:t>
      </w:r>
      <w:r w:rsidRPr="00C007DC">
        <w:rPr>
          <w:lang w:val="en-US"/>
        </w:rPr>
        <w:t xml:space="preserve"> budget is established on a mixed basis, with a number of specific items that are not dealt with on an accrual basis. Furthermore, the ITU budget deals solely with the Union</w:t>
      </w:r>
      <w:r w:rsidR="007A552E" w:rsidRPr="00C007DC">
        <w:rPr>
          <w:lang w:val="en-US"/>
        </w:rPr>
        <w:t>’</w:t>
      </w:r>
      <w:r w:rsidRPr="00C007DC">
        <w:rPr>
          <w:lang w:val="en-US"/>
        </w:rPr>
        <w:t>s core activity and not with activities financed by voluntary contributions, projects and funds.</w:t>
      </w:r>
    </w:p>
    <w:p w:rsidR="0022373A" w:rsidRPr="00C007DC" w:rsidRDefault="0022373A" w:rsidP="00C11E81">
      <w:pPr>
        <w:ind w:right="425"/>
        <w:jc w:val="both"/>
        <w:rPr>
          <w:lang w:val="en-US"/>
        </w:rPr>
      </w:pPr>
      <w:r w:rsidRPr="00C007DC">
        <w:rPr>
          <w:lang w:val="en-US"/>
        </w:rPr>
        <w:t>The Union</w:t>
      </w:r>
      <w:r w:rsidR="007A552E" w:rsidRPr="00C007DC">
        <w:rPr>
          <w:lang w:val="en-US"/>
        </w:rPr>
        <w:t>’</w:t>
      </w:r>
      <w:r w:rsidRPr="00C007DC">
        <w:rPr>
          <w:lang w:val="en-US"/>
        </w:rPr>
        <w:t>s financial statements are drawn up on an accrual basis using a classification based on the nature of the expenses recorded in the statement of financial performance (see Table II).</w:t>
      </w:r>
    </w:p>
    <w:p w:rsidR="0022373A" w:rsidRPr="00C007DC" w:rsidRDefault="0022373A" w:rsidP="00C11E81">
      <w:pPr>
        <w:ind w:right="425"/>
        <w:jc w:val="both"/>
        <w:rPr>
          <w:lang w:val="en-US"/>
        </w:rPr>
      </w:pPr>
      <w:r w:rsidRPr="00C007DC">
        <w:rPr>
          <w:lang w:val="en-US"/>
        </w:rPr>
        <w:t xml:space="preserve">The </w:t>
      </w:r>
      <w:r w:rsidR="00840C32" w:rsidRPr="00C007DC">
        <w:rPr>
          <w:lang w:val="en-US"/>
        </w:rPr>
        <w:t xml:space="preserve">perimeter </w:t>
      </w:r>
      <w:r w:rsidR="001A29CB" w:rsidRPr="00C007DC">
        <w:rPr>
          <w:lang w:val="en-US"/>
        </w:rPr>
        <w:t>differences are</w:t>
      </w:r>
      <w:r w:rsidR="00840C32" w:rsidRPr="00C007DC">
        <w:rPr>
          <w:lang w:val="en-US"/>
        </w:rPr>
        <w:t xml:space="preserve"> due to the </w:t>
      </w:r>
      <w:r w:rsidR="00C81B79" w:rsidRPr="00C007DC">
        <w:rPr>
          <w:lang w:val="en-US"/>
        </w:rPr>
        <w:t>Extra-budgetary</w:t>
      </w:r>
      <w:r w:rsidRPr="00C007DC">
        <w:rPr>
          <w:lang w:val="en-US"/>
        </w:rPr>
        <w:t xml:space="preserve"> funds</w:t>
      </w:r>
      <w:r w:rsidR="00840C32" w:rsidRPr="00C007DC">
        <w:rPr>
          <w:lang w:val="en-US"/>
        </w:rPr>
        <w:t>, which are not part of the regular budget.</w:t>
      </w:r>
      <w:r w:rsidRPr="00C007DC">
        <w:rPr>
          <w:lang w:val="en-US"/>
        </w:rPr>
        <w:t xml:space="preserve"> In order to reconcile the final result for budgetary control of the net result of the period after IPSAS adjustments, account has to be taken of the differences between the budget presentation and the</w:t>
      </w:r>
      <w:r w:rsidR="00424DD4" w:rsidRPr="00C007DC">
        <w:rPr>
          <w:lang w:val="en-US"/>
        </w:rPr>
        <w:t xml:space="preserve"> accrual accounting (see Table </w:t>
      </w:r>
      <w:r w:rsidRPr="00C007DC">
        <w:rPr>
          <w:lang w:val="en-US"/>
        </w:rPr>
        <w:t>V). In the budget, expenses relating to non-expendable equipment are recognized as investment expenses. In accrual accounting, non-expendable equipment (items over CHF 5</w:t>
      </w:r>
      <w:r w:rsidR="00717DC9" w:rsidRPr="00C007DC">
        <w:rPr>
          <w:lang w:val="en-US"/>
        </w:rPr>
        <w:t>’</w:t>
      </w:r>
      <w:r w:rsidRPr="00C007DC">
        <w:rPr>
          <w:lang w:val="en-US"/>
        </w:rPr>
        <w:t xml:space="preserve">000) are entered in the accounts as fixed assets and depreciated over their probable period of use, with the exception of </w:t>
      </w:r>
      <w:r w:rsidR="00424DD4" w:rsidRPr="00C007DC">
        <w:rPr>
          <w:lang w:val="en-US"/>
        </w:rPr>
        <w:t xml:space="preserve">fixed assets acquired with </w:t>
      </w:r>
      <w:r w:rsidR="00C81B79" w:rsidRPr="00C007DC">
        <w:rPr>
          <w:lang w:val="en-US"/>
        </w:rPr>
        <w:t>Extra-budgetary</w:t>
      </w:r>
      <w:r w:rsidR="00424DD4" w:rsidRPr="00C007DC">
        <w:rPr>
          <w:lang w:val="en-US"/>
        </w:rPr>
        <w:t xml:space="preserve"> funds and transferred to </w:t>
      </w:r>
      <w:r w:rsidR="00892E42" w:rsidRPr="00C007DC">
        <w:rPr>
          <w:lang w:val="en-US"/>
        </w:rPr>
        <w:t xml:space="preserve">the </w:t>
      </w:r>
      <w:r w:rsidR="00424DD4" w:rsidRPr="00C007DC">
        <w:rPr>
          <w:lang w:val="en-US"/>
        </w:rPr>
        <w:t>beneficiary of the project</w:t>
      </w:r>
      <w:r w:rsidRPr="00C007DC">
        <w:rPr>
          <w:lang w:val="en-US"/>
        </w:rPr>
        <w:t>. The depreciation expense associated with the fixed assets is recognized in the statement of financial performance and is not taken into account in the budget.</w:t>
      </w:r>
    </w:p>
    <w:p w:rsidR="0022373A" w:rsidRPr="00C007DC" w:rsidRDefault="0022373A" w:rsidP="00C11E81">
      <w:pPr>
        <w:ind w:right="425"/>
        <w:jc w:val="both"/>
        <w:rPr>
          <w:lang w:val="en-US"/>
        </w:rPr>
      </w:pPr>
      <w:r w:rsidRPr="00C007DC">
        <w:rPr>
          <w:lang w:val="en-US"/>
        </w:rPr>
        <w:t xml:space="preserve">In the budget, expenses corresponding to employee benefits are taken into account as and when they are paid, whereas in accrual accounting a part of the expenses is estimated by an actuary using a methodology set out in the accounting standards. </w:t>
      </w:r>
      <w:r w:rsidR="001A29CB" w:rsidRPr="00C007DC">
        <w:rPr>
          <w:lang w:val="en-US"/>
        </w:rPr>
        <w:t>After</w:t>
      </w:r>
      <w:r w:rsidR="001C0566" w:rsidRPr="00C007DC">
        <w:rPr>
          <w:lang w:val="en-US"/>
        </w:rPr>
        <w:t>-</w:t>
      </w:r>
      <w:r w:rsidR="001A29CB" w:rsidRPr="00C007DC">
        <w:rPr>
          <w:lang w:val="en-US"/>
        </w:rPr>
        <w:t>service</w:t>
      </w:r>
      <w:r w:rsidRPr="00C007DC">
        <w:rPr>
          <w:lang w:val="en-US"/>
        </w:rPr>
        <w:t xml:space="preserve"> health </w:t>
      </w:r>
      <w:r w:rsidR="001A29CB" w:rsidRPr="00C007DC">
        <w:rPr>
          <w:lang w:val="en-US"/>
        </w:rPr>
        <w:t xml:space="preserve">insurance </w:t>
      </w:r>
      <w:r w:rsidRPr="00C007DC">
        <w:rPr>
          <w:lang w:val="en-US"/>
        </w:rPr>
        <w:t>obligations are recognized in the statement of financial position, as indicated in Note 1</w:t>
      </w:r>
      <w:r w:rsidR="00E755AA">
        <w:rPr>
          <w:lang w:val="en-US"/>
        </w:rPr>
        <w:t>6</w:t>
      </w:r>
      <w:r w:rsidRPr="00C007DC">
        <w:rPr>
          <w:lang w:val="en-US"/>
        </w:rPr>
        <w:t>. Realized and unrealized exchange-rate differences are not taken into account in the budget but reflected in the statement of financial performance. The same goes for the provision for doubtful debts and recognition of inventories. Repayment of the FIPOI loan was not considered as an expense in the statement of financial performance, even though it had been budgeted.</w:t>
      </w:r>
    </w:p>
    <w:p w:rsidR="0022373A" w:rsidRPr="00C007DC" w:rsidRDefault="0022373A" w:rsidP="00C11E81">
      <w:pPr>
        <w:ind w:right="425"/>
        <w:jc w:val="both"/>
        <w:rPr>
          <w:lang w:val="en-US"/>
        </w:rPr>
      </w:pPr>
      <w:r w:rsidRPr="00C007DC">
        <w:rPr>
          <w:lang w:val="en-US"/>
        </w:rPr>
        <w:t>Interest associated with the interest-free loans granted by FIPOI was calculated under normal market conditions and was not paid but was recognized as an in-kind contribution and expense in the statement of financial performance.</w:t>
      </w:r>
    </w:p>
    <w:p w:rsidR="003938C6" w:rsidRDefault="00E31694" w:rsidP="00140423">
      <w:pPr>
        <w:ind w:right="425"/>
        <w:jc w:val="both"/>
      </w:pPr>
      <w:r w:rsidRPr="00C54FCF">
        <w:t xml:space="preserve">In the </w:t>
      </w:r>
      <w:r w:rsidR="00111BDD" w:rsidRPr="00C54FCF">
        <w:t>201</w:t>
      </w:r>
      <w:r w:rsidR="00140423">
        <w:t>7</w:t>
      </w:r>
      <w:r w:rsidR="00424DD4" w:rsidRPr="00C54FCF">
        <w:t xml:space="preserve"> financial year, r</w:t>
      </w:r>
      <w:r w:rsidRPr="00C54FCF">
        <w:t>evenue and expenses of CHF 16</w:t>
      </w:r>
      <w:r w:rsidR="00E755AA">
        <w:t>0.</w:t>
      </w:r>
      <w:r w:rsidR="00140423">
        <w:t>86</w:t>
      </w:r>
      <w:r w:rsidR="00424DD4" w:rsidRPr="00C54FCF">
        <w:t xml:space="preserve"> million were budgeted.</w:t>
      </w:r>
      <w:r w:rsidR="002D37B7" w:rsidRPr="00C54FCF">
        <w:t xml:space="preserve"> A constant monitoring of expenses as well as increase revenue from cost recovery </w:t>
      </w:r>
      <w:r w:rsidR="00E755AA">
        <w:t>and sales of publications</w:t>
      </w:r>
      <w:r w:rsidR="002D37B7" w:rsidRPr="00C54FCF">
        <w:t xml:space="preserve"> resulted in a budgetary surplus of CHF</w:t>
      </w:r>
      <w:r w:rsidRPr="00C54FCF">
        <w:t xml:space="preserve"> </w:t>
      </w:r>
      <w:r w:rsidR="00140423">
        <w:t>11.36</w:t>
      </w:r>
      <w:r w:rsidR="00AC6F43" w:rsidRPr="00C54FCF">
        <w:t xml:space="preserve"> million</w:t>
      </w:r>
      <w:r w:rsidR="00C54FCF" w:rsidRPr="00C54FCF">
        <w:t>.</w:t>
      </w:r>
    </w:p>
    <w:p w:rsidR="001762E6" w:rsidRDefault="001762E6" w:rsidP="007C11C4">
      <w:pPr>
        <w:spacing w:before="0"/>
        <w:ind w:right="425"/>
        <w:jc w:val="both"/>
      </w:pPr>
    </w:p>
    <w:tbl>
      <w:tblPr>
        <w:tblW w:w="5000" w:type="pct"/>
        <w:tblLook w:val="04A0" w:firstRow="1" w:lastRow="0" w:firstColumn="1" w:lastColumn="0" w:noHBand="0" w:noVBand="1"/>
      </w:tblPr>
      <w:tblGrid>
        <w:gridCol w:w="4243"/>
        <w:gridCol w:w="1985"/>
        <w:gridCol w:w="1275"/>
        <w:gridCol w:w="1249"/>
        <w:gridCol w:w="1009"/>
      </w:tblGrid>
      <w:tr w:rsidR="004009E9" w:rsidRPr="004009E9" w:rsidTr="004009E9">
        <w:trPr>
          <w:trHeight w:val="270"/>
        </w:trPr>
        <w:tc>
          <w:tcPr>
            <w:tcW w:w="217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bookmarkStart w:id="138" w:name="_Toc305764119"/>
            <w:bookmarkStart w:id="139" w:name="_Toc329011661"/>
            <w:r w:rsidRPr="004009E9">
              <w:rPr>
                <w:rFonts w:cs="Arial"/>
                <w:color w:val="000000"/>
                <w:sz w:val="18"/>
                <w:szCs w:val="18"/>
                <w:lang w:val="en-US" w:eastAsia="zh-CN"/>
              </w:rPr>
              <w:t> </w:t>
            </w:r>
          </w:p>
        </w:tc>
        <w:tc>
          <w:tcPr>
            <w:tcW w:w="2827" w:type="pct"/>
            <w:gridSpan w:val="4"/>
            <w:tcBorders>
              <w:top w:val="single" w:sz="8" w:space="0" w:color="auto"/>
              <w:left w:val="nil"/>
              <w:bottom w:val="single" w:sz="8" w:space="0" w:color="auto"/>
              <w:right w:val="single" w:sz="8" w:space="0" w:color="000000"/>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18"/>
                <w:szCs w:val="18"/>
                <w:lang w:val="en-US" w:eastAsia="zh-CN"/>
              </w:rPr>
            </w:pPr>
            <w:r w:rsidRPr="004009E9">
              <w:rPr>
                <w:rFonts w:cs="Arial"/>
                <w:b/>
                <w:bCs/>
                <w:color w:val="000000"/>
                <w:sz w:val="18"/>
                <w:szCs w:val="18"/>
                <w:lang w:val="en-US" w:eastAsia="zh-CN"/>
              </w:rPr>
              <w:t>2017</w:t>
            </w:r>
          </w:p>
        </w:tc>
      </w:tr>
      <w:tr w:rsidR="004009E9" w:rsidRPr="004009E9" w:rsidTr="004009E9">
        <w:trPr>
          <w:trHeight w:val="270"/>
        </w:trPr>
        <w:tc>
          <w:tcPr>
            <w:tcW w:w="2173" w:type="pct"/>
            <w:tcBorders>
              <w:top w:val="nil"/>
              <w:left w:val="single" w:sz="8" w:space="0" w:color="auto"/>
              <w:bottom w:val="single" w:sz="8" w:space="0" w:color="auto"/>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4009E9">
              <w:rPr>
                <w:rFonts w:cs="Arial"/>
                <w:color w:val="000000"/>
                <w:sz w:val="18"/>
                <w:szCs w:val="18"/>
                <w:lang w:val="en-US" w:eastAsia="zh-CN"/>
              </w:rPr>
              <w:t> </w:t>
            </w:r>
          </w:p>
        </w:tc>
        <w:tc>
          <w:tcPr>
            <w:tcW w:w="1017" w:type="pct"/>
            <w:tcBorders>
              <w:top w:val="nil"/>
              <w:left w:val="nil"/>
              <w:bottom w:val="single" w:sz="8" w:space="0" w:color="auto"/>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18"/>
                <w:szCs w:val="18"/>
                <w:lang w:val="en-US" w:eastAsia="zh-CN"/>
              </w:rPr>
            </w:pPr>
            <w:r w:rsidRPr="004009E9">
              <w:rPr>
                <w:rFonts w:cs="Arial"/>
                <w:b/>
                <w:bCs/>
                <w:color w:val="000000"/>
                <w:sz w:val="18"/>
                <w:szCs w:val="18"/>
                <w:lang w:val="en-US" w:eastAsia="zh-CN"/>
              </w:rPr>
              <w:t>Operating</w:t>
            </w:r>
          </w:p>
        </w:tc>
        <w:tc>
          <w:tcPr>
            <w:tcW w:w="653" w:type="pct"/>
            <w:tcBorders>
              <w:top w:val="nil"/>
              <w:left w:val="nil"/>
              <w:bottom w:val="single" w:sz="8" w:space="0" w:color="auto"/>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18"/>
                <w:szCs w:val="18"/>
                <w:lang w:val="en-US" w:eastAsia="zh-CN"/>
              </w:rPr>
            </w:pPr>
            <w:r w:rsidRPr="004009E9">
              <w:rPr>
                <w:rFonts w:cs="Arial"/>
                <w:b/>
                <w:bCs/>
                <w:color w:val="000000"/>
                <w:sz w:val="18"/>
                <w:szCs w:val="18"/>
                <w:lang w:val="en-US" w:eastAsia="zh-CN"/>
              </w:rPr>
              <w:t>Investment</w:t>
            </w:r>
          </w:p>
        </w:tc>
        <w:tc>
          <w:tcPr>
            <w:tcW w:w="640" w:type="pct"/>
            <w:tcBorders>
              <w:top w:val="nil"/>
              <w:left w:val="nil"/>
              <w:bottom w:val="single" w:sz="8" w:space="0" w:color="auto"/>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18"/>
                <w:szCs w:val="18"/>
                <w:lang w:val="en-US" w:eastAsia="zh-CN"/>
              </w:rPr>
            </w:pPr>
            <w:r w:rsidRPr="004009E9">
              <w:rPr>
                <w:rFonts w:cs="Arial"/>
                <w:b/>
                <w:bCs/>
                <w:color w:val="000000"/>
                <w:sz w:val="18"/>
                <w:szCs w:val="18"/>
                <w:lang w:val="en-US" w:eastAsia="zh-CN"/>
              </w:rPr>
              <w:t>Finance</w:t>
            </w:r>
          </w:p>
        </w:tc>
        <w:tc>
          <w:tcPr>
            <w:tcW w:w="517" w:type="pct"/>
            <w:tcBorders>
              <w:top w:val="nil"/>
              <w:left w:val="nil"/>
              <w:bottom w:val="single" w:sz="8" w:space="0" w:color="auto"/>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18"/>
                <w:szCs w:val="18"/>
                <w:lang w:val="en-US" w:eastAsia="zh-CN"/>
              </w:rPr>
            </w:pPr>
            <w:r w:rsidRPr="004009E9">
              <w:rPr>
                <w:rFonts w:cs="Arial"/>
                <w:b/>
                <w:bCs/>
                <w:color w:val="000000"/>
                <w:sz w:val="18"/>
                <w:szCs w:val="18"/>
                <w:lang w:val="en-US" w:eastAsia="zh-CN"/>
              </w:rPr>
              <w:t>Total</w:t>
            </w:r>
          </w:p>
        </w:tc>
      </w:tr>
      <w:tr w:rsidR="004009E9" w:rsidRPr="004009E9" w:rsidTr="004009E9">
        <w:trPr>
          <w:trHeight w:val="270"/>
        </w:trPr>
        <w:tc>
          <w:tcPr>
            <w:tcW w:w="2173" w:type="pct"/>
            <w:tcBorders>
              <w:top w:val="nil"/>
              <w:left w:val="single" w:sz="8" w:space="0" w:color="auto"/>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4009E9">
              <w:rPr>
                <w:rFonts w:cs="Arial"/>
                <w:color w:val="000000"/>
                <w:sz w:val="18"/>
                <w:szCs w:val="18"/>
                <w:lang w:val="en-US" w:eastAsia="zh-CN"/>
              </w:rPr>
              <w:t> </w:t>
            </w:r>
          </w:p>
        </w:tc>
        <w:tc>
          <w:tcPr>
            <w:tcW w:w="2827" w:type="pct"/>
            <w:gridSpan w:val="4"/>
            <w:tcBorders>
              <w:top w:val="single" w:sz="8" w:space="0" w:color="auto"/>
              <w:left w:val="nil"/>
              <w:bottom w:val="single" w:sz="8" w:space="0" w:color="auto"/>
              <w:right w:val="single" w:sz="8" w:space="0" w:color="000000"/>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center"/>
              <w:textAlignment w:val="auto"/>
              <w:rPr>
                <w:rFonts w:cs="Arial"/>
                <w:color w:val="000000"/>
                <w:sz w:val="18"/>
                <w:szCs w:val="18"/>
                <w:lang w:val="en-US" w:eastAsia="zh-CN"/>
              </w:rPr>
            </w:pPr>
            <w:r w:rsidRPr="004009E9">
              <w:rPr>
                <w:rFonts w:cs="Arial"/>
                <w:color w:val="000000"/>
                <w:sz w:val="18"/>
                <w:szCs w:val="18"/>
                <w:lang w:val="en-US" w:eastAsia="zh-CN"/>
              </w:rPr>
              <w:t>in thousands of CHF</w:t>
            </w:r>
          </w:p>
        </w:tc>
      </w:tr>
      <w:tr w:rsidR="004009E9" w:rsidRPr="004009E9" w:rsidTr="004009E9">
        <w:trPr>
          <w:trHeight w:val="255"/>
        </w:trPr>
        <w:tc>
          <w:tcPr>
            <w:tcW w:w="2173" w:type="pct"/>
            <w:tcBorders>
              <w:top w:val="nil"/>
              <w:left w:val="single" w:sz="8" w:space="0" w:color="auto"/>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8"/>
                <w:szCs w:val="18"/>
                <w:lang w:val="en-US" w:eastAsia="zh-CN"/>
              </w:rPr>
            </w:pPr>
            <w:r w:rsidRPr="004009E9">
              <w:rPr>
                <w:rFonts w:cs="Arial"/>
                <w:b/>
                <w:bCs/>
                <w:color w:val="000000"/>
                <w:sz w:val="18"/>
                <w:szCs w:val="18"/>
                <w:lang w:val="en-US" w:eastAsia="zh-CN"/>
              </w:rPr>
              <w:t>Results on a comparable basis</w:t>
            </w:r>
          </w:p>
        </w:tc>
        <w:tc>
          <w:tcPr>
            <w:tcW w:w="1017" w:type="pct"/>
            <w:tcBorders>
              <w:top w:val="nil"/>
              <w:left w:val="nil"/>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 xml:space="preserve">                            11,365 </w:t>
            </w:r>
          </w:p>
        </w:tc>
        <w:tc>
          <w:tcPr>
            <w:tcW w:w="653" w:type="pct"/>
            <w:tcBorders>
              <w:top w:val="nil"/>
              <w:left w:val="nil"/>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 </w:t>
            </w:r>
          </w:p>
        </w:tc>
        <w:tc>
          <w:tcPr>
            <w:tcW w:w="640" w:type="pct"/>
            <w:tcBorders>
              <w:top w:val="nil"/>
              <w:left w:val="nil"/>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 </w:t>
            </w:r>
          </w:p>
        </w:tc>
        <w:tc>
          <w:tcPr>
            <w:tcW w:w="517" w:type="pct"/>
            <w:tcBorders>
              <w:top w:val="nil"/>
              <w:left w:val="nil"/>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009E9">
              <w:rPr>
                <w:rFonts w:cs="Arial"/>
                <w:b/>
                <w:bCs/>
                <w:color w:val="000000"/>
                <w:sz w:val="18"/>
                <w:szCs w:val="18"/>
                <w:lang w:val="en-US" w:eastAsia="zh-CN"/>
              </w:rPr>
              <w:t xml:space="preserve">      11,365 </w:t>
            </w:r>
          </w:p>
        </w:tc>
      </w:tr>
      <w:tr w:rsidR="004009E9" w:rsidRPr="004009E9" w:rsidTr="004009E9">
        <w:trPr>
          <w:trHeight w:val="255"/>
        </w:trPr>
        <w:tc>
          <w:tcPr>
            <w:tcW w:w="2173" w:type="pct"/>
            <w:tcBorders>
              <w:top w:val="nil"/>
              <w:left w:val="single" w:sz="8" w:space="0" w:color="auto"/>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4009E9">
              <w:rPr>
                <w:rFonts w:cs="Arial"/>
                <w:color w:val="000000"/>
                <w:sz w:val="18"/>
                <w:szCs w:val="18"/>
                <w:lang w:val="en-US" w:eastAsia="zh-CN"/>
              </w:rPr>
              <w:t>Changes in and use of provision for doubtful debts</w:t>
            </w:r>
          </w:p>
        </w:tc>
        <w:tc>
          <w:tcPr>
            <w:tcW w:w="1017" w:type="pct"/>
            <w:tcBorders>
              <w:top w:val="nil"/>
              <w:left w:val="nil"/>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-5,939</w:t>
            </w:r>
          </w:p>
        </w:tc>
        <w:tc>
          <w:tcPr>
            <w:tcW w:w="653" w:type="pct"/>
            <w:tcBorders>
              <w:top w:val="nil"/>
              <w:left w:val="nil"/>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 </w:t>
            </w:r>
          </w:p>
        </w:tc>
        <w:tc>
          <w:tcPr>
            <w:tcW w:w="640" w:type="pct"/>
            <w:tcBorders>
              <w:top w:val="nil"/>
              <w:left w:val="nil"/>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 </w:t>
            </w:r>
          </w:p>
        </w:tc>
        <w:tc>
          <w:tcPr>
            <w:tcW w:w="517" w:type="pct"/>
            <w:tcBorders>
              <w:top w:val="nil"/>
              <w:left w:val="nil"/>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 xml:space="preserve">        -5,939 </w:t>
            </w:r>
          </w:p>
        </w:tc>
      </w:tr>
      <w:tr w:rsidR="004009E9" w:rsidRPr="004009E9" w:rsidTr="004009E9">
        <w:trPr>
          <w:trHeight w:val="255"/>
        </w:trPr>
        <w:tc>
          <w:tcPr>
            <w:tcW w:w="2173" w:type="pct"/>
            <w:tcBorders>
              <w:top w:val="nil"/>
              <w:left w:val="single" w:sz="8" w:space="0" w:color="auto"/>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4009E9">
              <w:rPr>
                <w:rFonts w:cs="Arial"/>
                <w:color w:val="000000"/>
                <w:sz w:val="18"/>
                <w:szCs w:val="18"/>
                <w:lang w:val="en-US" w:eastAsia="zh-CN"/>
              </w:rPr>
              <w:t>Recognition of inventories</w:t>
            </w:r>
          </w:p>
        </w:tc>
        <w:tc>
          <w:tcPr>
            <w:tcW w:w="1017" w:type="pct"/>
            <w:tcBorders>
              <w:top w:val="nil"/>
              <w:left w:val="nil"/>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128</w:t>
            </w:r>
          </w:p>
        </w:tc>
        <w:tc>
          <w:tcPr>
            <w:tcW w:w="653" w:type="pct"/>
            <w:tcBorders>
              <w:top w:val="nil"/>
              <w:left w:val="nil"/>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 </w:t>
            </w:r>
          </w:p>
        </w:tc>
        <w:tc>
          <w:tcPr>
            <w:tcW w:w="640" w:type="pct"/>
            <w:tcBorders>
              <w:top w:val="nil"/>
              <w:left w:val="nil"/>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 </w:t>
            </w:r>
          </w:p>
        </w:tc>
        <w:tc>
          <w:tcPr>
            <w:tcW w:w="517" w:type="pct"/>
            <w:tcBorders>
              <w:top w:val="nil"/>
              <w:left w:val="nil"/>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center"/>
              <w:textAlignment w:val="auto"/>
              <w:rPr>
                <w:rFonts w:cs="Arial"/>
                <w:color w:val="000000"/>
                <w:sz w:val="18"/>
                <w:szCs w:val="18"/>
                <w:lang w:val="en-US" w:eastAsia="zh-CN"/>
              </w:rPr>
            </w:pPr>
            <w:r w:rsidRPr="004009E9">
              <w:rPr>
                <w:rFonts w:cs="Arial"/>
                <w:color w:val="000000"/>
                <w:sz w:val="18"/>
                <w:szCs w:val="18"/>
                <w:lang w:val="en-US" w:eastAsia="zh-CN"/>
              </w:rPr>
              <w:t xml:space="preserve">           128 </w:t>
            </w:r>
          </w:p>
        </w:tc>
      </w:tr>
      <w:tr w:rsidR="004009E9" w:rsidRPr="004009E9" w:rsidTr="004009E9">
        <w:trPr>
          <w:trHeight w:val="255"/>
        </w:trPr>
        <w:tc>
          <w:tcPr>
            <w:tcW w:w="2173" w:type="pct"/>
            <w:tcBorders>
              <w:top w:val="nil"/>
              <w:left w:val="single" w:sz="8" w:space="0" w:color="auto"/>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4009E9">
              <w:rPr>
                <w:rFonts w:cs="Arial"/>
                <w:color w:val="000000"/>
                <w:sz w:val="18"/>
                <w:szCs w:val="18"/>
                <w:lang w:val="en-US" w:eastAsia="zh-CN"/>
              </w:rPr>
              <w:t>Capitalization of fixed assets</w:t>
            </w:r>
          </w:p>
        </w:tc>
        <w:tc>
          <w:tcPr>
            <w:tcW w:w="1017" w:type="pct"/>
            <w:tcBorders>
              <w:top w:val="nil"/>
              <w:left w:val="nil"/>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 </w:t>
            </w:r>
          </w:p>
        </w:tc>
        <w:tc>
          <w:tcPr>
            <w:tcW w:w="653" w:type="pct"/>
            <w:tcBorders>
              <w:top w:val="nil"/>
              <w:left w:val="nil"/>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2,021</w:t>
            </w:r>
          </w:p>
        </w:tc>
        <w:tc>
          <w:tcPr>
            <w:tcW w:w="640" w:type="pct"/>
            <w:tcBorders>
              <w:top w:val="nil"/>
              <w:left w:val="nil"/>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 </w:t>
            </w:r>
          </w:p>
        </w:tc>
        <w:tc>
          <w:tcPr>
            <w:tcW w:w="517" w:type="pct"/>
            <w:tcBorders>
              <w:top w:val="nil"/>
              <w:left w:val="nil"/>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 xml:space="preserve">        2,021 </w:t>
            </w:r>
          </w:p>
        </w:tc>
      </w:tr>
      <w:tr w:rsidR="004009E9" w:rsidRPr="004009E9" w:rsidTr="004009E9">
        <w:trPr>
          <w:trHeight w:val="255"/>
        </w:trPr>
        <w:tc>
          <w:tcPr>
            <w:tcW w:w="2173" w:type="pct"/>
            <w:tcBorders>
              <w:top w:val="nil"/>
              <w:left w:val="single" w:sz="8" w:space="0" w:color="auto"/>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4009E9">
              <w:rPr>
                <w:rFonts w:cs="Arial"/>
                <w:color w:val="000000"/>
                <w:sz w:val="18"/>
                <w:szCs w:val="18"/>
                <w:lang w:val="en-US" w:eastAsia="zh-CN"/>
              </w:rPr>
              <w:t>Depreciation</w:t>
            </w:r>
          </w:p>
        </w:tc>
        <w:tc>
          <w:tcPr>
            <w:tcW w:w="1017" w:type="pct"/>
            <w:tcBorders>
              <w:top w:val="nil"/>
              <w:left w:val="nil"/>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-4,656</w:t>
            </w:r>
          </w:p>
        </w:tc>
        <w:tc>
          <w:tcPr>
            <w:tcW w:w="653" w:type="pct"/>
            <w:tcBorders>
              <w:top w:val="nil"/>
              <w:left w:val="nil"/>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 </w:t>
            </w:r>
          </w:p>
        </w:tc>
        <w:tc>
          <w:tcPr>
            <w:tcW w:w="640" w:type="pct"/>
            <w:tcBorders>
              <w:top w:val="nil"/>
              <w:left w:val="nil"/>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 </w:t>
            </w:r>
          </w:p>
        </w:tc>
        <w:tc>
          <w:tcPr>
            <w:tcW w:w="517" w:type="pct"/>
            <w:tcBorders>
              <w:top w:val="nil"/>
              <w:left w:val="nil"/>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 xml:space="preserve">       -4,656 </w:t>
            </w:r>
          </w:p>
        </w:tc>
      </w:tr>
      <w:tr w:rsidR="004009E9" w:rsidRPr="004009E9" w:rsidTr="004009E9">
        <w:trPr>
          <w:trHeight w:val="255"/>
        </w:trPr>
        <w:tc>
          <w:tcPr>
            <w:tcW w:w="2173" w:type="pct"/>
            <w:tcBorders>
              <w:top w:val="nil"/>
              <w:left w:val="single" w:sz="8" w:space="0" w:color="auto"/>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4009E9">
              <w:rPr>
                <w:rFonts w:cs="Arial"/>
                <w:color w:val="000000"/>
                <w:sz w:val="18"/>
                <w:szCs w:val="18"/>
                <w:lang w:val="en-US" w:eastAsia="zh-CN"/>
              </w:rPr>
              <w:t>Exchange-rate gains and losses</w:t>
            </w:r>
          </w:p>
        </w:tc>
        <w:tc>
          <w:tcPr>
            <w:tcW w:w="1017" w:type="pct"/>
            <w:tcBorders>
              <w:top w:val="nil"/>
              <w:left w:val="nil"/>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-604</w:t>
            </w:r>
          </w:p>
        </w:tc>
        <w:tc>
          <w:tcPr>
            <w:tcW w:w="653" w:type="pct"/>
            <w:tcBorders>
              <w:top w:val="nil"/>
              <w:left w:val="nil"/>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 </w:t>
            </w:r>
          </w:p>
        </w:tc>
        <w:tc>
          <w:tcPr>
            <w:tcW w:w="640" w:type="pct"/>
            <w:tcBorders>
              <w:top w:val="nil"/>
              <w:left w:val="nil"/>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 </w:t>
            </w:r>
          </w:p>
        </w:tc>
        <w:tc>
          <w:tcPr>
            <w:tcW w:w="517" w:type="pct"/>
            <w:tcBorders>
              <w:top w:val="nil"/>
              <w:left w:val="nil"/>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 xml:space="preserve">          -604 </w:t>
            </w:r>
          </w:p>
        </w:tc>
      </w:tr>
      <w:tr w:rsidR="004009E9" w:rsidRPr="004009E9" w:rsidTr="004009E9">
        <w:trPr>
          <w:trHeight w:val="255"/>
        </w:trPr>
        <w:tc>
          <w:tcPr>
            <w:tcW w:w="2173" w:type="pct"/>
            <w:tcBorders>
              <w:top w:val="nil"/>
              <w:left w:val="single" w:sz="8" w:space="0" w:color="auto"/>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4009E9">
              <w:rPr>
                <w:rFonts w:cs="Arial"/>
                <w:color w:val="000000"/>
                <w:sz w:val="18"/>
                <w:szCs w:val="18"/>
                <w:lang w:val="en-US" w:eastAsia="zh-CN"/>
              </w:rPr>
              <w:t>ASHI</w:t>
            </w:r>
          </w:p>
        </w:tc>
        <w:tc>
          <w:tcPr>
            <w:tcW w:w="1017" w:type="pct"/>
            <w:tcBorders>
              <w:top w:val="nil"/>
              <w:left w:val="nil"/>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-18,214</w:t>
            </w:r>
          </w:p>
        </w:tc>
        <w:tc>
          <w:tcPr>
            <w:tcW w:w="653" w:type="pct"/>
            <w:tcBorders>
              <w:top w:val="nil"/>
              <w:left w:val="nil"/>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 </w:t>
            </w:r>
          </w:p>
        </w:tc>
        <w:tc>
          <w:tcPr>
            <w:tcW w:w="640" w:type="pct"/>
            <w:tcBorders>
              <w:top w:val="nil"/>
              <w:left w:val="nil"/>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 </w:t>
            </w:r>
          </w:p>
        </w:tc>
        <w:tc>
          <w:tcPr>
            <w:tcW w:w="517" w:type="pct"/>
            <w:tcBorders>
              <w:top w:val="nil"/>
              <w:left w:val="nil"/>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 xml:space="preserve">    -18,214 </w:t>
            </w:r>
          </w:p>
        </w:tc>
      </w:tr>
      <w:tr w:rsidR="004009E9" w:rsidRPr="004009E9" w:rsidTr="004009E9">
        <w:trPr>
          <w:trHeight w:val="255"/>
        </w:trPr>
        <w:tc>
          <w:tcPr>
            <w:tcW w:w="2173" w:type="pct"/>
            <w:tcBorders>
              <w:top w:val="nil"/>
              <w:left w:val="single" w:sz="8" w:space="0" w:color="auto"/>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4009E9">
              <w:rPr>
                <w:rFonts w:cs="Arial"/>
                <w:color w:val="000000"/>
                <w:sz w:val="18"/>
                <w:szCs w:val="18"/>
                <w:lang w:val="en-US" w:eastAsia="zh-CN"/>
              </w:rPr>
              <w:t>Repayment of FIPOI loan not considered as expense</w:t>
            </w:r>
          </w:p>
        </w:tc>
        <w:tc>
          <w:tcPr>
            <w:tcW w:w="1017" w:type="pct"/>
            <w:tcBorders>
              <w:top w:val="nil"/>
              <w:left w:val="nil"/>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 </w:t>
            </w:r>
          </w:p>
        </w:tc>
        <w:tc>
          <w:tcPr>
            <w:tcW w:w="653" w:type="pct"/>
            <w:tcBorders>
              <w:top w:val="nil"/>
              <w:left w:val="nil"/>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 </w:t>
            </w:r>
          </w:p>
        </w:tc>
        <w:tc>
          <w:tcPr>
            <w:tcW w:w="640" w:type="pct"/>
            <w:tcBorders>
              <w:top w:val="nil"/>
              <w:left w:val="nil"/>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1,493</w:t>
            </w:r>
          </w:p>
        </w:tc>
        <w:tc>
          <w:tcPr>
            <w:tcW w:w="517" w:type="pct"/>
            <w:tcBorders>
              <w:top w:val="nil"/>
              <w:left w:val="nil"/>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 xml:space="preserve">        1,493 </w:t>
            </w:r>
          </w:p>
        </w:tc>
      </w:tr>
      <w:tr w:rsidR="004009E9" w:rsidRPr="004009E9" w:rsidTr="004009E9">
        <w:trPr>
          <w:trHeight w:val="255"/>
        </w:trPr>
        <w:tc>
          <w:tcPr>
            <w:tcW w:w="2173" w:type="pct"/>
            <w:tcBorders>
              <w:top w:val="nil"/>
              <w:left w:val="single" w:sz="8" w:space="0" w:color="auto"/>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4009E9">
              <w:rPr>
                <w:rFonts w:cs="Arial"/>
                <w:color w:val="000000"/>
                <w:sz w:val="18"/>
                <w:szCs w:val="18"/>
                <w:lang w:val="en-US" w:eastAsia="zh-CN"/>
              </w:rPr>
              <w:t>In-kind revenue</w:t>
            </w:r>
          </w:p>
        </w:tc>
        <w:tc>
          <w:tcPr>
            <w:tcW w:w="1017" w:type="pct"/>
            <w:tcBorders>
              <w:top w:val="nil"/>
              <w:left w:val="nil"/>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882</w:t>
            </w:r>
          </w:p>
        </w:tc>
        <w:tc>
          <w:tcPr>
            <w:tcW w:w="653" w:type="pct"/>
            <w:tcBorders>
              <w:top w:val="nil"/>
              <w:left w:val="nil"/>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 </w:t>
            </w:r>
          </w:p>
        </w:tc>
        <w:tc>
          <w:tcPr>
            <w:tcW w:w="640" w:type="pct"/>
            <w:tcBorders>
              <w:top w:val="nil"/>
              <w:left w:val="nil"/>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 </w:t>
            </w:r>
          </w:p>
        </w:tc>
        <w:tc>
          <w:tcPr>
            <w:tcW w:w="517" w:type="pct"/>
            <w:tcBorders>
              <w:top w:val="nil"/>
              <w:left w:val="nil"/>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 xml:space="preserve">           882 </w:t>
            </w:r>
          </w:p>
        </w:tc>
      </w:tr>
      <w:tr w:rsidR="004009E9" w:rsidRPr="004009E9" w:rsidTr="004009E9">
        <w:trPr>
          <w:trHeight w:val="255"/>
        </w:trPr>
        <w:tc>
          <w:tcPr>
            <w:tcW w:w="2173" w:type="pct"/>
            <w:tcBorders>
              <w:top w:val="nil"/>
              <w:left w:val="single" w:sz="8" w:space="0" w:color="auto"/>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4009E9">
              <w:rPr>
                <w:rFonts w:cs="Arial"/>
                <w:color w:val="000000"/>
                <w:sz w:val="18"/>
                <w:szCs w:val="18"/>
                <w:lang w:val="en-US" w:eastAsia="zh-CN"/>
              </w:rPr>
              <w:t>In-kind expenses</w:t>
            </w:r>
          </w:p>
        </w:tc>
        <w:tc>
          <w:tcPr>
            <w:tcW w:w="1017" w:type="pct"/>
            <w:tcBorders>
              <w:top w:val="nil"/>
              <w:left w:val="nil"/>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-882</w:t>
            </w:r>
          </w:p>
        </w:tc>
        <w:tc>
          <w:tcPr>
            <w:tcW w:w="653" w:type="pct"/>
            <w:tcBorders>
              <w:top w:val="nil"/>
              <w:left w:val="nil"/>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 </w:t>
            </w:r>
          </w:p>
        </w:tc>
        <w:tc>
          <w:tcPr>
            <w:tcW w:w="640" w:type="pct"/>
            <w:tcBorders>
              <w:top w:val="nil"/>
              <w:left w:val="nil"/>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 </w:t>
            </w:r>
          </w:p>
        </w:tc>
        <w:tc>
          <w:tcPr>
            <w:tcW w:w="517" w:type="pct"/>
            <w:tcBorders>
              <w:top w:val="nil"/>
              <w:left w:val="nil"/>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 xml:space="preserve">          -882 </w:t>
            </w:r>
          </w:p>
        </w:tc>
      </w:tr>
      <w:tr w:rsidR="004009E9" w:rsidRPr="004009E9" w:rsidTr="004009E9">
        <w:trPr>
          <w:trHeight w:val="255"/>
        </w:trPr>
        <w:tc>
          <w:tcPr>
            <w:tcW w:w="2173" w:type="pct"/>
            <w:tcBorders>
              <w:top w:val="nil"/>
              <w:left w:val="single" w:sz="8" w:space="0" w:color="auto"/>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4009E9">
              <w:rPr>
                <w:rFonts w:cs="Arial"/>
                <w:color w:val="000000"/>
                <w:sz w:val="18"/>
                <w:szCs w:val="18"/>
                <w:lang w:val="en-US" w:eastAsia="zh-CN"/>
              </w:rPr>
              <w:t>Sale of assets</w:t>
            </w:r>
          </w:p>
        </w:tc>
        <w:tc>
          <w:tcPr>
            <w:tcW w:w="1017" w:type="pct"/>
            <w:tcBorders>
              <w:top w:val="nil"/>
              <w:left w:val="nil"/>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5</w:t>
            </w:r>
          </w:p>
        </w:tc>
        <w:tc>
          <w:tcPr>
            <w:tcW w:w="653" w:type="pct"/>
            <w:tcBorders>
              <w:top w:val="nil"/>
              <w:left w:val="nil"/>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 </w:t>
            </w:r>
          </w:p>
        </w:tc>
        <w:tc>
          <w:tcPr>
            <w:tcW w:w="640" w:type="pct"/>
            <w:tcBorders>
              <w:top w:val="nil"/>
              <w:left w:val="nil"/>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 </w:t>
            </w:r>
          </w:p>
        </w:tc>
        <w:tc>
          <w:tcPr>
            <w:tcW w:w="517" w:type="pct"/>
            <w:tcBorders>
              <w:top w:val="nil"/>
              <w:left w:val="nil"/>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 xml:space="preserve">                5 </w:t>
            </w:r>
          </w:p>
        </w:tc>
      </w:tr>
      <w:tr w:rsidR="004009E9" w:rsidRPr="004009E9" w:rsidTr="004009E9">
        <w:trPr>
          <w:trHeight w:val="270"/>
        </w:trPr>
        <w:tc>
          <w:tcPr>
            <w:tcW w:w="2173" w:type="pct"/>
            <w:tcBorders>
              <w:top w:val="nil"/>
              <w:left w:val="single" w:sz="8" w:space="0" w:color="auto"/>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4009E9">
              <w:rPr>
                <w:rFonts w:cs="Arial"/>
                <w:color w:val="000000"/>
                <w:sz w:val="18"/>
                <w:szCs w:val="18"/>
                <w:lang w:val="en-US" w:eastAsia="zh-CN"/>
              </w:rPr>
              <w:t>Other</w:t>
            </w:r>
          </w:p>
        </w:tc>
        <w:tc>
          <w:tcPr>
            <w:tcW w:w="1017" w:type="pct"/>
            <w:tcBorders>
              <w:top w:val="nil"/>
              <w:left w:val="nil"/>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-29</w:t>
            </w:r>
          </w:p>
        </w:tc>
        <w:tc>
          <w:tcPr>
            <w:tcW w:w="653" w:type="pct"/>
            <w:tcBorders>
              <w:top w:val="nil"/>
              <w:left w:val="nil"/>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 </w:t>
            </w:r>
          </w:p>
        </w:tc>
        <w:tc>
          <w:tcPr>
            <w:tcW w:w="640" w:type="pct"/>
            <w:tcBorders>
              <w:top w:val="nil"/>
              <w:left w:val="nil"/>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 </w:t>
            </w:r>
          </w:p>
        </w:tc>
        <w:tc>
          <w:tcPr>
            <w:tcW w:w="517" w:type="pct"/>
            <w:tcBorders>
              <w:top w:val="nil"/>
              <w:left w:val="nil"/>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 xml:space="preserve">            -29 </w:t>
            </w:r>
          </w:p>
        </w:tc>
      </w:tr>
      <w:tr w:rsidR="004009E9" w:rsidRPr="004009E9" w:rsidTr="004009E9">
        <w:trPr>
          <w:trHeight w:val="270"/>
        </w:trPr>
        <w:tc>
          <w:tcPr>
            <w:tcW w:w="217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8"/>
                <w:szCs w:val="18"/>
                <w:lang w:val="en-US" w:eastAsia="zh-CN"/>
              </w:rPr>
            </w:pPr>
            <w:r w:rsidRPr="004009E9">
              <w:rPr>
                <w:rFonts w:cs="Arial"/>
                <w:b/>
                <w:bCs/>
                <w:color w:val="000000"/>
                <w:sz w:val="18"/>
                <w:szCs w:val="18"/>
                <w:lang w:val="en-US" w:eastAsia="zh-CN"/>
              </w:rPr>
              <w:t>Total IPSAS differences</w:t>
            </w:r>
          </w:p>
        </w:tc>
        <w:tc>
          <w:tcPr>
            <w:tcW w:w="1017" w:type="pct"/>
            <w:tcBorders>
              <w:top w:val="single" w:sz="8" w:space="0" w:color="auto"/>
              <w:left w:val="nil"/>
              <w:bottom w:val="single" w:sz="8" w:space="0" w:color="auto"/>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009E9">
              <w:rPr>
                <w:rFonts w:cs="Arial"/>
                <w:b/>
                <w:bCs/>
                <w:color w:val="000000"/>
                <w:sz w:val="18"/>
                <w:szCs w:val="18"/>
                <w:lang w:val="en-US" w:eastAsia="zh-CN"/>
              </w:rPr>
              <w:t xml:space="preserve">                           -29,309 </w:t>
            </w:r>
          </w:p>
        </w:tc>
        <w:tc>
          <w:tcPr>
            <w:tcW w:w="653" w:type="pct"/>
            <w:tcBorders>
              <w:top w:val="single" w:sz="8" w:space="0" w:color="auto"/>
              <w:left w:val="nil"/>
              <w:bottom w:val="single" w:sz="8" w:space="0" w:color="auto"/>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009E9">
              <w:rPr>
                <w:rFonts w:cs="Arial"/>
                <w:b/>
                <w:bCs/>
                <w:color w:val="000000"/>
                <w:sz w:val="18"/>
                <w:szCs w:val="18"/>
                <w:lang w:val="en-US" w:eastAsia="zh-CN"/>
              </w:rPr>
              <w:t>2021</w:t>
            </w:r>
          </w:p>
        </w:tc>
        <w:tc>
          <w:tcPr>
            <w:tcW w:w="640" w:type="pct"/>
            <w:tcBorders>
              <w:top w:val="single" w:sz="8" w:space="0" w:color="auto"/>
              <w:left w:val="nil"/>
              <w:bottom w:val="single" w:sz="8" w:space="0" w:color="auto"/>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009E9">
              <w:rPr>
                <w:rFonts w:cs="Arial"/>
                <w:b/>
                <w:bCs/>
                <w:color w:val="000000"/>
                <w:sz w:val="18"/>
                <w:szCs w:val="18"/>
                <w:lang w:val="en-US" w:eastAsia="zh-CN"/>
              </w:rPr>
              <w:t>1493</w:t>
            </w:r>
          </w:p>
        </w:tc>
        <w:tc>
          <w:tcPr>
            <w:tcW w:w="517" w:type="pct"/>
            <w:tcBorders>
              <w:top w:val="single" w:sz="8" w:space="0" w:color="auto"/>
              <w:left w:val="nil"/>
              <w:bottom w:val="single" w:sz="8" w:space="0" w:color="auto"/>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009E9">
              <w:rPr>
                <w:rFonts w:cs="Arial"/>
                <w:b/>
                <w:bCs/>
                <w:color w:val="000000"/>
                <w:sz w:val="18"/>
                <w:szCs w:val="18"/>
                <w:lang w:val="en-US" w:eastAsia="zh-CN"/>
              </w:rPr>
              <w:t>-25794</w:t>
            </w:r>
          </w:p>
        </w:tc>
      </w:tr>
      <w:tr w:rsidR="004009E9" w:rsidRPr="004009E9" w:rsidTr="004009E9">
        <w:trPr>
          <w:trHeight w:val="255"/>
        </w:trPr>
        <w:tc>
          <w:tcPr>
            <w:tcW w:w="2173" w:type="pct"/>
            <w:tcBorders>
              <w:top w:val="nil"/>
              <w:left w:val="single" w:sz="8" w:space="0" w:color="auto"/>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4009E9">
              <w:rPr>
                <w:rFonts w:cs="Arial"/>
                <w:color w:val="000000"/>
                <w:sz w:val="18"/>
                <w:szCs w:val="18"/>
                <w:lang w:val="en-US" w:eastAsia="zh-CN"/>
              </w:rPr>
              <w:t xml:space="preserve">Gain Fund 1000/1010 </w:t>
            </w:r>
          </w:p>
        </w:tc>
        <w:tc>
          <w:tcPr>
            <w:tcW w:w="1017" w:type="pct"/>
            <w:tcBorders>
              <w:top w:val="nil"/>
              <w:left w:val="nil"/>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 xml:space="preserve">                           -17,944 </w:t>
            </w:r>
          </w:p>
        </w:tc>
        <w:tc>
          <w:tcPr>
            <w:tcW w:w="653" w:type="pct"/>
            <w:tcBorders>
              <w:top w:val="nil"/>
              <w:left w:val="nil"/>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 xml:space="preserve">         2,021 </w:t>
            </w:r>
          </w:p>
        </w:tc>
        <w:tc>
          <w:tcPr>
            <w:tcW w:w="640" w:type="pct"/>
            <w:tcBorders>
              <w:top w:val="nil"/>
              <w:left w:val="nil"/>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 xml:space="preserve">       1,493 </w:t>
            </w:r>
          </w:p>
        </w:tc>
        <w:tc>
          <w:tcPr>
            <w:tcW w:w="517" w:type="pct"/>
            <w:tcBorders>
              <w:top w:val="nil"/>
              <w:left w:val="nil"/>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 xml:space="preserve">     -14,429 </w:t>
            </w:r>
          </w:p>
        </w:tc>
      </w:tr>
      <w:tr w:rsidR="004009E9" w:rsidRPr="004009E9" w:rsidTr="004009E9">
        <w:trPr>
          <w:trHeight w:val="270"/>
        </w:trPr>
        <w:tc>
          <w:tcPr>
            <w:tcW w:w="2173" w:type="pct"/>
            <w:tcBorders>
              <w:top w:val="nil"/>
              <w:left w:val="single" w:sz="8" w:space="0" w:color="auto"/>
              <w:bottom w:val="single" w:sz="8" w:space="0" w:color="auto"/>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4009E9">
              <w:rPr>
                <w:rFonts w:cs="Arial"/>
                <w:color w:val="000000"/>
                <w:sz w:val="18"/>
                <w:szCs w:val="18"/>
                <w:lang w:val="en-US" w:eastAsia="zh-CN"/>
              </w:rPr>
              <w:t>Increase of Fund 1010 reserves</w:t>
            </w:r>
          </w:p>
        </w:tc>
        <w:tc>
          <w:tcPr>
            <w:tcW w:w="1017" w:type="pct"/>
            <w:tcBorders>
              <w:top w:val="nil"/>
              <w:left w:val="nil"/>
              <w:bottom w:val="single" w:sz="8" w:space="0" w:color="auto"/>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 xml:space="preserve">                                -869 </w:t>
            </w:r>
          </w:p>
        </w:tc>
        <w:tc>
          <w:tcPr>
            <w:tcW w:w="653" w:type="pct"/>
            <w:tcBorders>
              <w:top w:val="nil"/>
              <w:left w:val="nil"/>
              <w:bottom w:val="single" w:sz="8" w:space="0" w:color="auto"/>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 </w:t>
            </w:r>
          </w:p>
        </w:tc>
        <w:tc>
          <w:tcPr>
            <w:tcW w:w="640" w:type="pct"/>
            <w:tcBorders>
              <w:top w:val="nil"/>
              <w:left w:val="nil"/>
              <w:bottom w:val="single" w:sz="8" w:space="0" w:color="auto"/>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 </w:t>
            </w:r>
          </w:p>
        </w:tc>
        <w:tc>
          <w:tcPr>
            <w:tcW w:w="517" w:type="pct"/>
            <w:tcBorders>
              <w:top w:val="nil"/>
              <w:left w:val="nil"/>
              <w:bottom w:val="single" w:sz="4" w:space="0" w:color="auto"/>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 xml:space="preserve">          -869 </w:t>
            </w:r>
          </w:p>
        </w:tc>
      </w:tr>
      <w:tr w:rsidR="004009E9" w:rsidRPr="004009E9" w:rsidTr="004009E9">
        <w:trPr>
          <w:trHeight w:val="270"/>
        </w:trPr>
        <w:tc>
          <w:tcPr>
            <w:tcW w:w="2173" w:type="pct"/>
            <w:tcBorders>
              <w:top w:val="nil"/>
              <w:left w:val="single" w:sz="8" w:space="0" w:color="auto"/>
              <w:bottom w:val="single" w:sz="8" w:space="0" w:color="auto"/>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8"/>
                <w:szCs w:val="18"/>
                <w:lang w:val="en-US" w:eastAsia="zh-CN"/>
              </w:rPr>
            </w:pPr>
            <w:r w:rsidRPr="004009E9">
              <w:rPr>
                <w:rFonts w:cs="Arial"/>
                <w:b/>
                <w:bCs/>
                <w:color w:val="000000"/>
                <w:sz w:val="18"/>
                <w:szCs w:val="18"/>
                <w:lang w:val="en-US" w:eastAsia="zh-CN"/>
              </w:rPr>
              <w:t>Total surplus</w:t>
            </w:r>
          </w:p>
        </w:tc>
        <w:tc>
          <w:tcPr>
            <w:tcW w:w="1017" w:type="pct"/>
            <w:tcBorders>
              <w:top w:val="nil"/>
              <w:left w:val="nil"/>
              <w:bottom w:val="single" w:sz="8" w:space="0" w:color="auto"/>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009E9">
              <w:rPr>
                <w:rFonts w:cs="Arial"/>
                <w:b/>
                <w:bCs/>
                <w:color w:val="000000"/>
                <w:sz w:val="18"/>
                <w:szCs w:val="18"/>
                <w:lang w:val="en-US" w:eastAsia="zh-CN"/>
              </w:rPr>
              <w:t xml:space="preserve">                           -18,813 </w:t>
            </w:r>
          </w:p>
        </w:tc>
        <w:tc>
          <w:tcPr>
            <w:tcW w:w="653" w:type="pct"/>
            <w:tcBorders>
              <w:top w:val="nil"/>
              <w:left w:val="nil"/>
              <w:bottom w:val="single" w:sz="8" w:space="0" w:color="auto"/>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009E9">
              <w:rPr>
                <w:rFonts w:cs="Arial"/>
                <w:b/>
                <w:bCs/>
                <w:color w:val="000000"/>
                <w:sz w:val="18"/>
                <w:szCs w:val="18"/>
                <w:lang w:val="en-US" w:eastAsia="zh-CN"/>
              </w:rPr>
              <w:t xml:space="preserve">         2,021 </w:t>
            </w:r>
          </w:p>
        </w:tc>
        <w:tc>
          <w:tcPr>
            <w:tcW w:w="640" w:type="pct"/>
            <w:tcBorders>
              <w:top w:val="nil"/>
              <w:left w:val="nil"/>
              <w:bottom w:val="single" w:sz="8" w:space="0" w:color="auto"/>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009E9">
              <w:rPr>
                <w:rFonts w:cs="Arial"/>
                <w:b/>
                <w:bCs/>
                <w:color w:val="000000"/>
                <w:sz w:val="18"/>
                <w:szCs w:val="18"/>
                <w:lang w:val="en-US" w:eastAsia="zh-CN"/>
              </w:rPr>
              <w:t xml:space="preserve">         1,493 </w:t>
            </w:r>
          </w:p>
        </w:tc>
        <w:tc>
          <w:tcPr>
            <w:tcW w:w="517" w:type="pct"/>
            <w:tcBorders>
              <w:top w:val="single" w:sz="4" w:space="0" w:color="auto"/>
              <w:left w:val="nil"/>
              <w:bottom w:val="single" w:sz="8" w:space="0" w:color="auto"/>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009E9">
              <w:rPr>
                <w:rFonts w:cs="Arial"/>
                <w:b/>
                <w:bCs/>
                <w:color w:val="000000"/>
                <w:sz w:val="18"/>
                <w:szCs w:val="18"/>
                <w:lang w:val="en-US" w:eastAsia="zh-CN"/>
              </w:rPr>
              <w:t xml:space="preserve">     -15,298 </w:t>
            </w:r>
          </w:p>
        </w:tc>
      </w:tr>
      <w:tr w:rsidR="004009E9" w:rsidRPr="004009E9" w:rsidTr="004009E9">
        <w:trPr>
          <w:trHeight w:val="270"/>
        </w:trPr>
        <w:tc>
          <w:tcPr>
            <w:tcW w:w="2173" w:type="pct"/>
            <w:tcBorders>
              <w:top w:val="nil"/>
              <w:left w:val="single" w:sz="8" w:space="0" w:color="auto"/>
              <w:bottom w:val="single" w:sz="8" w:space="0" w:color="auto"/>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8"/>
                <w:szCs w:val="18"/>
                <w:lang w:val="en-US" w:eastAsia="zh-CN"/>
              </w:rPr>
            </w:pPr>
            <w:r w:rsidRPr="004009E9">
              <w:rPr>
                <w:rFonts w:cs="Arial"/>
                <w:b/>
                <w:bCs/>
                <w:color w:val="000000"/>
                <w:sz w:val="18"/>
                <w:szCs w:val="18"/>
                <w:lang w:val="en-US" w:eastAsia="zh-CN"/>
              </w:rPr>
              <w:t>Perimeter differences</w:t>
            </w:r>
          </w:p>
        </w:tc>
        <w:tc>
          <w:tcPr>
            <w:tcW w:w="1017" w:type="pct"/>
            <w:tcBorders>
              <w:top w:val="nil"/>
              <w:left w:val="nil"/>
              <w:bottom w:val="single" w:sz="8" w:space="0" w:color="auto"/>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009E9">
              <w:rPr>
                <w:rFonts w:cs="Arial"/>
                <w:b/>
                <w:bCs/>
                <w:color w:val="000000"/>
                <w:sz w:val="18"/>
                <w:szCs w:val="18"/>
                <w:lang w:val="en-US" w:eastAsia="zh-CN"/>
              </w:rPr>
              <w:t xml:space="preserve">                             -1,780 </w:t>
            </w:r>
          </w:p>
        </w:tc>
        <w:tc>
          <w:tcPr>
            <w:tcW w:w="653" w:type="pct"/>
            <w:tcBorders>
              <w:top w:val="nil"/>
              <w:left w:val="nil"/>
              <w:bottom w:val="single" w:sz="8" w:space="0" w:color="auto"/>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009E9">
              <w:rPr>
                <w:rFonts w:cs="Arial"/>
                <w:b/>
                <w:bCs/>
                <w:color w:val="000000"/>
                <w:sz w:val="18"/>
                <w:szCs w:val="18"/>
                <w:lang w:val="en-US" w:eastAsia="zh-CN"/>
              </w:rPr>
              <w:t> </w:t>
            </w:r>
          </w:p>
        </w:tc>
        <w:tc>
          <w:tcPr>
            <w:tcW w:w="640" w:type="pct"/>
            <w:tcBorders>
              <w:top w:val="nil"/>
              <w:left w:val="nil"/>
              <w:bottom w:val="single" w:sz="8" w:space="0" w:color="auto"/>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009E9">
              <w:rPr>
                <w:rFonts w:cs="Arial"/>
                <w:b/>
                <w:bCs/>
                <w:color w:val="000000"/>
                <w:sz w:val="18"/>
                <w:szCs w:val="18"/>
                <w:lang w:val="en-US" w:eastAsia="zh-CN"/>
              </w:rPr>
              <w:t> </w:t>
            </w:r>
          </w:p>
        </w:tc>
        <w:tc>
          <w:tcPr>
            <w:tcW w:w="517" w:type="pct"/>
            <w:tcBorders>
              <w:top w:val="nil"/>
              <w:left w:val="nil"/>
              <w:bottom w:val="single" w:sz="8" w:space="0" w:color="auto"/>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009E9">
              <w:rPr>
                <w:rFonts w:cs="Arial"/>
                <w:b/>
                <w:bCs/>
                <w:color w:val="000000"/>
                <w:sz w:val="18"/>
                <w:szCs w:val="18"/>
                <w:lang w:val="en-US" w:eastAsia="zh-CN"/>
              </w:rPr>
              <w:t xml:space="preserve">       -1,780 </w:t>
            </w:r>
          </w:p>
        </w:tc>
      </w:tr>
      <w:tr w:rsidR="004009E9" w:rsidRPr="004009E9" w:rsidTr="004009E9">
        <w:trPr>
          <w:trHeight w:val="270"/>
        </w:trPr>
        <w:tc>
          <w:tcPr>
            <w:tcW w:w="2173" w:type="pct"/>
            <w:tcBorders>
              <w:top w:val="nil"/>
              <w:left w:val="single" w:sz="8" w:space="0" w:color="auto"/>
              <w:bottom w:val="single" w:sz="8" w:space="0" w:color="auto"/>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8"/>
                <w:szCs w:val="18"/>
                <w:lang w:val="en-US" w:eastAsia="zh-CN"/>
              </w:rPr>
            </w:pPr>
            <w:r w:rsidRPr="004009E9">
              <w:rPr>
                <w:rFonts w:cs="Arial"/>
                <w:b/>
                <w:bCs/>
                <w:color w:val="000000"/>
                <w:sz w:val="18"/>
                <w:szCs w:val="18"/>
                <w:lang w:val="en-US" w:eastAsia="zh-CN"/>
              </w:rPr>
              <w:t>Surplus as shown in the statement of financial performance</w:t>
            </w:r>
          </w:p>
        </w:tc>
        <w:tc>
          <w:tcPr>
            <w:tcW w:w="1017" w:type="pct"/>
            <w:tcBorders>
              <w:top w:val="nil"/>
              <w:left w:val="nil"/>
              <w:bottom w:val="single" w:sz="8" w:space="0" w:color="auto"/>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009E9">
              <w:rPr>
                <w:rFonts w:cs="Arial"/>
                <w:b/>
                <w:bCs/>
                <w:color w:val="000000"/>
                <w:sz w:val="18"/>
                <w:szCs w:val="18"/>
                <w:lang w:val="en-US" w:eastAsia="zh-CN"/>
              </w:rPr>
              <w:t xml:space="preserve">                           -20,593 </w:t>
            </w:r>
          </w:p>
        </w:tc>
        <w:tc>
          <w:tcPr>
            <w:tcW w:w="653" w:type="pct"/>
            <w:tcBorders>
              <w:top w:val="nil"/>
              <w:left w:val="nil"/>
              <w:bottom w:val="single" w:sz="8" w:space="0" w:color="auto"/>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009E9">
              <w:rPr>
                <w:rFonts w:cs="Arial"/>
                <w:b/>
                <w:bCs/>
                <w:color w:val="000000"/>
                <w:sz w:val="18"/>
                <w:szCs w:val="18"/>
                <w:lang w:val="en-US" w:eastAsia="zh-CN"/>
              </w:rPr>
              <w:t xml:space="preserve">         2,021 </w:t>
            </w:r>
          </w:p>
        </w:tc>
        <w:tc>
          <w:tcPr>
            <w:tcW w:w="640" w:type="pct"/>
            <w:tcBorders>
              <w:top w:val="nil"/>
              <w:left w:val="nil"/>
              <w:bottom w:val="single" w:sz="8" w:space="0" w:color="auto"/>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009E9">
              <w:rPr>
                <w:rFonts w:cs="Arial"/>
                <w:b/>
                <w:bCs/>
                <w:color w:val="000000"/>
                <w:sz w:val="18"/>
                <w:szCs w:val="18"/>
                <w:lang w:val="en-US" w:eastAsia="zh-CN"/>
              </w:rPr>
              <w:t xml:space="preserve">        1,493 </w:t>
            </w:r>
          </w:p>
        </w:tc>
        <w:tc>
          <w:tcPr>
            <w:tcW w:w="517" w:type="pct"/>
            <w:tcBorders>
              <w:top w:val="nil"/>
              <w:left w:val="nil"/>
              <w:bottom w:val="single" w:sz="8" w:space="0" w:color="auto"/>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009E9">
              <w:rPr>
                <w:rFonts w:cs="Arial"/>
                <w:b/>
                <w:bCs/>
                <w:color w:val="000000"/>
                <w:sz w:val="18"/>
                <w:szCs w:val="18"/>
                <w:lang w:val="en-US" w:eastAsia="zh-CN"/>
              </w:rPr>
              <w:t xml:space="preserve">    -17,078 </w:t>
            </w:r>
          </w:p>
        </w:tc>
      </w:tr>
    </w:tbl>
    <w:p w:rsidR="0022373A" w:rsidRPr="00031FC9" w:rsidRDefault="00A165D6" w:rsidP="0015643B">
      <w:pPr>
        <w:spacing w:before="200"/>
        <w:ind w:right="425"/>
        <w:rPr>
          <w:bCs/>
          <w:szCs w:val="24"/>
          <w:lang w:val="en-US"/>
        </w:rPr>
      </w:pPr>
      <w:r w:rsidRPr="00031FC9">
        <w:rPr>
          <w:b/>
          <w:bCs/>
          <w:szCs w:val="24"/>
          <w:lang w:val="en-US"/>
        </w:rPr>
        <w:t>Note 2</w:t>
      </w:r>
      <w:r w:rsidR="006D6709">
        <w:rPr>
          <w:b/>
          <w:bCs/>
          <w:szCs w:val="24"/>
          <w:lang w:val="en-US"/>
        </w:rPr>
        <w:t>7</w:t>
      </w:r>
      <w:r w:rsidR="00755453">
        <w:rPr>
          <w:b/>
          <w:bCs/>
          <w:szCs w:val="24"/>
          <w:lang w:val="en-US"/>
        </w:rPr>
        <w:tab/>
      </w:r>
      <w:r w:rsidR="0022373A" w:rsidRPr="004009E9">
        <w:rPr>
          <w:b/>
          <w:bCs/>
          <w:szCs w:val="24"/>
          <w:lang w:val="en-US"/>
        </w:rPr>
        <w:t>Related-party disclosures</w:t>
      </w:r>
      <w:bookmarkEnd w:id="138"/>
      <w:bookmarkEnd w:id="139"/>
      <w:r w:rsidR="0022373A" w:rsidRPr="00031FC9">
        <w:rPr>
          <w:b/>
          <w:bCs/>
          <w:szCs w:val="24"/>
          <w:lang w:val="en-US"/>
        </w:rPr>
        <w:t xml:space="preserve"> </w:t>
      </w:r>
    </w:p>
    <w:p w:rsidR="0022373A" w:rsidRPr="001C2A98" w:rsidRDefault="0022373A" w:rsidP="00C11E81">
      <w:pPr>
        <w:ind w:right="425"/>
        <w:jc w:val="both"/>
        <w:rPr>
          <w:lang w:val="en-US"/>
        </w:rPr>
      </w:pPr>
      <w:r w:rsidRPr="001C2A98">
        <w:rPr>
          <w:lang w:val="en-US"/>
        </w:rPr>
        <w:t>The following entit</w:t>
      </w:r>
      <w:r w:rsidR="00237BB2">
        <w:rPr>
          <w:lang w:val="en-US"/>
        </w:rPr>
        <w:t>y</w:t>
      </w:r>
      <w:r w:rsidR="0052728B">
        <w:rPr>
          <w:lang w:val="en-US"/>
        </w:rPr>
        <w:t xml:space="preserve"> </w:t>
      </w:r>
      <w:r w:rsidR="00237BB2">
        <w:rPr>
          <w:lang w:val="en-US"/>
        </w:rPr>
        <w:t xml:space="preserve">is </w:t>
      </w:r>
      <w:r w:rsidRPr="001C2A98">
        <w:rPr>
          <w:lang w:val="en-US"/>
        </w:rPr>
        <w:t xml:space="preserve">to be considered as </w:t>
      </w:r>
      <w:r w:rsidR="00237BB2">
        <w:rPr>
          <w:lang w:val="en-US"/>
        </w:rPr>
        <w:t xml:space="preserve">a </w:t>
      </w:r>
      <w:r w:rsidRPr="001C2A98">
        <w:rPr>
          <w:lang w:val="en-US"/>
        </w:rPr>
        <w:t>related part</w:t>
      </w:r>
      <w:r w:rsidR="00237BB2">
        <w:rPr>
          <w:lang w:val="en-US"/>
        </w:rPr>
        <w:t>y</w:t>
      </w:r>
      <w:r w:rsidRPr="001C2A98">
        <w:rPr>
          <w:lang w:val="en-US"/>
        </w:rPr>
        <w:t>:</w:t>
      </w:r>
    </w:p>
    <w:p w:rsidR="0022373A" w:rsidRPr="001C2A98" w:rsidRDefault="0022373A" w:rsidP="00C11E81">
      <w:pPr>
        <w:pStyle w:val="enumlev1"/>
        <w:ind w:right="425"/>
        <w:jc w:val="both"/>
        <w:rPr>
          <w:color w:val="000000"/>
          <w:lang w:val="en-US"/>
        </w:rPr>
      </w:pPr>
      <w:r w:rsidRPr="001C2A98">
        <w:rPr>
          <w:color w:val="000000"/>
          <w:lang w:val="en-US"/>
        </w:rPr>
        <w:t>–</w:t>
      </w:r>
      <w:r w:rsidRPr="001C2A98">
        <w:rPr>
          <w:color w:val="000000"/>
          <w:lang w:val="en-US"/>
        </w:rPr>
        <w:tab/>
      </w:r>
      <w:proofErr w:type="gramStart"/>
      <w:r w:rsidRPr="001C2A98">
        <w:rPr>
          <w:color w:val="000000"/>
          <w:lang w:val="en-US"/>
        </w:rPr>
        <w:t>the</w:t>
      </w:r>
      <w:proofErr w:type="gramEnd"/>
      <w:r w:rsidRPr="001C2A98">
        <w:rPr>
          <w:color w:val="000000"/>
          <w:lang w:val="en-US"/>
        </w:rPr>
        <w:t xml:space="preserve"> United Nations Joint Staff Pension Fund (UNJSPF</w:t>
      </w:r>
      <w:r w:rsidRPr="001C2A98">
        <w:rPr>
          <w:lang w:val="en-US"/>
        </w:rPr>
        <w:t>).</w:t>
      </w:r>
    </w:p>
    <w:p w:rsidR="0022373A" w:rsidRPr="0028367F" w:rsidRDefault="0022373A" w:rsidP="00C11E81">
      <w:pPr>
        <w:ind w:right="425"/>
        <w:jc w:val="both"/>
      </w:pPr>
      <w:r w:rsidRPr="0028367F">
        <w:t xml:space="preserve">The ITU </w:t>
      </w:r>
      <w:r w:rsidRPr="000D762F">
        <w:t>Council comprises 48 Member States</w:t>
      </w:r>
      <w:r w:rsidRPr="0028367F">
        <w:t>, without specific individuals being designated.</w:t>
      </w:r>
    </w:p>
    <w:p w:rsidR="0022373A" w:rsidRPr="001C2A98" w:rsidRDefault="0022373A" w:rsidP="004009E9">
      <w:pPr>
        <w:ind w:right="425"/>
        <w:jc w:val="both"/>
        <w:rPr>
          <w:lang w:val="en-US"/>
        </w:rPr>
      </w:pPr>
      <w:r w:rsidRPr="001C2A98">
        <w:rPr>
          <w:lang w:val="en-US"/>
        </w:rPr>
        <w:t>The Union is managed by the Secretary-General, as executive head, assisted in that task by the Deputy Secretary-General and the Directors of the Union</w:t>
      </w:r>
      <w:r w:rsidR="007A552E">
        <w:rPr>
          <w:lang w:val="en-US"/>
        </w:rPr>
        <w:t>’</w:t>
      </w:r>
      <w:r w:rsidRPr="001C2A98">
        <w:rPr>
          <w:lang w:val="en-US"/>
        </w:rPr>
        <w:t xml:space="preserve">s three </w:t>
      </w:r>
      <w:r w:rsidR="00FB79E8">
        <w:rPr>
          <w:lang w:val="en-US"/>
        </w:rPr>
        <w:t>s</w:t>
      </w:r>
      <w:r w:rsidRPr="001C2A98">
        <w:rPr>
          <w:lang w:val="en-US"/>
        </w:rPr>
        <w:t xml:space="preserve">ectors (high-ranking officials sitting on the Coordination Committee): </w:t>
      </w:r>
      <w:proofErr w:type="spellStart"/>
      <w:r w:rsidRPr="001C2A98">
        <w:rPr>
          <w:lang w:val="en-US"/>
        </w:rPr>
        <w:t>Radiocommunication</w:t>
      </w:r>
      <w:proofErr w:type="spellEnd"/>
      <w:r w:rsidRPr="001C2A98">
        <w:rPr>
          <w:lang w:val="en-US"/>
        </w:rPr>
        <w:t xml:space="preserve"> Sector (ITU-R), Telecommunication Standardization Sector (ITU-T</w:t>
      </w:r>
      <w:r w:rsidRPr="003743BC">
        <w:rPr>
          <w:lang w:val="en-US"/>
        </w:rPr>
        <w:t xml:space="preserve">) and Telecommunication Development Sector (ITU-D). The five </w:t>
      </w:r>
      <w:r w:rsidR="00393FB2">
        <w:rPr>
          <w:lang w:val="en-US"/>
        </w:rPr>
        <w:t>E</w:t>
      </w:r>
      <w:r w:rsidRPr="003743BC">
        <w:rPr>
          <w:lang w:val="en-US"/>
        </w:rPr>
        <w:t xml:space="preserve">lected </w:t>
      </w:r>
      <w:r w:rsidR="00393FB2">
        <w:rPr>
          <w:lang w:val="en-US"/>
        </w:rPr>
        <w:t>O</w:t>
      </w:r>
      <w:r w:rsidRPr="003743BC">
        <w:rPr>
          <w:lang w:val="en-US"/>
        </w:rPr>
        <w:t xml:space="preserve">fficials are assisted by </w:t>
      </w:r>
      <w:r w:rsidR="00AA421C">
        <w:rPr>
          <w:lang w:val="en-US"/>
        </w:rPr>
        <w:t>four</w:t>
      </w:r>
      <w:r w:rsidRPr="003743BC">
        <w:rPr>
          <w:lang w:val="en-US"/>
        </w:rPr>
        <w:t xml:space="preserve"> </w:t>
      </w:r>
      <w:r w:rsidR="00F65D42" w:rsidRPr="003743BC">
        <w:rPr>
          <w:lang w:val="en-US"/>
        </w:rPr>
        <w:t>S</w:t>
      </w:r>
      <w:r w:rsidRPr="003743BC">
        <w:rPr>
          <w:lang w:val="en-US"/>
        </w:rPr>
        <w:t xml:space="preserve">enior </w:t>
      </w:r>
      <w:r w:rsidR="00F65D42" w:rsidRPr="003743BC">
        <w:rPr>
          <w:lang w:val="en-US"/>
        </w:rPr>
        <w:t>O</w:t>
      </w:r>
      <w:r w:rsidRPr="003743BC">
        <w:rPr>
          <w:lang w:val="en-US"/>
        </w:rPr>
        <w:t xml:space="preserve">fficials at grade D.2), and by </w:t>
      </w:r>
      <w:r w:rsidR="004009E9">
        <w:rPr>
          <w:lang w:val="en-US"/>
        </w:rPr>
        <w:t>20</w:t>
      </w:r>
      <w:r w:rsidR="00FB79E8">
        <w:rPr>
          <w:lang w:val="en-US"/>
        </w:rPr>
        <w:t> </w:t>
      </w:r>
      <w:r w:rsidRPr="003743BC">
        <w:rPr>
          <w:lang w:val="en-US"/>
        </w:rPr>
        <w:t>other management officials at grade D.1 (chiefs of department or heads of unit).</w:t>
      </w:r>
    </w:p>
    <w:p w:rsidR="00A41AA7" w:rsidRDefault="0022373A" w:rsidP="00C11E81">
      <w:pPr>
        <w:ind w:right="425"/>
        <w:jc w:val="both"/>
        <w:rPr>
          <w:lang w:val="en-US"/>
        </w:rPr>
      </w:pPr>
      <w:r w:rsidRPr="001C2A98">
        <w:rPr>
          <w:lang w:val="en-US"/>
        </w:rPr>
        <w:t xml:space="preserve">The total remuneration paid to key management officials comprises net salary, post adjustment, allowances such as representation expenses, installation grant, repatriation grant, accrued leave, rental subsidy and removal of personal </w:t>
      </w:r>
      <w:r w:rsidRPr="005507A6">
        <w:rPr>
          <w:lang w:val="en-US"/>
        </w:rPr>
        <w:t>effects.</w:t>
      </w:r>
    </w:p>
    <w:p w:rsidR="0022373A" w:rsidRPr="001C2A98" w:rsidRDefault="0022373A" w:rsidP="00C11E81">
      <w:pPr>
        <w:ind w:right="425"/>
        <w:jc w:val="both"/>
        <w:rPr>
          <w:rFonts w:eastAsia="Calibri"/>
          <w:lang w:val="en-US"/>
        </w:rPr>
      </w:pPr>
      <w:r w:rsidRPr="001C2A98">
        <w:rPr>
          <w:rFonts w:eastAsia="Calibri"/>
          <w:lang w:val="en-US"/>
        </w:rPr>
        <w:t xml:space="preserve">Key management officials are also entitled to the same benefits as staff in the Professional category, namely: </w:t>
      </w:r>
    </w:p>
    <w:p w:rsidR="0022373A" w:rsidRPr="00D128FC" w:rsidRDefault="0022373A" w:rsidP="00C11E81">
      <w:pPr>
        <w:pStyle w:val="enumlev1"/>
        <w:ind w:right="425"/>
        <w:jc w:val="both"/>
        <w:rPr>
          <w:rFonts w:eastAsia="Calibri"/>
          <w:color w:val="000000"/>
          <w:lang w:val="en-US"/>
        </w:rPr>
      </w:pPr>
      <w:r w:rsidRPr="001C2A98">
        <w:rPr>
          <w:lang w:val="en-US"/>
        </w:rPr>
        <w:t>–</w:t>
      </w:r>
      <w:r w:rsidRPr="001C2A98">
        <w:rPr>
          <w:lang w:val="en-US"/>
        </w:rPr>
        <w:tab/>
      </w:r>
      <w:proofErr w:type="gramStart"/>
      <w:r w:rsidRPr="001C2A98">
        <w:rPr>
          <w:lang w:val="en-US"/>
        </w:rPr>
        <w:t>home</w:t>
      </w:r>
      <w:proofErr w:type="gramEnd"/>
      <w:r w:rsidRPr="001C2A98">
        <w:rPr>
          <w:lang w:val="en-US"/>
        </w:rPr>
        <w:t xml:space="preserve"> leave</w:t>
      </w:r>
      <w:r w:rsidR="0085330E">
        <w:rPr>
          <w:lang w:val="en-US"/>
        </w:rPr>
        <w:t>;</w:t>
      </w:r>
    </w:p>
    <w:p w:rsidR="0022373A" w:rsidRPr="001C2A98" w:rsidRDefault="0022373A" w:rsidP="00C11E81">
      <w:pPr>
        <w:pStyle w:val="enumlev1"/>
        <w:ind w:right="425"/>
        <w:jc w:val="both"/>
        <w:rPr>
          <w:lang w:val="en-US"/>
        </w:rPr>
      </w:pPr>
      <w:r w:rsidRPr="001C2A98">
        <w:rPr>
          <w:lang w:val="en-US"/>
        </w:rPr>
        <w:t>–</w:t>
      </w:r>
      <w:r w:rsidRPr="001C2A98">
        <w:rPr>
          <w:lang w:val="en-US"/>
        </w:rPr>
        <w:tab/>
      </w:r>
      <w:proofErr w:type="gramStart"/>
      <w:r w:rsidRPr="001C2A98">
        <w:rPr>
          <w:lang w:val="en-US"/>
        </w:rPr>
        <w:t>education</w:t>
      </w:r>
      <w:proofErr w:type="gramEnd"/>
      <w:r w:rsidRPr="001C2A98">
        <w:rPr>
          <w:lang w:val="en-US"/>
        </w:rPr>
        <w:t xml:space="preserve"> grant</w:t>
      </w:r>
      <w:r w:rsidR="0085330E">
        <w:rPr>
          <w:lang w:val="en-US"/>
        </w:rPr>
        <w:t>;</w:t>
      </w:r>
    </w:p>
    <w:p w:rsidR="0022373A" w:rsidRPr="00D128FC" w:rsidRDefault="0022373A" w:rsidP="00C11E81">
      <w:pPr>
        <w:pStyle w:val="enumlev1"/>
        <w:ind w:right="425"/>
        <w:jc w:val="both"/>
        <w:rPr>
          <w:rFonts w:eastAsia="Calibri"/>
          <w:color w:val="000000"/>
          <w:lang w:val="en-US"/>
        </w:rPr>
      </w:pPr>
      <w:r w:rsidRPr="001C2A98">
        <w:rPr>
          <w:lang w:val="en-US"/>
        </w:rPr>
        <w:t>–</w:t>
      </w:r>
      <w:r w:rsidRPr="001C2A98">
        <w:rPr>
          <w:lang w:val="en-US"/>
        </w:rPr>
        <w:tab/>
      </w:r>
      <w:proofErr w:type="gramStart"/>
      <w:r w:rsidRPr="001C2A98">
        <w:rPr>
          <w:lang w:val="en-US"/>
        </w:rPr>
        <w:t>post-employment</w:t>
      </w:r>
      <w:proofErr w:type="gramEnd"/>
      <w:r w:rsidRPr="001C2A98">
        <w:rPr>
          <w:lang w:val="en-US"/>
        </w:rPr>
        <w:t xml:space="preserve"> benefits</w:t>
      </w:r>
      <w:r w:rsidRPr="00D128FC">
        <w:rPr>
          <w:rFonts w:eastAsia="Calibri"/>
          <w:color w:val="000000"/>
          <w:lang w:val="en-US"/>
        </w:rPr>
        <w:t>.</w:t>
      </w:r>
    </w:p>
    <w:p w:rsidR="0022373A" w:rsidRPr="00D128FC" w:rsidRDefault="0022373A" w:rsidP="00C11E81">
      <w:pPr>
        <w:ind w:right="425"/>
        <w:jc w:val="both"/>
        <w:rPr>
          <w:rFonts w:cs="Calibri"/>
          <w:b/>
          <w:bCs/>
          <w:spacing w:val="-4"/>
          <w:w w:val="105"/>
          <w:lang w:val="en-US"/>
        </w:rPr>
      </w:pPr>
      <w:r w:rsidRPr="001C2A98">
        <w:rPr>
          <w:rFonts w:eastAsia="Calibri"/>
          <w:lang w:val="en-US"/>
        </w:rPr>
        <w:t>These benefits cannot be separately quantified in a reliable manner</w:t>
      </w:r>
      <w:r w:rsidRPr="00D128FC">
        <w:rPr>
          <w:rFonts w:cs="Calibri"/>
          <w:bCs/>
          <w:spacing w:val="-4"/>
          <w:w w:val="105"/>
          <w:lang w:val="en-US"/>
        </w:rPr>
        <w:t>.</w:t>
      </w:r>
    </w:p>
    <w:p w:rsidR="00AF24F3" w:rsidRDefault="0022373A" w:rsidP="00C11E81">
      <w:pPr>
        <w:ind w:right="425"/>
        <w:jc w:val="both"/>
        <w:rPr>
          <w:rFonts w:eastAsia="Calibri"/>
          <w:lang w:val="en-US"/>
        </w:rPr>
      </w:pPr>
      <w:r w:rsidRPr="000D762F">
        <w:rPr>
          <w:rFonts w:eastAsia="Calibri"/>
          <w:lang w:val="en-US"/>
        </w:rPr>
        <w:t>Key management officials are ordinary participants in the United Nations Joint Staff Pension Fund.</w:t>
      </w:r>
    </w:p>
    <w:p w:rsidR="0022373A" w:rsidRDefault="0022373A" w:rsidP="004009E9">
      <w:pPr>
        <w:spacing w:after="120"/>
        <w:ind w:right="425"/>
        <w:jc w:val="both"/>
        <w:rPr>
          <w:rFonts w:eastAsia="Calibri"/>
          <w:bCs/>
          <w:lang w:val="en-US"/>
        </w:rPr>
      </w:pPr>
      <w:r w:rsidRPr="000D762F">
        <w:rPr>
          <w:rFonts w:eastAsia="Calibri"/>
          <w:bCs/>
          <w:lang w:val="en-US"/>
        </w:rPr>
        <w:t xml:space="preserve">In </w:t>
      </w:r>
      <w:r w:rsidR="00111BDD">
        <w:rPr>
          <w:rFonts w:eastAsia="Calibri"/>
          <w:bCs/>
          <w:lang w:val="en-US"/>
        </w:rPr>
        <w:t>201</w:t>
      </w:r>
      <w:r w:rsidR="004009E9">
        <w:rPr>
          <w:rFonts w:eastAsia="Calibri"/>
          <w:bCs/>
          <w:lang w:val="en-US"/>
        </w:rPr>
        <w:t>7</w:t>
      </w:r>
      <w:r w:rsidRPr="000D762F">
        <w:rPr>
          <w:rFonts w:eastAsia="Calibri"/>
          <w:bCs/>
          <w:lang w:val="en-US"/>
        </w:rPr>
        <w:t>, the Union did not grant any loan or pay any other remuneration to the main management officials or to members of their families.</w:t>
      </w:r>
    </w:p>
    <w:tbl>
      <w:tblPr>
        <w:tblW w:w="10349" w:type="dxa"/>
        <w:tblInd w:w="-436" w:type="dxa"/>
        <w:tblLayout w:type="fixed"/>
        <w:tblLook w:val="04A0" w:firstRow="1" w:lastRow="0" w:firstColumn="1" w:lastColumn="0" w:noHBand="0" w:noVBand="1"/>
      </w:tblPr>
      <w:tblGrid>
        <w:gridCol w:w="2967"/>
        <w:gridCol w:w="1701"/>
        <w:gridCol w:w="1985"/>
        <w:gridCol w:w="1711"/>
        <w:gridCol w:w="1985"/>
      </w:tblGrid>
      <w:tr w:rsidR="00AA421C" w:rsidRPr="00AA421C" w:rsidTr="00431D97">
        <w:trPr>
          <w:trHeight w:val="293"/>
        </w:trPr>
        <w:tc>
          <w:tcPr>
            <w:tcW w:w="2967" w:type="dxa"/>
            <w:tcBorders>
              <w:top w:val="single" w:sz="8" w:space="0" w:color="auto"/>
              <w:left w:val="single" w:sz="8" w:space="0" w:color="auto"/>
              <w:bottom w:val="nil"/>
              <w:right w:val="single" w:sz="8" w:space="0" w:color="auto"/>
            </w:tcBorders>
            <w:shd w:val="clear" w:color="auto" w:fill="auto"/>
            <w:vAlign w:val="center"/>
            <w:hideMark/>
          </w:tcPr>
          <w:p w:rsidR="00AA421C" w:rsidRPr="00AA421C" w:rsidRDefault="00AA421C" w:rsidP="00C11E81">
            <w:pPr>
              <w:tabs>
                <w:tab w:val="clear" w:pos="567"/>
                <w:tab w:val="clear" w:pos="1134"/>
                <w:tab w:val="clear" w:pos="1701"/>
                <w:tab w:val="clear" w:pos="2268"/>
                <w:tab w:val="clear" w:pos="2835"/>
              </w:tabs>
              <w:overflowPunct/>
              <w:autoSpaceDE/>
              <w:autoSpaceDN/>
              <w:adjustRightInd/>
              <w:spacing w:before="0"/>
              <w:ind w:right="425"/>
              <w:textAlignment w:val="auto"/>
              <w:rPr>
                <w:rFonts w:cs="Arial"/>
                <w:b/>
                <w:bCs/>
                <w:color w:val="000000"/>
                <w:sz w:val="22"/>
                <w:szCs w:val="22"/>
                <w:lang w:val="en-US" w:eastAsia="zh-CN"/>
              </w:rPr>
            </w:pPr>
            <w:r w:rsidRPr="00AA421C">
              <w:rPr>
                <w:rFonts w:cs="Arial"/>
                <w:b/>
                <w:bCs/>
                <w:color w:val="000000"/>
                <w:sz w:val="22"/>
                <w:szCs w:val="22"/>
                <w:lang w:val="en-US" w:eastAsia="zh-CN"/>
              </w:rPr>
              <w:t> </w:t>
            </w:r>
          </w:p>
        </w:tc>
        <w:tc>
          <w:tcPr>
            <w:tcW w:w="3686" w:type="dxa"/>
            <w:gridSpan w:val="2"/>
            <w:tcBorders>
              <w:top w:val="single" w:sz="8" w:space="0" w:color="auto"/>
              <w:left w:val="nil"/>
              <w:bottom w:val="nil"/>
              <w:right w:val="single" w:sz="8" w:space="0" w:color="000000"/>
            </w:tcBorders>
            <w:shd w:val="clear" w:color="auto" w:fill="auto"/>
            <w:vAlign w:val="center"/>
            <w:hideMark/>
          </w:tcPr>
          <w:p w:rsidR="00AA421C" w:rsidRPr="00AA421C" w:rsidRDefault="00AA421C" w:rsidP="00145B2E">
            <w:pPr>
              <w:tabs>
                <w:tab w:val="clear" w:pos="567"/>
                <w:tab w:val="clear" w:pos="1134"/>
                <w:tab w:val="clear" w:pos="1701"/>
                <w:tab w:val="clear" w:pos="2268"/>
                <w:tab w:val="clear" w:pos="2835"/>
              </w:tabs>
              <w:overflowPunct/>
              <w:autoSpaceDE/>
              <w:autoSpaceDN/>
              <w:adjustRightInd/>
              <w:spacing w:before="0"/>
              <w:ind w:right="425"/>
              <w:jc w:val="center"/>
              <w:textAlignment w:val="auto"/>
              <w:rPr>
                <w:rFonts w:cs="Arial"/>
                <w:b/>
                <w:bCs/>
                <w:color w:val="000000"/>
                <w:sz w:val="22"/>
                <w:szCs w:val="22"/>
                <w:lang w:val="en-US" w:eastAsia="zh-CN"/>
              </w:rPr>
            </w:pPr>
            <w:r w:rsidRPr="00AA421C">
              <w:rPr>
                <w:rFonts w:cs="Arial"/>
                <w:b/>
                <w:bCs/>
                <w:color w:val="000000"/>
                <w:sz w:val="22"/>
                <w:szCs w:val="22"/>
                <w:lang w:val="en-US" w:eastAsia="zh-CN"/>
              </w:rPr>
              <w:t>31.12.201</w:t>
            </w:r>
            <w:r w:rsidR="00145B2E">
              <w:rPr>
                <w:rFonts w:cs="Arial"/>
                <w:b/>
                <w:bCs/>
                <w:color w:val="000000"/>
                <w:sz w:val="22"/>
                <w:szCs w:val="22"/>
                <w:lang w:val="en-US" w:eastAsia="zh-CN"/>
              </w:rPr>
              <w:t>7</w:t>
            </w:r>
          </w:p>
        </w:tc>
        <w:tc>
          <w:tcPr>
            <w:tcW w:w="3696" w:type="dxa"/>
            <w:gridSpan w:val="2"/>
            <w:tcBorders>
              <w:top w:val="single" w:sz="8" w:space="0" w:color="auto"/>
              <w:left w:val="nil"/>
              <w:bottom w:val="nil"/>
              <w:right w:val="single" w:sz="8" w:space="0" w:color="000000"/>
            </w:tcBorders>
            <w:shd w:val="clear" w:color="auto" w:fill="auto"/>
            <w:vAlign w:val="center"/>
            <w:hideMark/>
          </w:tcPr>
          <w:p w:rsidR="00AA421C" w:rsidRPr="00145B2E" w:rsidRDefault="00AA421C" w:rsidP="00145B2E">
            <w:pPr>
              <w:tabs>
                <w:tab w:val="clear" w:pos="567"/>
                <w:tab w:val="clear" w:pos="1134"/>
                <w:tab w:val="clear" w:pos="1701"/>
                <w:tab w:val="clear" w:pos="2268"/>
                <w:tab w:val="clear" w:pos="2835"/>
              </w:tabs>
              <w:overflowPunct/>
              <w:autoSpaceDE/>
              <w:autoSpaceDN/>
              <w:adjustRightInd/>
              <w:spacing w:before="0"/>
              <w:ind w:right="425"/>
              <w:jc w:val="center"/>
              <w:textAlignment w:val="auto"/>
              <w:rPr>
                <w:rFonts w:cs="Arial"/>
                <w:b/>
                <w:bCs/>
                <w:color w:val="000000"/>
                <w:sz w:val="22"/>
                <w:szCs w:val="22"/>
                <w:lang w:val="en-US" w:eastAsia="zh-CN"/>
              </w:rPr>
            </w:pPr>
            <w:r w:rsidRPr="00145B2E">
              <w:rPr>
                <w:rFonts w:cs="Arial"/>
                <w:b/>
                <w:bCs/>
                <w:color w:val="000000"/>
                <w:sz w:val="22"/>
                <w:szCs w:val="22"/>
                <w:lang w:val="en-US" w:eastAsia="zh-CN"/>
              </w:rPr>
              <w:t>31.12.201</w:t>
            </w:r>
            <w:r w:rsidR="00145B2E" w:rsidRPr="00145B2E">
              <w:rPr>
                <w:rFonts w:cs="Arial"/>
                <w:b/>
                <w:bCs/>
                <w:color w:val="000000"/>
                <w:sz w:val="22"/>
                <w:szCs w:val="22"/>
                <w:lang w:val="en-US" w:eastAsia="zh-CN"/>
              </w:rPr>
              <w:t>6</w:t>
            </w:r>
          </w:p>
        </w:tc>
      </w:tr>
      <w:tr w:rsidR="00AA421C" w:rsidRPr="00AA421C" w:rsidTr="00431D97">
        <w:trPr>
          <w:trHeight w:val="293"/>
        </w:trPr>
        <w:tc>
          <w:tcPr>
            <w:tcW w:w="2967" w:type="dxa"/>
            <w:vMerge w:val="restart"/>
            <w:tcBorders>
              <w:top w:val="nil"/>
              <w:left w:val="single" w:sz="8" w:space="0" w:color="auto"/>
              <w:bottom w:val="single" w:sz="8" w:space="0" w:color="000000"/>
              <w:right w:val="single" w:sz="8" w:space="0" w:color="auto"/>
            </w:tcBorders>
            <w:shd w:val="clear" w:color="auto" w:fill="auto"/>
            <w:vAlign w:val="center"/>
            <w:hideMark/>
          </w:tcPr>
          <w:p w:rsidR="00AA421C" w:rsidRPr="00AA421C" w:rsidRDefault="00AA421C" w:rsidP="00C11E81">
            <w:pPr>
              <w:tabs>
                <w:tab w:val="clear" w:pos="567"/>
                <w:tab w:val="clear" w:pos="1134"/>
                <w:tab w:val="clear" w:pos="1701"/>
                <w:tab w:val="clear" w:pos="2268"/>
                <w:tab w:val="clear" w:pos="2835"/>
              </w:tabs>
              <w:overflowPunct/>
              <w:autoSpaceDE/>
              <w:autoSpaceDN/>
              <w:adjustRightInd/>
              <w:spacing w:before="0"/>
              <w:ind w:right="425"/>
              <w:textAlignment w:val="auto"/>
              <w:rPr>
                <w:rFonts w:cs="Arial"/>
                <w:b/>
                <w:bCs/>
                <w:color w:val="000000"/>
                <w:sz w:val="22"/>
                <w:szCs w:val="22"/>
                <w:lang w:val="en-US" w:eastAsia="zh-CN"/>
              </w:rPr>
            </w:pPr>
            <w:r w:rsidRPr="00AA421C">
              <w:rPr>
                <w:rFonts w:cs="Arial"/>
                <w:b/>
                <w:bCs/>
                <w:color w:val="000000"/>
                <w:sz w:val="22"/>
                <w:szCs w:val="22"/>
                <w:lang w:val="en-US" w:eastAsia="zh-CN"/>
              </w:rPr>
              <w:t>In thousands of CHF</w:t>
            </w:r>
          </w:p>
        </w:tc>
        <w:tc>
          <w:tcPr>
            <w:tcW w:w="1701" w:type="dxa"/>
            <w:vMerge w:val="restart"/>
            <w:tcBorders>
              <w:top w:val="nil"/>
              <w:left w:val="single" w:sz="8" w:space="0" w:color="auto"/>
              <w:bottom w:val="single" w:sz="8" w:space="0" w:color="000000"/>
              <w:right w:val="nil"/>
            </w:tcBorders>
            <w:shd w:val="clear" w:color="auto" w:fill="auto"/>
            <w:vAlign w:val="center"/>
            <w:hideMark/>
          </w:tcPr>
          <w:p w:rsidR="00AA421C" w:rsidRPr="00AA421C" w:rsidRDefault="00AA421C" w:rsidP="00C11E81">
            <w:pPr>
              <w:tabs>
                <w:tab w:val="clear" w:pos="567"/>
                <w:tab w:val="clear" w:pos="1134"/>
                <w:tab w:val="clear" w:pos="1701"/>
                <w:tab w:val="clear" w:pos="2268"/>
                <w:tab w:val="clear" w:pos="2835"/>
              </w:tabs>
              <w:overflowPunct/>
              <w:autoSpaceDE/>
              <w:autoSpaceDN/>
              <w:adjustRightInd/>
              <w:spacing w:before="0"/>
              <w:ind w:right="425"/>
              <w:jc w:val="center"/>
              <w:textAlignment w:val="auto"/>
              <w:rPr>
                <w:rFonts w:cs="Arial"/>
                <w:b/>
                <w:bCs/>
                <w:color w:val="000000"/>
                <w:sz w:val="22"/>
                <w:szCs w:val="22"/>
                <w:lang w:val="en-US" w:eastAsia="zh-CN"/>
              </w:rPr>
            </w:pPr>
            <w:r w:rsidRPr="00AA421C">
              <w:rPr>
                <w:rFonts w:cs="Arial"/>
                <w:b/>
                <w:bCs/>
                <w:color w:val="000000"/>
                <w:sz w:val="22"/>
                <w:szCs w:val="22"/>
                <w:lang w:val="en-US" w:eastAsia="zh-CN"/>
              </w:rPr>
              <w:t>Number of persons</w:t>
            </w:r>
          </w:p>
        </w:tc>
        <w:tc>
          <w:tcPr>
            <w:tcW w:w="1985" w:type="dxa"/>
            <w:vMerge w:val="restart"/>
            <w:tcBorders>
              <w:top w:val="nil"/>
              <w:left w:val="nil"/>
              <w:bottom w:val="single" w:sz="8" w:space="0" w:color="000000"/>
              <w:right w:val="single" w:sz="8" w:space="0" w:color="auto"/>
            </w:tcBorders>
            <w:shd w:val="clear" w:color="auto" w:fill="auto"/>
            <w:vAlign w:val="center"/>
            <w:hideMark/>
          </w:tcPr>
          <w:p w:rsidR="00AA421C" w:rsidRPr="00AA421C" w:rsidRDefault="00AA421C" w:rsidP="00C11E81">
            <w:pPr>
              <w:tabs>
                <w:tab w:val="clear" w:pos="567"/>
                <w:tab w:val="clear" w:pos="1134"/>
                <w:tab w:val="clear" w:pos="1701"/>
                <w:tab w:val="clear" w:pos="2268"/>
                <w:tab w:val="clear" w:pos="2835"/>
              </w:tabs>
              <w:overflowPunct/>
              <w:autoSpaceDE/>
              <w:autoSpaceDN/>
              <w:adjustRightInd/>
              <w:spacing w:before="0"/>
              <w:ind w:right="425"/>
              <w:jc w:val="center"/>
              <w:textAlignment w:val="auto"/>
              <w:rPr>
                <w:rFonts w:cs="Arial"/>
                <w:b/>
                <w:bCs/>
                <w:color w:val="000000"/>
                <w:sz w:val="22"/>
                <w:szCs w:val="22"/>
                <w:lang w:val="en-US" w:eastAsia="zh-CN"/>
              </w:rPr>
            </w:pPr>
            <w:r w:rsidRPr="00AA421C">
              <w:rPr>
                <w:rFonts w:cs="Arial"/>
                <w:b/>
                <w:bCs/>
                <w:color w:val="000000"/>
                <w:sz w:val="22"/>
                <w:szCs w:val="22"/>
                <w:lang w:val="en-US" w:eastAsia="zh-CN"/>
              </w:rPr>
              <w:t>Total remuneration</w:t>
            </w:r>
          </w:p>
        </w:tc>
        <w:tc>
          <w:tcPr>
            <w:tcW w:w="1711" w:type="dxa"/>
            <w:tcBorders>
              <w:top w:val="nil"/>
              <w:left w:val="nil"/>
              <w:bottom w:val="nil"/>
              <w:right w:val="nil"/>
            </w:tcBorders>
            <w:shd w:val="clear" w:color="auto" w:fill="auto"/>
            <w:vAlign w:val="center"/>
            <w:hideMark/>
          </w:tcPr>
          <w:p w:rsidR="00AA421C" w:rsidRPr="00AA421C" w:rsidRDefault="00AA421C" w:rsidP="00C11E81">
            <w:pPr>
              <w:tabs>
                <w:tab w:val="clear" w:pos="567"/>
                <w:tab w:val="clear" w:pos="1134"/>
                <w:tab w:val="clear" w:pos="1701"/>
                <w:tab w:val="clear" w:pos="2268"/>
                <w:tab w:val="clear" w:pos="2835"/>
              </w:tabs>
              <w:overflowPunct/>
              <w:autoSpaceDE/>
              <w:autoSpaceDN/>
              <w:adjustRightInd/>
              <w:spacing w:before="0"/>
              <w:ind w:right="425"/>
              <w:jc w:val="center"/>
              <w:textAlignment w:val="auto"/>
              <w:rPr>
                <w:rFonts w:cs="Arial"/>
                <w:b/>
                <w:bCs/>
                <w:color w:val="000000"/>
                <w:sz w:val="22"/>
                <w:szCs w:val="22"/>
                <w:lang w:val="en-US" w:eastAsia="zh-CN"/>
              </w:rPr>
            </w:pPr>
            <w:r w:rsidRPr="00AA421C">
              <w:rPr>
                <w:rFonts w:cs="Arial"/>
                <w:b/>
                <w:bCs/>
                <w:color w:val="000000"/>
                <w:sz w:val="22"/>
                <w:szCs w:val="22"/>
                <w:lang w:val="en-US" w:eastAsia="zh-CN"/>
              </w:rPr>
              <w:t>Number</w:t>
            </w:r>
          </w:p>
        </w:tc>
        <w:tc>
          <w:tcPr>
            <w:tcW w:w="1985" w:type="dxa"/>
            <w:vMerge w:val="restart"/>
            <w:tcBorders>
              <w:top w:val="nil"/>
              <w:left w:val="nil"/>
              <w:bottom w:val="single" w:sz="8" w:space="0" w:color="000000"/>
              <w:right w:val="single" w:sz="8" w:space="0" w:color="auto"/>
            </w:tcBorders>
            <w:shd w:val="clear" w:color="auto" w:fill="auto"/>
            <w:vAlign w:val="center"/>
            <w:hideMark/>
          </w:tcPr>
          <w:p w:rsidR="00AA421C" w:rsidRPr="00AA421C" w:rsidRDefault="00AA421C" w:rsidP="00C11E81">
            <w:pPr>
              <w:tabs>
                <w:tab w:val="clear" w:pos="567"/>
                <w:tab w:val="clear" w:pos="1134"/>
                <w:tab w:val="clear" w:pos="1701"/>
                <w:tab w:val="clear" w:pos="2268"/>
                <w:tab w:val="clear" w:pos="2835"/>
              </w:tabs>
              <w:overflowPunct/>
              <w:autoSpaceDE/>
              <w:autoSpaceDN/>
              <w:adjustRightInd/>
              <w:spacing w:before="0"/>
              <w:ind w:right="425"/>
              <w:jc w:val="center"/>
              <w:textAlignment w:val="auto"/>
              <w:rPr>
                <w:rFonts w:cs="Arial"/>
                <w:b/>
                <w:bCs/>
                <w:color w:val="000000"/>
                <w:sz w:val="22"/>
                <w:szCs w:val="22"/>
                <w:lang w:val="en-US" w:eastAsia="zh-CN"/>
              </w:rPr>
            </w:pPr>
            <w:r w:rsidRPr="00AA421C">
              <w:rPr>
                <w:rFonts w:cs="Arial"/>
                <w:b/>
                <w:bCs/>
                <w:color w:val="000000"/>
                <w:sz w:val="22"/>
                <w:szCs w:val="22"/>
                <w:lang w:val="en-US" w:eastAsia="zh-CN"/>
              </w:rPr>
              <w:t>Total remuneration</w:t>
            </w:r>
          </w:p>
        </w:tc>
      </w:tr>
      <w:tr w:rsidR="006E29CA" w:rsidRPr="00AA421C" w:rsidTr="00431D97">
        <w:trPr>
          <w:trHeight w:val="307"/>
        </w:trPr>
        <w:tc>
          <w:tcPr>
            <w:tcW w:w="2967" w:type="dxa"/>
            <w:vMerge/>
            <w:tcBorders>
              <w:top w:val="nil"/>
              <w:left w:val="single" w:sz="8" w:space="0" w:color="auto"/>
              <w:bottom w:val="single" w:sz="8" w:space="0" w:color="000000"/>
              <w:right w:val="single" w:sz="8" w:space="0" w:color="auto"/>
            </w:tcBorders>
            <w:vAlign w:val="center"/>
            <w:hideMark/>
          </w:tcPr>
          <w:p w:rsidR="00AA421C" w:rsidRPr="00AA421C" w:rsidRDefault="00AA421C" w:rsidP="00C11E81">
            <w:pPr>
              <w:tabs>
                <w:tab w:val="clear" w:pos="567"/>
                <w:tab w:val="clear" w:pos="1134"/>
                <w:tab w:val="clear" w:pos="1701"/>
                <w:tab w:val="clear" w:pos="2268"/>
                <w:tab w:val="clear" w:pos="2835"/>
              </w:tabs>
              <w:overflowPunct/>
              <w:autoSpaceDE/>
              <w:autoSpaceDN/>
              <w:adjustRightInd/>
              <w:spacing w:before="0"/>
              <w:ind w:right="425"/>
              <w:textAlignment w:val="auto"/>
              <w:rPr>
                <w:rFonts w:cs="Arial"/>
                <w:b/>
                <w:bCs/>
                <w:color w:val="000000"/>
                <w:sz w:val="22"/>
                <w:szCs w:val="22"/>
                <w:lang w:val="en-US" w:eastAsia="zh-CN"/>
              </w:rPr>
            </w:pPr>
          </w:p>
        </w:tc>
        <w:tc>
          <w:tcPr>
            <w:tcW w:w="1701" w:type="dxa"/>
            <w:vMerge/>
            <w:tcBorders>
              <w:top w:val="nil"/>
              <w:left w:val="single" w:sz="8" w:space="0" w:color="auto"/>
              <w:bottom w:val="single" w:sz="8" w:space="0" w:color="000000"/>
              <w:right w:val="nil"/>
            </w:tcBorders>
            <w:vAlign w:val="center"/>
            <w:hideMark/>
          </w:tcPr>
          <w:p w:rsidR="00AA421C" w:rsidRPr="00AA421C" w:rsidRDefault="00AA421C" w:rsidP="00C11E81">
            <w:pPr>
              <w:tabs>
                <w:tab w:val="clear" w:pos="567"/>
                <w:tab w:val="clear" w:pos="1134"/>
                <w:tab w:val="clear" w:pos="1701"/>
                <w:tab w:val="clear" w:pos="2268"/>
                <w:tab w:val="clear" w:pos="2835"/>
              </w:tabs>
              <w:overflowPunct/>
              <w:autoSpaceDE/>
              <w:autoSpaceDN/>
              <w:adjustRightInd/>
              <w:spacing w:before="0"/>
              <w:ind w:right="425"/>
              <w:textAlignment w:val="auto"/>
              <w:rPr>
                <w:rFonts w:cs="Arial"/>
                <w:b/>
                <w:bCs/>
                <w:color w:val="000000"/>
                <w:sz w:val="22"/>
                <w:szCs w:val="22"/>
                <w:lang w:val="en-US" w:eastAsia="zh-CN"/>
              </w:rPr>
            </w:pPr>
          </w:p>
        </w:tc>
        <w:tc>
          <w:tcPr>
            <w:tcW w:w="1985" w:type="dxa"/>
            <w:vMerge/>
            <w:tcBorders>
              <w:top w:val="nil"/>
              <w:left w:val="nil"/>
              <w:bottom w:val="single" w:sz="8" w:space="0" w:color="000000"/>
              <w:right w:val="single" w:sz="8" w:space="0" w:color="auto"/>
            </w:tcBorders>
            <w:vAlign w:val="center"/>
            <w:hideMark/>
          </w:tcPr>
          <w:p w:rsidR="00AA421C" w:rsidRPr="00AA421C" w:rsidRDefault="00AA421C" w:rsidP="00C11E81">
            <w:pPr>
              <w:tabs>
                <w:tab w:val="clear" w:pos="567"/>
                <w:tab w:val="clear" w:pos="1134"/>
                <w:tab w:val="clear" w:pos="1701"/>
                <w:tab w:val="clear" w:pos="2268"/>
                <w:tab w:val="clear" w:pos="2835"/>
              </w:tabs>
              <w:overflowPunct/>
              <w:autoSpaceDE/>
              <w:autoSpaceDN/>
              <w:adjustRightInd/>
              <w:spacing w:before="0"/>
              <w:ind w:right="425"/>
              <w:textAlignment w:val="auto"/>
              <w:rPr>
                <w:rFonts w:cs="Arial"/>
                <w:b/>
                <w:bCs/>
                <w:color w:val="000000"/>
                <w:sz w:val="22"/>
                <w:szCs w:val="22"/>
                <w:lang w:val="en-US" w:eastAsia="zh-CN"/>
              </w:rPr>
            </w:pPr>
          </w:p>
        </w:tc>
        <w:tc>
          <w:tcPr>
            <w:tcW w:w="1711" w:type="dxa"/>
            <w:tcBorders>
              <w:top w:val="nil"/>
              <w:left w:val="nil"/>
              <w:bottom w:val="single" w:sz="8" w:space="0" w:color="auto"/>
              <w:right w:val="nil"/>
            </w:tcBorders>
            <w:shd w:val="clear" w:color="auto" w:fill="auto"/>
            <w:vAlign w:val="center"/>
            <w:hideMark/>
          </w:tcPr>
          <w:p w:rsidR="00AA421C" w:rsidRPr="00AA421C" w:rsidRDefault="00AA421C" w:rsidP="00C11E81">
            <w:pPr>
              <w:tabs>
                <w:tab w:val="clear" w:pos="567"/>
                <w:tab w:val="clear" w:pos="1134"/>
                <w:tab w:val="clear" w:pos="1701"/>
                <w:tab w:val="clear" w:pos="2268"/>
                <w:tab w:val="clear" w:pos="2835"/>
              </w:tabs>
              <w:overflowPunct/>
              <w:autoSpaceDE/>
              <w:autoSpaceDN/>
              <w:adjustRightInd/>
              <w:spacing w:before="0"/>
              <w:ind w:right="425"/>
              <w:jc w:val="center"/>
              <w:textAlignment w:val="auto"/>
              <w:rPr>
                <w:rFonts w:cs="Arial"/>
                <w:b/>
                <w:bCs/>
                <w:color w:val="000000"/>
                <w:sz w:val="22"/>
                <w:szCs w:val="22"/>
                <w:lang w:val="en-US" w:eastAsia="zh-CN"/>
              </w:rPr>
            </w:pPr>
            <w:r w:rsidRPr="00AA421C">
              <w:rPr>
                <w:rFonts w:cs="Arial"/>
                <w:b/>
                <w:bCs/>
                <w:color w:val="000000"/>
                <w:sz w:val="22"/>
                <w:szCs w:val="22"/>
                <w:lang w:val="en-US" w:eastAsia="zh-CN"/>
              </w:rPr>
              <w:t>of persons</w:t>
            </w:r>
          </w:p>
        </w:tc>
        <w:tc>
          <w:tcPr>
            <w:tcW w:w="1985" w:type="dxa"/>
            <w:vMerge/>
            <w:tcBorders>
              <w:top w:val="nil"/>
              <w:left w:val="nil"/>
              <w:bottom w:val="single" w:sz="8" w:space="0" w:color="000000"/>
              <w:right w:val="single" w:sz="8" w:space="0" w:color="auto"/>
            </w:tcBorders>
            <w:vAlign w:val="center"/>
            <w:hideMark/>
          </w:tcPr>
          <w:p w:rsidR="00AA421C" w:rsidRPr="00AA421C" w:rsidRDefault="00AA421C" w:rsidP="00C11E81">
            <w:pPr>
              <w:tabs>
                <w:tab w:val="clear" w:pos="567"/>
                <w:tab w:val="clear" w:pos="1134"/>
                <w:tab w:val="clear" w:pos="1701"/>
                <w:tab w:val="clear" w:pos="2268"/>
                <w:tab w:val="clear" w:pos="2835"/>
              </w:tabs>
              <w:overflowPunct/>
              <w:autoSpaceDE/>
              <w:autoSpaceDN/>
              <w:adjustRightInd/>
              <w:spacing w:before="0"/>
              <w:ind w:right="425"/>
              <w:textAlignment w:val="auto"/>
              <w:rPr>
                <w:rFonts w:cs="Arial"/>
                <w:b/>
                <w:bCs/>
                <w:color w:val="000000"/>
                <w:sz w:val="22"/>
                <w:szCs w:val="22"/>
                <w:lang w:val="en-US" w:eastAsia="zh-CN"/>
              </w:rPr>
            </w:pPr>
          </w:p>
        </w:tc>
      </w:tr>
      <w:tr w:rsidR="00145B2E" w:rsidRPr="00AA421C" w:rsidTr="00431D97">
        <w:trPr>
          <w:trHeight w:val="307"/>
        </w:trPr>
        <w:tc>
          <w:tcPr>
            <w:tcW w:w="2967" w:type="dxa"/>
            <w:tcBorders>
              <w:top w:val="nil"/>
              <w:left w:val="single" w:sz="8" w:space="0" w:color="auto"/>
              <w:bottom w:val="nil"/>
              <w:right w:val="single" w:sz="8" w:space="0" w:color="auto"/>
            </w:tcBorders>
            <w:shd w:val="clear" w:color="auto" w:fill="auto"/>
            <w:vAlign w:val="center"/>
            <w:hideMark/>
          </w:tcPr>
          <w:p w:rsidR="00145B2E" w:rsidRPr="00AA421C" w:rsidRDefault="00145B2E" w:rsidP="00145B2E">
            <w:pPr>
              <w:tabs>
                <w:tab w:val="clear" w:pos="567"/>
                <w:tab w:val="clear" w:pos="1134"/>
                <w:tab w:val="clear" w:pos="1701"/>
                <w:tab w:val="clear" w:pos="2268"/>
                <w:tab w:val="clear" w:pos="2835"/>
              </w:tabs>
              <w:overflowPunct/>
              <w:autoSpaceDE/>
              <w:autoSpaceDN/>
              <w:adjustRightInd/>
              <w:spacing w:before="0"/>
              <w:ind w:right="425"/>
              <w:textAlignment w:val="auto"/>
              <w:rPr>
                <w:rFonts w:cs="Arial"/>
                <w:color w:val="000000"/>
                <w:sz w:val="22"/>
                <w:szCs w:val="22"/>
                <w:lang w:val="en-US" w:eastAsia="zh-CN"/>
              </w:rPr>
            </w:pPr>
            <w:r w:rsidRPr="00AA421C">
              <w:rPr>
                <w:rFonts w:cs="Arial"/>
                <w:color w:val="000000"/>
                <w:sz w:val="22"/>
                <w:szCs w:val="22"/>
                <w:lang w:val="en-US" w:eastAsia="zh-CN"/>
              </w:rPr>
              <w:t>5 elected officials</w:t>
            </w:r>
          </w:p>
        </w:tc>
        <w:tc>
          <w:tcPr>
            <w:tcW w:w="1701" w:type="dxa"/>
            <w:tcBorders>
              <w:top w:val="nil"/>
              <w:left w:val="nil"/>
              <w:bottom w:val="nil"/>
              <w:right w:val="nil"/>
            </w:tcBorders>
            <w:shd w:val="clear" w:color="auto" w:fill="auto"/>
            <w:vAlign w:val="center"/>
            <w:hideMark/>
          </w:tcPr>
          <w:p w:rsidR="00145B2E" w:rsidRPr="00AA421C" w:rsidRDefault="00145B2E" w:rsidP="00145B2E">
            <w:pPr>
              <w:tabs>
                <w:tab w:val="clear" w:pos="567"/>
                <w:tab w:val="clear" w:pos="1134"/>
                <w:tab w:val="clear" w:pos="1701"/>
                <w:tab w:val="clear" w:pos="2268"/>
                <w:tab w:val="clear" w:pos="2835"/>
              </w:tabs>
              <w:overflowPunct/>
              <w:autoSpaceDE/>
              <w:autoSpaceDN/>
              <w:adjustRightInd/>
              <w:spacing w:before="0"/>
              <w:ind w:right="425"/>
              <w:jc w:val="right"/>
              <w:textAlignment w:val="auto"/>
              <w:rPr>
                <w:rFonts w:cs="Arial"/>
                <w:color w:val="000000"/>
                <w:sz w:val="22"/>
                <w:szCs w:val="22"/>
                <w:lang w:val="en-US" w:eastAsia="zh-CN"/>
              </w:rPr>
            </w:pPr>
            <w:r w:rsidRPr="00AA421C">
              <w:rPr>
                <w:rFonts w:cs="Arial"/>
                <w:color w:val="000000"/>
                <w:sz w:val="22"/>
                <w:szCs w:val="22"/>
                <w:lang w:val="en-US" w:eastAsia="zh-CN"/>
              </w:rPr>
              <w:t>5</w:t>
            </w:r>
          </w:p>
        </w:tc>
        <w:tc>
          <w:tcPr>
            <w:tcW w:w="1985" w:type="dxa"/>
            <w:tcBorders>
              <w:top w:val="nil"/>
              <w:left w:val="nil"/>
              <w:bottom w:val="nil"/>
              <w:right w:val="single" w:sz="8" w:space="0" w:color="auto"/>
            </w:tcBorders>
            <w:shd w:val="clear" w:color="auto" w:fill="auto"/>
            <w:vAlign w:val="center"/>
            <w:hideMark/>
          </w:tcPr>
          <w:p w:rsidR="00145B2E" w:rsidRPr="00AA421C" w:rsidRDefault="00145B2E" w:rsidP="00145B2E">
            <w:pPr>
              <w:tabs>
                <w:tab w:val="clear" w:pos="567"/>
                <w:tab w:val="clear" w:pos="1134"/>
                <w:tab w:val="clear" w:pos="1701"/>
                <w:tab w:val="clear" w:pos="2268"/>
                <w:tab w:val="clear" w:pos="2835"/>
              </w:tabs>
              <w:overflowPunct/>
              <w:autoSpaceDE/>
              <w:autoSpaceDN/>
              <w:adjustRightInd/>
              <w:spacing w:before="0"/>
              <w:ind w:right="425"/>
              <w:jc w:val="right"/>
              <w:textAlignment w:val="auto"/>
              <w:rPr>
                <w:rFonts w:cs="Arial"/>
                <w:color w:val="000000"/>
                <w:sz w:val="22"/>
                <w:szCs w:val="22"/>
                <w:lang w:val="en-US" w:eastAsia="zh-CN"/>
              </w:rPr>
            </w:pPr>
            <w:r w:rsidRPr="00AA421C">
              <w:rPr>
                <w:rFonts w:cs="Arial"/>
                <w:color w:val="000000"/>
                <w:sz w:val="22"/>
                <w:szCs w:val="22"/>
                <w:lang w:val="en-US" w:eastAsia="zh-CN"/>
              </w:rPr>
              <w:t xml:space="preserve">                </w:t>
            </w:r>
            <w:r>
              <w:rPr>
                <w:rFonts w:cs="Arial"/>
                <w:color w:val="000000"/>
                <w:sz w:val="22"/>
                <w:szCs w:val="22"/>
                <w:lang w:val="en-US" w:eastAsia="zh-CN"/>
              </w:rPr>
              <w:t>2</w:t>
            </w:r>
            <w:r w:rsidRPr="00AA421C">
              <w:rPr>
                <w:rFonts w:cs="Arial"/>
                <w:color w:val="000000"/>
                <w:sz w:val="22"/>
                <w:szCs w:val="22"/>
                <w:lang w:val="en-US" w:eastAsia="zh-CN"/>
              </w:rPr>
              <w:t>,</w:t>
            </w:r>
            <w:r>
              <w:rPr>
                <w:rFonts w:cs="Arial"/>
                <w:color w:val="000000"/>
                <w:sz w:val="22"/>
                <w:szCs w:val="22"/>
                <w:lang w:val="en-US" w:eastAsia="zh-CN"/>
              </w:rPr>
              <w:t>143</w:t>
            </w:r>
            <w:r w:rsidRPr="00AA421C">
              <w:rPr>
                <w:rFonts w:cs="Arial"/>
                <w:color w:val="000000"/>
                <w:sz w:val="22"/>
                <w:szCs w:val="22"/>
                <w:lang w:val="en-US" w:eastAsia="zh-CN"/>
              </w:rPr>
              <w:t xml:space="preserve"> </w:t>
            </w:r>
          </w:p>
        </w:tc>
        <w:tc>
          <w:tcPr>
            <w:tcW w:w="1711" w:type="dxa"/>
            <w:tcBorders>
              <w:top w:val="nil"/>
              <w:left w:val="nil"/>
              <w:bottom w:val="nil"/>
              <w:right w:val="nil"/>
            </w:tcBorders>
            <w:shd w:val="clear" w:color="auto" w:fill="auto"/>
            <w:vAlign w:val="center"/>
            <w:hideMark/>
          </w:tcPr>
          <w:p w:rsidR="00145B2E" w:rsidRPr="00AA421C" w:rsidRDefault="00145B2E" w:rsidP="00145B2E">
            <w:pPr>
              <w:tabs>
                <w:tab w:val="clear" w:pos="567"/>
                <w:tab w:val="clear" w:pos="1134"/>
                <w:tab w:val="clear" w:pos="1701"/>
                <w:tab w:val="clear" w:pos="2268"/>
                <w:tab w:val="clear" w:pos="2835"/>
              </w:tabs>
              <w:overflowPunct/>
              <w:autoSpaceDE/>
              <w:autoSpaceDN/>
              <w:adjustRightInd/>
              <w:spacing w:before="0"/>
              <w:ind w:right="425"/>
              <w:jc w:val="right"/>
              <w:textAlignment w:val="auto"/>
              <w:rPr>
                <w:rFonts w:cs="Arial"/>
                <w:color w:val="000000"/>
                <w:sz w:val="22"/>
                <w:szCs w:val="22"/>
                <w:lang w:val="en-US" w:eastAsia="zh-CN"/>
              </w:rPr>
            </w:pPr>
            <w:r w:rsidRPr="00AA421C">
              <w:rPr>
                <w:rFonts w:cs="Arial"/>
                <w:color w:val="000000"/>
                <w:sz w:val="22"/>
                <w:szCs w:val="22"/>
                <w:lang w:val="en-US" w:eastAsia="zh-CN"/>
              </w:rPr>
              <w:t>5</w:t>
            </w:r>
          </w:p>
        </w:tc>
        <w:tc>
          <w:tcPr>
            <w:tcW w:w="1985" w:type="dxa"/>
            <w:tcBorders>
              <w:top w:val="nil"/>
              <w:left w:val="nil"/>
              <w:bottom w:val="nil"/>
              <w:right w:val="single" w:sz="8" w:space="0" w:color="auto"/>
            </w:tcBorders>
            <w:shd w:val="clear" w:color="auto" w:fill="auto"/>
            <w:vAlign w:val="center"/>
            <w:hideMark/>
          </w:tcPr>
          <w:p w:rsidR="00145B2E" w:rsidRPr="00AA421C" w:rsidRDefault="00145B2E" w:rsidP="00145B2E">
            <w:pPr>
              <w:tabs>
                <w:tab w:val="clear" w:pos="567"/>
                <w:tab w:val="clear" w:pos="1134"/>
                <w:tab w:val="clear" w:pos="1701"/>
                <w:tab w:val="clear" w:pos="2268"/>
                <w:tab w:val="clear" w:pos="2835"/>
              </w:tabs>
              <w:overflowPunct/>
              <w:autoSpaceDE/>
              <w:autoSpaceDN/>
              <w:adjustRightInd/>
              <w:spacing w:before="0"/>
              <w:ind w:right="425"/>
              <w:jc w:val="right"/>
              <w:textAlignment w:val="auto"/>
              <w:rPr>
                <w:rFonts w:cs="Arial"/>
                <w:color w:val="000000"/>
                <w:sz w:val="22"/>
                <w:szCs w:val="22"/>
                <w:lang w:val="en-US" w:eastAsia="zh-CN"/>
              </w:rPr>
            </w:pPr>
            <w:r w:rsidRPr="00AA421C">
              <w:rPr>
                <w:rFonts w:cs="Arial"/>
                <w:color w:val="000000"/>
                <w:sz w:val="22"/>
                <w:szCs w:val="22"/>
                <w:lang w:val="en-US" w:eastAsia="zh-CN"/>
              </w:rPr>
              <w:t xml:space="preserve">                1,973 </w:t>
            </w:r>
          </w:p>
        </w:tc>
      </w:tr>
      <w:tr w:rsidR="00145B2E" w:rsidRPr="00AA421C" w:rsidTr="00431D97">
        <w:trPr>
          <w:trHeight w:val="307"/>
        </w:trPr>
        <w:tc>
          <w:tcPr>
            <w:tcW w:w="296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45B2E" w:rsidRPr="00AA421C" w:rsidRDefault="00145B2E" w:rsidP="00145B2E">
            <w:pPr>
              <w:tabs>
                <w:tab w:val="clear" w:pos="567"/>
                <w:tab w:val="clear" w:pos="1134"/>
                <w:tab w:val="clear" w:pos="1701"/>
                <w:tab w:val="clear" w:pos="2268"/>
                <w:tab w:val="clear" w:pos="2835"/>
              </w:tabs>
              <w:overflowPunct/>
              <w:autoSpaceDE/>
              <w:autoSpaceDN/>
              <w:adjustRightInd/>
              <w:spacing w:before="0"/>
              <w:ind w:right="425"/>
              <w:textAlignment w:val="auto"/>
              <w:rPr>
                <w:rFonts w:cs="Arial"/>
                <w:b/>
                <w:bCs/>
                <w:color w:val="000000"/>
                <w:sz w:val="22"/>
                <w:szCs w:val="22"/>
                <w:lang w:val="en-US" w:eastAsia="zh-CN"/>
              </w:rPr>
            </w:pPr>
            <w:r w:rsidRPr="00AA421C">
              <w:rPr>
                <w:rFonts w:cs="Arial"/>
                <w:b/>
                <w:bCs/>
                <w:color w:val="000000"/>
                <w:sz w:val="22"/>
                <w:szCs w:val="22"/>
                <w:lang w:val="en-US" w:eastAsia="zh-CN"/>
              </w:rPr>
              <w:t>Main management officials</w:t>
            </w:r>
          </w:p>
        </w:tc>
        <w:tc>
          <w:tcPr>
            <w:tcW w:w="1701" w:type="dxa"/>
            <w:tcBorders>
              <w:top w:val="single" w:sz="8" w:space="0" w:color="auto"/>
              <w:left w:val="nil"/>
              <w:bottom w:val="single" w:sz="8" w:space="0" w:color="auto"/>
              <w:right w:val="nil"/>
            </w:tcBorders>
            <w:shd w:val="clear" w:color="auto" w:fill="auto"/>
            <w:vAlign w:val="center"/>
            <w:hideMark/>
          </w:tcPr>
          <w:p w:rsidR="00145B2E" w:rsidRPr="00AA421C" w:rsidRDefault="00145B2E" w:rsidP="00145B2E">
            <w:pPr>
              <w:tabs>
                <w:tab w:val="clear" w:pos="567"/>
                <w:tab w:val="clear" w:pos="1134"/>
                <w:tab w:val="clear" w:pos="1701"/>
                <w:tab w:val="clear" w:pos="2268"/>
                <w:tab w:val="clear" w:pos="2835"/>
              </w:tabs>
              <w:overflowPunct/>
              <w:autoSpaceDE/>
              <w:autoSpaceDN/>
              <w:adjustRightInd/>
              <w:spacing w:before="0"/>
              <w:ind w:right="425"/>
              <w:jc w:val="right"/>
              <w:textAlignment w:val="auto"/>
              <w:rPr>
                <w:rFonts w:cs="Arial"/>
                <w:b/>
                <w:bCs/>
                <w:color w:val="000000"/>
                <w:sz w:val="22"/>
                <w:szCs w:val="22"/>
                <w:lang w:val="en-US" w:eastAsia="zh-CN"/>
              </w:rPr>
            </w:pPr>
            <w:r w:rsidRPr="00AA421C">
              <w:rPr>
                <w:rFonts w:cs="Arial"/>
                <w:b/>
                <w:bCs/>
                <w:color w:val="000000"/>
                <w:sz w:val="22"/>
                <w:szCs w:val="22"/>
                <w:lang w:val="en-US" w:eastAsia="zh-CN"/>
              </w:rPr>
              <w:t>5</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rsidR="00145B2E" w:rsidRPr="00AA421C" w:rsidRDefault="00145B2E" w:rsidP="00145B2E">
            <w:pPr>
              <w:tabs>
                <w:tab w:val="clear" w:pos="567"/>
                <w:tab w:val="clear" w:pos="1134"/>
                <w:tab w:val="clear" w:pos="1701"/>
                <w:tab w:val="clear" w:pos="2268"/>
                <w:tab w:val="clear" w:pos="2835"/>
              </w:tabs>
              <w:overflowPunct/>
              <w:autoSpaceDE/>
              <w:autoSpaceDN/>
              <w:adjustRightInd/>
              <w:spacing w:before="0"/>
              <w:ind w:right="425"/>
              <w:jc w:val="right"/>
              <w:textAlignment w:val="auto"/>
              <w:rPr>
                <w:rFonts w:cs="Arial"/>
                <w:b/>
                <w:bCs/>
                <w:color w:val="000000"/>
                <w:sz w:val="22"/>
                <w:szCs w:val="22"/>
                <w:lang w:val="en-US" w:eastAsia="zh-CN"/>
              </w:rPr>
            </w:pPr>
            <w:r w:rsidRPr="00AA421C">
              <w:rPr>
                <w:rFonts w:cs="Arial"/>
                <w:b/>
                <w:bCs/>
                <w:color w:val="000000"/>
                <w:sz w:val="22"/>
                <w:szCs w:val="22"/>
                <w:lang w:val="en-US" w:eastAsia="zh-CN"/>
              </w:rPr>
              <w:t xml:space="preserve">                </w:t>
            </w:r>
            <w:r>
              <w:rPr>
                <w:rFonts w:cs="Arial"/>
                <w:b/>
                <w:bCs/>
                <w:color w:val="000000"/>
                <w:sz w:val="22"/>
                <w:szCs w:val="22"/>
                <w:lang w:val="en-US" w:eastAsia="zh-CN"/>
              </w:rPr>
              <w:t>2</w:t>
            </w:r>
            <w:r w:rsidRPr="00AA421C">
              <w:rPr>
                <w:rFonts w:cs="Arial"/>
                <w:b/>
                <w:bCs/>
                <w:color w:val="000000"/>
                <w:sz w:val="22"/>
                <w:szCs w:val="22"/>
                <w:lang w:val="en-US" w:eastAsia="zh-CN"/>
              </w:rPr>
              <w:t>,</w:t>
            </w:r>
            <w:r>
              <w:rPr>
                <w:rFonts w:cs="Arial"/>
                <w:b/>
                <w:bCs/>
                <w:color w:val="000000"/>
                <w:sz w:val="22"/>
                <w:szCs w:val="22"/>
                <w:lang w:val="en-US" w:eastAsia="zh-CN"/>
              </w:rPr>
              <w:t>143</w:t>
            </w:r>
            <w:r w:rsidRPr="00AA421C">
              <w:rPr>
                <w:rFonts w:cs="Arial"/>
                <w:b/>
                <w:bCs/>
                <w:color w:val="000000"/>
                <w:sz w:val="22"/>
                <w:szCs w:val="22"/>
                <w:lang w:val="en-US" w:eastAsia="zh-CN"/>
              </w:rPr>
              <w:t xml:space="preserve"> </w:t>
            </w:r>
          </w:p>
        </w:tc>
        <w:tc>
          <w:tcPr>
            <w:tcW w:w="1711" w:type="dxa"/>
            <w:tcBorders>
              <w:top w:val="single" w:sz="8" w:space="0" w:color="auto"/>
              <w:left w:val="nil"/>
              <w:bottom w:val="single" w:sz="8" w:space="0" w:color="auto"/>
              <w:right w:val="nil"/>
            </w:tcBorders>
            <w:shd w:val="clear" w:color="auto" w:fill="auto"/>
            <w:vAlign w:val="center"/>
            <w:hideMark/>
          </w:tcPr>
          <w:p w:rsidR="00145B2E" w:rsidRPr="00AA421C" w:rsidRDefault="00145B2E" w:rsidP="00145B2E">
            <w:pPr>
              <w:tabs>
                <w:tab w:val="clear" w:pos="567"/>
                <w:tab w:val="clear" w:pos="1134"/>
                <w:tab w:val="clear" w:pos="1701"/>
                <w:tab w:val="clear" w:pos="2268"/>
                <w:tab w:val="clear" w:pos="2835"/>
              </w:tabs>
              <w:overflowPunct/>
              <w:autoSpaceDE/>
              <w:autoSpaceDN/>
              <w:adjustRightInd/>
              <w:spacing w:before="0"/>
              <w:ind w:right="425"/>
              <w:jc w:val="right"/>
              <w:textAlignment w:val="auto"/>
              <w:rPr>
                <w:rFonts w:cs="Arial"/>
                <w:b/>
                <w:bCs/>
                <w:color w:val="000000"/>
                <w:sz w:val="22"/>
                <w:szCs w:val="22"/>
                <w:lang w:val="en-US" w:eastAsia="zh-CN"/>
              </w:rPr>
            </w:pPr>
            <w:r w:rsidRPr="00AA421C">
              <w:rPr>
                <w:rFonts w:cs="Arial"/>
                <w:b/>
                <w:bCs/>
                <w:color w:val="000000"/>
                <w:sz w:val="22"/>
                <w:szCs w:val="22"/>
                <w:lang w:val="en-US" w:eastAsia="zh-CN"/>
              </w:rPr>
              <w:t>5</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rsidR="00145B2E" w:rsidRPr="00AA421C" w:rsidRDefault="00145B2E" w:rsidP="00145B2E">
            <w:pPr>
              <w:tabs>
                <w:tab w:val="clear" w:pos="567"/>
                <w:tab w:val="clear" w:pos="1134"/>
                <w:tab w:val="clear" w:pos="1701"/>
                <w:tab w:val="clear" w:pos="2268"/>
                <w:tab w:val="clear" w:pos="2835"/>
              </w:tabs>
              <w:overflowPunct/>
              <w:autoSpaceDE/>
              <w:autoSpaceDN/>
              <w:adjustRightInd/>
              <w:spacing w:before="0"/>
              <w:ind w:right="425"/>
              <w:jc w:val="right"/>
              <w:textAlignment w:val="auto"/>
              <w:rPr>
                <w:rFonts w:cs="Arial"/>
                <w:b/>
                <w:bCs/>
                <w:color w:val="000000"/>
                <w:sz w:val="22"/>
                <w:szCs w:val="22"/>
                <w:lang w:val="en-US" w:eastAsia="zh-CN"/>
              </w:rPr>
            </w:pPr>
            <w:r w:rsidRPr="00AA421C">
              <w:rPr>
                <w:rFonts w:cs="Arial"/>
                <w:b/>
                <w:bCs/>
                <w:color w:val="000000"/>
                <w:sz w:val="22"/>
                <w:szCs w:val="22"/>
                <w:lang w:val="en-US" w:eastAsia="zh-CN"/>
              </w:rPr>
              <w:t xml:space="preserve">                1,973 </w:t>
            </w:r>
          </w:p>
        </w:tc>
      </w:tr>
      <w:tr w:rsidR="00145B2E" w:rsidRPr="00AA421C" w:rsidTr="00431D97">
        <w:trPr>
          <w:trHeight w:val="293"/>
        </w:trPr>
        <w:tc>
          <w:tcPr>
            <w:tcW w:w="2967" w:type="dxa"/>
            <w:tcBorders>
              <w:top w:val="nil"/>
              <w:left w:val="single" w:sz="8" w:space="0" w:color="auto"/>
              <w:bottom w:val="nil"/>
              <w:right w:val="single" w:sz="8" w:space="0" w:color="auto"/>
            </w:tcBorders>
            <w:shd w:val="clear" w:color="auto" w:fill="auto"/>
            <w:vAlign w:val="center"/>
            <w:hideMark/>
          </w:tcPr>
          <w:p w:rsidR="00145B2E" w:rsidRPr="00AA421C" w:rsidRDefault="00145B2E" w:rsidP="00145B2E">
            <w:pPr>
              <w:tabs>
                <w:tab w:val="clear" w:pos="567"/>
                <w:tab w:val="clear" w:pos="1134"/>
                <w:tab w:val="clear" w:pos="1701"/>
                <w:tab w:val="clear" w:pos="2268"/>
                <w:tab w:val="clear" w:pos="2835"/>
              </w:tabs>
              <w:overflowPunct/>
              <w:autoSpaceDE/>
              <w:autoSpaceDN/>
              <w:adjustRightInd/>
              <w:spacing w:before="0"/>
              <w:ind w:right="425"/>
              <w:textAlignment w:val="auto"/>
              <w:rPr>
                <w:rFonts w:cs="Arial"/>
                <w:color w:val="000000"/>
                <w:sz w:val="22"/>
                <w:szCs w:val="22"/>
                <w:lang w:val="en-US" w:eastAsia="zh-CN"/>
              </w:rPr>
            </w:pPr>
            <w:r w:rsidRPr="00AA421C">
              <w:rPr>
                <w:rFonts w:cs="Arial"/>
                <w:color w:val="000000"/>
                <w:sz w:val="22"/>
                <w:szCs w:val="22"/>
                <w:lang w:val="en-US" w:eastAsia="zh-CN"/>
              </w:rPr>
              <w:t>D.2 directors</w:t>
            </w:r>
          </w:p>
        </w:tc>
        <w:tc>
          <w:tcPr>
            <w:tcW w:w="1701" w:type="dxa"/>
            <w:tcBorders>
              <w:top w:val="nil"/>
              <w:left w:val="nil"/>
              <w:bottom w:val="nil"/>
              <w:right w:val="nil"/>
            </w:tcBorders>
            <w:shd w:val="clear" w:color="auto" w:fill="auto"/>
            <w:vAlign w:val="center"/>
            <w:hideMark/>
          </w:tcPr>
          <w:p w:rsidR="00145B2E" w:rsidRPr="00AA421C" w:rsidRDefault="00145B2E" w:rsidP="00145B2E">
            <w:pPr>
              <w:tabs>
                <w:tab w:val="clear" w:pos="567"/>
                <w:tab w:val="clear" w:pos="1134"/>
                <w:tab w:val="clear" w:pos="1701"/>
                <w:tab w:val="clear" w:pos="2268"/>
                <w:tab w:val="clear" w:pos="2835"/>
              </w:tabs>
              <w:overflowPunct/>
              <w:autoSpaceDE/>
              <w:autoSpaceDN/>
              <w:adjustRightInd/>
              <w:spacing w:before="0"/>
              <w:ind w:right="425"/>
              <w:jc w:val="right"/>
              <w:textAlignment w:val="auto"/>
              <w:rPr>
                <w:rFonts w:cs="Arial"/>
                <w:color w:val="000000"/>
                <w:sz w:val="22"/>
                <w:szCs w:val="22"/>
                <w:lang w:val="en-US" w:eastAsia="zh-CN"/>
              </w:rPr>
            </w:pPr>
            <w:r w:rsidRPr="00AA421C">
              <w:rPr>
                <w:rFonts w:cs="Arial"/>
                <w:color w:val="000000"/>
                <w:sz w:val="22"/>
                <w:szCs w:val="22"/>
                <w:lang w:val="en-US" w:eastAsia="zh-CN"/>
              </w:rPr>
              <w:t>4</w:t>
            </w:r>
          </w:p>
        </w:tc>
        <w:tc>
          <w:tcPr>
            <w:tcW w:w="1985" w:type="dxa"/>
            <w:tcBorders>
              <w:top w:val="nil"/>
              <w:left w:val="nil"/>
              <w:bottom w:val="nil"/>
              <w:right w:val="single" w:sz="8" w:space="0" w:color="auto"/>
            </w:tcBorders>
            <w:shd w:val="clear" w:color="auto" w:fill="auto"/>
            <w:vAlign w:val="center"/>
            <w:hideMark/>
          </w:tcPr>
          <w:p w:rsidR="00145B2E" w:rsidRPr="00AA421C" w:rsidRDefault="00145B2E" w:rsidP="00145B2E">
            <w:pPr>
              <w:tabs>
                <w:tab w:val="clear" w:pos="567"/>
                <w:tab w:val="clear" w:pos="1134"/>
                <w:tab w:val="clear" w:pos="1701"/>
                <w:tab w:val="clear" w:pos="2268"/>
                <w:tab w:val="clear" w:pos="2835"/>
              </w:tabs>
              <w:overflowPunct/>
              <w:autoSpaceDE/>
              <w:autoSpaceDN/>
              <w:adjustRightInd/>
              <w:spacing w:before="0"/>
              <w:ind w:right="425"/>
              <w:jc w:val="right"/>
              <w:textAlignment w:val="auto"/>
              <w:rPr>
                <w:rFonts w:cs="Arial"/>
                <w:color w:val="000000"/>
                <w:sz w:val="22"/>
                <w:szCs w:val="22"/>
                <w:lang w:val="en-US" w:eastAsia="zh-CN"/>
              </w:rPr>
            </w:pPr>
            <w:r w:rsidRPr="00AA421C">
              <w:rPr>
                <w:rFonts w:cs="Arial"/>
                <w:color w:val="000000"/>
                <w:sz w:val="22"/>
                <w:szCs w:val="22"/>
                <w:lang w:val="en-US" w:eastAsia="zh-CN"/>
              </w:rPr>
              <w:t xml:space="preserve">                1,</w:t>
            </w:r>
            <w:r>
              <w:rPr>
                <w:rFonts w:cs="Arial"/>
                <w:color w:val="000000"/>
                <w:sz w:val="22"/>
                <w:szCs w:val="22"/>
                <w:lang w:val="en-US" w:eastAsia="zh-CN"/>
              </w:rPr>
              <w:t>119</w:t>
            </w:r>
            <w:r w:rsidRPr="00AA421C">
              <w:rPr>
                <w:rFonts w:cs="Arial"/>
                <w:color w:val="000000"/>
                <w:sz w:val="22"/>
                <w:szCs w:val="22"/>
                <w:lang w:val="en-US" w:eastAsia="zh-CN"/>
              </w:rPr>
              <w:t xml:space="preserve"> </w:t>
            </w:r>
          </w:p>
        </w:tc>
        <w:tc>
          <w:tcPr>
            <w:tcW w:w="1711" w:type="dxa"/>
            <w:tcBorders>
              <w:top w:val="nil"/>
              <w:left w:val="nil"/>
              <w:bottom w:val="nil"/>
              <w:right w:val="nil"/>
            </w:tcBorders>
            <w:shd w:val="clear" w:color="auto" w:fill="auto"/>
            <w:vAlign w:val="center"/>
            <w:hideMark/>
          </w:tcPr>
          <w:p w:rsidR="00145B2E" w:rsidRPr="00AA421C" w:rsidRDefault="00145B2E" w:rsidP="00145B2E">
            <w:pPr>
              <w:tabs>
                <w:tab w:val="clear" w:pos="567"/>
                <w:tab w:val="clear" w:pos="1134"/>
                <w:tab w:val="clear" w:pos="1701"/>
                <w:tab w:val="clear" w:pos="2268"/>
                <w:tab w:val="clear" w:pos="2835"/>
              </w:tabs>
              <w:overflowPunct/>
              <w:autoSpaceDE/>
              <w:autoSpaceDN/>
              <w:adjustRightInd/>
              <w:spacing w:before="0"/>
              <w:ind w:right="425"/>
              <w:jc w:val="right"/>
              <w:textAlignment w:val="auto"/>
              <w:rPr>
                <w:rFonts w:cs="Arial"/>
                <w:color w:val="000000"/>
                <w:sz w:val="22"/>
                <w:szCs w:val="22"/>
                <w:lang w:val="en-US" w:eastAsia="zh-CN"/>
              </w:rPr>
            </w:pPr>
            <w:r w:rsidRPr="00AA421C">
              <w:rPr>
                <w:rFonts w:cs="Arial"/>
                <w:color w:val="000000"/>
                <w:sz w:val="22"/>
                <w:szCs w:val="22"/>
                <w:lang w:val="en-US" w:eastAsia="zh-CN"/>
              </w:rPr>
              <w:t>4</w:t>
            </w:r>
          </w:p>
        </w:tc>
        <w:tc>
          <w:tcPr>
            <w:tcW w:w="1985" w:type="dxa"/>
            <w:tcBorders>
              <w:top w:val="nil"/>
              <w:left w:val="nil"/>
              <w:bottom w:val="nil"/>
              <w:right w:val="single" w:sz="8" w:space="0" w:color="auto"/>
            </w:tcBorders>
            <w:shd w:val="clear" w:color="auto" w:fill="auto"/>
            <w:vAlign w:val="center"/>
            <w:hideMark/>
          </w:tcPr>
          <w:p w:rsidR="00145B2E" w:rsidRPr="00AA421C" w:rsidRDefault="00145B2E" w:rsidP="00145B2E">
            <w:pPr>
              <w:tabs>
                <w:tab w:val="clear" w:pos="567"/>
                <w:tab w:val="clear" w:pos="1134"/>
                <w:tab w:val="clear" w:pos="1701"/>
                <w:tab w:val="clear" w:pos="2268"/>
                <w:tab w:val="clear" w:pos="2835"/>
              </w:tabs>
              <w:overflowPunct/>
              <w:autoSpaceDE/>
              <w:autoSpaceDN/>
              <w:adjustRightInd/>
              <w:spacing w:before="0"/>
              <w:ind w:right="425"/>
              <w:jc w:val="right"/>
              <w:textAlignment w:val="auto"/>
              <w:rPr>
                <w:rFonts w:cs="Arial"/>
                <w:color w:val="000000"/>
                <w:sz w:val="22"/>
                <w:szCs w:val="22"/>
                <w:lang w:val="en-US" w:eastAsia="zh-CN"/>
              </w:rPr>
            </w:pPr>
            <w:r w:rsidRPr="00AA421C">
              <w:rPr>
                <w:rFonts w:cs="Arial"/>
                <w:color w:val="000000"/>
                <w:sz w:val="22"/>
                <w:szCs w:val="22"/>
                <w:lang w:val="en-US" w:eastAsia="zh-CN"/>
              </w:rPr>
              <w:t xml:space="preserve">                1,217 </w:t>
            </w:r>
          </w:p>
        </w:tc>
      </w:tr>
      <w:tr w:rsidR="00145B2E" w:rsidRPr="00AA421C" w:rsidTr="00431D97">
        <w:trPr>
          <w:trHeight w:val="307"/>
        </w:trPr>
        <w:tc>
          <w:tcPr>
            <w:tcW w:w="2967" w:type="dxa"/>
            <w:tcBorders>
              <w:top w:val="nil"/>
              <w:left w:val="single" w:sz="8" w:space="0" w:color="auto"/>
              <w:bottom w:val="nil"/>
              <w:right w:val="single" w:sz="8" w:space="0" w:color="auto"/>
            </w:tcBorders>
            <w:shd w:val="clear" w:color="auto" w:fill="auto"/>
            <w:vAlign w:val="center"/>
            <w:hideMark/>
          </w:tcPr>
          <w:p w:rsidR="00145B2E" w:rsidRPr="00AA421C" w:rsidRDefault="00145B2E" w:rsidP="00145B2E">
            <w:pPr>
              <w:tabs>
                <w:tab w:val="clear" w:pos="567"/>
                <w:tab w:val="clear" w:pos="1134"/>
                <w:tab w:val="clear" w:pos="1701"/>
                <w:tab w:val="clear" w:pos="2268"/>
                <w:tab w:val="clear" w:pos="2835"/>
              </w:tabs>
              <w:overflowPunct/>
              <w:autoSpaceDE/>
              <w:autoSpaceDN/>
              <w:adjustRightInd/>
              <w:spacing w:before="0"/>
              <w:ind w:right="425"/>
              <w:textAlignment w:val="auto"/>
              <w:rPr>
                <w:rFonts w:cs="Arial"/>
                <w:color w:val="000000"/>
                <w:sz w:val="22"/>
                <w:szCs w:val="22"/>
                <w:lang w:val="en-US" w:eastAsia="zh-CN"/>
              </w:rPr>
            </w:pPr>
            <w:r w:rsidRPr="00AA421C">
              <w:rPr>
                <w:rFonts w:cs="Arial"/>
                <w:color w:val="000000"/>
                <w:sz w:val="22"/>
                <w:szCs w:val="22"/>
                <w:lang w:val="en-US" w:eastAsia="zh-CN"/>
              </w:rPr>
              <w:t>D.1 directors</w:t>
            </w:r>
          </w:p>
        </w:tc>
        <w:tc>
          <w:tcPr>
            <w:tcW w:w="1701" w:type="dxa"/>
            <w:tcBorders>
              <w:top w:val="nil"/>
              <w:left w:val="nil"/>
              <w:bottom w:val="nil"/>
              <w:right w:val="nil"/>
            </w:tcBorders>
            <w:shd w:val="clear" w:color="auto" w:fill="auto"/>
            <w:vAlign w:val="center"/>
            <w:hideMark/>
          </w:tcPr>
          <w:p w:rsidR="00145B2E" w:rsidRPr="00AA421C" w:rsidRDefault="00145B2E" w:rsidP="00145B2E">
            <w:pPr>
              <w:tabs>
                <w:tab w:val="clear" w:pos="567"/>
                <w:tab w:val="clear" w:pos="1134"/>
                <w:tab w:val="clear" w:pos="1701"/>
                <w:tab w:val="clear" w:pos="2268"/>
                <w:tab w:val="clear" w:pos="2835"/>
              </w:tabs>
              <w:overflowPunct/>
              <w:autoSpaceDE/>
              <w:autoSpaceDN/>
              <w:adjustRightInd/>
              <w:spacing w:before="0"/>
              <w:ind w:right="425"/>
              <w:jc w:val="right"/>
              <w:textAlignment w:val="auto"/>
              <w:rPr>
                <w:rFonts w:cs="Arial"/>
                <w:color w:val="000000"/>
                <w:sz w:val="22"/>
                <w:szCs w:val="22"/>
                <w:lang w:val="en-US" w:eastAsia="zh-CN"/>
              </w:rPr>
            </w:pPr>
            <w:r>
              <w:rPr>
                <w:rFonts w:cs="Arial"/>
                <w:color w:val="000000"/>
                <w:sz w:val="22"/>
                <w:szCs w:val="22"/>
                <w:lang w:val="en-US" w:eastAsia="zh-CN"/>
              </w:rPr>
              <w:t>20</w:t>
            </w:r>
          </w:p>
        </w:tc>
        <w:tc>
          <w:tcPr>
            <w:tcW w:w="1985" w:type="dxa"/>
            <w:tcBorders>
              <w:top w:val="nil"/>
              <w:left w:val="nil"/>
              <w:bottom w:val="nil"/>
              <w:right w:val="single" w:sz="8" w:space="0" w:color="auto"/>
            </w:tcBorders>
            <w:shd w:val="clear" w:color="auto" w:fill="auto"/>
            <w:vAlign w:val="center"/>
            <w:hideMark/>
          </w:tcPr>
          <w:p w:rsidR="00145B2E" w:rsidRPr="00AA421C" w:rsidRDefault="00145B2E" w:rsidP="00145B2E">
            <w:pPr>
              <w:tabs>
                <w:tab w:val="clear" w:pos="567"/>
                <w:tab w:val="clear" w:pos="1134"/>
                <w:tab w:val="clear" w:pos="1701"/>
                <w:tab w:val="clear" w:pos="2268"/>
                <w:tab w:val="clear" w:pos="2835"/>
              </w:tabs>
              <w:overflowPunct/>
              <w:autoSpaceDE/>
              <w:autoSpaceDN/>
              <w:adjustRightInd/>
              <w:spacing w:before="0"/>
              <w:ind w:right="425"/>
              <w:jc w:val="right"/>
              <w:textAlignment w:val="auto"/>
              <w:rPr>
                <w:rFonts w:cs="Arial"/>
                <w:color w:val="000000"/>
                <w:sz w:val="22"/>
                <w:szCs w:val="22"/>
                <w:lang w:val="en-US" w:eastAsia="zh-CN"/>
              </w:rPr>
            </w:pPr>
            <w:r w:rsidRPr="00AA421C">
              <w:rPr>
                <w:rFonts w:cs="Arial"/>
                <w:color w:val="000000"/>
                <w:sz w:val="22"/>
                <w:szCs w:val="22"/>
                <w:lang w:val="en-US" w:eastAsia="zh-CN"/>
              </w:rPr>
              <w:t xml:space="preserve">                </w:t>
            </w:r>
            <w:r>
              <w:rPr>
                <w:rFonts w:cs="Arial"/>
                <w:color w:val="000000"/>
                <w:sz w:val="22"/>
                <w:szCs w:val="22"/>
                <w:lang w:val="en-US" w:eastAsia="zh-CN"/>
              </w:rPr>
              <w:t>4</w:t>
            </w:r>
            <w:r w:rsidRPr="00AA421C">
              <w:rPr>
                <w:rFonts w:cs="Arial"/>
                <w:color w:val="000000"/>
                <w:sz w:val="22"/>
                <w:szCs w:val="22"/>
                <w:lang w:val="en-US" w:eastAsia="zh-CN"/>
              </w:rPr>
              <w:t>,</w:t>
            </w:r>
            <w:r>
              <w:rPr>
                <w:rFonts w:cs="Arial"/>
                <w:color w:val="000000"/>
                <w:sz w:val="22"/>
                <w:szCs w:val="22"/>
                <w:lang w:val="en-US" w:eastAsia="zh-CN"/>
              </w:rPr>
              <w:t>656</w:t>
            </w:r>
            <w:r w:rsidRPr="00AA421C">
              <w:rPr>
                <w:rFonts w:cs="Arial"/>
                <w:color w:val="000000"/>
                <w:sz w:val="22"/>
                <w:szCs w:val="22"/>
                <w:lang w:val="en-US" w:eastAsia="zh-CN"/>
              </w:rPr>
              <w:t xml:space="preserve"> </w:t>
            </w:r>
          </w:p>
        </w:tc>
        <w:tc>
          <w:tcPr>
            <w:tcW w:w="1711" w:type="dxa"/>
            <w:tcBorders>
              <w:top w:val="nil"/>
              <w:left w:val="nil"/>
              <w:bottom w:val="nil"/>
              <w:right w:val="nil"/>
            </w:tcBorders>
            <w:shd w:val="clear" w:color="auto" w:fill="auto"/>
            <w:vAlign w:val="center"/>
            <w:hideMark/>
          </w:tcPr>
          <w:p w:rsidR="00145B2E" w:rsidRPr="00AA421C" w:rsidRDefault="00145B2E" w:rsidP="00145B2E">
            <w:pPr>
              <w:tabs>
                <w:tab w:val="clear" w:pos="567"/>
                <w:tab w:val="clear" w:pos="1134"/>
                <w:tab w:val="clear" w:pos="1701"/>
                <w:tab w:val="clear" w:pos="2268"/>
                <w:tab w:val="clear" w:pos="2835"/>
              </w:tabs>
              <w:overflowPunct/>
              <w:autoSpaceDE/>
              <w:autoSpaceDN/>
              <w:adjustRightInd/>
              <w:spacing w:before="0"/>
              <w:ind w:right="425"/>
              <w:jc w:val="right"/>
              <w:textAlignment w:val="auto"/>
              <w:rPr>
                <w:rFonts w:cs="Arial"/>
                <w:color w:val="000000"/>
                <w:sz w:val="22"/>
                <w:szCs w:val="22"/>
                <w:lang w:val="en-US" w:eastAsia="zh-CN"/>
              </w:rPr>
            </w:pPr>
            <w:r w:rsidRPr="00AA421C">
              <w:rPr>
                <w:rFonts w:cs="Arial"/>
                <w:color w:val="000000"/>
                <w:sz w:val="22"/>
                <w:szCs w:val="22"/>
                <w:lang w:val="en-US" w:eastAsia="zh-CN"/>
              </w:rPr>
              <w:t>19</w:t>
            </w:r>
          </w:p>
        </w:tc>
        <w:tc>
          <w:tcPr>
            <w:tcW w:w="1985" w:type="dxa"/>
            <w:tcBorders>
              <w:top w:val="nil"/>
              <w:left w:val="nil"/>
              <w:bottom w:val="nil"/>
              <w:right w:val="single" w:sz="8" w:space="0" w:color="auto"/>
            </w:tcBorders>
            <w:shd w:val="clear" w:color="auto" w:fill="auto"/>
            <w:vAlign w:val="center"/>
            <w:hideMark/>
          </w:tcPr>
          <w:p w:rsidR="00145B2E" w:rsidRPr="00AA421C" w:rsidRDefault="00145B2E" w:rsidP="00145B2E">
            <w:pPr>
              <w:tabs>
                <w:tab w:val="clear" w:pos="567"/>
                <w:tab w:val="clear" w:pos="1134"/>
                <w:tab w:val="clear" w:pos="1701"/>
                <w:tab w:val="clear" w:pos="2268"/>
                <w:tab w:val="clear" w:pos="2835"/>
              </w:tabs>
              <w:overflowPunct/>
              <w:autoSpaceDE/>
              <w:autoSpaceDN/>
              <w:adjustRightInd/>
              <w:spacing w:before="0"/>
              <w:ind w:right="425"/>
              <w:jc w:val="right"/>
              <w:textAlignment w:val="auto"/>
              <w:rPr>
                <w:rFonts w:cs="Arial"/>
                <w:color w:val="000000"/>
                <w:sz w:val="22"/>
                <w:szCs w:val="22"/>
                <w:lang w:val="en-US" w:eastAsia="zh-CN"/>
              </w:rPr>
            </w:pPr>
            <w:r w:rsidRPr="00AA421C">
              <w:rPr>
                <w:rFonts w:cs="Arial"/>
                <w:color w:val="000000"/>
                <w:sz w:val="22"/>
                <w:szCs w:val="22"/>
                <w:lang w:val="en-US" w:eastAsia="zh-CN"/>
              </w:rPr>
              <w:t xml:space="preserve">                5,606 </w:t>
            </w:r>
          </w:p>
        </w:tc>
      </w:tr>
      <w:tr w:rsidR="00145B2E" w:rsidRPr="00AA421C" w:rsidTr="00431D97">
        <w:trPr>
          <w:trHeight w:val="307"/>
        </w:trPr>
        <w:tc>
          <w:tcPr>
            <w:tcW w:w="296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45B2E" w:rsidRPr="00AA421C" w:rsidRDefault="00145B2E" w:rsidP="00145B2E">
            <w:pPr>
              <w:tabs>
                <w:tab w:val="clear" w:pos="567"/>
                <w:tab w:val="clear" w:pos="1134"/>
                <w:tab w:val="clear" w:pos="1701"/>
                <w:tab w:val="clear" w:pos="2268"/>
                <w:tab w:val="clear" w:pos="2835"/>
              </w:tabs>
              <w:overflowPunct/>
              <w:autoSpaceDE/>
              <w:autoSpaceDN/>
              <w:adjustRightInd/>
              <w:spacing w:before="0"/>
              <w:ind w:right="425"/>
              <w:textAlignment w:val="auto"/>
              <w:rPr>
                <w:rFonts w:cs="Arial"/>
                <w:b/>
                <w:bCs/>
                <w:color w:val="000000"/>
                <w:sz w:val="22"/>
                <w:szCs w:val="22"/>
                <w:lang w:val="en-US" w:eastAsia="zh-CN"/>
              </w:rPr>
            </w:pPr>
            <w:r w:rsidRPr="00AA421C">
              <w:rPr>
                <w:rFonts w:cs="Arial"/>
                <w:b/>
                <w:bCs/>
                <w:color w:val="000000"/>
                <w:sz w:val="22"/>
                <w:szCs w:val="22"/>
                <w:lang w:val="en-US" w:eastAsia="zh-CN"/>
              </w:rPr>
              <w:t>Total chiefs of department</w:t>
            </w:r>
          </w:p>
        </w:tc>
        <w:tc>
          <w:tcPr>
            <w:tcW w:w="1701" w:type="dxa"/>
            <w:tcBorders>
              <w:top w:val="single" w:sz="8" w:space="0" w:color="auto"/>
              <w:left w:val="nil"/>
              <w:bottom w:val="single" w:sz="8" w:space="0" w:color="auto"/>
              <w:right w:val="nil"/>
            </w:tcBorders>
            <w:shd w:val="clear" w:color="auto" w:fill="auto"/>
            <w:vAlign w:val="center"/>
            <w:hideMark/>
          </w:tcPr>
          <w:p w:rsidR="00145B2E" w:rsidRPr="00AA421C" w:rsidRDefault="00145B2E" w:rsidP="00145B2E">
            <w:pPr>
              <w:tabs>
                <w:tab w:val="clear" w:pos="567"/>
                <w:tab w:val="clear" w:pos="1134"/>
                <w:tab w:val="clear" w:pos="1701"/>
                <w:tab w:val="clear" w:pos="2268"/>
                <w:tab w:val="clear" w:pos="2835"/>
              </w:tabs>
              <w:overflowPunct/>
              <w:autoSpaceDE/>
              <w:autoSpaceDN/>
              <w:adjustRightInd/>
              <w:spacing w:before="0"/>
              <w:ind w:right="425"/>
              <w:jc w:val="right"/>
              <w:textAlignment w:val="auto"/>
              <w:rPr>
                <w:rFonts w:cs="Arial"/>
                <w:b/>
                <w:bCs/>
                <w:color w:val="000000"/>
                <w:sz w:val="22"/>
                <w:szCs w:val="22"/>
                <w:lang w:val="en-US" w:eastAsia="zh-CN"/>
              </w:rPr>
            </w:pPr>
            <w:r w:rsidRPr="00AA421C">
              <w:rPr>
                <w:rFonts w:cs="Arial"/>
                <w:b/>
                <w:bCs/>
                <w:color w:val="000000"/>
                <w:sz w:val="22"/>
                <w:szCs w:val="22"/>
                <w:lang w:val="en-US" w:eastAsia="zh-CN"/>
              </w:rPr>
              <w:t>2</w:t>
            </w:r>
            <w:r>
              <w:rPr>
                <w:rFonts w:cs="Arial"/>
                <w:b/>
                <w:bCs/>
                <w:color w:val="000000"/>
                <w:sz w:val="22"/>
                <w:szCs w:val="22"/>
                <w:lang w:val="en-US" w:eastAsia="zh-CN"/>
              </w:rPr>
              <w:t>4</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rsidR="00145B2E" w:rsidRPr="00AA421C" w:rsidRDefault="00145B2E" w:rsidP="00145B2E">
            <w:pPr>
              <w:tabs>
                <w:tab w:val="clear" w:pos="567"/>
                <w:tab w:val="clear" w:pos="1134"/>
                <w:tab w:val="clear" w:pos="1701"/>
                <w:tab w:val="clear" w:pos="2268"/>
                <w:tab w:val="clear" w:pos="2835"/>
              </w:tabs>
              <w:overflowPunct/>
              <w:autoSpaceDE/>
              <w:autoSpaceDN/>
              <w:adjustRightInd/>
              <w:spacing w:before="0"/>
              <w:ind w:right="425"/>
              <w:jc w:val="right"/>
              <w:textAlignment w:val="auto"/>
              <w:rPr>
                <w:rFonts w:cs="Arial"/>
                <w:b/>
                <w:bCs/>
                <w:color w:val="000000"/>
                <w:sz w:val="22"/>
                <w:szCs w:val="22"/>
                <w:lang w:val="en-US" w:eastAsia="zh-CN"/>
              </w:rPr>
            </w:pPr>
            <w:r w:rsidRPr="00AA421C">
              <w:rPr>
                <w:rFonts w:cs="Arial"/>
                <w:b/>
                <w:bCs/>
                <w:color w:val="000000"/>
                <w:sz w:val="22"/>
                <w:szCs w:val="22"/>
                <w:lang w:val="en-US" w:eastAsia="zh-CN"/>
              </w:rPr>
              <w:t xml:space="preserve">                </w:t>
            </w:r>
            <w:r>
              <w:rPr>
                <w:rFonts w:cs="Arial"/>
                <w:b/>
                <w:bCs/>
                <w:color w:val="000000"/>
                <w:sz w:val="22"/>
                <w:szCs w:val="22"/>
                <w:lang w:val="en-US" w:eastAsia="zh-CN"/>
              </w:rPr>
              <w:t>5</w:t>
            </w:r>
            <w:r w:rsidRPr="00AA421C">
              <w:rPr>
                <w:rFonts w:cs="Arial"/>
                <w:b/>
                <w:bCs/>
                <w:color w:val="000000"/>
                <w:sz w:val="22"/>
                <w:szCs w:val="22"/>
                <w:lang w:val="en-US" w:eastAsia="zh-CN"/>
              </w:rPr>
              <w:t>,8</w:t>
            </w:r>
            <w:r>
              <w:rPr>
                <w:rFonts w:cs="Arial"/>
                <w:b/>
                <w:bCs/>
                <w:color w:val="000000"/>
                <w:sz w:val="22"/>
                <w:szCs w:val="22"/>
                <w:lang w:val="en-US" w:eastAsia="zh-CN"/>
              </w:rPr>
              <w:t>52</w:t>
            </w:r>
            <w:r w:rsidRPr="00AA421C">
              <w:rPr>
                <w:rFonts w:cs="Arial"/>
                <w:b/>
                <w:bCs/>
                <w:color w:val="000000"/>
                <w:sz w:val="22"/>
                <w:szCs w:val="22"/>
                <w:lang w:val="en-US" w:eastAsia="zh-CN"/>
              </w:rPr>
              <w:t xml:space="preserve"> </w:t>
            </w:r>
          </w:p>
        </w:tc>
        <w:tc>
          <w:tcPr>
            <w:tcW w:w="1711" w:type="dxa"/>
            <w:tcBorders>
              <w:top w:val="single" w:sz="8" w:space="0" w:color="auto"/>
              <w:left w:val="nil"/>
              <w:bottom w:val="single" w:sz="8" w:space="0" w:color="auto"/>
              <w:right w:val="nil"/>
            </w:tcBorders>
            <w:shd w:val="clear" w:color="auto" w:fill="auto"/>
            <w:vAlign w:val="center"/>
            <w:hideMark/>
          </w:tcPr>
          <w:p w:rsidR="00145B2E" w:rsidRPr="00AA421C" w:rsidRDefault="00145B2E" w:rsidP="00145B2E">
            <w:pPr>
              <w:tabs>
                <w:tab w:val="clear" w:pos="567"/>
                <w:tab w:val="clear" w:pos="1134"/>
                <w:tab w:val="clear" w:pos="1701"/>
                <w:tab w:val="clear" w:pos="2268"/>
                <w:tab w:val="clear" w:pos="2835"/>
              </w:tabs>
              <w:overflowPunct/>
              <w:autoSpaceDE/>
              <w:autoSpaceDN/>
              <w:adjustRightInd/>
              <w:spacing w:before="0"/>
              <w:ind w:right="425"/>
              <w:jc w:val="right"/>
              <w:textAlignment w:val="auto"/>
              <w:rPr>
                <w:rFonts w:cs="Arial"/>
                <w:b/>
                <w:bCs/>
                <w:color w:val="000000"/>
                <w:sz w:val="22"/>
                <w:szCs w:val="22"/>
                <w:lang w:val="en-US" w:eastAsia="zh-CN"/>
              </w:rPr>
            </w:pPr>
            <w:r w:rsidRPr="00AA421C">
              <w:rPr>
                <w:rFonts w:cs="Arial"/>
                <w:b/>
                <w:bCs/>
                <w:color w:val="000000"/>
                <w:sz w:val="22"/>
                <w:szCs w:val="22"/>
                <w:lang w:val="en-US" w:eastAsia="zh-CN"/>
              </w:rPr>
              <w:t>23</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rsidR="00145B2E" w:rsidRPr="00AA421C" w:rsidRDefault="00145B2E" w:rsidP="00145B2E">
            <w:pPr>
              <w:tabs>
                <w:tab w:val="clear" w:pos="567"/>
                <w:tab w:val="clear" w:pos="1134"/>
                <w:tab w:val="clear" w:pos="1701"/>
                <w:tab w:val="clear" w:pos="2268"/>
                <w:tab w:val="clear" w:pos="2835"/>
              </w:tabs>
              <w:overflowPunct/>
              <w:autoSpaceDE/>
              <w:autoSpaceDN/>
              <w:adjustRightInd/>
              <w:spacing w:before="0"/>
              <w:ind w:right="425"/>
              <w:jc w:val="right"/>
              <w:textAlignment w:val="auto"/>
              <w:rPr>
                <w:rFonts w:cs="Arial"/>
                <w:b/>
                <w:bCs/>
                <w:color w:val="000000"/>
                <w:sz w:val="22"/>
                <w:szCs w:val="22"/>
                <w:lang w:val="en-US" w:eastAsia="zh-CN"/>
              </w:rPr>
            </w:pPr>
            <w:r w:rsidRPr="00AA421C">
              <w:rPr>
                <w:rFonts w:cs="Arial"/>
                <w:b/>
                <w:bCs/>
                <w:color w:val="000000"/>
                <w:sz w:val="22"/>
                <w:szCs w:val="22"/>
                <w:lang w:val="en-US" w:eastAsia="zh-CN"/>
              </w:rPr>
              <w:t xml:space="preserve">                6,823 </w:t>
            </w:r>
          </w:p>
        </w:tc>
      </w:tr>
      <w:tr w:rsidR="00145B2E" w:rsidRPr="00AA421C" w:rsidTr="00431D97">
        <w:trPr>
          <w:trHeight w:val="600"/>
        </w:trPr>
        <w:tc>
          <w:tcPr>
            <w:tcW w:w="2967" w:type="dxa"/>
            <w:tcBorders>
              <w:top w:val="nil"/>
              <w:left w:val="single" w:sz="8" w:space="0" w:color="auto"/>
              <w:bottom w:val="single" w:sz="8" w:space="0" w:color="auto"/>
              <w:right w:val="single" w:sz="8" w:space="0" w:color="auto"/>
            </w:tcBorders>
            <w:shd w:val="clear" w:color="auto" w:fill="auto"/>
            <w:vAlign w:val="center"/>
            <w:hideMark/>
          </w:tcPr>
          <w:p w:rsidR="00145B2E" w:rsidRPr="00AA421C" w:rsidRDefault="00145B2E" w:rsidP="00145B2E">
            <w:pPr>
              <w:tabs>
                <w:tab w:val="clear" w:pos="567"/>
                <w:tab w:val="clear" w:pos="1134"/>
                <w:tab w:val="clear" w:pos="1701"/>
                <w:tab w:val="clear" w:pos="2268"/>
                <w:tab w:val="clear" w:pos="2835"/>
              </w:tabs>
              <w:overflowPunct/>
              <w:autoSpaceDE/>
              <w:autoSpaceDN/>
              <w:adjustRightInd/>
              <w:spacing w:before="0"/>
              <w:ind w:right="425"/>
              <w:textAlignment w:val="auto"/>
              <w:rPr>
                <w:rFonts w:cs="Arial"/>
                <w:b/>
                <w:bCs/>
                <w:color w:val="000000"/>
                <w:sz w:val="22"/>
                <w:szCs w:val="22"/>
                <w:lang w:val="en-US" w:eastAsia="zh-CN"/>
              </w:rPr>
            </w:pPr>
            <w:r w:rsidRPr="00AA421C">
              <w:rPr>
                <w:rFonts w:cs="Arial"/>
                <w:b/>
                <w:bCs/>
                <w:color w:val="000000"/>
                <w:sz w:val="22"/>
                <w:szCs w:val="22"/>
                <w:lang w:val="en-US" w:eastAsia="zh-CN"/>
              </w:rPr>
              <w:t>Total main management officials – ITU</w:t>
            </w:r>
          </w:p>
        </w:tc>
        <w:tc>
          <w:tcPr>
            <w:tcW w:w="1701" w:type="dxa"/>
            <w:tcBorders>
              <w:top w:val="nil"/>
              <w:left w:val="nil"/>
              <w:bottom w:val="single" w:sz="8" w:space="0" w:color="auto"/>
              <w:right w:val="nil"/>
            </w:tcBorders>
            <w:shd w:val="clear" w:color="auto" w:fill="auto"/>
            <w:vAlign w:val="center"/>
            <w:hideMark/>
          </w:tcPr>
          <w:p w:rsidR="00145B2E" w:rsidRPr="00AA421C" w:rsidRDefault="00145B2E" w:rsidP="00145B2E">
            <w:pPr>
              <w:tabs>
                <w:tab w:val="clear" w:pos="567"/>
                <w:tab w:val="clear" w:pos="1134"/>
                <w:tab w:val="clear" w:pos="1701"/>
                <w:tab w:val="clear" w:pos="2268"/>
                <w:tab w:val="clear" w:pos="2835"/>
              </w:tabs>
              <w:overflowPunct/>
              <w:autoSpaceDE/>
              <w:autoSpaceDN/>
              <w:adjustRightInd/>
              <w:spacing w:before="0"/>
              <w:ind w:right="425"/>
              <w:jc w:val="right"/>
              <w:textAlignment w:val="auto"/>
              <w:rPr>
                <w:rFonts w:cs="Arial"/>
                <w:b/>
                <w:bCs/>
                <w:color w:val="000000"/>
                <w:sz w:val="22"/>
                <w:szCs w:val="22"/>
                <w:lang w:val="en-US" w:eastAsia="zh-CN"/>
              </w:rPr>
            </w:pPr>
            <w:r w:rsidRPr="00AA421C">
              <w:rPr>
                <w:rFonts w:cs="Arial"/>
                <w:b/>
                <w:bCs/>
                <w:color w:val="000000"/>
                <w:sz w:val="22"/>
                <w:szCs w:val="22"/>
                <w:lang w:val="en-US" w:eastAsia="zh-CN"/>
              </w:rPr>
              <w:t>2</w:t>
            </w:r>
            <w:r>
              <w:rPr>
                <w:rFonts w:cs="Arial"/>
                <w:b/>
                <w:bCs/>
                <w:color w:val="000000"/>
                <w:sz w:val="22"/>
                <w:szCs w:val="22"/>
                <w:lang w:val="en-US" w:eastAsia="zh-CN"/>
              </w:rPr>
              <w:t>9</w:t>
            </w:r>
          </w:p>
        </w:tc>
        <w:tc>
          <w:tcPr>
            <w:tcW w:w="1985" w:type="dxa"/>
            <w:tcBorders>
              <w:top w:val="nil"/>
              <w:left w:val="nil"/>
              <w:bottom w:val="single" w:sz="8" w:space="0" w:color="auto"/>
              <w:right w:val="single" w:sz="8" w:space="0" w:color="auto"/>
            </w:tcBorders>
            <w:shd w:val="clear" w:color="auto" w:fill="auto"/>
            <w:vAlign w:val="center"/>
            <w:hideMark/>
          </w:tcPr>
          <w:p w:rsidR="00145B2E" w:rsidRPr="00AA421C" w:rsidRDefault="00145B2E" w:rsidP="00145B2E">
            <w:pPr>
              <w:tabs>
                <w:tab w:val="clear" w:pos="567"/>
                <w:tab w:val="clear" w:pos="1134"/>
                <w:tab w:val="clear" w:pos="1701"/>
                <w:tab w:val="clear" w:pos="2268"/>
                <w:tab w:val="clear" w:pos="2835"/>
              </w:tabs>
              <w:overflowPunct/>
              <w:autoSpaceDE/>
              <w:autoSpaceDN/>
              <w:adjustRightInd/>
              <w:spacing w:before="0"/>
              <w:ind w:right="425"/>
              <w:jc w:val="right"/>
              <w:textAlignment w:val="auto"/>
              <w:rPr>
                <w:rFonts w:cs="Arial"/>
                <w:b/>
                <w:bCs/>
                <w:color w:val="000000"/>
                <w:sz w:val="22"/>
                <w:szCs w:val="22"/>
                <w:lang w:val="en-US" w:eastAsia="zh-CN"/>
              </w:rPr>
            </w:pPr>
            <w:r w:rsidRPr="00AA421C">
              <w:rPr>
                <w:rFonts w:cs="Arial"/>
                <w:b/>
                <w:bCs/>
                <w:color w:val="000000"/>
                <w:sz w:val="22"/>
                <w:szCs w:val="22"/>
                <w:lang w:val="en-US" w:eastAsia="zh-CN"/>
              </w:rPr>
              <w:t xml:space="preserve">               </w:t>
            </w:r>
            <w:r>
              <w:rPr>
                <w:rFonts w:cs="Arial"/>
                <w:b/>
                <w:bCs/>
                <w:color w:val="000000"/>
                <w:sz w:val="22"/>
                <w:szCs w:val="22"/>
                <w:lang w:val="en-US" w:eastAsia="zh-CN"/>
              </w:rPr>
              <w:t>7</w:t>
            </w:r>
            <w:r w:rsidRPr="00AA421C">
              <w:rPr>
                <w:rFonts w:cs="Arial"/>
                <w:b/>
                <w:bCs/>
                <w:color w:val="000000"/>
                <w:sz w:val="22"/>
                <w:szCs w:val="22"/>
                <w:lang w:val="en-US" w:eastAsia="zh-CN"/>
              </w:rPr>
              <w:t>,</w:t>
            </w:r>
            <w:r>
              <w:rPr>
                <w:rFonts w:cs="Arial"/>
                <w:b/>
                <w:bCs/>
                <w:color w:val="000000"/>
                <w:sz w:val="22"/>
                <w:szCs w:val="22"/>
                <w:lang w:val="en-US" w:eastAsia="zh-CN"/>
              </w:rPr>
              <w:t>995</w:t>
            </w:r>
            <w:r w:rsidRPr="00AA421C">
              <w:rPr>
                <w:rFonts w:cs="Arial"/>
                <w:b/>
                <w:bCs/>
                <w:color w:val="000000"/>
                <w:sz w:val="22"/>
                <w:szCs w:val="22"/>
                <w:lang w:val="en-US" w:eastAsia="zh-CN"/>
              </w:rPr>
              <w:t xml:space="preserve"> </w:t>
            </w:r>
          </w:p>
        </w:tc>
        <w:tc>
          <w:tcPr>
            <w:tcW w:w="1711" w:type="dxa"/>
            <w:tcBorders>
              <w:top w:val="nil"/>
              <w:left w:val="nil"/>
              <w:bottom w:val="single" w:sz="8" w:space="0" w:color="auto"/>
              <w:right w:val="nil"/>
            </w:tcBorders>
            <w:shd w:val="clear" w:color="auto" w:fill="auto"/>
            <w:vAlign w:val="center"/>
            <w:hideMark/>
          </w:tcPr>
          <w:p w:rsidR="00145B2E" w:rsidRPr="00AA421C" w:rsidRDefault="00145B2E" w:rsidP="00145B2E">
            <w:pPr>
              <w:tabs>
                <w:tab w:val="clear" w:pos="567"/>
                <w:tab w:val="clear" w:pos="1134"/>
                <w:tab w:val="clear" w:pos="1701"/>
                <w:tab w:val="clear" w:pos="2268"/>
                <w:tab w:val="clear" w:pos="2835"/>
              </w:tabs>
              <w:overflowPunct/>
              <w:autoSpaceDE/>
              <w:autoSpaceDN/>
              <w:adjustRightInd/>
              <w:spacing w:before="0"/>
              <w:ind w:right="425"/>
              <w:jc w:val="right"/>
              <w:textAlignment w:val="auto"/>
              <w:rPr>
                <w:rFonts w:cs="Arial"/>
                <w:b/>
                <w:bCs/>
                <w:color w:val="000000"/>
                <w:sz w:val="22"/>
                <w:szCs w:val="22"/>
                <w:lang w:val="en-US" w:eastAsia="zh-CN"/>
              </w:rPr>
            </w:pPr>
            <w:r w:rsidRPr="00AA421C">
              <w:rPr>
                <w:rFonts w:cs="Arial"/>
                <w:b/>
                <w:bCs/>
                <w:color w:val="000000"/>
                <w:sz w:val="22"/>
                <w:szCs w:val="22"/>
                <w:lang w:val="en-US" w:eastAsia="zh-CN"/>
              </w:rPr>
              <w:t>28</w:t>
            </w:r>
          </w:p>
        </w:tc>
        <w:tc>
          <w:tcPr>
            <w:tcW w:w="1985" w:type="dxa"/>
            <w:tcBorders>
              <w:top w:val="nil"/>
              <w:left w:val="nil"/>
              <w:bottom w:val="single" w:sz="8" w:space="0" w:color="auto"/>
              <w:right w:val="single" w:sz="8" w:space="0" w:color="auto"/>
            </w:tcBorders>
            <w:shd w:val="clear" w:color="auto" w:fill="auto"/>
            <w:vAlign w:val="center"/>
            <w:hideMark/>
          </w:tcPr>
          <w:p w:rsidR="00145B2E" w:rsidRPr="00AA421C" w:rsidRDefault="00145B2E" w:rsidP="00145B2E">
            <w:pPr>
              <w:tabs>
                <w:tab w:val="clear" w:pos="567"/>
                <w:tab w:val="clear" w:pos="1134"/>
                <w:tab w:val="clear" w:pos="1701"/>
                <w:tab w:val="clear" w:pos="2268"/>
                <w:tab w:val="clear" w:pos="2835"/>
              </w:tabs>
              <w:overflowPunct/>
              <w:autoSpaceDE/>
              <w:autoSpaceDN/>
              <w:adjustRightInd/>
              <w:spacing w:before="0"/>
              <w:ind w:right="425"/>
              <w:jc w:val="right"/>
              <w:textAlignment w:val="auto"/>
              <w:rPr>
                <w:rFonts w:cs="Arial"/>
                <w:b/>
                <w:bCs/>
                <w:color w:val="000000"/>
                <w:sz w:val="22"/>
                <w:szCs w:val="22"/>
                <w:lang w:val="en-US" w:eastAsia="zh-CN"/>
              </w:rPr>
            </w:pPr>
            <w:r w:rsidRPr="00AA421C">
              <w:rPr>
                <w:rFonts w:cs="Arial"/>
                <w:b/>
                <w:bCs/>
                <w:color w:val="000000"/>
                <w:sz w:val="22"/>
                <w:szCs w:val="22"/>
                <w:lang w:val="en-US" w:eastAsia="zh-CN"/>
              </w:rPr>
              <w:t xml:space="preserve">                8,796 </w:t>
            </w:r>
          </w:p>
        </w:tc>
      </w:tr>
    </w:tbl>
    <w:p w:rsidR="00706E3E" w:rsidRDefault="00A165D6" w:rsidP="006D6709">
      <w:pPr>
        <w:pStyle w:val="Heading5"/>
        <w:tabs>
          <w:tab w:val="clear" w:pos="567"/>
          <w:tab w:val="left" w:pos="-142"/>
        </w:tabs>
        <w:spacing w:before="240"/>
        <w:ind w:left="-142" w:right="-142" w:firstLine="0"/>
        <w:jc w:val="both"/>
        <w:rPr>
          <w:lang w:val="en-US"/>
        </w:rPr>
      </w:pPr>
      <w:bookmarkStart w:id="140" w:name="_Toc305764120"/>
      <w:bookmarkStart w:id="141" w:name="_Toc329011662"/>
      <w:r w:rsidRPr="00CD7EC2">
        <w:rPr>
          <w:lang w:val="en-US"/>
        </w:rPr>
        <w:t>Note 2</w:t>
      </w:r>
      <w:r w:rsidR="006D6709">
        <w:rPr>
          <w:lang w:val="en-US"/>
        </w:rPr>
        <w:t>8</w:t>
      </w:r>
      <w:bookmarkEnd w:id="140"/>
      <w:r w:rsidR="003938C6" w:rsidRPr="00CD7EC2">
        <w:rPr>
          <w:lang w:val="en-US"/>
        </w:rPr>
        <w:tab/>
      </w:r>
      <w:r w:rsidR="0022373A" w:rsidRPr="004009E9">
        <w:rPr>
          <w:lang w:val="en-US"/>
        </w:rPr>
        <w:t>Obligations</w:t>
      </w:r>
      <w:bookmarkEnd w:id="141"/>
    </w:p>
    <w:p w:rsidR="00522C77" w:rsidRDefault="00522C77" w:rsidP="00FB79E8">
      <w:pPr>
        <w:tabs>
          <w:tab w:val="clear" w:pos="567"/>
          <w:tab w:val="left" w:pos="-142"/>
        </w:tabs>
        <w:ind w:left="-142" w:right="142"/>
        <w:jc w:val="both"/>
        <w:rPr>
          <w:sz w:val="22"/>
          <w:lang w:val="en-US" w:eastAsia="fr-FR"/>
        </w:rPr>
      </w:pPr>
      <w:r>
        <w:rPr>
          <w:lang w:eastAsia="fr-FR"/>
        </w:rPr>
        <w:t>ITU has concluded a contract with a third-party provider for the rental, installation and maintenance</w:t>
      </w:r>
      <w:r w:rsidR="00CD7EC2">
        <w:rPr>
          <w:lang w:eastAsia="fr-FR"/>
        </w:rPr>
        <w:t xml:space="preserve"> of digital black/white and colour</w:t>
      </w:r>
      <w:r>
        <w:rPr>
          <w:lang w:eastAsia="fr-FR"/>
        </w:rPr>
        <w:t xml:space="preserve"> printing systems. </w:t>
      </w:r>
      <w:r w:rsidR="00FB79E8">
        <w:rPr>
          <w:lang w:eastAsia="fr-FR"/>
        </w:rPr>
        <w:t xml:space="preserve"> </w:t>
      </w:r>
      <w:r>
        <w:rPr>
          <w:lang w:eastAsia="fr-FR"/>
        </w:rPr>
        <w:t xml:space="preserve">This contract entered into force in 2014 and will run until 2020. </w:t>
      </w:r>
      <w:r w:rsidR="00CD7EC2">
        <w:rPr>
          <w:lang w:eastAsia="fr-FR"/>
        </w:rPr>
        <w:t xml:space="preserve"> </w:t>
      </w:r>
      <w:r>
        <w:rPr>
          <w:lang w:eastAsia="fr-FR"/>
        </w:rPr>
        <w:t xml:space="preserve">ITU has no finance leases. </w:t>
      </w:r>
      <w:r w:rsidR="00CD7EC2">
        <w:rPr>
          <w:lang w:eastAsia="fr-FR"/>
        </w:rPr>
        <w:t xml:space="preserve"> </w:t>
      </w:r>
      <w:r>
        <w:rPr>
          <w:lang w:eastAsia="fr-FR"/>
        </w:rPr>
        <w:t>Rentals payable under operating leases are recognized as expenses in the statement of financial performance. ITU will bear additional costs according to the number of photocopies actually processed on the basis of a contractually defined cost per page.</w:t>
      </w:r>
    </w:p>
    <w:p w:rsidR="0022373A" w:rsidRPr="004702C9" w:rsidRDefault="0022373A" w:rsidP="00FB79E8">
      <w:pPr>
        <w:spacing w:after="120"/>
        <w:ind w:left="-142" w:right="425"/>
        <w:jc w:val="both"/>
        <w:rPr>
          <w:lang w:val="en-US" w:eastAsia="fr-FR"/>
        </w:rPr>
      </w:pPr>
      <w:r w:rsidRPr="004702C9">
        <w:rPr>
          <w:lang w:val="en-US" w:eastAsia="fr-FR"/>
        </w:rPr>
        <w:t>Future minimum payments to be effected under this contract are as follows:</w:t>
      </w:r>
    </w:p>
    <w:p w:rsidR="003E7E8A" w:rsidRPr="004702C9" w:rsidRDefault="003E7E8A" w:rsidP="00C11E81">
      <w:pPr>
        <w:ind w:right="425"/>
        <w:rPr>
          <w:sz w:val="8"/>
          <w:szCs w:val="8"/>
          <w:lang w:val="en-US"/>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65"/>
        <w:gridCol w:w="1843"/>
        <w:gridCol w:w="1701"/>
      </w:tblGrid>
      <w:tr w:rsidR="0022373A" w:rsidRPr="004702C9" w:rsidTr="00C11E81">
        <w:trPr>
          <w:jc w:val="center"/>
        </w:trPr>
        <w:tc>
          <w:tcPr>
            <w:tcW w:w="5665" w:type="dxa"/>
            <w:tcBorders>
              <w:bottom w:val="nil"/>
              <w:right w:val="single" w:sz="4" w:space="0" w:color="auto"/>
            </w:tcBorders>
          </w:tcPr>
          <w:p w:rsidR="0022373A" w:rsidRPr="004702C9" w:rsidRDefault="0022373A" w:rsidP="00C11E81">
            <w:pPr>
              <w:pStyle w:val="Tabletext"/>
              <w:spacing w:before="20" w:after="20"/>
              <w:ind w:right="425"/>
              <w:rPr>
                <w:b/>
                <w:bCs/>
                <w:szCs w:val="22"/>
                <w:lang w:val="en-US"/>
              </w:rPr>
            </w:pPr>
            <w:r w:rsidRPr="004702C9">
              <w:rPr>
                <w:b/>
                <w:bCs/>
                <w:szCs w:val="22"/>
                <w:lang w:val="en-US"/>
              </w:rPr>
              <w:t>In thousands of CHF</w:t>
            </w:r>
          </w:p>
        </w:tc>
        <w:tc>
          <w:tcPr>
            <w:tcW w:w="1843" w:type="dxa"/>
            <w:tcBorders>
              <w:bottom w:val="nil"/>
              <w:right w:val="single" w:sz="4" w:space="0" w:color="auto"/>
            </w:tcBorders>
          </w:tcPr>
          <w:p w:rsidR="0022373A" w:rsidRPr="004702C9" w:rsidRDefault="0022373A" w:rsidP="008D7B67">
            <w:pPr>
              <w:pStyle w:val="Tabletext"/>
              <w:spacing w:before="20" w:after="20"/>
              <w:ind w:right="425"/>
              <w:jc w:val="center"/>
              <w:rPr>
                <w:b/>
                <w:bCs/>
                <w:szCs w:val="22"/>
                <w:lang w:val="en-US"/>
              </w:rPr>
            </w:pPr>
            <w:r w:rsidRPr="004702C9">
              <w:rPr>
                <w:b/>
                <w:bCs/>
                <w:szCs w:val="22"/>
                <w:lang w:val="en-US"/>
              </w:rPr>
              <w:t>31.12.</w:t>
            </w:r>
            <w:r w:rsidR="00111BDD">
              <w:rPr>
                <w:b/>
                <w:bCs/>
                <w:szCs w:val="22"/>
                <w:lang w:val="en-US"/>
              </w:rPr>
              <w:t>201</w:t>
            </w:r>
            <w:r w:rsidR="008D7B67">
              <w:rPr>
                <w:b/>
                <w:bCs/>
                <w:szCs w:val="22"/>
                <w:lang w:val="en-US"/>
              </w:rPr>
              <w:t>7</w:t>
            </w:r>
          </w:p>
        </w:tc>
        <w:tc>
          <w:tcPr>
            <w:tcW w:w="1701" w:type="dxa"/>
            <w:tcBorders>
              <w:top w:val="single" w:sz="4" w:space="0" w:color="auto"/>
              <w:left w:val="single" w:sz="4" w:space="0" w:color="auto"/>
              <w:bottom w:val="nil"/>
            </w:tcBorders>
          </w:tcPr>
          <w:p w:rsidR="0022373A" w:rsidRPr="004702C9" w:rsidRDefault="0022373A" w:rsidP="008D7B67">
            <w:pPr>
              <w:pStyle w:val="Tabletext"/>
              <w:spacing w:before="20" w:after="20"/>
              <w:ind w:right="425"/>
              <w:jc w:val="center"/>
              <w:rPr>
                <w:b/>
                <w:bCs/>
                <w:szCs w:val="22"/>
                <w:lang w:val="en-US"/>
              </w:rPr>
            </w:pPr>
            <w:r w:rsidRPr="004702C9">
              <w:rPr>
                <w:b/>
                <w:bCs/>
                <w:szCs w:val="22"/>
                <w:lang w:val="en-US"/>
              </w:rPr>
              <w:t>31.12.201</w:t>
            </w:r>
            <w:r w:rsidR="008D7B67">
              <w:rPr>
                <w:b/>
                <w:bCs/>
                <w:szCs w:val="22"/>
                <w:lang w:val="en-US"/>
              </w:rPr>
              <w:t>6</w:t>
            </w:r>
          </w:p>
        </w:tc>
      </w:tr>
      <w:tr w:rsidR="0022373A" w:rsidRPr="004702C9" w:rsidTr="00C11E81">
        <w:trPr>
          <w:trHeight w:val="57"/>
          <w:jc w:val="center"/>
        </w:trPr>
        <w:tc>
          <w:tcPr>
            <w:tcW w:w="5665" w:type="dxa"/>
            <w:tcBorders>
              <w:top w:val="single" w:sz="4" w:space="0" w:color="auto"/>
              <w:bottom w:val="nil"/>
              <w:right w:val="single" w:sz="4" w:space="0" w:color="auto"/>
            </w:tcBorders>
          </w:tcPr>
          <w:p w:rsidR="0022373A" w:rsidRPr="004702C9" w:rsidRDefault="0022373A" w:rsidP="00C11E81">
            <w:pPr>
              <w:pStyle w:val="Tabletext"/>
              <w:spacing w:before="20" w:after="20"/>
              <w:ind w:right="425"/>
              <w:rPr>
                <w:sz w:val="8"/>
                <w:szCs w:val="8"/>
                <w:lang w:val="en-US"/>
              </w:rPr>
            </w:pPr>
          </w:p>
        </w:tc>
        <w:tc>
          <w:tcPr>
            <w:tcW w:w="1843" w:type="dxa"/>
            <w:tcBorders>
              <w:top w:val="single" w:sz="4" w:space="0" w:color="auto"/>
              <w:bottom w:val="nil"/>
              <w:right w:val="single" w:sz="4" w:space="0" w:color="auto"/>
            </w:tcBorders>
          </w:tcPr>
          <w:p w:rsidR="0022373A" w:rsidRPr="004702C9" w:rsidRDefault="0022373A" w:rsidP="00C11E81">
            <w:pPr>
              <w:pStyle w:val="Tabletext"/>
              <w:spacing w:before="20" w:after="20"/>
              <w:ind w:right="425"/>
              <w:rPr>
                <w:sz w:val="8"/>
                <w:szCs w:val="8"/>
                <w:lang w:val="en-US"/>
              </w:rPr>
            </w:pPr>
          </w:p>
        </w:tc>
        <w:tc>
          <w:tcPr>
            <w:tcW w:w="1701" w:type="dxa"/>
            <w:tcBorders>
              <w:top w:val="single" w:sz="4" w:space="0" w:color="auto"/>
              <w:left w:val="single" w:sz="4" w:space="0" w:color="auto"/>
              <w:bottom w:val="nil"/>
            </w:tcBorders>
          </w:tcPr>
          <w:p w:rsidR="0022373A" w:rsidRPr="004702C9" w:rsidRDefault="0022373A" w:rsidP="00C11E81">
            <w:pPr>
              <w:pStyle w:val="Tabletext"/>
              <w:spacing w:before="20" w:after="20"/>
              <w:ind w:right="425"/>
              <w:rPr>
                <w:sz w:val="8"/>
                <w:szCs w:val="8"/>
                <w:lang w:val="en-US"/>
              </w:rPr>
            </w:pPr>
          </w:p>
        </w:tc>
      </w:tr>
      <w:tr w:rsidR="00E67E26" w:rsidRPr="00A64B52" w:rsidTr="00C11E81">
        <w:trPr>
          <w:jc w:val="center"/>
        </w:trPr>
        <w:tc>
          <w:tcPr>
            <w:tcW w:w="5665" w:type="dxa"/>
            <w:tcBorders>
              <w:top w:val="nil"/>
              <w:right w:val="single" w:sz="4" w:space="0" w:color="auto"/>
            </w:tcBorders>
          </w:tcPr>
          <w:p w:rsidR="00E67E26" w:rsidRPr="004702C9" w:rsidRDefault="00E67E26" w:rsidP="00C11E81">
            <w:pPr>
              <w:pStyle w:val="Tabletext"/>
              <w:spacing w:before="20" w:after="20"/>
              <w:ind w:right="425"/>
              <w:rPr>
                <w:szCs w:val="22"/>
                <w:lang w:val="en-US"/>
              </w:rPr>
            </w:pPr>
            <w:r w:rsidRPr="004702C9">
              <w:rPr>
                <w:szCs w:val="22"/>
                <w:lang w:val="en-US"/>
              </w:rPr>
              <w:t>Less than one year</w:t>
            </w:r>
          </w:p>
        </w:tc>
        <w:tc>
          <w:tcPr>
            <w:tcW w:w="1843" w:type="dxa"/>
            <w:tcBorders>
              <w:top w:val="nil"/>
              <w:right w:val="single" w:sz="4" w:space="0" w:color="auto"/>
            </w:tcBorders>
          </w:tcPr>
          <w:p w:rsidR="00E67E26" w:rsidRPr="00A64B52" w:rsidRDefault="00E67E26" w:rsidP="00C11E81">
            <w:pPr>
              <w:pStyle w:val="Tabletext"/>
              <w:spacing w:before="20" w:after="20"/>
              <w:ind w:right="425"/>
              <w:jc w:val="right"/>
              <w:rPr>
                <w:szCs w:val="22"/>
                <w:lang w:val="en-US"/>
              </w:rPr>
            </w:pPr>
            <w:r w:rsidRPr="00A64B52">
              <w:rPr>
                <w:szCs w:val="22"/>
                <w:lang w:val="en-US"/>
              </w:rPr>
              <w:t>278</w:t>
            </w:r>
          </w:p>
        </w:tc>
        <w:tc>
          <w:tcPr>
            <w:tcW w:w="1701" w:type="dxa"/>
            <w:tcBorders>
              <w:top w:val="nil"/>
              <w:left w:val="single" w:sz="4" w:space="0" w:color="auto"/>
            </w:tcBorders>
          </w:tcPr>
          <w:p w:rsidR="00E67E26" w:rsidRPr="00A64B52" w:rsidRDefault="00E67E26" w:rsidP="00C11E81">
            <w:pPr>
              <w:pStyle w:val="Tabletext"/>
              <w:spacing w:before="20" w:after="20"/>
              <w:ind w:right="425"/>
              <w:jc w:val="right"/>
              <w:rPr>
                <w:szCs w:val="22"/>
                <w:lang w:val="en-US"/>
              </w:rPr>
            </w:pPr>
            <w:r w:rsidRPr="00A64B52">
              <w:rPr>
                <w:szCs w:val="22"/>
                <w:lang w:val="en-US"/>
              </w:rPr>
              <w:t>278</w:t>
            </w:r>
          </w:p>
        </w:tc>
      </w:tr>
      <w:tr w:rsidR="00E67E26" w:rsidRPr="00A64B52" w:rsidTr="00C11E81">
        <w:trPr>
          <w:jc w:val="center"/>
        </w:trPr>
        <w:tc>
          <w:tcPr>
            <w:tcW w:w="5665" w:type="dxa"/>
            <w:tcBorders>
              <w:top w:val="nil"/>
              <w:right w:val="single" w:sz="4" w:space="0" w:color="auto"/>
            </w:tcBorders>
          </w:tcPr>
          <w:p w:rsidR="00E67E26" w:rsidRPr="004702C9" w:rsidRDefault="00E67E26" w:rsidP="00C11E81">
            <w:pPr>
              <w:pStyle w:val="Tabletext"/>
              <w:spacing w:before="20" w:after="20"/>
              <w:ind w:right="425"/>
              <w:rPr>
                <w:szCs w:val="22"/>
                <w:lang w:val="en-US"/>
              </w:rPr>
            </w:pPr>
            <w:r w:rsidRPr="004702C9">
              <w:rPr>
                <w:szCs w:val="22"/>
                <w:lang w:val="en-US"/>
              </w:rPr>
              <w:t>Between one and five years</w:t>
            </w:r>
          </w:p>
        </w:tc>
        <w:tc>
          <w:tcPr>
            <w:tcW w:w="1843" w:type="dxa"/>
            <w:tcBorders>
              <w:top w:val="nil"/>
              <w:right w:val="single" w:sz="4" w:space="0" w:color="auto"/>
            </w:tcBorders>
          </w:tcPr>
          <w:p w:rsidR="00E67E26" w:rsidRPr="00A64B52" w:rsidRDefault="008D7B67" w:rsidP="008D7B67">
            <w:pPr>
              <w:pStyle w:val="Tabletext"/>
              <w:spacing w:before="20" w:after="20"/>
              <w:ind w:right="425"/>
              <w:jc w:val="right"/>
              <w:rPr>
                <w:szCs w:val="22"/>
                <w:lang w:val="en-US"/>
              </w:rPr>
            </w:pPr>
            <w:r>
              <w:rPr>
                <w:szCs w:val="22"/>
                <w:lang w:val="en-US"/>
              </w:rPr>
              <w:t>556</w:t>
            </w:r>
          </w:p>
        </w:tc>
        <w:tc>
          <w:tcPr>
            <w:tcW w:w="1701" w:type="dxa"/>
            <w:tcBorders>
              <w:top w:val="nil"/>
              <w:left w:val="single" w:sz="4" w:space="0" w:color="auto"/>
            </w:tcBorders>
          </w:tcPr>
          <w:p w:rsidR="00E67E26" w:rsidRPr="00A64B52" w:rsidRDefault="008D7B67" w:rsidP="00C11E81">
            <w:pPr>
              <w:pStyle w:val="Tabletext"/>
              <w:spacing w:before="20" w:after="20"/>
              <w:ind w:right="425"/>
              <w:jc w:val="right"/>
              <w:rPr>
                <w:szCs w:val="22"/>
                <w:lang w:val="en-US"/>
              </w:rPr>
            </w:pPr>
            <w:r>
              <w:rPr>
                <w:szCs w:val="22"/>
                <w:lang w:val="en-US"/>
              </w:rPr>
              <w:t>834</w:t>
            </w:r>
          </w:p>
        </w:tc>
      </w:tr>
      <w:tr w:rsidR="00E67E26" w:rsidRPr="00A64B52" w:rsidTr="00C11E81">
        <w:trPr>
          <w:jc w:val="center"/>
        </w:trPr>
        <w:tc>
          <w:tcPr>
            <w:tcW w:w="5665" w:type="dxa"/>
            <w:tcBorders>
              <w:top w:val="nil"/>
              <w:right w:val="single" w:sz="4" w:space="0" w:color="auto"/>
            </w:tcBorders>
          </w:tcPr>
          <w:p w:rsidR="00E67E26" w:rsidRPr="004702C9" w:rsidRDefault="00E67E26" w:rsidP="00C11E81">
            <w:pPr>
              <w:pStyle w:val="Tabletext"/>
              <w:spacing w:before="20" w:after="20"/>
              <w:ind w:right="425"/>
              <w:rPr>
                <w:szCs w:val="22"/>
                <w:lang w:val="en-US"/>
              </w:rPr>
            </w:pPr>
            <w:r w:rsidRPr="004702C9">
              <w:rPr>
                <w:szCs w:val="22"/>
                <w:lang w:val="en-US"/>
              </w:rPr>
              <w:t>Over five years</w:t>
            </w:r>
          </w:p>
        </w:tc>
        <w:tc>
          <w:tcPr>
            <w:tcW w:w="1843" w:type="dxa"/>
            <w:tcBorders>
              <w:top w:val="nil"/>
              <w:right w:val="single" w:sz="4" w:space="0" w:color="auto"/>
            </w:tcBorders>
          </w:tcPr>
          <w:p w:rsidR="00E67E26" w:rsidRPr="00A64B52" w:rsidRDefault="00E67E26" w:rsidP="00C11E81">
            <w:pPr>
              <w:pStyle w:val="Tabletext"/>
              <w:spacing w:before="20" w:after="20"/>
              <w:ind w:right="425"/>
              <w:jc w:val="right"/>
              <w:rPr>
                <w:szCs w:val="22"/>
                <w:lang w:val="en-US"/>
              </w:rPr>
            </w:pPr>
            <w:r>
              <w:rPr>
                <w:szCs w:val="22"/>
                <w:lang w:val="en-US"/>
              </w:rPr>
              <w:t>-</w:t>
            </w:r>
          </w:p>
        </w:tc>
        <w:tc>
          <w:tcPr>
            <w:tcW w:w="1701" w:type="dxa"/>
            <w:tcBorders>
              <w:top w:val="nil"/>
              <w:left w:val="single" w:sz="4" w:space="0" w:color="auto"/>
            </w:tcBorders>
          </w:tcPr>
          <w:p w:rsidR="00E67E26" w:rsidRPr="00A64B52" w:rsidRDefault="00E67E26" w:rsidP="00C11E81">
            <w:pPr>
              <w:pStyle w:val="Tabletext"/>
              <w:spacing w:before="20" w:after="20"/>
              <w:ind w:right="425"/>
              <w:jc w:val="right"/>
              <w:rPr>
                <w:szCs w:val="22"/>
                <w:lang w:val="en-US"/>
              </w:rPr>
            </w:pPr>
            <w:r>
              <w:rPr>
                <w:szCs w:val="22"/>
                <w:lang w:val="en-US"/>
              </w:rPr>
              <w:t>-</w:t>
            </w:r>
          </w:p>
        </w:tc>
      </w:tr>
      <w:tr w:rsidR="00E67E26" w:rsidRPr="00A64B52" w:rsidTr="00C11E81">
        <w:trPr>
          <w:trHeight w:val="57"/>
          <w:jc w:val="center"/>
        </w:trPr>
        <w:tc>
          <w:tcPr>
            <w:tcW w:w="5665" w:type="dxa"/>
            <w:tcBorders>
              <w:bottom w:val="single" w:sz="4" w:space="0" w:color="auto"/>
              <w:right w:val="single" w:sz="4" w:space="0" w:color="auto"/>
            </w:tcBorders>
          </w:tcPr>
          <w:p w:rsidR="00E67E26" w:rsidRPr="004702C9" w:rsidRDefault="00E67E26" w:rsidP="00C11E81">
            <w:pPr>
              <w:pStyle w:val="Tabletext"/>
              <w:spacing w:before="20" w:after="20"/>
              <w:ind w:right="425"/>
              <w:rPr>
                <w:sz w:val="8"/>
                <w:szCs w:val="8"/>
                <w:lang w:val="en-US"/>
              </w:rPr>
            </w:pPr>
          </w:p>
        </w:tc>
        <w:tc>
          <w:tcPr>
            <w:tcW w:w="1843" w:type="dxa"/>
            <w:tcBorders>
              <w:bottom w:val="single" w:sz="4" w:space="0" w:color="auto"/>
              <w:right w:val="single" w:sz="4" w:space="0" w:color="auto"/>
            </w:tcBorders>
          </w:tcPr>
          <w:p w:rsidR="00E67E26" w:rsidRPr="00A64B52" w:rsidRDefault="00E67E26" w:rsidP="00C11E81">
            <w:pPr>
              <w:pStyle w:val="Tabletext"/>
              <w:spacing w:before="20" w:after="20"/>
              <w:ind w:right="425"/>
              <w:jc w:val="right"/>
              <w:rPr>
                <w:sz w:val="8"/>
                <w:szCs w:val="8"/>
                <w:lang w:val="en-US"/>
              </w:rPr>
            </w:pPr>
          </w:p>
        </w:tc>
        <w:tc>
          <w:tcPr>
            <w:tcW w:w="1701" w:type="dxa"/>
            <w:tcBorders>
              <w:left w:val="single" w:sz="4" w:space="0" w:color="auto"/>
              <w:bottom w:val="single" w:sz="4" w:space="0" w:color="auto"/>
            </w:tcBorders>
          </w:tcPr>
          <w:p w:rsidR="00E67E26" w:rsidRPr="00A64B52" w:rsidRDefault="00E67E26" w:rsidP="00C11E81">
            <w:pPr>
              <w:pStyle w:val="Tabletext"/>
              <w:spacing w:before="20" w:after="20"/>
              <w:ind w:right="425"/>
              <w:jc w:val="right"/>
              <w:rPr>
                <w:sz w:val="8"/>
                <w:szCs w:val="8"/>
                <w:lang w:val="en-US"/>
              </w:rPr>
            </w:pPr>
          </w:p>
        </w:tc>
      </w:tr>
      <w:tr w:rsidR="00E67E26" w:rsidRPr="00A64B52" w:rsidTr="00C11E81">
        <w:trPr>
          <w:trHeight w:val="567"/>
          <w:jc w:val="center"/>
        </w:trPr>
        <w:tc>
          <w:tcPr>
            <w:tcW w:w="5665" w:type="dxa"/>
            <w:tcBorders>
              <w:top w:val="single" w:sz="4" w:space="0" w:color="auto"/>
              <w:bottom w:val="single" w:sz="4" w:space="0" w:color="auto"/>
              <w:right w:val="single" w:sz="4" w:space="0" w:color="auto"/>
            </w:tcBorders>
            <w:vAlign w:val="center"/>
          </w:tcPr>
          <w:p w:rsidR="00E67E26" w:rsidRPr="004702C9" w:rsidRDefault="00E67E26" w:rsidP="00C11E81">
            <w:pPr>
              <w:pStyle w:val="Tabletext"/>
              <w:spacing w:before="20" w:after="20"/>
              <w:ind w:right="425"/>
              <w:rPr>
                <w:rFonts w:eastAsia="Calibri"/>
                <w:b/>
                <w:bCs/>
                <w:szCs w:val="22"/>
                <w:lang w:val="en-US"/>
              </w:rPr>
            </w:pPr>
            <w:r w:rsidRPr="004702C9">
              <w:rPr>
                <w:rFonts w:eastAsia="Calibri"/>
                <w:b/>
                <w:bCs/>
                <w:szCs w:val="22"/>
                <w:lang w:val="en-US"/>
              </w:rPr>
              <w:t>Leasing obligations</w:t>
            </w:r>
          </w:p>
        </w:tc>
        <w:tc>
          <w:tcPr>
            <w:tcW w:w="1843" w:type="dxa"/>
            <w:tcBorders>
              <w:top w:val="single" w:sz="4" w:space="0" w:color="auto"/>
              <w:bottom w:val="single" w:sz="4" w:space="0" w:color="auto"/>
              <w:right w:val="single" w:sz="4" w:space="0" w:color="auto"/>
            </w:tcBorders>
            <w:vAlign w:val="center"/>
          </w:tcPr>
          <w:p w:rsidR="00E67E26" w:rsidRPr="00A64B52" w:rsidRDefault="008D7B67" w:rsidP="008D7B67">
            <w:pPr>
              <w:pStyle w:val="Tabletext"/>
              <w:spacing w:before="20" w:after="20"/>
              <w:ind w:right="425"/>
              <w:jc w:val="right"/>
              <w:rPr>
                <w:b/>
                <w:bCs/>
                <w:szCs w:val="22"/>
                <w:lang w:val="en-US"/>
              </w:rPr>
            </w:pPr>
            <w:r>
              <w:rPr>
                <w:b/>
                <w:bCs/>
                <w:szCs w:val="22"/>
                <w:lang w:val="en-US"/>
              </w:rPr>
              <w:t>834</w:t>
            </w:r>
          </w:p>
        </w:tc>
        <w:tc>
          <w:tcPr>
            <w:tcW w:w="1701" w:type="dxa"/>
            <w:tcBorders>
              <w:top w:val="single" w:sz="4" w:space="0" w:color="auto"/>
              <w:left w:val="single" w:sz="4" w:space="0" w:color="auto"/>
              <w:bottom w:val="single" w:sz="4" w:space="0" w:color="auto"/>
            </w:tcBorders>
            <w:vAlign w:val="center"/>
          </w:tcPr>
          <w:p w:rsidR="00E67E26" w:rsidRPr="00A64B52" w:rsidRDefault="00E67E26" w:rsidP="008D7B67">
            <w:pPr>
              <w:pStyle w:val="Tabletext"/>
              <w:spacing w:before="20" w:after="20"/>
              <w:ind w:right="425"/>
              <w:jc w:val="right"/>
              <w:rPr>
                <w:b/>
                <w:bCs/>
                <w:szCs w:val="22"/>
                <w:lang w:val="en-US"/>
              </w:rPr>
            </w:pPr>
            <w:r w:rsidRPr="00A64B52">
              <w:rPr>
                <w:b/>
                <w:bCs/>
                <w:szCs w:val="22"/>
                <w:lang w:val="en-US"/>
              </w:rPr>
              <w:t>1</w:t>
            </w:r>
            <w:r>
              <w:rPr>
                <w:b/>
                <w:bCs/>
                <w:szCs w:val="22"/>
                <w:lang w:val="en-US"/>
              </w:rPr>
              <w:t>’</w:t>
            </w:r>
            <w:r w:rsidR="008D7B67">
              <w:rPr>
                <w:b/>
                <w:bCs/>
                <w:szCs w:val="22"/>
                <w:lang w:val="en-US"/>
              </w:rPr>
              <w:t>112</w:t>
            </w:r>
          </w:p>
        </w:tc>
      </w:tr>
    </w:tbl>
    <w:p w:rsidR="003E7E8A" w:rsidRPr="00E05815" w:rsidRDefault="003E7E8A" w:rsidP="00C11E81">
      <w:pPr>
        <w:ind w:right="425"/>
        <w:rPr>
          <w:sz w:val="8"/>
          <w:szCs w:val="8"/>
          <w:highlight w:val="yellow"/>
          <w:lang w:val="en-US"/>
        </w:rPr>
      </w:pPr>
    </w:p>
    <w:p w:rsidR="00154FEB" w:rsidRPr="001B12F4" w:rsidRDefault="0022373A" w:rsidP="00F57523">
      <w:pPr>
        <w:ind w:left="-142" w:right="283"/>
        <w:jc w:val="both"/>
        <w:rPr>
          <w:lang w:val="en-US" w:eastAsia="fr-FR"/>
        </w:rPr>
      </w:pPr>
      <w:r w:rsidRPr="001B12F4">
        <w:rPr>
          <w:lang w:val="en-US" w:eastAsia="fr-FR"/>
        </w:rPr>
        <w:t>The Union has contractual obligations with different service providers. These contracts, which can be terminated at short notice, do not represent a predefined financial commitment.</w:t>
      </w:r>
    </w:p>
    <w:p w:rsidR="0022373A" w:rsidRPr="001C2A98" w:rsidRDefault="00A165D6" w:rsidP="006D6709">
      <w:pPr>
        <w:pStyle w:val="Heading5"/>
        <w:ind w:right="142" w:hanging="1276"/>
        <w:jc w:val="both"/>
        <w:rPr>
          <w:lang w:val="en-US"/>
        </w:rPr>
      </w:pPr>
      <w:bookmarkStart w:id="142" w:name="_Toc305764121"/>
      <w:bookmarkStart w:id="143" w:name="_Toc329011663"/>
      <w:r>
        <w:rPr>
          <w:lang w:val="en-US"/>
        </w:rPr>
        <w:t>Note 2</w:t>
      </w:r>
      <w:r w:rsidR="006D6709">
        <w:rPr>
          <w:lang w:val="en-US"/>
        </w:rPr>
        <w:t>9</w:t>
      </w:r>
      <w:r w:rsidR="0022373A" w:rsidRPr="001C2A98">
        <w:rPr>
          <w:lang w:val="en-US"/>
        </w:rPr>
        <w:tab/>
        <w:t>Events after the reporting date</w:t>
      </w:r>
      <w:bookmarkEnd w:id="142"/>
      <w:bookmarkEnd w:id="143"/>
    </w:p>
    <w:p w:rsidR="0022373A" w:rsidRDefault="0022373A" w:rsidP="00E021D4">
      <w:pPr>
        <w:ind w:left="-142" w:right="283"/>
        <w:jc w:val="both"/>
        <w:rPr>
          <w:lang w:val="en-US" w:eastAsia="fr-FR"/>
        </w:rPr>
      </w:pPr>
      <w:r w:rsidRPr="001C2A98">
        <w:rPr>
          <w:lang w:val="en-US" w:eastAsia="fr-FR"/>
        </w:rPr>
        <w:t xml:space="preserve">No event after the date of closure having a significant impact on the financial statements for the </w:t>
      </w:r>
      <w:r w:rsidR="00111BDD">
        <w:rPr>
          <w:lang w:val="en-US" w:eastAsia="fr-FR"/>
        </w:rPr>
        <w:t>201</w:t>
      </w:r>
      <w:r w:rsidR="008D7B67">
        <w:rPr>
          <w:lang w:val="en-US" w:eastAsia="fr-FR"/>
        </w:rPr>
        <w:t>7</w:t>
      </w:r>
      <w:r w:rsidRPr="005E77AA">
        <w:rPr>
          <w:lang w:val="en-US" w:eastAsia="fr-FR"/>
        </w:rPr>
        <w:t xml:space="preserve"> financial year is</w:t>
      </w:r>
      <w:r w:rsidRPr="001C2A98">
        <w:rPr>
          <w:lang w:val="en-US" w:eastAsia="fr-FR"/>
        </w:rPr>
        <w:t xml:space="preserve"> to be noted subsequent to the signature </w:t>
      </w:r>
      <w:r w:rsidRPr="00C60446">
        <w:rPr>
          <w:lang w:val="en-US" w:eastAsia="fr-FR"/>
        </w:rPr>
        <w:t xml:space="preserve">of the financial statements and their submission to the Council by the Secretary-General for approval </w:t>
      </w:r>
      <w:r w:rsidR="00736382" w:rsidRPr="009B73EF">
        <w:rPr>
          <w:lang w:val="en-US" w:eastAsia="fr-FR"/>
        </w:rPr>
        <w:t>on</w:t>
      </w:r>
      <w:r w:rsidR="003A3D35" w:rsidRPr="009B73EF">
        <w:rPr>
          <w:lang w:val="en-US" w:eastAsia="fr-FR"/>
        </w:rPr>
        <w:t xml:space="preserve"> </w:t>
      </w:r>
      <w:r w:rsidR="009B73EF" w:rsidRPr="00E021D4">
        <w:rPr>
          <w:lang w:val="en-US" w:eastAsia="fr-FR"/>
        </w:rPr>
        <w:t>2</w:t>
      </w:r>
      <w:r w:rsidR="00E021D4" w:rsidRPr="00E021D4">
        <w:rPr>
          <w:lang w:val="en-US" w:eastAsia="fr-FR"/>
        </w:rPr>
        <w:t>6</w:t>
      </w:r>
      <w:r w:rsidR="006F6AF0" w:rsidRPr="00E021D4">
        <w:rPr>
          <w:lang w:val="en-US" w:eastAsia="fr-FR"/>
        </w:rPr>
        <w:t xml:space="preserve"> March </w:t>
      </w:r>
      <w:r w:rsidR="001B12F4" w:rsidRPr="00E021D4">
        <w:rPr>
          <w:lang w:val="en-US" w:eastAsia="fr-FR"/>
        </w:rPr>
        <w:t>201</w:t>
      </w:r>
      <w:r w:rsidR="009B73EF" w:rsidRPr="00E021D4">
        <w:rPr>
          <w:lang w:val="en-US" w:eastAsia="fr-FR"/>
        </w:rPr>
        <w:t>7</w:t>
      </w:r>
      <w:r w:rsidRPr="00E021D4">
        <w:rPr>
          <w:lang w:val="en-US" w:eastAsia="fr-FR"/>
        </w:rPr>
        <w:t>.</w:t>
      </w:r>
    </w:p>
    <w:p w:rsidR="00576138" w:rsidRPr="00883812" w:rsidRDefault="000854EA" w:rsidP="00D007E9">
      <w:pPr>
        <w:tabs>
          <w:tab w:val="clear" w:pos="567"/>
          <w:tab w:val="clear" w:pos="1134"/>
          <w:tab w:val="clear" w:pos="1701"/>
          <w:tab w:val="clear" w:pos="2268"/>
          <w:tab w:val="clear" w:pos="2835"/>
          <w:tab w:val="left" w:pos="851"/>
        </w:tabs>
        <w:overflowPunct/>
        <w:autoSpaceDE/>
        <w:autoSpaceDN/>
        <w:adjustRightInd/>
        <w:spacing w:before="0"/>
        <w:ind w:right="425"/>
        <w:textAlignment w:val="auto"/>
        <w:rPr>
          <w:b/>
          <w:bCs/>
          <w:w w:val="105"/>
          <w:sz w:val="28"/>
          <w:szCs w:val="28"/>
          <w:lang w:val="en-US"/>
        </w:rPr>
      </w:pPr>
      <w:r>
        <w:rPr>
          <w:lang w:val="en-US" w:eastAsia="fr-FR"/>
        </w:rPr>
        <w:br w:type="page"/>
      </w:r>
      <w:bookmarkStart w:id="144" w:name="_Toc357005997"/>
      <w:bookmarkStart w:id="145" w:name="_Toc357006004"/>
      <w:r w:rsidR="00576138" w:rsidRPr="00883812">
        <w:rPr>
          <w:b/>
          <w:bCs/>
          <w:w w:val="105"/>
          <w:sz w:val="28"/>
          <w:szCs w:val="28"/>
          <w:lang w:val="en-US"/>
        </w:rPr>
        <w:t>I</w:t>
      </w:r>
      <w:r w:rsidR="00576138" w:rsidRPr="00883812">
        <w:rPr>
          <w:b/>
          <w:bCs/>
          <w:w w:val="105"/>
          <w:sz w:val="28"/>
          <w:szCs w:val="28"/>
          <w:lang w:val="en-US"/>
        </w:rPr>
        <w:tab/>
        <w:t xml:space="preserve">REGULAR BUDGET </w:t>
      </w:r>
      <w:bookmarkEnd w:id="144"/>
      <w:r w:rsidR="005E7EC2" w:rsidRPr="00883812">
        <w:rPr>
          <w:b/>
          <w:bCs/>
          <w:w w:val="105"/>
          <w:sz w:val="28"/>
          <w:szCs w:val="28"/>
          <w:lang w:val="en-US"/>
        </w:rPr>
        <w:t xml:space="preserve">(Annex </w:t>
      </w:r>
      <w:r w:rsidR="009623EA">
        <w:rPr>
          <w:b/>
          <w:bCs/>
          <w:w w:val="105"/>
          <w:sz w:val="28"/>
          <w:szCs w:val="28"/>
          <w:lang w:val="en-US"/>
        </w:rPr>
        <w:t>A</w:t>
      </w:r>
      <w:r w:rsidR="00DB335B" w:rsidRPr="00883812">
        <w:rPr>
          <w:b/>
          <w:bCs/>
          <w:w w:val="105"/>
          <w:sz w:val="28"/>
          <w:szCs w:val="28"/>
          <w:lang w:val="en-US"/>
        </w:rPr>
        <w:t>1</w:t>
      </w:r>
      <w:r w:rsidR="00C32117" w:rsidRPr="00883812">
        <w:rPr>
          <w:b/>
          <w:bCs/>
          <w:w w:val="105"/>
          <w:sz w:val="28"/>
          <w:szCs w:val="28"/>
          <w:lang w:val="en-US"/>
        </w:rPr>
        <w:t>)</w:t>
      </w:r>
    </w:p>
    <w:p w:rsidR="007A24C0" w:rsidRPr="00B66B2E" w:rsidRDefault="00CD36C4" w:rsidP="00433FE9">
      <w:pPr>
        <w:pStyle w:val="Headingb"/>
        <w:spacing w:after="120"/>
        <w:ind w:left="0" w:firstLine="0"/>
        <w:jc w:val="both"/>
        <w:rPr>
          <w:lang w:val="en-US"/>
        </w:rPr>
      </w:pPr>
      <w:r w:rsidRPr="00B66B2E">
        <w:rPr>
          <w:lang w:val="en-US"/>
        </w:rPr>
        <w:t>Regular budget</w:t>
      </w:r>
      <w:r w:rsidR="00F12DA2" w:rsidRPr="00B66B2E">
        <w:rPr>
          <w:lang w:val="en-US"/>
        </w:rPr>
        <w:t xml:space="preserve"> </w:t>
      </w:r>
    </w:p>
    <w:p w:rsidR="007A24C0" w:rsidRPr="00B66B2E" w:rsidRDefault="007A24C0" w:rsidP="00A76D9C">
      <w:pPr>
        <w:pStyle w:val="Headingb"/>
        <w:numPr>
          <w:ilvl w:val="0"/>
          <w:numId w:val="18"/>
        </w:numPr>
        <w:tabs>
          <w:tab w:val="clear" w:pos="567"/>
          <w:tab w:val="clear" w:pos="1134"/>
          <w:tab w:val="left" w:pos="851"/>
        </w:tabs>
        <w:ind w:left="851" w:hanging="851"/>
        <w:jc w:val="both"/>
        <w:rPr>
          <w:szCs w:val="24"/>
          <w:lang w:val="en-US"/>
        </w:rPr>
      </w:pPr>
      <w:r w:rsidRPr="004800AA">
        <w:rPr>
          <w:b w:val="0"/>
          <w:bCs/>
          <w:szCs w:val="24"/>
          <w:lang w:val="en-US"/>
        </w:rPr>
        <w:t>In the 201</w:t>
      </w:r>
      <w:r w:rsidR="00A76D9C">
        <w:rPr>
          <w:b w:val="0"/>
          <w:bCs/>
          <w:szCs w:val="24"/>
          <w:lang w:val="en-US"/>
        </w:rPr>
        <w:t>7</w:t>
      </w:r>
      <w:r w:rsidRPr="004800AA">
        <w:rPr>
          <w:b w:val="0"/>
          <w:bCs/>
          <w:szCs w:val="24"/>
          <w:lang w:val="en-US"/>
        </w:rPr>
        <w:t xml:space="preserve"> financial year, revenue and expenses</w:t>
      </w:r>
      <w:r w:rsidR="00CF3331" w:rsidRPr="004800AA">
        <w:rPr>
          <w:b w:val="0"/>
          <w:bCs/>
          <w:szCs w:val="24"/>
          <w:lang w:val="en-US"/>
        </w:rPr>
        <w:t xml:space="preserve"> of 160.</w:t>
      </w:r>
      <w:r w:rsidR="00A76D9C">
        <w:rPr>
          <w:b w:val="0"/>
          <w:bCs/>
          <w:szCs w:val="24"/>
          <w:lang w:val="en-US"/>
        </w:rPr>
        <w:t>86</w:t>
      </w:r>
      <w:r w:rsidR="00CF3331" w:rsidRPr="004800AA">
        <w:rPr>
          <w:b w:val="0"/>
          <w:bCs/>
          <w:szCs w:val="24"/>
          <w:lang w:val="en-US"/>
        </w:rPr>
        <w:t xml:space="preserve"> million </w:t>
      </w:r>
      <w:r w:rsidRPr="004800AA">
        <w:rPr>
          <w:b w:val="0"/>
          <w:bCs/>
          <w:szCs w:val="24"/>
          <w:lang w:val="en-US"/>
        </w:rPr>
        <w:t>were budgeted</w:t>
      </w:r>
      <w:r w:rsidR="00CF3331" w:rsidRPr="004800AA">
        <w:rPr>
          <w:b w:val="0"/>
          <w:bCs/>
          <w:szCs w:val="24"/>
          <w:lang w:val="en-US"/>
        </w:rPr>
        <w:t>.</w:t>
      </w:r>
    </w:p>
    <w:p w:rsidR="00494DE0" w:rsidRPr="00AB1BCD" w:rsidRDefault="007A24C0" w:rsidP="00AB1BCD">
      <w:pPr>
        <w:pStyle w:val="Headingb"/>
        <w:spacing w:after="120"/>
        <w:ind w:left="0" w:firstLine="0"/>
        <w:jc w:val="both"/>
        <w:rPr>
          <w:lang w:val="en-US"/>
        </w:rPr>
      </w:pPr>
      <w:r w:rsidRPr="00AB1BCD">
        <w:rPr>
          <w:lang w:val="en-US"/>
        </w:rPr>
        <w:t>R</w:t>
      </w:r>
      <w:r w:rsidR="00494DE0" w:rsidRPr="00AB1BCD">
        <w:rPr>
          <w:lang w:val="en-US"/>
        </w:rPr>
        <w:t>evenue</w:t>
      </w:r>
    </w:p>
    <w:p w:rsidR="00494DE0" w:rsidRPr="00057B81" w:rsidRDefault="00494DE0" w:rsidP="00775B37">
      <w:pPr>
        <w:pStyle w:val="ListParagraph"/>
        <w:numPr>
          <w:ilvl w:val="0"/>
          <w:numId w:val="18"/>
        </w:numPr>
        <w:tabs>
          <w:tab w:val="left" w:pos="851"/>
        </w:tabs>
        <w:ind w:left="0" w:firstLine="0"/>
        <w:jc w:val="both"/>
        <w:rPr>
          <w:rFonts w:ascii="Calibri" w:eastAsia="Times New Roman" w:hAnsi="Calibri"/>
          <w:szCs w:val="20"/>
          <w:lang w:eastAsia="en-US"/>
        </w:rPr>
      </w:pPr>
      <w:r w:rsidRPr="00057B81">
        <w:rPr>
          <w:rFonts w:ascii="Calibri" w:eastAsia="Times New Roman" w:hAnsi="Calibri"/>
          <w:szCs w:val="20"/>
          <w:lang w:eastAsia="en-US"/>
        </w:rPr>
        <w:t xml:space="preserve">A budget of CHF 1.3 million was allocated for the Building (CHF 0.75 million) and ICT projects </w:t>
      </w:r>
      <w:r w:rsidR="00F6603D" w:rsidRPr="00057B81">
        <w:rPr>
          <w:rFonts w:ascii="Calibri" w:eastAsia="Times New Roman" w:hAnsi="Calibri"/>
          <w:szCs w:val="20"/>
          <w:lang w:eastAsia="en-US"/>
        </w:rPr>
        <w:t>(</w:t>
      </w:r>
      <w:r w:rsidRPr="00057B81">
        <w:rPr>
          <w:rFonts w:ascii="Calibri" w:eastAsia="Times New Roman" w:hAnsi="Calibri"/>
          <w:szCs w:val="20"/>
          <w:lang w:eastAsia="en-US"/>
        </w:rPr>
        <w:t>CHF 0.5 million) for 201</w:t>
      </w:r>
      <w:r w:rsidR="00A76D9C">
        <w:rPr>
          <w:rFonts w:ascii="Calibri" w:eastAsia="Times New Roman" w:hAnsi="Calibri"/>
          <w:szCs w:val="20"/>
          <w:lang w:eastAsia="en-US"/>
        </w:rPr>
        <w:t>7</w:t>
      </w:r>
      <w:r w:rsidRPr="00057B81">
        <w:rPr>
          <w:rFonts w:ascii="Calibri" w:eastAsia="Times New Roman" w:hAnsi="Calibri"/>
          <w:szCs w:val="20"/>
          <w:lang w:eastAsia="en-US"/>
        </w:rPr>
        <w:t>.The related expenses for 201</w:t>
      </w:r>
      <w:r w:rsidR="00A76D9C">
        <w:rPr>
          <w:rFonts w:ascii="Calibri" w:eastAsia="Times New Roman" w:hAnsi="Calibri"/>
          <w:szCs w:val="20"/>
          <w:lang w:eastAsia="en-US"/>
        </w:rPr>
        <w:t>7</w:t>
      </w:r>
      <w:r w:rsidRPr="00057B81">
        <w:rPr>
          <w:rFonts w:ascii="Calibri" w:eastAsia="Times New Roman" w:hAnsi="Calibri"/>
          <w:szCs w:val="20"/>
          <w:lang w:eastAsia="en-US"/>
        </w:rPr>
        <w:t xml:space="preserve"> are included in the total expenses of the General Secretariat.</w:t>
      </w:r>
    </w:p>
    <w:p w:rsidR="00FF4112" w:rsidRPr="00FF4112" w:rsidRDefault="00FF4112" w:rsidP="00433FE9">
      <w:pPr>
        <w:pStyle w:val="enumlev1"/>
        <w:spacing w:before="160" w:after="120"/>
        <w:jc w:val="both"/>
        <w:rPr>
          <w:b/>
          <w:bCs/>
          <w:lang w:val="en-US"/>
        </w:rPr>
      </w:pPr>
      <w:r w:rsidRPr="00FF4112">
        <w:rPr>
          <w:b/>
          <w:bCs/>
          <w:lang w:val="en-US"/>
        </w:rPr>
        <w:t>Assessed contributions</w:t>
      </w:r>
    </w:p>
    <w:p w:rsidR="00AE3FFF" w:rsidRDefault="00AE3FFF" w:rsidP="00AE3FFF">
      <w:pPr>
        <w:pStyle w:val="Headingb"/>
        <w:numPr>
          <w:ilvl w:val="0"/>
          <w:numId w:val="18"/>
        </w:numPr>
        <w:tabs>
          <w:tab w:val="clear" w:pos="567"/>
          <w:tab w:val="clear" w:pos="1134"/>
          <w:tab w:val="left" w:pos="0"/>
          <w:tab w:val="left" w:pos="851"/>
        </w:tabs>
        <w:ind w:left="0" w:firstLine="0"/>
        <w:jc w:val="both"/>
        <w:rPr>
          <w:b w:val="0"/>
          <w:lang w:val="en-US"/>
        </w:rPr>
      </w:pPr>
      <w:r w:rsidRPr="00433FE9">
        <w:rPr>
          <w:b w:val="0"/>
          <w:lang w:val="en-US"/>
        </w:rPr>
        <w:t xml:space="preserve">Revenue from assessed contributions is budgeted at CHF 124.4 million a year for the biennium 2016-2017. </w:t>
      </w:r>
      <w:r>
        <w:rPr>
          <w:b w:val="0"/>
          <w:lang w:val="en-US"/>
        </w:rPr>
        <w:t xml:space="preserve"> </w:t>
      </w:r>
      <w:r w:rsidRPr="00433FE9">
        <w:rPr>
          <w:b w:val="0"/>
          <w:lang w:val="en-US"/>
        </w:rPr>
        <w:t>Total contributions actually posted to account amounted to CHF 122.</w:t>
      </w:r>
      <w:r>
        <w:rPr>
          <w:b w:val="0"/>
          <w:lang w:val="en-US"/>
        </w:rPr>
        <w:t>3</w:t>
      </w:r>
      <w:r w:rsidRPr="00433FE9">
        <w:rPr>
          <w:b w:val="0"/>
          <w:lang w:val="en-US"/>
        </w:rPr>
        <w:t>9 million in 201</w:t>
      </w:r>
      <w:r>
        <w:rPr>
          <w:b w:val="0"/>
          <w:lang w:val="en-US"/>
        </w:rPr>
        <w:t>7.</w:t>
      </w:r>
    </w:p>
    <w:p w:rsidR="00AE3FFF" w:rsidRDefault="00AE3FFF" w:rsidP="0069784D">
      <w:pPr>
        <w:pStyle w:val="Headingb"/>
        <w:numPr>
          <w:ilvl w:val="0"/>
          <w:numId w:val="18"/>
        </w:numPr>
        <w:tabs>
          <w:tab w:val="clear" w:pos="567"/>
          <w:tab w:val="clear" w:pos="1134"/>
          <w:tab w:val="left" w:pos="0"/>
          <w:tab w:val="left" w:pos="851"/>
        </w:tabs>
        <w:ind w:left="0" w:firstLine="0"/>
        <w:jc w:val="both"/>
        <w:rPr>
          <w:b w:val="0"/>
          <w:lang w:val="en-US"/>
        </w:rPr>
      </w:pPr>
      <w:r w:rsidRPr="005133DD">
        <w:rPr>
          <w:b w:val="0"/>
          <w:lang w:val="en-US"/>
        </w:rPr>
        <w:t>Overall, the total of Sector Members, Associates and Academia was up slightly in 201</w:t>
      </w:r>
      <w:r>
        <w:rPr>
          <w:b w:val="0"/>
          <w:lang w:val="en-US"/>
        </w:rPr>
        <w:t>7</w:t>
      </w:r>
      <w:r w:rsidRPr="005133DD">
        <w:rPr>
          <w:b w:val="0"/>
          <w:lang w:val="en-US"/>
        </w:rPr>
        <w:t xml:space="preserve">. Behind this stability in membership totals, there has been significant movement of new members joining and others leaving the Union. </w:t>
      </w:r>
      <w:r>
        <w:rPr>
          <w:b w:val="0"/>
          <w:lang w:val="en-US"/>
        </w:rPr>
        <w:t xml:space="preserve"> I</w:t>
      </w:r>
      <w:r w:rsidRPr="005133DD">
        <w:rPr>
          <w:b w:val="0"/>
          <w:lang w:val="en-US"/>
        </w:rPr>
        <w:t>ndustry consolidation, including merges/acquisitions, and rationalization of costs, led to a decrease in Sector Memberships</w:t>
      </w:r>
      <w:r>
        <w:rPr>
          <w:b w:val="0"/>
          <w:lang w:val="en-US"/>
        </w:rPr>
        <w:t xml:space="preserve"> in the previous year</w:t>
      </w:r>
      <w:r w:rsidRPr="005133DD">
        <w:rPr>
          <w:b w:val="0"/>
          <w:lang w:val="en-US"/>
        </w:rPr>
        <w:t xml:space="preserve">. </w:t>
      </w:r>
      <w:r>
        <w:rPr>
          <w:b w:val="0"/>
          <w:lang w:val="en-US"/>
        </w:rPr>
        <w:t>However, a successful retention and acquisition strategy in 2017, including reaching out to new non-traditional industry players, continued gains in Academia and a significant reduction in the member “churn” rate (fr</w:t>
      </w:r>
      <w:r w:rsidR="0069784D">
        <w:rPr>
          <w:b w:val="0"/>
          <w:lang w:val="en-US"/>
        </w:rPr>
        <w:t xml:space="preserve">om 9% to 4%), resulted in a small </w:t>
      </w:r>
      <w:r>
        <w:rPr>
          <w:b w:val="0"/>
          <w:lang w:val="en-US"/>
        </w:rPr>
        <w:t xml:space="preserve">positive </w:t>
      </w:r>
      <w:r w:rsidRPr="005133DD">
        <w:rPr>
          <w:b w:val="0"/>
          <w:lang w:val="en-US"/>
        </w:rPr>
        <w:t>net growth</w:t>
      </w:r>
      <w:r>
        <w:rPr>
          <w:b w:val="0"/>
          <w:lang w:val="en-US"/>
        </w:rPr>
        <w:t>.</w:t>
      </w:r>
    </w:p>
    <w:p w:rsidR="00433FE9" w:rsidRPr="00772DA2" w:rsidRDefault="00CD36C4" w:rsidP="00C54F4F">
      <w:pPr>
        <w:pStyle w:val="enumlev1"/>
        <w:tabs>
          <w:tab w:val="clear" w:pos="567"/>
          <w:tab w:val="left" w:pos="851"/>
        </w:tabs>
        <w:spacing w:before="160" w:after="120"/>
        <w:jc w:val="both"/>
        <w:rPr>
          <w:b/>
          <w:bCs/>
          <w:lang w:val="en-US"/>
        </w:rPr>
      </w:pPr>
      <w:r w:rsidRPr="0068577A">
        <w:rPr>
          <w:b/>
          <w:bCs/>
          <w:lang w:val="en-US"/>
        </w:rPr>
        <w:t>Project support cost revenue</w:t>
      </w:r>
    </w:p>
    <w:p w:rsidR="00FF4112" w:rsidRPr="00433FE9" w:rsidRDefault="00FF4112" w:rsidP="00AE3FFF">
      <w:pPr>
        <w:pStyle w:val="ListParagraph"/>
        <w:numPr>
          <w:ilvl w:val="0"/>
          <w:numId w:val="18"/>
        </w:numPr>
        <w:tabs>
          <w:tab w:val="left" w:pos="851"/>
        </w:tabs>
        <w:ind w:left="0" w:firstLine="0"/>
        <w:jc w:val="both"/>
        <w:rPr>
          <w:rFonts w:ascii="Calibri" w:eastAsia="Times New Roman" w:hAnsi="Calibri"/>
          <w:szCs w:val="20"/>
          <w:lang w:eastAsia="en-US"/>
        </w:rPr>
      </w:pPr>
      <w:r w:rsidRPr="00433FE9">
        <w:rPr>
          <w:rFonts w:ascii="Calibri" w:eastAsia="Times New Roman" w:hAnsi="Calibri"/>
          <w:szCs w:val="20"/>
          <w:lang w:eastAsia="en-US"/>
        </w:rPr>
        <w:t>Project support cost revenue for 201</w:t>
      </w:r>
      <w:r w:rsidR="00AE3FFF">
        <w:rPr>
          <w:rFonts w:ascii="Calibri" w:eastAsia="Times New Roman" w:hAnsi="Calibri"/>
          <w:szCs w:val="20"/>
          <w:lang w:eastAsia="en-US"/>
        </w:rPr>
        <w:t>7</w:t>
      </w:r>
      <w:r w:rsidRPr="00433FE9">
        <w:rPr>
          <w:rFonts w:ascii="Calibri" w:eastAsia="Times New Roman" w:hAnsi="Calibri"/>
          <w:szCs w:val="20"/>
          <w:lang w:eastAsia="en-US"/>
        </w:rPr>
        <w:t xml:space="preserve"> was budgeted at CHF 1</w:t>
      </w:r>
      <w:r w:rsidR="00F810A6" w:rsidRPr="00433FE9">
        <w:rPr>
          <w:rFonts w:ascii="Calibri" w:eastAsia="Times New Roman" w:hAnsi="Calibri"/>
          <w:szCs w:val="20"/>
          <w:lang w:eastAsia="en-US"/>
        </w:rPr>
        <w:t>.3</w:t>
      </w:r>
      <w:r w:rsidRPr="00433FE9">
        <w:rPr>
          <w:rFonts w:ascii="Calibri" w:eastAsia="Times New Roman" w:hAnsi="Calibri"/>
          <w:szCs w:val="20"/>
          <w:lang w:eastAsia="en-US"/>
        </w:rPr>
        <w:t xml:space="preserve"> million. </w:t>
      </w:r>
      <w:r w:rsidR="00C54F4F">
        <w:rPr>
          <w:rFonts w:ascii="Calibri" w:eastAsia="Times New Roman" w:hAnsi="Calibri"/>
          <w:szCs w:val="20"/>
          <w:lang w:eastAsia="en-US"/>
        </w:rPr>
        <w:t xml:space="preserve"> </w:t>
      </w:r>
      <w:r w:rsidRPr="00433FE9">
        <w:rPr>
          <w:rFonts w:ascii="Calibri" w:eastAsia="Times New Roman" w:hAnsi="Calibri"/>
          <w:szCs w:val="20"/>
          <w:lang w:eastAsia="en-US"/>
        </w:rPr>
        <w:t xml:space="preserve">Actual revenue amounted to CHF 0.5 million, </w:t>
      </w:r>
      <w:r w:rsidR="00F810A6" w:rsidRPr="00433FE9">
        <w:rPr>
          <w:rFonts w:ascii="Calibri" w:eastAsia="Times New Roman" w:hAnsi="Calibri"/>
          <w:szCs w:val="20"/>
          <w:lang w:eastAsia="en-US"/>
        </w:rPr>
        <w:t>and remained stable compared with 201</w:t>
      </w:r>
      <w:r w:rsidR="00AE3FFF">
        <w:rPr>
          <w:rFonts w:ascii="Calibri" w:eastAsia="Times New Roman" w:hAnsi="Calibri"/>
          <w:szCs w:val="20"/>
          <w:lang w:eastAsia="en-US"/>
        </w:rPr>
        <w:t>6</w:t>
      </w:r>
      <w:r w:rsidR="00F6603D" w:rsidRPr="00433FE9">
        <w:rPr>
          <w:rFonts w:ascii="Calibri" w:eastAsia="Times New Roman" w:hAnsi="Calibri"/>
          <w:szCs w:val="20"/>
          <w:lang w:eastAsia="en-US"/>
        </w:rPr>
        <w:t>.</w:t>
      </w:r>
    </w:p>
    <w:p w:rsidR="00433FE9" w:rsidRPr="00433FE9" w:rsidRDefault="00C54F4F" w:rsidP="00C54F4F">
      <w:pPr>
        <w:pStyle w:val="Headingb"/>
        <w:tabs>
          <w:tab w:val="clear" w:pos="567"/>
          <w:tab w:val="left" w:pos="851"/>
        </w:tabs>
        <w:spacing w:after="120"/>
        <w:jc w:val="both"/>
        <w:rPr>
          <w:lang w:val="en-US"/>
        </w:rPr>
      </w:pPr>
      <w:r>
        <w:rPr>
          <w:lang w:val="en-US"/>
        </w:rPr>
        <w:t>Sales of publications</w:t>
      </w:r>
    </w:p>
    <w:p w:rsidR="0010479A" w:rsidRPr="0010479A" w:rsidRDefault="0010479A" w:rsidP="0069784D">
      <w:pPr>
        <w:pStyle w:val="ListParagraph"/>
        <w:numPr>
          <w:ilvl w:val="0"/>
          <w:numId w:val="18"/>
        </w:numPr>
        <w:tabs>
          <w:tab w:val="left" w:pos="851"/>
        </w:tabs>
        <w:ind w:left="0" w:firstLine="0"/>
        <w:jc w:val="both"/>
        <w:rPr>
          <w:rFonts w:ascii="Calibri" w:eastAsia="Times New Roman" w:hAnsi="Calibri"/>
          <w:szCs w:val="20"/>
          <w:lang w:eastAsia="en-US"/>
        </w:rPr>
      </w:pPr>
      <w:r w:rsidRPr="0010479A">
        <w:rPr>
          <w:rFonts w:ascii="Calibri" w:eastAsia="Times New Roman" w:hAnsi="Calibri"/>
          <w:szCs w:val="20"/>
          <w:lang w:eastAsia="en-US"/>
        </w:rPr>
        <w:t>Revenue from sales of publications in 2017 reached CHF 19.5 million exceeding annual budget expectations by CHF 1.0 million, benefiting from stable stales of ITU maritime-related publications.  The bi-annual 2016-</w:t>
      </w:r>
      <w:r w:rsidR="0069784D">
        <w:rPr>
          <w:rFonts w:ascii="Calibri" w:eastAsia="Times New Roman" w:hAnsi="Calibri"/>
          <w:szCs w:val="20"/>
          <w:lang w:eastAsia="en-US"/>
        </w:rPr>
        <w:t>20</w:t>
      </w:r>
      <w:r w:rsidRPr="0010479A">
        <w:rPr>
          <w:rFonts w:ascii="Calibri" w:eastAsia="Times New Roman" w:hAnsi="Calibri"/>
          <w:szCs w:val="20"/>
          <w:lang w:eastAsia="en-US"/>
        </w:rPr>
        <w:t xml:space="preserve">17 budgeted sales of CHF 37.0 million for sales of ITU publications thus exceeded CHF 1.5 million.  Sales development activities continued in 2017 to ensure expansion of sales income.  Seven new resellers joined ITU to expand distribution/availability via traditional reseller channels of ITU-R maritime publications, which benefitted in 2017 from an added level of anti-counterfeit controls developed by ITU-T.  Several licensing agreements for use of data from the ITU-D’s Indicators Database, including with Financial Times and Ernst &amp; Young, were renewed.  Newly signed agreements with OECD and UN Publications to include sales of digital versions of ITU publications (with royalty benefits) via new platforms including the ITU </w:t>
      </w:r>
      <w:proofErr w:type="spellStart"/>
      <w:r w:rsidRPr="0010479A">
        <w:rPr>
          <w:rFonts w:ascii="Calibri" w:eastAsia="Times New Roman" w:hAnsi="Calibri"/>
          <w:szCs w:val="20"/>
          <w:lang w:eastAsia="en-US"/>
        </w:rPr>
        <w:t>iLibrary</w:t>
      </w:r>
      <w:proofErr w:type="spellEnd"/>
      <w:r w:rsidRPr="0010479A">
        <w:rPr>
          <w:rFonts w:ascii="Calibri" w:eastAsia="Times New Roman" w:hAnsi="Calibri"/>
          <w:szCs w:val="20"/>
          <w:lang w:eastAsia="en-US"/>
        </w:rPr>
        <w:t xml:space="preserve">, UN Publications, the Amazon.com networks, and </w:t>
      </w:r>
      <w:proofErr w:type="spellStart"/>
      <w:r w:rsidRPr="0010479A">
        <w:rPr>
          <w:rFonts w:ascii="Calibri" w:eastAsia="Times New Roman" w:hAnsi="Calibri"/>
          <w:szCs w:val="20"/>
          <w:lang w:eastAsia="en-US"/>
        </w:rPr>
        <w:t>iBooks</w:t>
      </w:r>
      <w:proofErr w:type="spellEnd"/>
      <w:r w:rsidRPr="0010479A">
        <w:rPr>
          <w:rFonts w:ascii="Calibri" w:eastAsia="Times New Roman" w:hAnsi="Calibri"/>
          <w:szCs w:val="20"/>
          <w:lang w:eastAsia="en-US"/>
        </w:rPr>
        <w:t xml:space="preserve"> were implemented in 2017.</w:t>
      </w:r>
    </w:p>
    <w:p w:rsidR="00433FE9" w:rsidRPr="00433FE9" w:rsidRDefault="00CD36C4" w:rsidP="00C54F4F">
      <w:pPr>
        <w:pStyle w:val="Headingb"/>
        <w:tabs>
          <w:tab w:val="clear" w:pos="567"/>
          <w:tab w:val="left" w:pos="851"/>
        </w:tabs>
        <w:spacing w:after="120"/>
        <w:jc w:val="both"/>
        <w:rPr>
          <w:lang w:val="en-US"/>
        </w:rPr>
      </w:pPr>
      <w:r w:rsidRPr="002226AD">
        <w:rPr>
          <w:lang w:val="en-US"/>
        </w:rPr>
        <w:t>Products and services under cost recovery</w:t>
      </w:r>
    </w:p>
    <w:p w:rsidR="00122AD8" w:rsidRPr="005E25BD" w:rsidRDefault="00FF4112" w:rsidP="005E25BD">
      <w:pPr>
        <w:pStyle w:val="ListParagraph"/>
        <w:numPr>
          <w:ilvl w:val="0"/>
          <w:numId w:val="18"/>
        </w:numPr>
        <w:tabs>
          <w:tab w:val="left" w:pos="851"/>
        </w:tabs>
        <w:ind w:left="0" w:hanging="3"/>
        <w:jc w:val="both"/>
        <w:rPr>
          <w:b/>
        </w:rPr>
      </w:pPr>
      <w:r w:rsidRPr="00433FE9">
        <w:rPr>
          <w:rFonts w:ascii="Calibri" w:eastAsia="Times New Roman" w:hAnsi="Calibri"/>
          <w:szCs w:val="20"/>
          <w:lang w:eastAsia="en-US"/>
        </w:rPr>
        <w:t>Products and service</w:t>
      </w:r>
      <w:r w:rsidR="004F54F3">
        <w:rPr>
          <w:rFonts w:ascii="Calibri" w:eastAsia="Times New Roman" w:hAnsi="Calibri"/>
          <w:szCs w:val="20"/>
          <w:lang w:eastAsia="en-US"/>
        </w:rPr>
        <w:t>s</w:t>
      </w:r>
      <w:r w:rsidRPr="00433FE9">
        <w:rPr>
          <w:rFonts w:ascii="Calibri" w:eastAsia="Times New Roman" w:hAnsi="Calibri"/>
          <w:szCs w:val="20"/>
          <w:lang w:eastAsia="en-US"/>
        </w:rPr>
        <w:t xml:space="preserve"> under cost-recovery revenue was forecast at CHF 1</w:t>
      </w:r>
      <w:r w:rsidR="0068577A">
        <w:rPr>
          <w:rFonts w:ascii="Calibri" w:eastAsia="Times New Roman" w:hAnsi="Calibri"/>
          <w:szCs w:val="20"/>
          <w:lang w:eastAsia="en-US"/>
        </w:rPr>
        <w:t xml:space="preserve">4.75 </w:t>
      </w:r>
      <w:r w:rsidRPr="00433FE9">
        <w:rPr>
          <w:rFonts w:ascii="Calibri" w:eastAsia="Times New Roman" w:hAnsi="Calibri"/>
          <w:szCs w:val="20"/>
          <w:lang w:eastAsia="en-US"/>
        </w:rPr>
        <w:t>mi</w:t>
      </w:r>
      <w:r w:rsidR="00F810A6" w:rsidRPr="00433FE9">
        <w:rPr>
          <w:rFonts w:ascii="Calibri" w:eastAsia="Times New Roman" w:hAnsi="Calibri"/>
          <w:szCs w:val="20"/>
          <w:lang w:eastAsia="en-US"/>
        </w:rPr>
        <w:t>llion in the regular budget 201</w:t>
      </w:r>
      <w:r w:rsidR="0068577A">
        <w:rPr>
          <w:rFonts w:ascii="Calibri" w:eastAsia="Times New Roman" w:hAnsi="Calibri"/>
          <w:szCs w:val="20"/>
          <w:lang w:eastAsia="en-US"/>
        </w:rPr>
        <w:t>7</w:t>
      </w:r>
      <w:r w:rsidRPr="00433FE9">
        <w:rPr>
          <w:rFonts w:ascii="Calibri" w:eastAsia="Times New Roman" w:hAnsi="Calibri"/>
          <w:szCs w:val="20"/>
          <w:lang w:eastAsia="en-US"/>
        </w:rPr>
        <w:t xml:space="preserve">. </w:t>
      </w:r>
      <w:r w:rsidR="00122AD8">
        <w:rPr>
          <w:rFonts w:ascii="Calibri" w:eastAsia="Times New Roman" w:hAnsi="Calibri"/>
          <w:szCs w:val="20"/>
          <w:lang w:eastAsia="en-US"/>
        </w:rPr>
        <w:t xml:space="preserve"> </w:t>
      </w:r>
      <w:r w:rsidRPr="00433FE9">
        <w:rPr>
          <w:rFonts w:ascii="Calibri" w:eastAsia="Times New Roman" w:hAnsi="Calibri"/>
          <w:szCs w:val="20"/>
          <w:lang w:eastAsia="en-US"/>
        </w:rPr>
        <w:t>Actual revenue came to CHF 1</w:t>
      </w:r>
      <w:r w:rsidR="00CA7373">
        <w:rPr>
          <w:rFonts w:ascii="Calibri" w:eastAsia="Times New Roman" w:hAnsi="Calibri"/>
          <w:szCs w:val="20"/>
          <w:lang w:eastAsia="en-US"/>
        </w:rPr>
        <w:t>7</w:t>
      </w:r>
      <w:r w:rsidRPr="00433FE9">
        <w:rPr>
          <w:rFonts w:ascii="Calibri" w:eastAsia="Times New Roman" w:hAnsi="Calibri"/>
          <w:szCs w:val="20"/>
          <w:lang w:eastAsia="en-US"/>
        </w:rPr>
        <w:t xml:space="preserve"> million (CHF </w:t>
      </w:r>
      <w:r w:rsidR="00F810A6" w:rsidRPr="00433FE9">
        <w:rPr>
          <w:rFonts w:ascii="Calibri" w:eastAsia="Times New Roman" w:hAnsi="Calibri"/>
          <w:szCs w:val="20"/>
          <w:lang w:eastAsia="en-US"/>
        </w:rPr>
        <w:t>1</w:t>
      </w:r>
      <w:r w:rsidR="00A23721">
        <w:rPr>
          <w:rFonts w:ascii="Calibri" w:eastAsia="Times New Roman" w:hAnsi="Calibri"/>
          <w:szCs w:val="20"/>
          <w:lang w:eastAsia="en-US"/>
        </w:rPr>
        <w:t>5</w:t>
      </w:r>
      <w:r w:rsidRPr="00433FE9">
        <w:rPr>
          <w:rFonts w:ascii="Calibri" w:eastAsia="Times New Roman" w:hAnsi="Calibri"/>
          <w:szCs w:val="20"/>
          <w:lang w:eastAsia="en-US"/>
        </w:rPr>
        <w:t> million in 201</w:t>
      </w:r>
      <w:r w:rsidR="00CA7373">
        <w:rPr>
          <w:rFonts w:ascii="Calibri" w:eastAsia="Times New Roman" w:hAnsi="Calibri"/>
          <w:szCs w:val="20"/>
          <w:lang w:eastAsia="en-US"/>
        </w:rPr>
        <w:t>6</w:t>
      </w:r>
      <w:r w:rsidRPr="00433FE9">
        <w:rPr>
          <w:rFonts w:ascii="Calibri" w:eastAsia="Times New Roman" w:hAnsi="Calibri"/>
          <w:szCs w:val="20"/>
          <w:lang w:eastAsia="en-US"/>
        </w:rPr>
        <w:t xml:space="preserve">). </w:t>
      </w:r>
      <w:r w:rsidR="00A23721">
        <w:rPr>
          <w:rFonts w:ascii="Calibri" w:eastAsia="Times New Roman" w:hAnsi="Calibri"/>
          <w:szCs w:val="20"/>
          <w:lang w:eastAsia="en-US"/>
        </w:rPr>
        <w:t>This increase of 16% is due to the good result of the Satellite network filing.</w:t>
      </w:r>
    </w:p>
    <w:p w:rsidR="00CD36C4" w:rsidRPr="00FF4112" w:rsidRDefault="00CD36C4" w:rsidP="00122AD8">
      <w:pPr>
        <w:pStyle w:val="Headingb"/>
        <w:tabs>
          <w:tab w:val="clear" w:pos="567"/>
          <w:tab w:val="left" w:pos="851"/>
        </w:tabs>
        <w:spacing w:after="120"/>
        <w:jc w:val="both"/>
        <w:rPr>
          <w:lang w:val="en-US"/>
        </w:rPr>
      </w:pPr>
      <w:r w:rsidRPr="00FF4112">
        <w:rPr>
          <w:lang w:val="en-US"/>
        </w:rPr>
        <w:t>Interest revenue</w:t>
      </w:r>
    </w:p>
    <w:p w:rsidR="00FF4112" w:rsidRPr="00433FE9" w:rsidRDefault="00FF4112" w:rsidP="0069784D">
      <w:pPr>
        <w:pStyle w:val="ListParagraph"/>
        <w:numPr>
          <w:ilvl w:val="0"/>
          <w:numId w:val="18"/>
        </w:numPr>
        <w:tabs>
          <w:tab w:val="left" w:pos="851"/>
        </w:tabs>
        <w:ind w:left="0" w:firstLine="0"/>
        <w:jc w:val="both"/>
        <w:rPr>
          <w:rFonts w:ascii="Calibri" w:eastAsia="Times New Roman" w:hAnsi="Calibri"/>
          <w:szCs w:val="20"/>
          <w:lang w:eastAsia="en-US"/>
        </w:rPr>
      </w:pPr>
      <w:r w:rsidRPr="00433FE9">
        <w:rPr>
          <w:rFonts w:ascii="Calibri" w:eastAsia="Times New Roman" w:hAnsi="Calibri"/>
          <w:szCs w:val="20"/>
          <w:lang w:eastAsia="en-US"/>
        </w:rPr>
        <w:t>Interest revenue was budgeted at CHF 0.</w:t>
      </w:r>
      <w:r w:rsidR="00F810A6" w:rsidRPr="00433FE9">
        <w:rPr>
          <w:rFonts w:ascii="Calibri" w:eastAsia="Times New Roman" w:hAnsi="Calibri"/>
          <w:szCs w:val="20"/>
          <w:lang w:eastAsia="en-US"/>
        </w:rPr>
        <w:t>3</w:t>
      </w:r>
      <w:r w:rsidRPr="00433FE9">
        <w:rPr>
          <w:rFonts w:ascii="Calibri" w:eastAsia="Times New Roman" w:hAnsi="Calibri"/>
          <w:szCs w:val="20"/>
          <w:lang w:eastAsia="en-US"/>
        </w:rPr>
        <w:t> million. Actual revenue came to KCHF </w:t>
      </w:r>
      <w:r w:rsidR="00A23721">
        <w:rPr>
          <w:rFonts w:ascii="Calibri" w:eastAsia="Times New Roman" w:hAnsi="Calibri"/>
          <w:szCs w:val="20"/>
          <w:lang w:eastAsia="en-US"/>
        </w:rPr>
        <w:t>29</w:t>
      </w:r>
      <w:r w:rsidRPr="00433FE9">
        <w:rPr>
          <w:rFonts w:ascii="Calibri" w:eastAsia="Times New Roman" w:hAnsi="Calibri"/>
          <w:szCs w:val="20"/>
          <w:lang w:eastAsia="en-US"/>
        </w:rPr>
        <w:t xml:space="preserve"> (</w:t>
      </w:r>
      <w:r w:rsidR="00F810A6" w:rsidRPr="00433FE9">
        <w:rPr>
          <w:rFonts w:ascii="Calibri" w:eastAsia="Times New Roman" w:hAnsi="Calibri"/>
          <w:szCs w:val="20"/>
          <w:lang w:eastAsia="en-US"/>
        </w:rPr>
        <w:t>K</w:t>
      </w:r>
      <w:r w:rsidRPr="00433FE9">
        <w:rPr>
          <w:rFonts w:ascii="Calibri" w:eastAsia="Times New Roman" w:hAnsi="Calibri"/>
          <w:szCs w:val="20"/>
          <w:lang w:eastAsia="en-US"/>
        </w:rPr>
        <w:t>CHF </w:t>
      </w:r>
      <w:r w:rsidR="00A23721">
        <w:rPr>
          <w:rFonts w:ascii="Calibri" w:eastAsia="Times New Roman" w:hAnsi="Calibri"/>
          <w:szCs w:val="20"/>
          <w:lang w:eastAsia="en-US"/>
        </w:rPr>
        <w:t>68</w:t>
      </w:r>
      <w:r w:rsidR="00634C0A" w:rsidRPr="00433FE9">
        <w:rPr>
          <w:rFonts w:ascii="Calibri" w:eastAsia="Times New Roman" w:hAnsi="Calibri"/>
          <w:szCs w:val="20"/>
          <w:lang w:eastAsia="en-US"/>
        </w:rPr>
        <w:t> </w:t>
      </w:r>
      <w:r w:rsidRPr="00433FE9">
        <w:rPr>
          <w:rFonts w:ascii="Calibri" w:eastAsia="Times New Roman" w:hAnsi="Calibri"/>
          <w:szCs w:val="20"/>
          <w:lang w:eastAsia="en-US"/>
        </w:rPr>
        <w:t>in 201</w:t>
      </w:r>
      <w:r w:rsidR="00B11B17">
        <w:rPr>
          <w:rFonts w:ascii="Calibri" w:eastAsia="Times New Roman" w:hAnsi="Calibri"/>
          <w:szCs w:val="20"/>
          <w:lang w:eastAsia="en-US"/>
        </w:rPr>
        <w:t>6</w:t>
      </w:r>
      <w:r w:rsidRPr="00433FE9">
        <w:rPr>
          <w:rFonts w:ascii="Calibri" w:eastAsia="Times New Roman" w:hAnsi="Calibri"/>
          <w:szCs w:val="20"/>
          <w:lang w:eastAsia="en-US"/>
        </w:rPr>
        <w:t xml:space="preserve">). </w:t>
      </w:r>
      <w:r w:rsidR="00122AD8">
        <w:rPr>
          <w:rFonts w:ascii="Calibri" w:eastAsia="Times New Roman" w:hAnsi="Calibri"/>
          <w:szCs w:val="20"/>
          <w:lang w:eastAsia="en-US"/>
        </w:rPr>
        <w:t xml:space="preserve"> </w:t>
      </w:r>
      <w:r w:rsidR="00A23721">
        <w:rPr>
          <w:rFonts w:ascii="Calibri" w:eastAsia="Times New Roman" w:hAnsi="Calibri"/>
          <w:szCs w:val="20"/>
          <w:lang w:eastAsia="en-US"/>
        </w:rPr>
        <w:t>In 2017</w:t>
      </w:r>
      <w:r w:rsidR="0069784D">
        <w:rPr>
          <w:rFonts w:ascii="Calibri" w:eastAsia="Times New Roman" w:hAnsi="Calibri"/>
          <w:szCs w:val="20"/>
          <w:lang w:eastAsia="en-US"/>
        </w:rPr>
        <w:t>,</w:t>
      </w:r>
      <w:r w:rsidR="00A23721">
        <w:rPr>
          <w:rFonts w:ascii="Calibri" w:eastAsia="Times New Roman" w:hAnsi="Calibri"/>
          <w:szCs w:val="20"/>
          <w:lang w:eastAsia="en-US"/>
        </w:rPr>
        <w:t xml:space="preserve"> the market conditions related to </w:t>
      </w:r>
      <w:r w:rsidR="0069784D">
        <w:rPr>
          <w:rFonts w:ascii="Calibri" w:eastAsia="Times New Roman" w:hAnsi="Calibri"/>
          <w:szCs w:val="20"/>
          <w:lang w:eastAsia="en-US"/>
        </w:rPr>
        <w:t xml:space="preserve">the </w:t>
      </w:r>
      <w:r w:rsidR="00A23721">
        <w:rPr>
          <w:rFonts w:ascii="Calibri" w:eastAsia="Times New Roman" w:hAnsi="Calibri"/>
          <w:szCs w:val="20"/>
          <w:lang w:eastAsia="en-US"/>
        </w:rPr>
        <w:t>Swiss francs ha</w:t>
      </w:r>
      <w:r w:rsidR="0069784D">
        <w:rPr>
          <w:rFonts w:ascii="Calibri" w:eastAsia="Times New Roman" w:hAnsi="Calibri"/>
          <w:szCs w:val="20"/>
          <w:lang w:eastAsia="en-US"/>
        </w:rPr>
        <w:t>d</w:t>
      </w:r>
      <w:r w:rsidR="00A23721">
        <w:rPr>
          <w:rFonts w:ascii="Calibri" w:eastAsia="Times New Roman" w:hAnsi="Calibri"/>
          <w:szCs w:val="20"/>
          <w:lang w:eastAsia="en-US"/>
        </w:rPr>
        <w:t xml:space="preserve"> tightened and although the ITU fund w</w:t>
      </w:r>
      <w:r w:rsidR="0069784D">
        <w:rPr>
          <w:rFonts w:ascii="Calibri" w:eastAsia="Times New Roman" w:hAnsi="Calibri"/>
          <w:szCs w:val="20"/>
          <w:lang w:eastAsia="en-US"/>
        </w:rPr>
        <w:t>as</w:t>
      </w:r>
      <w:r w:rsidR="00A23721">
        <w:rPr>
          <w:rFonts w:ascii="Calibri" w:eastAsia="Times New Roman" w:hAnsi="Calibri"/>
          <w:szCs w:val="20"/>
          <w:lang w:eastAsia="en-US"/>
        </w:rPr>
        <w:t xml:space="preserve"> secured, no positive interest w</w:t>
      </w:r>
      <w:r w:rsidR="0069784D">
        <w:rPr>
          <w:rFonts w:ascii="Calibri" w:eastAsia="Times New Roman" w:hAnsi="Calibri"/>
          <w:szCs w:val="20"/>
          <w:lang w:eastAsia="en-US"/>
        </w:rPr>
        <w:t>as</w:t>
      </w:r>
      <w:r w:rsidR="00A23721">
        <w:rPr>
          <w:rFonts w:ascii="Calibri" w:eastAsia="Times New Roman" w:hAnsi="Calibri"/>
          <w:szCs w:val="20"/>
          <w:lang w:eastAsia="en-US"/>
        </w:rPr>
        <w:t xml:space="preserve"> paid.</w:t>
      </w:r>
    </w:p>
    <w:p w:rsidR="001C064F" w:rsidRDefault="00CD36C4" w:rsidP="00C54F4F">
      <w:pPr>
        <w:pStyle w:val="Headingb"/>
        <w:tabs>
          <w:tab w:val="clear" w:pos="567"/>
          <w:tab w:val="left" w:pos="851"/>
        </w:tabs>
        <w:spacing w:after="120"/>
        <w:jc w:val="both"/>
        <w:rPr>
          <w:lang w:val="en-US"/>
        </w:rPr>
      </w:pPr>
      <w:r w:rsidRPr="00772DA2">
        <w:rPr>
          <w:lang w:val="en-US"/>
        </w:rPr>
        <w:t>Expenses</w:t>
      </w:r>
    </w:p>
    <w:p w:rsidR="00AB1BCD" w:rsidRDefault="00CD36C4" w:rsidP="003268A1">
      <w:pPr>
        <w:pStyle w:val="Headingb"/>
        <w:numPr>
          <w:ilvl w:val="0"/>
          <w:numId w:val="18"/>
        </w:numPr>
        <w:tabs>
          <w:tab w:val="clear" w:pos="567"/>
          <w:tab w:val="left" w:pos="851"/>
        </w:tabs>
        <w:snapToGrid w:val="0"/>
        <w:spacing w:before="0"/>
        <w:ind w:left="1077" w:hanging="1077"/>
        <w:jc w:val="both"/>
        <w:rPr>
          <w:b w:val="0"/>
          <w:bCs/>
        </w:rPr>
      </w:pPr>
      <w:r w:rsidRPr="001C064F">
        <w:rPr>
          <w:b w:val="0"/>
          <w:bCs/>
        </w:rPr>
        <w:t>Information related to expenses</w:t>
      </w:r>
      <w:r w:rsidR="007D4BBA" w:rsidRPr="001C064F">
        <w:rPr>
          <w:b w:val="0"/>
          <w:bCs/>
        </w:rPr>
        <w:t xml:space="preserve"> is provided in </w:t>
      </w:r>
      <w:r w:rsidR="007D4BBA" w:rsidRPr="00E021D4">
        <w:rPr>
          <w:b w:val="0"/>
          <w:bCs/>
        </w:rPr>
        <w:t>Note 2</w:t>
      </w:r>
      <w:r w:rsidR="00524459">
        <w:rPr>
          <w:b w:val="0"/>
          <w:bCs/>
        </w:rPr>
        <w:t>3</w:t>
      </w:r>
      <w:r w:rsidRPr="001C064F">
        <w:rPr>
          <w:b w:val="0"/>
          <w:bCs/>
        </w:rPr>
        <w:t>.</w:t>
      </w:r>
    </w:p>
    <w:p w:rsidR="007910A8" w:rsidRPr="007910A8" w:rsidRDefault="007910A8" w:rsidP="003268A1">
      <w:pPr>
        <w:snapToGrid w:val="0"/>
        <w:spacing w:before="0"/>
      </w:pPr>
    </w:p>
    <w:p w:rsidR="00A64860" w:rsidRPr="00B11B17" w:rsidRDefault="00B11B17" w:rsidP="0069784D">
      <w:pPr>
        <w:pStyle w:val="ListParagraph"/>
        <w:numPr>
          <w:ilvl w:val="0"/>
          <w:numId w:val="18"/>
        </w:numPr>
        <w:tabs>
          <w:tab w:val="left" w:pos="851"/>
        </w:tabs>
        <w:adjustRightInd w:val="0"/>
        <w:snapToGrid w:val="0"/>
        <w:ind w:left="0" w:hanging="3"/>
        <w:contextualSpacing w:val="0"/>
        <w:jc w:val="both"/>
        <w:rPr>
          <w:rFonts w:ascii="Calibri" w:eastAsia="Times New Roman" w:hAnsi="Calibri"/>
          <w:bCs/>
          <w:szCs w:val="20"/>
          <w:lang w:val="en-GB" w:eastAsia="en-US"/>
        </w:rPr>
      </w:pPr>
      <w:r w:rsidRPr="00B11B17">
        <w:rPr>
          <w:rFonts w:ascii="Calibri" w:eastAsia="Times New Roman" w:hAnsi="Calibri"/>
          <w:bCs/>
          <w:szCs w:val="20"/>
          <w:lang w:val="en-GB" w:eastAsia="en-US"/>
        </w:rPr>
        <w:t>Given the strong activity within the Telecommunication Standardization Sector, and as</w:t>
      </w:r>
      <w:r>
        <w:rPr>
          <w:rFonts w:ascii="Calibri" w:eastAsia="Times New Roman" w:hAnsi="Calibri"/>
          <w:bCs/>
          <w:szCs w:val="20"/>
          <w:lang w:val="en-GB" w:eastAsia="en-US"/>
        </w:rPr>
        <w:t xml:space="preserve"> </w:t>
      </w:r>
      <w:r w:rsidRPr="00B11B17">
        <w:rPr>
          <w:rFonts w:ascii="Calibri" w:eastAsia="Times New Roman" w:hAnsi="Calibri"/>
          <w:bCs/>
          <w:szCs w:val="20"/>
          <w:lang w:val="en-GB" w:eastAsia="en-US"/>
        </w:rPr>
        <w:t>was already the case in 2016, the implementation rate of its 2017 budget is close to 100%. The unspent balance of approximately CHF 142,000 is mainly attributable to staff costs</w:t>
      </w:r>
      <w:r>
        <w:rPr>
          <w:rFonts w:ascii="Calibri" w:eastAsia="Times New Roman" w:hAnsi="Calibri"/>
          <w:bCs/>
          <w:szCs w:val="20"/>
          <w:lang w:val="en-GB" w:eastAsia="en-US"/>
        </w:rPr>
        <w:t>.</w:t>
      </w:r>
    </w:p>
    <w:p w:rsidR="00D43A14" w:rsidRDefault="00D43A14" w:rsidP="003268A1">
      <w:pPr>
        <w:pStyle w:val="ListParagraph"/>
        <w:tabs>
          <w:tab w:val="left" w:pos="851"/>
        </w:tabs>
        <w:adjustRightInd w:val="0"/>
        <w:snapToGrid w:val="0"/>
        <w:ind w:left="0"/>
        <w:contextualSpacing w:val="0"/>
        <w:jc w:val="both"/>
        <w:rPr>
          <w:rFonts w:ascii="Calibri" w:eastAsia="Times New Roman" w:hAnsi="Calibri"/>
          <w:bCs/>
          <w:szCs w:val="20"/>
          <w:lang w:val="en-GB" w:eastAsia="en-US"/>
        </w:rPr>
      </w:pPr>
    </w:p>
    <w:p w:rsidR="0045410A" w:rsidRPr="0021649B" w:rsidRDefault="0045410A" w:rsidP="002D160C">
      <w:pPr>
        <w:pStyle w:val="ListParagraph"/>
        <w:numPr>
          <w:ilvl w:val="0"/>
          <w:numId w:val="18"/>
        </w:numPr>
        <w:tabs>
          <w:tab w:val="left" w:pos="851"/>
        </w:tabs>
        <w:adjustRightInd w:val="0"/>
        <w:snapToGrid w:val="0"/>
        <w:ind w:left="0" w:hanging="3"/>
        <w:contextualSpacing w:val="0"/>
        <w:jc w:val="both"/>
        <w:rPr>
          <w:rFonts w:ascii="Calibri" w:eastAsia="Times New Roman" w:hAnsi="Calibri"/>
          <w:bCs/>
          <w:szCs w:val="20"/>
          <w:lang w:val="en-GB" w:eastAsia="en-US"/>
        </w:rPr>
      </w:pPr>
      <w:r w:rsidRPr="0021649B">
        <w:rPr>
          <w:rFonts w:ascii="Calibri" w:eastAsia="Times New Roman" w:hAnsi="Calibri"/>
          <w:bCs/>
          <w:szCs w:val="20"/>
          <w:lang w:val="en-GB" w:eastAsia="en-US"/>
        </w:rPr>
        <w:t xml:space="preserve">The </w:t>
      </w:r>
      <w:proofErr w:type="spellStart"/>
      <w:r w:rsidRPr="0021649B">
        <w:rPr>
          <w:rFonts w:ascii="Calibri" w:eastAsia="Times New Roman" w:hAnsi="Calibri"/>
          <w:bCs/>
          <w:szCs w:val="20"/>
          <w:lang w:val="en-GB" w:eastAsia="en-US"/>
        </w:rPr>
        <w:t>Radiocommunication</w:t>
      </w:r>
      <w:proofErr w:type="spellEnd"/>
      <w:r w:rsidRPr="0021649B">
        <w:rPr>
          <w:rFonts w:ascii="Calibri" w:eastAsia="Times New Roman" w:hAnsi="Calibri"/>
          <w:bCs/>
          <w:szCs w:val="20"/>
          <w:lang w:val="en-GB" w:eastAsia="en-US"/>
        </w:rPr>
        <w:t xml:space="preserve"> Bureau</w:t>
      </w:r>
      <w:r w:rsidR="00127825" w:rsidRPr="0021649B">
        <w:rPr>
          <w:rFonts w:ascii="Calibri" w:eastAsia="Times New Roman" w:hAnsi="Calibri"/>
          <w:bCs/>
          <w:szCs w:val="20"/>
          <w:lang w:val="en-GB" w:eastAsia="en-US"/>
        </w:rPr>
        <w:t xml:space="preserve"> (BR)</w:t>
      </w:r>
      <w:r w:rsidRPr="0021649B">
        <w:rPr>
          <w:rFonts w:ascii="Calibri" w:eastAsia="Times New Roman" w:hAnsi="Calibri"/>
          <w:bCs/>
          <w:szCs w:val="20"/>
          <w:lang w:val="en-GB" w:eastAsia="en-US"/>
        </w:rPr>
        <w:t xml:space="preserve"> managed its 2017 activities effectively, with rigorous control and in the most efficient manner</w:t>
      </w:r>
      <w:r w:rsidR="002D160C" w:rsidRPr="0021649B">
        <w:rPr>
          <w:rFonts w:ascii="Calibri" w:eastAsia="Times New Roman" w:hAnsi="Calibri"/>
          <w:bCs/>
          <w:szCs w:val="20"/>
          <w:lang w:val="en-GB" w:eastAsia="en-US"/>
        </w:rPr>
        <w:t>,</w:t>
      </w:r>
      <w:r w:rsidRPr="0021649B">
        <w:rPr>
          <w:rFonts w:ascii="Calibri" w:eastAsia="Times New Roman" w:hAnsi="Calibri"/>
          <w:bCs/>
          <w:szCs w:val="20"/>
          <w:lang w:val="en-GB" w:eastAsia="en-US"/>
        </w:rPr>
        <w:t xml:space="preserve"> to ensure that funds are applied according to planned activities. It is important to underline that although BR has been able to achieve some financial savings, there are still a number of ongoing activities and additional funding </w:t>
      </w:r>
      <w:r w:rsidR="0069784D" w:rsidRPr="0021649B">
        <w:rPr>
          <w:rFonts w:ascii="Calibri" w:eastAsia="Times New Roman" w:hAnsi="Calibri"/>
          <w:bCs/>
          <w:szCs w:val="20"/>
          <w:lang w:val="en-GB" w:eastAsia="en-US"/>
        </w:rPr>
        <w:t xml:space="preserve">would be required </w:t>
      </w:r>
      <w:r w:rsidRPr="0021649B">
        <w:rPr>
          <w:rFonts w:ascii="Calibri" w:eastAsia="Times New Roman" w:hAnsi="Calibri"/>
          <w:bCs/>
          <w:szCs w:val="20"/>
          <w:lang w:val="en-GB" w:eastAsia="en-US"/>
        </w:rPr>
        <w:t xml:space="preserve">during 2018-2019, particularly with the forthcoming World </w:t>
      </w:r>
      <w:proofErr w:type="spellStart"/>
      <w:r w:rsidRPr="0021649B">
        <w:rPr>
          <w:rFonts w:ascii="Calibri" w:eastAsia="Times New Roman" w:hAnsi="Calibri"/>
          <w:bCs/>
          <w:szCs w:val="20"/>
          <w:lang w:val="en-GB" w:eastAsia="en-US"/>
        </w:rPr>
        <w:t>Radiocommunication</w:t>
      </w:r>
      <w:proofErr w:type="spellEnd"/>
      <w:r w:rsidRPr="0021649B">
        <w:rPr>
          <w:rFonts w:ascii="Calibri" w:eastAsia="Times New Roman" w:hAnsi="Calibri"/>
          <w:bCs/>
          <w:szCs w:val="20"/>
          <w:lang w:val="en-GB" w:eastAsia="en-US"/>
        </w:rPr>
        <w:t xml:space="preserve"> Conference (WRC-19) scheduled for October/ November 2019.  Furthermore, it is important to highlight the significant amount </w:t>
      </w:r>
      <w:r w:rsidR="002D160C" w:rsidRPr="0021649B">
        <w:rPr>
          <w:rFonts w:ascii="Calibri" w:eastAsia="Times New Roman" w:hAnsi="Calibri"/>
          <w:bCs/>
          <w:szCs w:val="20"/>
          <w:lang w:val="en-GB" w:eastAsia="en-US"/>
        </w:rPr>
        <w:t xml:space="preserve">of </w:t>
      </w:r>
      <w:r w:rsidRPr="0021649B">
        <w:rPr>
          <w:rFonts w:ascii="Calibri" w:eastAsia="Times New Roman" w:hAnsi="Calibri"/>
          <w:bCs/>
          <w:szCs w:val="20"/>
          <w:lang w:val="en-GB" w:eastAsia="en-US"/>
        </w:rPr>
        <w:t xml:space="preserve">work </w:t>
      </w:r>
      <w:r w:rsidR="002D160C" w:rsidRPr="0021649B">
        <w:rPr>
          <w:rFonts w:ascii="Calibri" w:eastAsia="Times New Roman" w:hAnsi="Calibri"/>
          <w:bCs/>
          <w:szCs w:val="20"/>
          <w:lang w:val="en-GB" w:eastAsia="en-US"/>
        </w:rPr>
        <w:t xml:space="preserve">put </w:t>
      </w:r>
      <w:r w:rsidRPr="0021649B">
        <w:rPr>
          <w:rFonts w:ascii="Calibri" w:eastAsia="Times New Roman" w:hAnsi="Calibri"/>
          <w:bCs/>
          <w:szCs w:val="20"/>
          <w:lang w:val="en-GB" w:eastAsia="en-US"/>
        </w:rPr>
        <w:t xml:space="preserve">in place </w:t>
      </w:r>
      <w:r w:rsidR="002D160C" w:rsidRPr="0021649B">
        <w:rPr>
          <w:rFonts w:ascii="Calibri" w:eastAsia="Times New Roman" w:hAnsi="Calibri"/>
          <w:bCs/>
          <w:szCs w:val="20"/>
          <w:lang w:val="en-GB" w:eastAsia="en-US"/>
        </w:rPr>
        <w:t>for</w:t>
      </w:r>
      <w:r w:rsidRPr="0021649B">
        <w:rPr>
          <w:rFonts w:ascii="Calibri" w:eastAsia="Times New Roman" w:hAnsi="Calibri"/>
          <w:bCs/>
          <w:szCs w:val="20"/>
          <w:lang w:val="en-GB" w:eastAsia="en-US"/>
        </w:rPr>
        <w:t xml:space="preserve"> the modernization of its operational systems as requested by WRC-15 (Res.907 and Res.908).</w:t>
      </w:r>
    </w:p>
    <w:p w:rsidR="0045410A" w:rsidRPr="0021649B" w:rsidRDefault="0045410A" w:rsidP="003268A1">
      <w:pPr>
        <w:snapToGrid w:val="0"/>
        <w:spacing w:before="0"/>
        <w:rPr>
          <w:bCs/>
        </w:rPr>
      </w:pPr>
    </w:p>
    <w:p w:rsidR="0045410A" w:rsidRPr="0021649B" w:rsidRDefault="00DE2EDF" w:rsidP="00127825">
      <w:pPr>
        <w:pStyle w:val="ListParagraph"/>
        <w:numPr>
          <w:ilvl w:val="0"/>
          <w:numId w:val="18"/>
        </w:numPr>
        <w:tabs>
          <w:tab w:val="left" w:pos="851"/>
        </w:tabs>
        <w:adjustRightInd w:val="0"/>
        <w:snapToGrid w:val="0"/>
        <w:ind w:left="0" w:hanging="3"/>
        <w:contextualSpacing w:val="0"/>
        <w:jc w:val="both"/>
        <w:rPr>
          <w:rFonts w:ascii="Calibri" w:eastAsia="Times New Roman" w:hAnsi="Calibri"/>
          <w:bCs/>
          <w:szCs w:val="20"/>
          <w:lang w:val="en-GB" w:eastAsia="en-US"/>
        </w:rPr>
      </w:pPr>
      <w:r w:rsidRPr="0021649B">
        <w:rPr>
          <w:rFonts w:ascii="Calibri" w:eastAsia="Times New Roman" w:hAnsi="Calibri"/>
          <w:bCs/>
          <w:szCs w:val="20"/>
          <w:lang w:val="en-GB" w:eastAsia="en-US"/>
        </w:rPr>
        <w:t xml:space="preserve">There has been </w:t>
      </w:r>
      <w:r w:rsidR="0045410A" w:rsidRPr="0021649B">
        <w:rPr>
          <w:rFonts w:ascii="Calibri" w:eastAsia="Times New Roman" w:hAnsi="Calibri"/>
          <w:bCs/>
          <w:szCs w:val="20"/>
          <w:lang w:val="en-GB" w:eastAsia="en-US"/>
        </w:rPr>
        <w:t>some revenue increase in the Satellite Network Filing</w:t>
      </w:r>
      <w:r w:rsidRPr="0021649B">
        <w:rPr>
          <w:rFonts w:ascii="Calibri" w:eastAsia="Times New Roman" w:hAnsi="Calibri"/>
          <w:bCs/>
          <w:szCs w:val="20"/>
          <w:lang w:val="en-GB" w:eastAsia="en-US"/>
        </w:rPr>
        <w:t>s</w:t>
      </w:r>
      <w:r w:rsidR="0045410A" w:rsidRPr="0021649B">
        <w:rPr>
          <w:rFonts w:ascii="Calibri" w:eastAsia="Times New Roman" w:hAnsi="Calibri"/>
          <w:bCs/>
          <w:szCs w:val="20"/>
          <w:lang w:val="en-GB" w:eastAsia="en-US"/>
        </w:rPr>
        <w:t xml:space="preserve"> (SNF</w:t>
      </w:r>
      <w:r w:rsidRPr="0021649B">
        <w:rPr>
          <w:rFonts w:ascii="Calibri" w:eastAsia="Times New Roman" w:hAnsi="Calibri"/>
          <w:bCs/>
          <w:szCs w:val="20"/>
          <w:lang w:val="en-GB" w:eastAsia="en-US"/>
        </w:rPr>
        <w:t>s</w:t>
      </w:r>
      <w:r w:rsidR="0045410A" w:rsidRPr="0021649B">
        <w:rPr>
          <w:rFonts w:ascii="Calibri" w:eastAsia="Times New Roman" w:hAnsi="Calibri"/>
          <w:bCs/>
          <w:szCs w:val="20"/>
          <w:lang w:val="en-GB" w:eastAsia="en-US"/>
        </w:rPr>
        <w:t xml:space="preserve">) cost recovery and publications which has generated </w:t>
      </w:r>
      <w:r w:rsidRPr="0021649B">
        <w:rPr>
          <w:rFonts w:ascii="Calibri" w:eastAsia="Times New Roman" w:hAnsi="Calibri"/>
          <w:bCs/>
          <w:szCs w:val="20"/>
          <w:lang w:val="en-GB" w:eastAsia="en-US"/>
        </w:rPr>
        <w:t xml:space="preserve">an increased </w:t>
      </w:r>
      <w:r w:rsidR="0045410A" w:rsidRPr="0021649B">
        <w:rPr>
          <w:rFonts w:ascii="Calibri" w:eastAsia="Times New Roman" w:hAnsi="Calibri"/>
          <w:bCs/>
          <w:szCs w:val="20"/>
          <w:lang w:val="en-GB" w:eastAsia="en-US"/>
        </w:rPr>
        <w:t>work</w:t>
      </w:r>
      <w:r w:rsidRPr="0021649B">
        <w:rPr>
          <w:rFonts w:ascii="Calibri" w:eastAsia="Times New Roman" w:hAnsi="Calibri"/>
          <w:bCs/>
          <w:szCs w:val="20"/>
          <w:lang w:val="en-GB" w:eastAsia="en-US"/>
        </w:rPr>
        <w:t>load</w:t>
      </w:r>
      <w:r w:rsidR="0045410A" w:rsidRPr="0021649B">
        <w:rPr>
          <w:rFonts w:ascii="Calibri" w:eastAsia="Times New Roman" w:hAnsi="Calibri"/>
          <w:bCs/>
          <w:szCs w:val="20"/>
          <w:lang w:val="en-GB" w:eastAsia="en-US"/>
        </w:rPr>
        <w:t xml:space="preserve"> for </w:t>
      </w:r>
      <w:r w:rsidRPr="0021649B">
        <w:rPr>
          <w:rFonts w:ascii="Calibri" w:eastAsia="Times New Roman" w:hAnsi="Calibri"/>
          <w:bCs/>
          <w:szCs w:val="20"/>
          <w:lang w:val="en-GB" w:eastAsia="en-US"/>
        </w:rPr>
        <w:t xml:space="preserve">the </w:t>
      </w:r>
      <w:r w:rsidR="0045410A" w:rsidRPr="0021649B">
        <w:rPr>
          <w:rFonts w:ascii="Calibri" w:eastAsia="Times New Roman" w:hAnsi="Calibri"/>
          <w:bCs/>
          <w:szCs w:val="20"/>
          <w:lang w:val="en-GB" w:eastAsia="en-US"/>
        </w:rPr>
        <w:t>BR staff</w:t>
      </w:r>
      <w:r w:rsidRPr="0021649B">
        <w:rPr>
          <w:rFonts w:ascii="Calibri" w:eastAsia="Times New Roman" w:hAnsi="Calibri"/>
          <w:bCs/>
          <w:szCs w:val="20"/>
          <w:lang w:val="en-GB" w:eastAsia="en-US"/>
        </w:rPr>
        <w:t xml:space="preserve">.  Additional </w:t>
      </w:r>
      <w:r w:rsidR="0045410A" w:rsidRPr="0021649B">
        <w:rPr>
          <w:rFonts w:ascii="Calibri" w:eastAsia="Times New Roman" w:hAnsi="Calibri"/>
          <w:bCs/>
          <w:szCs w:val="20"/>
          <w:lang w:val="en-GB" w:eastAsia="en-US"/>
        </w:rPr>
        <w:t xml:space="preserve">human resources </w:t>
      </w:r>
      <w:r w:rsidRPr="0021649B">
        <w:rPr>
          <w:rFonts w:ascii="Calibri" w:eastAsia="Times New Roman" w:hAnsi="Calibri"/>
          <w:bCs/>
          <w:szCs w:val="20"/>
          <w:lang w:val="en-GB" w:eastAsia="en-US"/>
        </w:rPr>
        <w:t xml:space="preserve">are required to </w:t>
      </w:r>
      <w:r w:rsidR="0045410A" w:rsidRPr="0021649B">
        <w:rPr>
          <w:rFonts w:ascii="Calibri" w:eastAsia="Times New Roman" w:hAnsi="Calibri"/>
          <w:bCs/>
          <w:szCs w:val="20"/>
          <w:lang w:val="en-GB" w:eastAsia="en-US"/>
        </w:rPr>
        <w:t xml:space="preserve">enable BR </w:t>
      </w:r>
      <w:r w:rsidRPr="0021649B">
        <w:rPr>
          <w:rFonts w:ascii="Calibri" w:eastAsia="Times New Roman" w:hAnsi="Calibri"/>
          <w:bCs/>
          <w:szCs w:val="20"/>
          <w:lang w:val="en-GB" w:eastAsia="en-US"/>
        </w:rPr>
        <w:t xml:space="preserve">to </w:t>
      </w:r>
      <w:r w:rsidR="0045410A" w:rsidRPr="0021649B">
        <w:rPr>
          <w:rFonts w:ascii="Calibri" w:eastAsia="Times New Roman" w:hAnsi="Calibri"/>
          <w:bCs/>
          <w:szCs w:val="20"/>
          <w:lang w:val="en-GB" w:eastAsia="en-US"/>
        </w:rPr>
        <w:t xml:space="preserve">meet the deadlines set by Member States to eliminate filing backlogs. </w:t>
      </w:r>
      <w:r w:rsidRPr="0021649B">
        <w:rPr>
          <w:rFonts w:ascii="Calibri" w:eastAsia="Times New Roman" w:hAnsi="Calibri"/>
          <w:bCs/>
          <w:szCs w:val="20"/>
          <w:lang w:val="en-GB" w:eastAsia="en-US"/>
        </w:rPr>
        <w:t xml:space="preserve">  The situation is currently </w:t>
      </w:r>
      <w:r w:rsidR="0045410A" w:rsidRPr="0021649B">
        <w:rPr>
          <w:rFonts w:ascii="Calibri" w:eastAsia="Times New Roman" w:hAnsi="Calibri"/>
          <w:bCs/>
          <w:szCs w:val="20"/>
          <w:lang w:val="en-GB" w:eastAsia="en-US"/>
        </w:rPr>
        <w:t>manag</w:t>
      </w:r>
      <w:r w:rsidR="00127825" w:rsidRPr="0021649B">
        <w:rPr>
          <w:rFonts w:ascii="Calibri" w:eastAsia="Times New Roman" w:hAnsi="Calibri"/>
          <w:bCs/>
          <w:szCs w:val="20"/>
          <w:lang w:val="en-GB" w:eastAsia="en-US"/>
        </w:rPr>
        <w:t>ed</w:t>
      </w:r>
      <w:r w:rsidR="0045410A" w:rsidRPr="0021649B">
        <w:rPr>
          <w:rFonts w:ascii="Calibri" w:eastAsia="Times New Roman" w:hAnsi="Calibri"/>
          <w:bCs/>
          <w:szCs w:val="20"/>
          <w:lang w:val="en-GB" w:eastAsia="en-US"/>
        </w:rPr>
        <w:t xml:space="preserve"> through the use of temporary assistance; however should the trend continue in the same pattern, a more stable solution w</w:t>
      </w:r>
      <w:r w:rsidR="00127825" w:rsidRPr="0021649B">
        <w:rPr>
          <w:rFonts w:ascii="Calibri" w:eastAsia="Times New Roman" w:hAnsi="Calibri"/>
          <w:bCs/>
          <w:szCs w:val="20"/>
          <w:lang w:val="en-GB" w:eastAsia="en-US"/>
        </w:rPr>
        <w:t xml:space="preserve">ould have to </w:t>
      </w:r>
      <w:r w:rsidR="0045410A" w:rsidRPr="0021649B">
        <w:rPr>
          <w:rFonts w:ascii="Calibri" w:eastAsia="Times New Roman" w:hAnsi="Calibri"/>
          <w:bCs/>
          <w:szCs w:val="20"/>
          <w:lang w:val="en-GB" w:eastAsia="en-US"/>
        </w:rPr>
        <w:t>be considered.</w:t>
      </w:r>
    </w:p>
    <w:p w:rsidR="0045410A" w:rsidRPr="0021649B" w:rsidRDefault="0045410A" w:rsidP="003268A1">
      <w:pPr>
        <w:pStyle w:val="ListParagraph"/>
        <w:tabs>
          <w:tab w:val="left" w:pos="851"/>
        </w:tabs>
        <w:adjustRightInd w:val="0"/>
        <w:snapToGrid w:val="0"/>
        <w:ind w:left="0"/>
        <w:contextualSpacing w:val="0"/>
        <w:jc w:val="both"/>
        <w:rPr>
          <w:rFonts w:ascii="Calibri" w:eastAsia="Times New Roman" w:hAnsi="Calibri"/>
          <w:bCs/>
          <w:szCs w:val="20"/>
          <w:lang w:val="en-GB" w:eastAsia="en-US"/>
        </w:rPr>
      </w:pPr>
    </w:p>
    <w:p w:rsidR="0045410A" w:rsidRPr="0021649B" w:rsidRDefault="0045410A" w:rsidP="00D12844">
      <w:pPr>
        <w:pStyle w:val="ListParagraph"/>
        <w:numPr>
          <w:ilvl w:val="0"/>
          <w:numId w:val="18"/>
        </w:numPr>
        <w:tabs>
          <w:tab w:val="left" w:pos="851"/>
        </w:tabs>
        <w:adjustRightInd w:val="0"/>
        <w:snapToGrid w:val="0"/>
        <w:ind w:left="0" w:hanging="3"/>
        <w:contextualSpacing w:val="0"/>
        <w:jc w:val="both"/>
        <w:rPr>
          <w:rFonts w:ascii="Calibri" w:eastAsia="Times New Roman" w:hAnsi="Calibri"/>
          <w:bCs/>
          <w:szCs w:val="20"/>
          <w:lang w:val="en-GB" w:eastAsia="en-US"/>
        </w:rPr>
      </w:pPr>
      <w:r w:rsidRPr="0021649B">
        <w:rPr>
          <w:rFonts w:ascii="Calibri" w:eastAsia="Times New Roman" w:hAnsi="Calibri"/>
          <w:bCs/>
          <w:szCs w:val="20"/>
          <w:lang w:val="en-GB" w:eastAsia="en-US"/>
        </w:rPr>
        <w:t xml:space="preserve">The finances of the </w:t>
      </w:r>
      <w:proofErr w:type="spellStart"/>
      <w:r w:rsidRPr="0021649B">
        <w:rPr>
          <w:rFonts w:ascii="Calibri" w:eastAsia="Times New Roman" w:hAnsi="Calibri"/>
          <w:bCs/>
          <w:szCs w:val="20"/>
          <w:lang w:val="en-GB" w:eastAsia="en-US"/>
        </w:rPr>
        <w:t>Radiocommunication</w:t>
      </w:r>
      <w:proofErr w:type="spellEnd"/>
      <w:r w:rsidRPr="0021649B">
        <w:rPr>
          <w:rFonts w:ascii="Calibri" w:eastAsia="Times New Roman" w:hAnsi="Calibri"/>
          <w:bCs/>
          <w:szCs w:val="20"/>
          <w:lang w:val="en-GB" w:eastAsia="en-US"/>
        </w:rPr>
        <w:t xml:space="preserve"> Bureau </w:t>
      </w:r>
      <w:r w:rsidR="00D12844" w:rsidRPr="0021649B">
        <w:rPr>
          <w:rFonts w:ascii="Calibri" w:eastAsia="Times New Roman" w:hAnsi="Calibri"/>
          <w:bCs/>
          <w:szCs w:val="20"/>
          <w:lang w:val="en-GB" w:eastAsia="en-US"/>
        </w:rPr>
        <w:t>are</w:t>
      </w:r>
      <w:r w:rsidRPr="0021649B">
        <w:rPr>
          <w:rFonts w:ascii="Calibri" w:eastAsia="Times New Roman" w:hAnsi="Calibri"/>
          <w:bCs/>
          <w:szCs w:val="20"/>
          <w:lang w:val="en-GB" w:eastAsia="en-US"/>
        </w:rPr>
        <w:t xml:space="preserve"> in a stable and positive state and </w:t>
      </w:r>
      <w:r w:rsidR="00127825" w:rsidRPr="0021649B">
        <w:rPr>
          <w:rFonts w:ascii="Calibri" w:eastAsia="Times New Roman" w:hAnsi="Calibri"/>
          <w:bCs/>
          <w:szCs w:val="20"/>
          <w:lang w:val="en-GB" w:eastAsia="en-US"/>
        </w:rPr>
        <w:t xml:space="preserve">it is </w:t>
      </w:r>
      <w:r w:rsidRPr="0021649B">
        <w:rPr>
          <w:rFonts w:ascii="Calibri" w:eastAsia="Times New Roman" w:hAnsi="Calibri"/>
          <w:bCs/>
          <w:szCs w:val="20"/>
          <w:lang w:val="en-GB" w:eastAsia="en-US"/>
        </w:rPr>
        <w:t>expect</w:t>
      </w:r>
      <w:r w:rsidR="00127825" w:rsidRPr="0021649B">
        <w:rPr>
          <w:rFonts w:ascii="Calibri" w:eastAsia="Times New Roman" w:hAnsi="Calibri"/>
          <w:bCs/>
          <w:szCs w:val="20"/>
          <w:lang w:val="en-GB" w:eastAsia="en-US"/>
        </w:rPr>
        <w:t>ed</w:t>
      </w:r>
      <w:r w:rsidRPr="0021649B">
        <w:rPr>
          <w:rFonts w:ascii="Calibri" w:eastAsia="Times New Roman" w:hAnsi="Calibri"/>
          <w:bCs/>
          <w:szCs w:val="20"/>
          <w:lang w:val="en-GB" w:eastAsia="en-US"/>
        </w:rPr>
        <w:t xml:space="preserve"> </w:t>
      </w:r>
      <w:r w:rsidR="00127825" w:rsidRPr="0021649B">
        <w:rPr>
          <w:rFonts w:ascii="Calibri" w:eastAsia="Times New Roman" w:hAnsi="Calibri"/>
          <w:bCs/>
          <w:szCs w:val="20"/>
          <w:lang w:val="en-GB" w:eastAsia="en-US"/>
        </w:rPr>
        <w:t xml:space="preserve">that the same level will be </w:t>
      </w:r>
      <w:r w:rsidRPr="0021649B">
        <w:rPr>
          <w:rFonts w:ascii="Calibri" w:eastAsia="Times New Roman" w:hAnsi="Calibri"/>
          <w:bCs/>
          <w:szCs w:val="20"/>
          <w:lang w:val="en-GB" w:eastAsia="en-US"/>
        </w:rPr>
        <w:t>maintain</w:t>
      </w:r>
      <w:r w:rsidR="00127825" w:rsidRPr="0021649B">
        <w:rPr>
          <w:rFonts w:ascii="Calibri" w:eastAsia="Times New Roman" w:hAnsi="Calibri"/>
          <w:bCs/>
          <w:szCs w:val="20"/>
          <w:lang w:val="en-GB" w:eastAsia="en-US"/>
        </w:rPr>
        <w:t>ed</w:t>
      </w:r>
      <w:r w:rsidRPr="0021649B">
        <w:rPr>
          <w:rFonts w:ascii="Calibri" w:eastAsia="Times New Roman" w:hAnsi="Calibri"/>
          <w:bCs/>
          <w:szCs w:val="20"/>
          <w:lang w:val="en-GB" w:eastAsia="en-US"/>
        </w:rPr>
        <w:t xml:space="preserve"> in 2018.</w:t>
      </w:r>
    </w:p>
    <w:p w:rsidR="000404E5" w:rsidRPr="00D43A14" w:rsidRDefault="000404E5" w:rsidP="0045410A">
      <w:pPr>
        <w:pStyle w:val="ListParagraph"/>
        <w:tabs>
          <w:tab w:val="left" w:pos="851"/>
        </w:tabs>
        <w:snapToGrid w:val="0"/>
        <w:ind w:left="0"/>
        <w:contextualSpacing w:val="0"/>
        <w:jc w:val="both"/>
        <w:rPr>
          <w:rFonts w:ascii="Calibri" w:eastAsia="Times New Roman" w:hAnsi="Calibri"/>
          <w:bCs/>
          <w:szCs w:val="20"/>
          <w:lang w:val="en-GB" w:eastAsia="en-US"/>
        </w:rPr>
      </w:pPr>
    </w:p>
    <w:p w:rsidR="00344B4A" w:rsidRPr="00BA43BB" w:rsidRDefault="00344B4A" w:rsidP="0021649B">
      <w:pPr>
        <w:pStyle w:val="ListParagraph"/>
        <w:numPr>
          <w:ilvl w:val="0"/>
          <w:numId w:val="18"/>
        </w:numPr>
        <w:tabs>
          <w:tab w:val="left" w:pos="851"/>
        </w:tabs>
        <w:snapToGrid w:val="0"/>
        <w:spacing w:after="120"/>
        <w:ind w:left="0" w:hanging="6"/>
        <w:contextualSpacing w:val="0"/>
        <w:jc w:val="both"/>
        <w:rPr>
          <w:rFonts w:ascii="Calibri" w:eastAsia="Times New Roman" w:hAnsi="Calibri"/>
          <w:bCs/>
          <w:szCs w:val="20"/>
          <w:lang w:val="en-GB" w:eastAsia="en-US"/>
        </w:rPr>
      </w:pPr>
      <w:r w:rsidRPr="00BA43BB">
        <w:rPr>
          <w:rFonts w:ascii="Calibri" w:eastAsia="Times New Roman" w:hAnsi="Calibri"/>
          <w:bCs/>
          <w:szCs w:val="20"/>
          <w:lang w:val="en-GB" w:eastAsia="en-US"/>
        </w:rPr>
        <w:t>2017 has been another important year for the ITU-D Sector.  The seventh World Telecommunication Development Conference (WTDC-17) was held from 9 to 20 October 2017 in Buenos Aires, Argentina, under the theme of "ICT for Sustainable Development Goals”.  The main outcomes of the conference</w:t>
      </w:r>
      <w:r w:rsidR="0021649B" w:rsidRPr="00BA43BB">
        <w:rPr>
          <w:rFonts w:ascii="Calibri" w:eastAsia="Times New Roman" w:hAnsi="Calibri"/>
          <w:bCs/>
          <w:szCs w:val="20"/>
          <w:lang w:val="en-GB" w:eastAsia="en-US"/>
        </w:rPr>
        <w:t>,</w:t>
      </w:r>
      <w:r w:rsidRPr="00BA43BB">
        <w:rPr>
          <w:rFonts w:ascii="Calibri" w:eastAsia="Times New Roman" w:hAnsi="Calibri"/>
          <w:bCs/>
          <w:szCs w:val="20"/>
          <w:lang w:val="en-GB" w:eastAsia="en-US"/>
        </w:rPr>
        <w:t xml:space="preserve"> inter alia</w:t>
      </w:r>
      <w:r w:rsidR="0021649B" w:rsidRPr="00BA43BB">
        <w:rPr>
          <w:rFonts w:ascii="Calibri" w:eastAsia="Times New Roman" w:hAnsi="Calibri"/>
          <w:bCs/>
          <w:szCs w:val="20"/>
          <w:lang w:val="en-GB" w:eastAsia="en-US"/>
        </w:rPr>
        <w:t>,</w:t>
      </w:r>
      <w:r w:rsidRPr="00BA43BB">
        <w:rPr>
          <w:rFonts w:ascii="Calibri" w:eastAsia="Times New Roman" w:hAnsi="Calibri"/>
          <w:bCs/>
          <w:szCs w:val="20"/>
          <w:lang w:val="en-GB" w:eastAsia="en-US"/>
        </w:rPr>
        <w:t xml:space="preserve"> were the following:</w:t>
      </w:r>
    </w:p>
    <w:p w:rsidR="00344B4A" w:rsidRPr="00BA43BB" w:rsidRDefault="00344B4A" w:rsidP="00FB7405">
      <w:pPr>
        <w:pStyle w:val="ListParagraph"/>
        <w:tabs>
          <w:tab w:val="left" w:pos="851"/>
          <w:tab w:val="left" w:pos="1134"/>
        </w:tabs>
        <w:snapToGrid w:val="0"/>
        <w:spacing w:after="120"/>
        <w:ind w:left="1134" w:hanging="1134"/>
        <w:contextualSpacing w:val="0"/>
        <w:jc w:val="both"/>
        <w:rPr>
          <w:rFonts w:ascii="Calibri" w:eastAsia="Times New Roman" w:hAnsi="Calibri"/>
          <w:bCs/>
          <w:szCs w:val="20"/>
          <w:lang w:val="en-GB" w:eastAsia="en-US"/>
        </w:rPr>
      </w:pPr>
      <w:r w:rsidRPr="00BA43BB">
        <w:rPr>
          <w:rFonts w:ascii="Calibri" w:eastAsia="Times New Roman" w:hAnsi="Calibri"/>
          <w:bCs/>
          <w:szCs w:val="20"/>
          <w:lang w:val="en-GB" w:eastAsia="en-US"/>
        </w:rPr>
        <w:tab/>
        <w:t xml:space="preserve">- </w:t>
      </w:r>
      <w:r w:rsidR="00840A43" w:rsidRPr="00BA43BB">
        <w:rPr>
          <w:rFonts w:ascii="Calibri" w:eastAsia="Times New Roman" w:hAnsi="Calibri"/>
          <w:bCs/>
          <w:szCs w:val="20"/>
          <w:lang w:val="en-GB" w:eastAsia="en-US"/>
        </w:rPr>
        <w:tab/>
      </w:r>
      <w:r w:rsidRPr="00BA43BB">
        <w:rPr>
          <w:rFonts w:ascii="Calibri" w:eastAsia="Times New Roman" w:hAnsi="Calibri"/>
          <w:bCs/>
          <w:szCs w:val="20"/>
          <w:lang w:val="en-GB" w:eastAsia="en-US"/>
        </w:rPr>
        <w:t>Adopt</w:t>
      </w:r>
      <w:r w:rsidR="00FB7405" w:rsidRPr="00BA43BB">
        <w:rPr>
          <w:rFonts w:ascii="Calibri" w:eastAsia="Times New Roman" w:hAnsi="Calibri"/>
          <w:bCs/>
          <w:szCs w:val="20"/>
          <w:lang w:val="en-GB" w:eastAsia="en-US"/>
        </w:rPr>
        <w:t xml:space="preserve">ion of </w:t>
      </w:r>
      <w:r w:rsidRPr="00BA43BB">
        <w:rPr>
          <w:rFonts w:ascii="Calibri" w:eastAsia="Times New Roman" w:hAnsi="Calibri"/>
          <w:bCs/>
          <w:szCs w:val="20"/>
          <w:lang w:val="en-GB" w:eastAsia="en-US"/>
        </w:rPr>
        <w:t>the Buenos Aires Declaration, highlighting the main conclusions and priorities established by the conference, and reinforcing the political support towards ITU’s development mission and strategic objectives;</w:t>
      </w:r>
    </w:p>
    <w:p w:rsidR="00344B4A" w:rsidRPr="00BA43BB" w:rsidRDefault="00344B4A" w:rsidP="00FB7405">
      <w:pPr>
        <w:pStyle w:val="ListParagraph"/>
        <w:tabs>
          <w:tab w:val="left" w:pos="851"/>
          <w:tab w:val="left" w:pos="1134"/>
        </w:tabs>
        <w:snapToGrid w:val="0"/>
        <w:spacing w:after="120"/>
        <w:ind w:left="851" w:hanging="851"/>
        <w:contextualSpacing w:val="0"/>
        <w:jc w:val="both"/>
        <w:rPr>
          <w:rFonts w:ascii="Calibri" w:eastAsia="Times New Roman" w:hAnsi="Calibri"/>
          <w:bCs/>
          <w:szCs w:val="20"/>
          <w:lang w:val="en-GB" w:eastAsia="en-US"/>
        </w:rPr>
      </w:pPr>
      <w:r w:rsidRPr="00BA43BB">
        <w:rPr>
          <w:rFonts w:ascii="Calibri" w:eastAsia="Times New Roman" w:hAnsi="Calibri"/>
          <w:bCs/>
          <w:szCs w:val="20"/>
          <w:lang w:val="en-GB" w:eastAsia="en-US"/>
        </w:rPr>
        <w:tab/>
        <w:t>-</w:t>
      </w:r>
      <w:r w:rsidR="00840A43" w:rsidRPr="00BA43BB">
        <w:rPr>
          <w:rFonts w:ascii="Calibri" w:eastAsia="Times New Roman" w:hAnsi="Calibri"/>
          <w:bCs/>
          <w:szCs w:val="20"/>
          <w:lang w:val="en-GB" w:eastAsia="en-US"/>
        </w:rPr>
        <w:tab/>
      </w:r>
      <w:r w:rsidRPr="00BA43BB">
        <w:rPr>
          <w:rFonts w:ascii="Calibri" w:eastAsia="Times New Roman" w:hAnsi="Calibri"/>
          <w:bCs/>
          <w:szCs w:val="20"/>
          <w:lang w:val="en-GB" w:eastAsia="en-US"/>
        </w:rPr>
        <w:t>Agree</w:t>
      </w:r>
      <w:r w:rsidR="00FB7405" w:rsidRPr="00BA43BB">
        <w:rPr>
          <w:rFonts w:ascii="Calibri" w:eastAsia="Times New Roman" w:hAnsi="Calibri"/>
          <w:bCs/>
          <w:szCs w:val="20"/>
          <w:lang w:val="en-GB" w:eastAsia="en-US"/>
        </w:rPr>
        <w:t>ment</w:t>
      </w:r>
      <w:r w:rsidRPr="00BA43BB">
        <w:rPr>
          <w:rFonts w:ascii="Calibri" w:eastAsia="Times New Roman" w:hAnsi="Calibri"/>
          <w:bCs/>
          <w:szCs w:val="20"/>
          <w:lang w:val="en-GB" w:eastAsia="en-US"/>
        </w:rPr>
        <w:t xml:space="preserve"> on the ITU-D contribution to the strategic plan of ITU for 2020-2023, to be </w:t>
      </w:r>
      <w:r w:rsidR="00840A43" w:rsidRPr="00BA43BB">
        <w:rPr>
          <w:rFonts w:ascii="Calibri" w:eastAsia="Times New Roman" w:hAnsi="Calibri"/>
          <w:bCs/>
          <w:szCs w:val="20"/>
          <w:lang w:val="en-GB" w:eastAsia="en-US"/>
        </w:rPr>
        <w:tab/>
      </w:r>
      <w:r w:rsidRPr="00BA43BB">
        <w:rPr>
          <w:rFonts w:ascii="Calibri" w:eastAsia="Times New Roman" w:hAnsi="Calibri"/>
          <w:bCs/>
          <w:szCs w:val="20"/>
          <w:lang w:val="en-GB" w:eastAsia="en-US"/>
        </w:rPr>
        <w:t>considered at the next plenipotentiary conference to be held in in Dubai, UAE in 2018;</w:t>
      </w:r>
    </w:p>
    <w:p w:rsidR="00344B4A" w:rsidRPr="00BA43BB" w:rsidRDefault="00344B4A" w:rsidP="00CE7040">
      <w:pPr>
        <w:pStyle w:val="ListParagraph"/>
        <w:tabs>
          <w:tab w:val="left" w:pos="851"/>
          <w:tab w:val="left" w:pos="1134"/>
        </w:tabs>
        <w:snapToGrid w:val="0"/>
        <w:ind w:left="1134" w:hanging="1134"/>
        <w:contextualSpacing w:val="0"/>
        <w:jc w:val="both"/>
        <w:rPr>
          <w:rFonts w:ascii="Calibri" w:eastAsia="Times New Roman" w:hAnsi="Calibri"/>
          <w:bCs/>
          <w:szCs w:val="20"/>
          <w:lang w:val="en-GB" w:eastAsia="en-US"/>
        </w:rPr>
      </w:pPr>
      <w:r w:rsidRPr="00BA43BB">
        <w:rPr>
          <w:rFonts w:ascii="Calibri" w:eastAsia="Times New Roman" w:hAnsi="Calibri"/>
          <w:bCs/>
          <w:szCs w:val="20"/>
          <w:lang w:val="en-GB" w:eastAsia="en-US"/>
        </w:rPr>
        <w:tab/>
        <w:t>-</w:t>
      </w:r>
      <w:r w:rsidR="00840A43" w:rsidRPr="00BA43BB">
        <w:rPr>
          <w:rFonts w:ascii="Calibri" w:eastAsia="Times New Roman" w:hAnsi="Calibri"/>
          <w:bCs/>
          <w:szCs w:val="20"/>
          <w:lang w:val="en-GB" w:eastAsia="en-US"/>
        </w:rPr>
        <w:tab/>
      </w:r>
      <w:r w:rsidRPr="00BA43BB">
        <w:rPr>
          <w:rFonts w:ascii="Calibri" w:eastAsia="Times New Roman" w:hAnsi="Calibri"/>
          <w:bCs/>
          <w:szCs w:val="20"/>
          <w:lang w:val="en-GB" w:eastAsia="en-US"/>
        </w:rPr>
        <w:t>Adopt</w:t>
      </w:r>
      <w:r w:rsidR="00FB7405" w:rsidRPr="00BA43BB">
        <w:rPr>
          <w:rFonts w:ascii="Calibri" w:eastAsia="Times New Roman" w:hAnsi="Calibri"/>
          <w:bCs/>
          <w:szCs w:val="20"/>
          <w:lang w:val="en-GB" w:eastAsia="en-US"/>
        </w:rPr>
        <w:t>ion</w:t>
      </w:r>
      <w:r w:rsidR="00CE7040" w:rsidRPr="00BA43BB">
        <w:rPr>
          <w:rFonts w:ascii="Calibri" w:eastAsia="Times New Roman" w:hAnsi="Calibri"/>
          <w:bCs/>
          <w:szCs w:val="20"/>
          <w:lang w:val="en-GB" w:eastAsia="en-US"/>
        </w:rPr>
        <w:t xml:space="preserve"> of </w:t>
      </w:r>
      <w:r w:rsidRPr="00BA43BB">
        <w:rPr>
          <w:rFonts w:ascii="Calibri" w:eastAsia="Times New Roman" w:hAnsi="Calibri"/>
          <w:bCs/>
          <w:szCs w:val="20"/>
          <w:lang w:val="en-GB" w:eastAsia="en-US"/>
        </w:rPr>
        <w:t>the Buenos Aires Action Plan (</w:t>
      </w:r>
      <w:proofErr w:type="spellStart"/>
      <w:r w:rsidRPr="00BA43BB">
        <w:rPr>
          <w:rFonts w:ascii="Calibri" w:eastAsia="Times New Roman" w:hAnsi="Calibri"/>
          <w:bCs/>
          <w:szCs w:val="20"/>
          <w:lang w:val="en-GB" w:eastAsia="en-US"/>
        </w:rPr>
        <w:t>BaAP</w:t>
      </w:r>
      <w:proofErr w:type="spellEnd"/>
      <w:r w:rsidRPr="00BA43BB">
        <w:rPr>
          <w:rFonts w:ascii="Calibri" w:eastAsia="Times New Roman" w:hAnsi="Calibri"/>
          <w:bCs/>
          <w:szCs w:val="20"/>
          <w:lang w:val="en-GB" w:eastAsia="en-US"/>
        </w:rPr>
        <w:t>) that aligns the work of the ITU-D with the strategic objectives of ITU so as to assist countries in harnessing the full benefits of ICTs.</w:t>
      </w:r>
    </w:p>
    <w:p w:rsidR="00344B4A" w:rsidRPr="00BA43BB" w:rsidRDefault="00344B4A" w:rsidP="00344B4A">
      <w:pPr>
        <w:pStyle w:val="ListParagraph"/>
        <w:tabs>
          <w:tab w:val="left" w:pos="851"/>
        </w:tabs>
        <w:snapToGrid w:val="0"/>
        <w:ind w:left="0"/>
        <w:contextualSpacing w:val="0"/>
        <w:jc w:val="both"/>
        <w:rPr>
          <w:rFonts w:ascii="Calibri" w:eastAsia="Times New Roman" w:hAnsi="Calibri"/>
          <w:bCs/>
          <w:szCs w:val="20"/>
          <w:lang w:val="en-GB" w:eastAsia="en-US"/>
        </w:rPr>
      </w:pPr>
    </w:p>
    <w:p w:rsidR="00344B4A" w:rsidRPr="00BA43BB" w:rsidRDefault="00344B4A" w:rsidP="00CE7040">
      <w:pPr>
        <w:pStyle w:val="ListParagraph"/>
        <w:numPr>
          <w:ilvl w:val="0"/>
          <w:numId w:val="18"/>
        </w:numPr>
        <w:tabs>
          <w:tab w:val="left" w:pos="851"/>
        </w:tabs>
        <w:snapToGrid w:val="0"/>
        <w:ind w:left="0" w:hanging="3"/>
        <w:contextualSpacing w:val="0"/>
        <w:jc w:val="both"/>
        <w:rPr>
          <w:rFonts w:ascii="Calibri" w:eastAsia="Times New Roman" w:hAnsi="Calibri"/>
          <w:bCs/>
          <w:szCs w:val="20"/>
          <w:lang w:val="en-GB" w:eastAsia="en-US"/>
        </w:rPr>
      </w:pPr>
      <w:r w:rsidRPr="00BA43BB">
        <w:rPr>
          <w:rFonts w:ascii="Calibri" w:eastAsia="Times New Roman" w:hAnsi="Calibri"/>
          <w:bCs/>
          <w:szCs w:val="20"/>
          <w:lang w:val="en-GB" w:eastAsia="en-US"/>
        </w:rPr>
        <w:t xml:space="preserve">As at 31 December 2017, out of total of 270 actions (specific activities) planned for 2017 by BDT from the operational budget, 260 have been implemented and 10 were postponed.  Details of all implemented activities are found in </w:t>
      </w:r>
      <w:hyperlink r:id="rId43" w:history="1">
        <w:r w:rsidRPr="00BA43BB">
          <w:rPr>
            <w:rFonts w:ascii="Calibri" w:eastAsia="Times New Roman" w:hAnsi="Calibri"/>
            <w:bCs/>
            <w:szCs w:val="20"/>
            <w:lang w:val="en-GB" w:eastAsia="en-US"/>
          </w:rPr>
          <w:t>the Performance Report 2017</w:t>
        </w:r>
      </w:hyperlink>
      <w:r w:rsidRPr="00BA43BB">
        <w:rPr>
          <w:rFonts w:ascii="Calibri" w:eastAsia="Times New Roman" w:hAnsi="Calibri"/>
          <w:bCs/>
          <w:szCs w:val="20"/>
          <w:lang w:val="en-GB" w:eastAsia="en-US"/>
        </w:rPr>
        <w:t>.</w:t>
      </w:r>
    </w:p>
    <w:p w:rsidR="00344B4A" w:rsidRPr="00BA43BB" w:rsidRDefault="00344B4A" w:rsidP="00CE7040">
      <w:pPr>
        <w:pStyle w:val="ListParagraph"/>
        <w:tabs>
          <w:tab w:val="left" w:pos="851"/>
        </w:tabs>
        <w:snapToGrid w:val="0"/>
        <w:ind w:left="0"/>
        <w:contextualSpacing w:val="0"/>
        <w:jc w:val="both"/>
        <w:rPr>
          <w:rFonts w:ascii="Calibri" w:eastAsia="Times New Roman" w:hAnsi="Calibri"/>
          <w:bCs/>
          <w:szCs w:val="20"/>
          <w:lang w:val="en-GB" w:eastAsia="en-US"/>
        </w:rPr>
      </w:pPr>
    </w:p>
    <w:p w:rsidR="00344B4A" w:rsidRPr="00BA43BB" w:rsidRDefault="00344B4A" w:rsidP="00BA43BB">
      <w:pPr>
        <w:pStyle w:val="ListParagraph"/>
        <w:numPr>
          <w:ilvl w:val="0"/>
          <w:numId w:val="18"/>
        </w:numPr>
        <w:spacing w:before="60"/>
        <w:ind w:left="0" w:firstLine="0"/>
        <w:jc w:val="both"/>
        <w:rPr>
          <w:rFonts w:ascii="Calibri" w:eastAsia="Times New Roman" w:hAnsi="Calibri"/>
          <w:bCs/>
          <w:szCs w:val="20"/>
          <w:lang w:val="en-GB" w:eastAsia="en-US"/>
        </w:rPr>
      </w:pPr>
      <w:r w:rsidRPr="00BA43BB">
        <w:rPr>
          <w:rFonts w:ascii="Calibri" w:eastAsia="Times New Roman" w:hAnsi="Calibri"/>
          <w:bCs/>
          <w:szCs w:val="20"/>
          <w:lang w:val="en-GB" w:eastAsia="en-US"/>
        </w:rPr>
        <w:t>Total expenditure of BDT amounted to 27.7 million Swiss francs in 2017, or 95.1 per cent of the approved budget of 29.2 million Swiss francs</w:t>
      </w:r>
      <w:r w:rsidR="00CE7040" w:rsidRPr="00BA43BB">
        <w:rPr>
          <w:rFonts w:ascii="Calibri" w:eastAsia="Times New Roman" w:hAnsi="Calibri"/>
          <w:bCs/>
          <w:szCs w:val="20"/>
          <w:lang w:val="en-GB" w:eastAsia="en-US"/>
        </w:rPr>
        <w:t xml:space="preserve">.  The </w:t>
      </w:r>
      <w:r w:rsidRPr="00BA43BB">
        <w:rPr>
          <w:rFonts w:ascii="Calibri" w:eastAsia="Times New Roman" w:hAnsi="Calibri"/>
          <w:bCs/>
          <w:szCs w:val="20"/>
          <w:lang w:val="en-GB" w:eastAsia="en-US"/>
        </w:rPr>
        <w:t>overall saving</w:t>
      </w:r>
      <w:r w:rsidR="00BA43BB" w:rsidRPr="00BA43BB">
        <w:rPr>
          <w:rFonts w:ascii="Calibri" w:eastAsia="Times New Roman" w:hAnsi="Calibri"/>
          <w:bCs/>
          <w:szCs w:val="20"/>
          <w:lang w:val="en-GB" w:eastAsia="en-US"/>
        </w:rPr>
        <w:t>s</w:t>
      </w:r>
      <w:r w:rsidRPr="00BA43BB">
        <w:rPr>
          <w:rFonts w:ascii="Calibri" w:eastAsia="Times New Roman" w:hAnsi="Calibri"/>
          <w:bCs/>
          <w:szCs w:val="20"/>
          <w:lang w:val="en-GB" w:eastAsia="en-US"/>
        </w:rPr>
        <w:t xml:space="preserve"> </w:t>
      </w:r>
      <w:r w:rsidR="005A6D74" w:rsidRPr="00BA43BB">
        <w:rPr>
          <w:rFonts w:ascii="Calibri" w:eastAsia="Times New Roman" w:hAnsi="Calibri"/>
          <w:bCs/>
          <w:szCs w:val="20"/>
          <w:lang w:val="en-GB" w:eastAsia="en-US"/>
        </w:rPr>
        <w:t xml:space="preserve">amounted to </w:t>
      </w:r>
      <w:r w:rsidRPr="00BA43BB">
        <w:rPr>
          <w:rFonts w:ascii="Calibri" w:eastAsia="Times New Roman" w:hAnsi="Calibri"/>
          <w:bCs/>
          <w:szCs w:val="20"/>
          <w:lang w:val="en-GB" w:eastAsia="en-US"/>
        </w:rPr>
        <w:t>1.4</w:t>
      </w:r>
      <w:r w:rsidR="00CE7040" w:rsidRPr="00BA43BB">
        <w:rPr>
          <w:rFonts w:ascii="Calibri" w:eastAsia="Times New Roman" w:hAnsi="Calibri"/>
          <w:bCs/>
          <w:szCs w:val="20"/>
          <w:lang w:val="en-GB" w:eastAsia="en-US"/>
        </w:rPr>
        <w:t> </w:t>
      </w:r>
      <w:r w:rsidRPr="00BA43BB">
        <w:rPr>
          <w:rFonts w:ascii="Calibri" w:eastAsia="Times New Roman" w:hAnsi="Calibri"/>
          <w:bCs/>
          <w:szCs w:val="20"/>
          <w:lang w:val="en-GB" w:eastAsia="en-US"/>
        </w:rPr>
        <w:t>million</w:t>
      </w:r>
      <w:r w:rsidR="005A6D74" w:rsidRPr="00BA43BB">
        <w:rPr>
          <w:rFonts w:ascii="Calibri" w:eastAsia="Times New Roman" w:hAnsi="Calibri"/>
          <w:bCs/>
          <w:szCs w:val="20"/>
          <w:lang w:val="en-GB" w:eastAsia="en-US"/>
        </w:rPr>
        <w:t> </w:t>
      </w:r>
      <w:r w:rsidRPr="00BA43BB">
        <w:rPr>
          <w:rFonts w:ascii="Calibri" w:eastAsia="Times New Roman" w:hAnsi="Calibri"/>
          <w:bCs/>
          <w:szCs w:val="20"/>
          <w:lang w:val="en-GB" w:eastAsia="en-US"/>
        </w:rPr>
        <w:t xml:space="preserve">Swiss francs.  Over half of </w:t>
      </w:r>
      <w:r w:rsidR="00CE7040" w:rsidRPr="00BA43BB">
        <w:rPr>
          <w:rFonts w:ascii="Calibri" w:eastAsia="Times New Roman" w:hAnsi="Calibri"/>
          <w:bCs/>
          <w:szCs w:val="20"/>
          <w:lang w:val="en-GB" w:eastAsia="en-US"/>
        </w:rPr>
        <w:t xml:space="preserve">the </w:t>
      </w:r>
      <w:r w:rsidRPr="00BA43BB">
        <w:rPr>
          <w:rFonts w:ascii="Calibri" w:eastAsia="Times New Roman" w:hAnsi="Calibri"/>
          <w:bCs/>
          <w:szCs w:val="20"/>
          <w:lang w:val="en-GB" w:eastAsia="en-US"/>
        </w:rPr>
        <w:t>savings (0.76 million Swiss francs) w</w:t>
      </w:r>
      <w:r w:rsidR="00CE7040" w:rsidRPr="00BA43BB">
        <w:rPr>
          <w:rFonts w:ascii="Calibri" w:eastAsia="Times New Roman" w:hAnsi="Calibri"/>
          <w:bCs/>
          <w:szCs w:val="20"/>
          <w:lang w:val="en-GB" w:eastAsia="en-US"/>
        </w:rPr>
        <w:t>as</w:t>
      </w:r>
      <w:r w:rsidRPr="00BA43BB">
        <w:rPr>
          <w:rFonts w:ascii="Calibri" w:eastAsia="Times New Roman" w:hAnsi="Calibri"/>
          <w:bCs/>
          <w:szCs w:val="20"/>
          <w:lang w:val="en-GB" w:eastAsia="en-US"/>
        </w:rPr>
        <w:t xml:space="preserve"> </w:t>
      </w:r>
      <w:r w:rsidR="00CE7040" w:rsidRPr="00BA43BB">
        <w:rPr>
          <w:rFonts w:ascii="Calibri" w:eastAsia="Times New Roman" w:hAnsi="Calibri"/>
          <w:bCs/>
          <w:szCs w:val="20"/>
          <w:lang w:val="en-GB" w:eastAsia="en-US"/>
        </w:rPr>
        <w:t xml:space="preserve">related </w:t>
      </w:r>
      <w:r w:rsidRPr="00BA43BB">
        <w:rPr>
          <w:rFonts w:ascii="Calibri" w:eastAsia="Times New Roman" w:hAnsi="Calibri"/>
          <w:bCs/>
          <w:szCs w:val="20"/>
          <w:lang w:val="en-GB" w:eastAsia="en-US"/>
        </w:rPr>
        <w:t xml:space="preserve">to the operations of </w:t>
      </w:r>
      <w:r w:rsidR="00CE7040" w:rsidRPr="00BA43BB">
        <w:rPr>
          <w:rFonts w:ascii="Calibri" w:eastAsia="Times New Roman" w:hAnsi="Calibri"/>
          <w:bCs/>
          <w:szCs w:val="20"/>
          <w:lang w:val="en-GB" w:eastAsia="en-US"/>
        </w:rPr>
        <w:t xml:space="preserve">the </w:t>
      </w:r>
      <w:r w:rsidRPr="00BA43BB">
        <w:rPr>
          <w:rFonts w:ascii="Calibri" w:eastAsia="Times New Roman" w:hAnsi="Calibri"/>
          <w:bCs/>
          <w:szCs w:val="20"/>
          <w:lang w:val="en-GB" w:eastAsia="en-US"/>
        </w:rPr>
        <w:t xml:space="preserve">BDT </w:t>
      </w:r>
      <w:r w:rsidR="00CE7040" w:rsidRPr="00BA43BB">
        <w:rPr>
          <w:rFonts w:ascii="Calibri" w:eastAsia="Times New Roman" w:hAnsi="Calibri"/>
          <w:bCs/>
          <w:szCs w:val="20"/>
          <w:lang w:val="en-GB" w:eastAsia="en-US"/>
        </w:rPr>
        <w:t>B</w:t>
      </w:r>
      <w:r w:rsidRPr="00BA43BB">
        <w:rPr>
          <w:rFonts w:ascii="Calibri" w:eastAsia="Times New Roman" w:hAnsi="Calibri"/>
          <w:bCs/>
          <w:szCs w:val="20"/>
          <w:lang w:val="en-GB" w:eastAsia="en-US"/>
        </w:rPr>
        <w:t>ureau under the acquisition of materials, mission expenses and contractual services.</w:t>
      </w:r>
    </w:p>
    <w:p w:rsidR="00D43A14" w:rsidRPr="00D43A14" w:rsidRDefault="00D43A14" w:rsidP="00DA4047">
      <w:pPr>
        <w:pStyle w:val="ListParagraph"/>
        <w:tabs>
          <w:tab w:val="left" w:pos="851"/>
        </w:tabs>
        <w:snapToGrid w:val="0"/>
        <w:ind w:left="0"/>
        <w:contextualSpacing w:val="0"/>
        <w:jc w:val="both"/>
        <w:rPr>
          <w:rFonts w:ascii="Calibri" w:eastAsia="Times New Roman" w:hAnsi="Calibri"/>
          <w:bCs/>
          <w:szCs w:val="20"/>
          <w:lang w:val="en-GB" w:eastAsia="en-US"/>
        </w:rPr>
      </w:pPr>
    </w:p>
    <w:p w:rsidR="00CD36C4" w:rsidRPr="00772DA2" w:rsidRDefault="00375257" w:rsidP="00EB3EEF">
      <w:pPr>
        <w:pStyle w:val="Headingb"/>
        <w:tabs>
          <w:tab w:val="clear" w:pos="567"/>
          <w:tab w:val="left" w:pos="851"/>
        </w:tabs>
        <w:spacing w:before="0"/>
        <w:jc w:val="both"/>
        <w:rPr>
          <w:lang w:val="en-US"/>
        </w:rPr>
      </w:pPr>
      <w:r>
        <w:rPr>
          <w:lang w:val="en-US"/>
        </w:rPr>
        <w:t>Ex</w:t>
      </w:r>
      <w:r w:rsidR="00CD36C4" w:rsidRPr="00772DA2">
        <w:rPr>
          <w:lang w:val="en-US"/>
        </w:rPr>
        <w:t>penses not foreseen in the budget</w:t>
      </w:r>
    </w:p>
    <w:p w:rsidR="00494DE0" w:rsidRDefault="00494DE0" w:rsidP="005E25BD">
      <w:pPr>
        <w:pStyle w:val="ListParagraph"/>
        <w:numPr>
          <w:ilvl w:val="0"/>
          <w:numId w:val="18"/>
        </w:numPr>
        <w:tabs>
          <w:tab w:val="left" w:pos="851"/>
        </w:tabs>
        <w:spacing w:before="160"/>
        <w:ind w:left="0" w:firstLine="0"/>
        <w:jc w:val="both"/>
        <w:rPr>
          <w:rFonts w:ascii="Calibri" w:eastAsia="Times New Roman" w:hAnsi="Calibri"/>
          <w:lang w:eastAsia="en-US"/>
        </w:rPr>
      </w:pPr>
      <w:r w:rsidRPr="00747E30">
        <w:rPr>
          <w:rFonts w:ascii="Calibri" w:eastAsia="Times New Roman" w:hAnsi="Calibri"/>
          <w:lang w:eastAsia="en-US"/>
        </w:rPr>
        <w:t>An amount of CHF 1</w:t>
      </w:r>
      <w:r w:rsidR="005E25BD">
        <w:rPr>
          <w:rFonts w:ascii="Calibri" w:eastAsia="Times New Roman" w:hAnsi="Calibri"/>
          <w:lang w:eastAsia="en-US"/>
        </w:rPr>
        <w:t>8</w:t>
      </w:r>
      <w:r w:rsidR="00F810A6" w:rsidRPr="00747E30">
        <w:rPr>
          <w:rFonts w:ascii="Calibri" w:eastAsia="Times New Roman" w:hAnsi="Calibri"/>
          <w:lang w:eastAsia="en-US"/>
        </w:rPr>
        <w:t>.</w:t>
      </w:r>
      <w:r w:rsidR="005E25BD">
        <w:rPr>
          <w:rFonts w:ascii="Calibri" w:eastAsia="Times New Roman" w:hAnsi="Calibri"/>
          <w:lang w:eastAsia="en-US"/>
        </w:rPr>
        <w:t>2</w:t>
      </w:r>
      <w:r w:rsidRPr="00747E30">
        <w:rPr>
          <w:rFonts w:ascii="Calibri" w:eastAsia="Times New Roman" w:hAnsi="Calibri"/>
          <w:lang w:eastAsia="en-US"/>
        </w:rPr>
        <w:t xml:space="preserve"> million was recognized as expense for adjustment of the After-Service Health Insurance (ASHI) provision for employees.</w:t>
      </w:r>
    </w:p>
    <w:p w:rsidR="00747E30" w:rsidRPr="00747E30" w:rsidRDefault="00747E30" w:rsidP="00CB657D">
      <w:pPr>
        <w:pStyle w:val="ListParagraph"/>
        <w:tabs>
          <w:tab w:val="left" w:pos="851"/>
        </w:tabs>
        <w:ind w:left="0"/>
        <w:jc w:val="both"/>
        <w:rPr>
          <w:rFonts w:ascii="Calibri" w:eastAsia="Times New Roman" w:hAnsi="Calibri"/>
          <w:lang w:eastAsia="en-US"/>
        </w:rPr>
      </w:pPr>
    </w:p>
    <w:p w:rsidR="00CB657D" w:rsidRDefault="00CD36C4" w:rsidP="006D17BB">
      <w:pPr>
        <w:pStyle w:val="ListParagraph"/>
        <w:numPr>
          <w:ilvl w:val="0"/>
          <w:numId w:val="18"/>
        </w:numPr>
        <w:tabs>
          <w:tab w:val="left" w:pos="851"/>
        </w:tabs>
        <w:ind w:left="0" w:firstLine="0"/>
        <w:jc w:val="both"/>
      </w:pPr>
      <w:r w:rsidRPr="00747E30">
        <w:rPr>
          <w:rFonts w:ascii="Calibri" w:eastAsia="Times New Roman" w:hAnsi="Calibri"/>
          <w:lang w:eastAsia="en-US"/>
        </w:rPr>
        <w:t xml:space="preserve">An in-kind contribution was recognized as both an expense and </w:t>
      </w:r>
      <w:r w:rsidR="00BA43BB">
        <w:rPr>
          <w:rFonts w:ascii="Calibri" w:eastAsia="Times New Roman" w:hAnsi="Calibri"/>
          <w:lang w:eastAsia="en-US"/>
        </w:rPr>
        <w:t xml:space="preserve">a </w:t>
      </w:r>
      <w:r w:rsidR="005E6DA7" w:rsidRPr="00747E30">
        <w:rPr>
          <w:rFonts w:ascii="Calibri" w:eastAsia="Times New Roman" w:hAnsi="Calibri"/>
          <w:lang w:eastAsia="en-US"/>
        </w:rPr>
        <w:t>revenue</w:t>
      </w:r>
      <w:r w:rsidRPr="00747E30">
        <w:rPr>
          <w:rFonts w:ascii="Calibri" w:eastAsia="Times New Roman" w:hAnsi="Calibri"/>
          <w:lang w:eastAsia="en-US"/>
        </w:rPr>
        <w:t xml:space="preserve">. </w:t>
      </w:r>
      <w:r w:rsidR="00E01499">
        <w:rPr>
          <w:rFonts w:ascii="Calibri" w:eastAsia="Times New Roman" w:hAnsi="Calibri"/>
          <w:lang w:eastAsia="en-US"/>
        </w:rPr>
        <w:t xml:space="preserve"> </w:t>
      </w:r>
      <w:r w:rsidRPr="00747E30">
        <w:rPr>
          <w:rFonts w:ascii="Calibri" w:eastAsia="Times New Roman" w:hAnsi="Calibri"/>
          <w:lang w:eastAsia="en-US"/>
        </w:rPr>
        <w:t>This recognition of the in-kind contribution is further to the Swiss Parliament</w:t>
      </w:r>
      <w:r w:rsidR="007A552E" w:rsidRPr="00747E30">
        <w:rPr>
          <w:rFonts w:ascii="Calibri" w:eastAsia="Times New Roman" w:hAnsi="Calibri"/>
          <w:lang w:eastAsia="en-US"/>
        </w:rPr>
        <w:t>’</w:t>
      </w:r>
      <w:r w:rsidRPr="00747E30">
        <w:rPr>
          <w:rFonts w:ascii="Calibri" w:eastAsia="Times New Roman" w:hAnsi="Calibri"/>
          <w:lang w:eastAsia="en-US"/>
        </w:rPr>
        <w:t>s decision, which took effect on 1</w:t>
      </w:r>
      <w:r w:rsidR="00AA20AB" w:rsidRPr="00747E30">
        <w:rPr>
          <w:rFonts w:ascii="Calibri" w:eastAsia="Times New Roman" w:hAnsi="Calibri"/>
          <w:lang w:eastAsia="en-US"/>
        </w:rPr>
        <w:t> </w:t>
      </w:r>
      <w:r w:rsidRPr="00747E30">
        <w:rPr>
          <w:rFonts w:ascii="Calibri" w:eastAsia="Times New Roman" w:hAnsi="Calibri"/>
          <w:lang w:eastAsia="en-US"/>
        </w:rPr>
        <w:t>January</w:t>
      </w:r>
      <w:r w:rsidR="00AA20AB" w:rsidRPr="00747E30">
        <w:rPr>
          <w:rFonts w:ascii="Calibri" w:eastAsia="Times New Roman" w:hAnsi="Calibri"/>
          <w:lang w:eastAsia="en-US"/>
        </w:rPr>
        <w:t> </w:t>
      </w:r>
      <w:r w:rsidRPr="00747E30">
        <w:rPr>
          <w:rFonts w:ascii="Calibri" w:eastAsia="Times New Roman" w:hAnsi="Calibri"/>
          <w:lang w:eastAsia="en-US"/>
        </w:rPr>
        <w:t>1996, to cease charging interest on loans granted by the Building Foundation for International Organizati</w:t>
      </w:r>
      <w:r w:rsidR="00843991" w:rsidRPr="00747E30">
        <w:rPr>
          <w:rFonts w:ascii="Calibri" w:eastAsia="Times New Roman" w:hAnsi="Calibri"/>
          <w:lang w:eastAsia="en-US"/>
        </w:rPr>
        <w:t xml:space="preserve">ons (FIPOI). </w:t>
      </w:r>
      <w:r w:rsidR="007A1724">
        <w:rPr>
          <w:rFonts w:ascii="Calibri" w:eastAsia="Times New Roman" w:hAnsi="Calibri"/>
          <w:lang w:eastAsia="en-US"/>
        </w:rPr>
        <w:t xml:space="preserve"> </w:t>
      </w:r>
      <w:r w:rsidR="00843991" w:rsidRPr="00747E30">
        <w:rPr>
          <w:rFonts w:ascii="Calibri" w:eastAsia="Times New Roman" w:hAnsi="Calibri"/>
          <w:lang w:eastAsia="en-US"/>
        </w:rPr>
        <w:t xml:space="preserve">At 31 December </w:t>
      </w:r>
      <w:r w:rsidR="00111BDD" w:rsidRPr="00747E30">
        <w:rPr>
          <w:rFonts w:ascii="Calibri" w:eastAsia="Times New Roman" w:hAnsi="Calibri"/>
          <w:lang w:eastAsia="en-US"/>
        </w:rPr>
        <w:t>201</w:t>
      </w:r>
      <w:r w:rsidR="005E25BD">
        <w:rPr>
          <w:rFonts w:ascii="Calibri" w:eastAsia="Times New Roman" w:hAnsi="Calibri"/>
          <w:lang w:eastAsia="en-US"/>
        </w:rPr>
        <w:t>7</w:t>
      </w:r>
      <w:r w:rsidRPr="00747E30">
        <w:rPr>
          <w:rFonts w:ascii="Calibri" w:eastAsia="Times New Roman" w:hAnsi="Calibri"/>
          <w:lang w:eastAsia="en-US"/>
        </w:rPr>
        <w:t>, this contribution represents a saving</w:t>
      </w:r>
      <w:r w:rsidR="00CC26E1" w:rsidRPr="00747E30">
        <w:rPr>
          <w:rFonts w:ascii="Calibri" w:eastAsia="Times New Roman" w:hAnsi="Calibri"/>
          <w:lang w:eastAsia="en-US"/>
        </w:rPr>
        <w:t xml:space="preserve"> for the Union of some </w:t>
      </w:r>
      <w:r w:rsidR="00763A13">
        <w:rPr>
          <w:rFonts w:ascii="Calibri" w:eastAsia="Times New Roman" w:hAnsi="Calibri"/>
          <w:lang w:eastAsia="en-US"/>
        </w:rPr>
        <w:t>KCHF </w:t>
      </w:r>
      <w:r w:rsidR="005E25BD">
        <w:rPr>
          <w:rFonts w:ascii="Calibri" w:eastAsia="Times New Roman" w:hAnsi="Calibri"/>
          <w:lang w:eastAsia="en-US"/>
        </w:rPr>
        <w:t>882</w:t>
      </w:r>
      <w:r w:rsidR="00DB5E04" w:rsidRPr="00747E30">
        <w:rPr>
          <w:rFonts w:ascii="Calibri" w:eastAsia="Times New Roman" w:hAnsi="Calibri"/>
          <w:lang w:eastAsia="en-US"/>
        </w:rPr>
        <w:t>,</w:t>
      </w:r>
      <w:r w:rsidRPr="00747E30">
        <w:rPr>
          <w:rFonts w:ascii="Calibri" w:eastAsia="Times New Roman" w:hAnsi="Calibri"/>
          <w:lang w:eastAsia="en-US"/>
        </w:rPr>
        <w:t xml:space="preserve"> based on a long-term interest rate of 3.25 per cent.</w:t>
      </w:r>
    </w:p>
    <w:p w:rsidR="00F64487" w:rsidRPr="007A1724" w:rsidRDefault="00F64487" w:rsidP="00CB657D">
      <w:pPr>
        <w:tabs>
          <w:tab w:val="left" w:pos="851"/>
        </w:tabs>
        <w:spacing w:before="0"/>
      </w:pPr>
    </w:p>
    <w:p w:rsidR="00CD36C4" w:rsidRPr="00F64487" w:rsidRDefault="00CD36C4" w:rsidP="005E25BD">
      <w:pPr>
        <w:pStyle w:val="ListParagraph"/>
        <w:numPr>
          <w:ilvl w:val="0"/>
          <w:numId w:val="18"/>
        </w:numPr>
        <w:tabs>
          <w:tab w:val="left" w:pos="851"/>
        </w:tabs>
        <w:ind w:left="0" w:firstLine="0"/>
        <w:jc w:val="both"/>
        <w:rPr>
          <w:rFonts w:ascii="Calibri" w:eastAsia="Times New Roman" w:hAnsi="Calibri"/>
          <w:lang w:eastAsia="en-US"/>
        </w:rPr>
      </w:pPr>
      <w:r w:rsidRPr="00F64487">
        <w:rPr>
          <w:rFonts w:ascii="Calibri" w:eastAsia="Times New Roman" w:hAnsi="Calibri"/>
          <w:lang w:eastAsia="en-US"/>
        </w:rPr>
        <w:t xml:space="preserve">An amount of CHF </w:t>
      </w:r>
      <w:r w:rsidR="005E25BD">
        <w:rPr>
          <w:rFonts w:ascii="Calibri" w:eastAsia="Times New Roman" w:hAnsi="Calibri"/>
          <w:lang w:eastAsia="en-US"/>
        </w:rPr>
        <w:t>4.6</w:t>
      </w:r>
      <w:r w:rsidR="00AA20AB" w:rsidRPr="00F64487">
        <w:rPr>
          <w:rFonts w:ascii="Calibri" w:eastAsia="Times New Roman" w:hAnsi="Calibri"/>
          <w:lang w:eastAsia="en-US"/>
        </w:rPr>
        <w:t> </w:t>
      </w:r>
      <w:r w:rsidRPr="00F64487">
        <w:rPr>
          <w:rFonts w:ascii="Calibri" w:eastAsia="Times New Roman" w:hAnsi="Calibri"/>
          <w:lang w:eastAsia="en-US"/>
        </w:rPr>
        <w:t xml:space="preserve">million was recognized as expense for depreciation registered during the </w:t>
      </w:r>
      <w:r w:rsidR="00111BDD" w:rsidRPr="00F64487">
        <w:rPr>
          <w:rFonts w:ascii="Calibri" w:eastAsia="Times New Roman" w:hAnsi="Calibri"/>
          <w:lang w:eastAsia="en-US"/>
        </w:rPr>
        <w:t>201</w:t>
      </w:r>
      <w:r w:rsidR="005E25BD">
        <w:rPr>
          <w:rFonts w:ascii="Calibri" w:eastAsia="Times New Roman" w:hAnsi="Calibri"/>
          <w:lang w:eastAsia="en-US"/>
        </w:rPr>
        <w:t>7</w:t>
      </w:r>
      <w:r w:rsidRPr="00F64487">
        <w:rPr>
          <w:rFonts w:ascii="Calibri" w:eastAsia="Times New Roman" w:hAnsi="Calibri"/>
          <w:lang w:eastAsia="en-US"/>
        </w:rPr>
        <w:t xml:space="preserve"> period.</w:t>
      </w:r>
    </w:p>
    <w:p w:rsidR="00CD36C4" w:rsidRPr="00350C94" w:rsidRDefault="00CD36C4" w:rsidP="00E01499">
      <w:pPr>
        <w:pStyle w:val="Headingb"/>
        <w:tabs>
          <w:tab w:val="clear" w:pos="567"/>
          <w:tab w:val="left" w:pos="851"/>
        </w:tabs>
        <w:spacing w:after="120"/>
        <w:jc w:val="both"/>
        <w:rPr>
          <w:lang w:val="en-US"/>
        </w:rPr>
      </w:pPr>
      <w:r w:rsidRPr="00350C94">
        <w:rPr>
          <w:lang w:val="en-US"/>
        </w:rPr>
        <w:t>Reserve for debtors</w:t>
      </w:r>
    </w:p>
    <w:p w:rsidR="00CD36C4" w:rsidRPr="00F64487" w:rsidRDefault="00CD36C4" w:rsidP="007F69FD">
      <w:pPr>
        <w:pStyle w:val="ListParagraph"/>
        <w:numPr>
          <w:ilvl w:val="0"/>
          <w:numId w:val="18"/>
        </w:numPr>
        <w:tabs>
          <w:tab w:val="left" w:pos="851"/>
        </w:tabs>
        <w:ind w:left="0" w:firstLine="0"/>
        <w:jc w:val="both"/>
        <w:rPr>
          <w:rFonts w:ascii="Calibri" w:eastAsia="Times New Roman" w:hAnsi="Calibri"/>
          <w:lang w:eastAsia="en-US"/>
        </w:rPr>
      </w:pPr>
      <w:r w:rsidRPr="00F64487">
        <w:rPr>
          <w:rFonts w:ascii="Calibri" w:eastAsia="Times New Roman" w:hAnsi="Calibri"/>
          <w:lang w:eastAsia="en-US"/>
        </w:rPr>
        <w:t>Following the payment of receivable</w:t>
      </w:r>
      <w:r w:rsidR="00742D62" w:rsidRPr="00F64487">
        <w:rPr>
          <w:rFonts w:ascii="Calibri" w:eastAsia="Times New Roman" w:hAnsi="Calibri"/>
          <w:lang w:eastAsia="en-US"/>
        </w:rPr>
        <w:t xml:space="preserve">s amounting to </w:t>
      </w:r>
      <w:r w:rsidR="00742D62" w:rsidRPr="007F69FD">
        <w:rPr>
          <w:rFonts w:ascii="Calibri" w:eastAsia="Times New Roman" w:hAnsi="Calibri"/>
          <w:lang w:eastAsia="en-US"/>
        </w:rPr>
        <w:t xml:space="preserve">CHF </w:t>
      </w:r>
      <w:r w:rsidR="00350C94" w:rsidRPr="007F69FD">
        <w:rPr>
          <w:rFonts w:ascii="Calibri" w:eastAsia="Times New Roman" w:hAnsi="Calibri"/>
          <w:lang w:eastAsia="en-US"/>
        </w:rPr>
        <w:t>2.</w:t>
      </w:r>
      <w:r w:rsidR="00F64487" w:rsidRPr="007F69FD">
        <w:rPr>
          <w:rFonts w:ascii="Calibri" w:eastAsia="Times New Roman" w:hAnsi="Calibri"/>
          <w:lang w:eastAsia="en-US"/>
        </w:rPr>
        <w:t>7</w:t>
      </w:r>
      <w:r w:rsidR="00350C94" w:rsidRPr="007F69FD">
        <w:rPr>
          <w:rFonts w:ascii="Calibri" w:eastAsia="Times New Roman" w:hAnsi="Calibri"/>
          <w:lang w:eastAsia="en-US"/>
        </w:rPr>
        <w:t xml:space="preserve"> </w:t>
      </w:r>
      <w:r w:rsidRPr="007F69FD">
        <w:rPr>
          <w:rFonts w:ascii="Calibri" w:eastAsia="Times New Roman" w:hAnsi="Calibri"/>
          <w:lang w:eastAsia="en-US"/>
        </w:rPr>
        <w:t>million</w:t>
      </w:r>
      <w:r w:rsidRPr="00F64487">
        <w:rPr>
          <w:rFonts w:ascii="Calibri" w:eastAsia="Times New Roman" w:hAnsi="Calibri"/>
          <w:lang w:eastAsia="en-US"/>
        </w:rPr>
        <w:t xml:space="preserve"> for which a provision had been constituted in past years, the provision for doubtful debt</w:t>
      </w:r>
      <w:r w:rsidR="00E01499">
        <w:rPr>
          <w:rFonts w:ascii="Calibri" w:eastAsia="Times New Roman" w:hAnsi="Calibri"/>
          <w:lang w:eastAsia="en-US"/>
        </w:rPr>
        <w:t>s</w:t>
      </w:r>
      <w:r w:rsidRPr="00F64487">
        <w:rPr>
          <w:rFonts w:ascii="Calibri" w:eastAsia="Times New Roman" w:hAnsi="Calibri"/>
          <w:lang w:eastAsia="en-US"/>
        </w:rPr>
        <w:t xml:space="preserve"> has been reduced accordingly</w:t>
      </w:r>
      <w:r w:rsidR="00742D62" w:rsidRPr="00F64487">
        <w:rPr>
          <w:rFonts w:ascii="Calibri" w:eastAsia="Times New Roman" w:hAnsi="Calibri"/>
          <w:lang w:eastAsia="en-US"/>
        </w:rPr>
        <w:t xml:space="preserve">. </w:t>
      </w:r>
      <w:r w:rsidR="00E01499">
        <w:rPr>
          <w:rFonts w:ascii="Calibri" w:eastAsia="Times New Roman" w:hAnsi="Calibri"/>
          <w:lang w:eastAsia="en-US"/>
        </w:rPr>
        <w:t xml:space="preserve"> </w:t>
      </w:r>
      <w:r w:rsidR="00742D62" w:rsidRPr="00F64487">
        <w:rPr>
          <w:rFonts w:ascii="Calibri" w:eastAsia="Times New Roman" w:hAnsi="Calibri"/>
          <w:lang w:eastAsia="en-US"/>
        </w:rPr>
        <w:t xml:space="preserve">At year end, an adjustment was recorded amounting </w:t>
      </w:r>
      <w:r w:rsidR="00E01499">
        <w:rPr>
          <w:rFonts w:ascii="Calibri" w:eastAsia="Times New Roman" w:hAnsi="Calibri"/>
          <w:lang w:eastAsia="en-US"/>
        </w:rPr>
        <w:t xml:space="preserve">to </w:t>
      </w:r>
      <w:r w:rsidR="00742D62" w:rsidRPr="00F64487">
        <w:rPr>
          <w:rFonts w:ascii="Calibri" w:eastAsia="Times New Roman" w:hAnsi="Calibri"/>
          <w:lang w:eastAsia="en-US"/>
        </w:rPr>
        <w:t>CHF</w:t>
      </w:r>
      <w:r w:rsidR="00E01499">
        <w:rPr>
          <w:rFonts w:ascii="Calibri" w:eastAsia="Times New Roman" w:hAnsi="Calibri"/>
          <w:lang w:eastAsia="en-US"/>
        </w:rPr>
        <w:t> </w:t>
      </w:r>
      <w:r w:rsidR="007F69FD">
        <w:rPr>
          <w:rFonts w:ascii="Calibri" w:eastAsia="Times New Roman" w:hAnsi="Calibri"/>
          <w:lang w:eastAsia="en-US"/>
        </w:rPr>
        <w:t>5.9</w:t>
      </w:r>
      <w:r w:rsidR="00742D62" w:rsidRPr="00F64487">
        <w:rPr>
          <w:rFonts w:ascii="Calibri" w:eastAsia="Times New Roman" w:hAnsi="Calibri"/>
          <w:lang w:eastAsia="en-US"/>
        </w:rPr>
        <w:t xml:space="preserve"> million for </w:t>
      </w:r>
      <w:r w:rsidR="00BA43BB">
        <w:rPr>
          <w:rFonts w:ascii="Calibri" w:eastAsia="Times New Roman" w:hAnsi="Calibri"/>
          <w:lang w:eastAsia="en-US"/>
        </w:rPr>
        <w:t xml:space="preserve">the </w:t>
      </w:r>
      <w:r w:rsidR="00742D62" w:rsidRPr="00F64487">
        <w:rPr>
          <w:rFonts w:ascii="Calibri" w:eastAsia="Times New Roman" w:hAnsi="Calibri"/>
          <w:lang w:eastAsia="en-US"/>
        </w:rPr>
        <w:t xml:space="preserve">regular budget and </w:t>
      </w:r>
      <w:r w:rsidR="00F64487">
        <w:rPr>
          <w:rFonts w:ascii="Calibri" w:eastAsia="Times New Roman" w:hAnsi="Calibri"/>
          <w:lang w:eastAsia="en-US"/>
        </w:rPr>
        <w:t>K</w:t>
      </w:r>
      <w:r w:rsidR="00742D62" w:rsidRPr="00F64487">
        <w:rPr>
          <w:rFonts w:ascii="Calibri" w:eastAsia="Times New Roman" w:hAnsi="Calibri"/>
          <w:lang w:eastAsia="en-US"/>
        </w:rPr>
        <w:t>CHF</w:t>
      </w:r>
      <w:r w:rsidR="00BE5A6B" w:rsidRPr="00F64487">
        <w:rPr>
          <w:rFonts w:ascii="Calibri" w:eastAsia="Times New Roman" w:hAnsi="Calibri"/>
          <w:lang w:eastAsia="en-US"/>
        </w:rPr>
        <w:t> </w:t>
      </w:r>
      <w:r w:rsidR="007F69FD">
        <w:rPr>
          <w:rFonts w:ascii="Calibri" w:eastAsia="Times New Roman" w:hAnsi="Calibri"/>
          <w:lang w:eastAsia="en-US"/>
        </w:rPr>
        <w:t>240</w:t>
      </w:r>
      <w:r w:rsidR="00BE5A6B" w:rsidRPr="00F64487">
        <w:rPr>
          <w:rFonts w:ascii="Calibri" w:eastAsia="Times New Roman" w:hAnsi="Calibri"/>
          <w:lang w:eastAsia="en-US"/>
        </w:rPr>
        <w:t> </w:t>
      </w:r>
      <w:r w:rsidR="00742D62" w:rsidRPr="00F64487">
        <w:rPr>
          <w:rFonts w:ascii="Calibri" w:eastAsia="Times New Roman" w:hAnsi="Calibri"/>
          <w:lang w:eastAsia="en-US"/>
        </w:rPr>
        <w:t xml:space="preserve">for Telecom World </w:t>
      </w:r>
      <w:r w:rsidR="00111BDD" w:rsidRPr="00F64487">
        <w:rPr>
          <w:rFonts w:ascii="Calibri" w:eastAsia="Times New Roman" w:hAnsi="Calibri"/>
          <w:lang w:eastAsia="en-US"/>
        </w:rPr>
        <w:t>201</w:t>
      </w:r>
      <w:r w:rsidR="00F64487">
        <w:rPr>
          <w:rFonts w:ascii="Calibri" w:eastAsia="Times New Roman" w:hAnsi="Calibri"/>
          <w:lang w:eastAsia="en-US"/>
        </w:rPr>
        <w:t>7</w:t>
      </w:r>
      <w:r w:rsidR="00742D62" w:rsidRPr="00F64487">
        <w:rPr>
          <w:rFonts w:ascii="Calibri" w:eastAsia="Times New Roman" w:hAnsi="Calibri"/>
          <w:lang w:eastAsia="en-US"/>
        </w:rPr>
        <w:t xml:space="preserve"> related doubtful debts.</w:t>
      </w:r>
    </w:p>
    <w:p w:rsidR="00CD36C4" w:rsidRPr="00772DA2" w:rsidRDefault="00CD36C4" w:rsidP="00706E3E">
      <w:pPr>
        <w:pStyle w:val="Headingb"/>
        <w:jc w:val="both"/>
        <w:rPr>
          <w:lang w:val="en-US"/>
        </w:rPr>
      </w:pPr>
      <w:bookmarkStart w:id="146" w:name="_Toc305764129"/>
      <w:r w:rsidRPr="0082727D">
        <w:rPr>
          <w:lang w:val="en-US"/>
        </w:rPr>
        <w:t>Fellowships</w:t>
      </w:r>
      <w:bookmarkEnd w:id="146"/>
    </w:p>
    <w:p w:rsidR="00CD36C4" w:rsidRPr="00772DA2" w:rsidRDefault="00CD36C4" w:rsidP="00CD36C4">
      <w:pPr>
        <w:pStyle w:val="Headingb"/>
        <w:spacing w:before="0"/>
        <w:jc w:val="center"/>
      </w:pPr>
      <w:r w:rsidRPr="00772DA2">
        <w:t>Table in thousands of CHF</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8"/>
        <w:gridCol w:w="1530"/>
        <w:gridCol w:w="1717"/>
        <w:gridCol w:w="1344"/>
        <w:gridCol w:w="1618"/>
      </w:tblGrid>
      <w:tr w:rsidR="00CD36C4" w:rsidRPr="00772DA2" w:rsidTr="005E7EC2">
        <w:trPr>
          <w:trHeight w:val="780"/>
          <w:jc w:val="center"/>
        </w:trPr>
        <w:tc>
          <w:tcPr>
            <w:tcW w:w="3268" w:type="dxa"/>
            <w:tcBorders>
              <w:bottom w:val="single" w:sz="4" w:space="0" w:color="auto"/>
            </w:tcBorders>
            <w:shd w:val="clear" w:color="auto" w:fill="auto"/>
            <w:noWrap/>
            <w:vAlign w:val="bottom"/>
            <w:hideMark/>
          </w:tcPr>
          <w:p w:rsidR="00CD36C4" w:rsidRPr="00772DA2" w:rsidRDefault="00CD36C4" w:rsidP="00340607">
            <w:pPr>
              <w:pStyle w:val="Tablehead"/>
              <w:rPr>
                <w:lang w:val="en-US"/>
              </w:rPr>
            </w:pPr>
          </w:p>
        </w:tc>
        <w:tc>
          <w:tcPr>
            <w:tcW w:w="1530" w:type="dxa"/>
            <w:tcBorders>
              <w:bottom w:val="single" w:sz="4" w:space="0" w:color="auto"/>
            </w:tcBorders>
            <w:shd w:val="clear" w:color="auto" w:fill="auto"/>
            <w:vAlign w:val="center"/>
            <w:hideMark/>
          </w:tcPr>
          <w:p w:rsidR="00CD36C4" w:rsidRPr="00772DA2" w:rsidRDefault="00CD36C4" w:rsidP="007F69FD">
            <w:pPr>
              <w:pStyle w:val="Tablehead"/>
              <w:rPr>
                <w:lang w:val="en-US"/>
              </w:rPr>
            </w:pPr>
            <w:r w:rsidRPr="00772DA2">
              <w:rPr>
                <w:lang w:val="en-US"/>
              </w:rPr>
              <w:t xml:space="preserve">Budget </w:t>
            </w:r>
            <w:r w:rsidR="00111BDD" w:rsidRPr="00772DA2">
              <w:rPr>
                <w:lang w:val="en-US"/>
              </w:rPr>
              <w:t>201</w:t>
            </w:r>
            <w:r w:rsidR="007F69FD">
              <w:rPr>
                <w:lang w:val="en-US"/>
              </w:rPr>
              <w:t>7</w:t>
            </w:r>
          </w:p>
        </w:tc>
        <w:tc>
          <w:tcPr>
            <w:tcW w:w="1717" w:type="dxa"/>
            <w:tcBorders>
              <w:bottom w:val="single" w:sz="4" w:space="0" w:color="auto"/>
            </w:tcBorders>
            <w:shd w:val="clear" w:color="auto" w:fill="auto"/>
            <w:vAlign w:val="center"/>
            <w:hideMark/>
          </w:tcPr>
          <w:p w:rsidR="00CD36C4" w:rsidRPr="00772DA2" w:rsidRDefault="00CD36C4" w:rsidP="007F69FD">
            <w:pPr>
              <w:pStyle w:val="Tablehead"/>
              <w:rPr>
                <w:lang w:val="en-US"/>
              </w:rPr>
            </w:pPr>
            <w:r w:rsidRPr="00772DA2">
              <w:rPr>
                <w:lang w:val="en-US"/>
              </w:rPr>
              <w:t xml:space="preserve">Expenses </w:t>
            </w:r>
            <w:r w:rsidR="00111BDD" w:rsidRPr="00772DA2">
              <w:rPr>
                <w:lang w:val="en-US"/>
              </w:rPr>
              <w:t>201</w:t>
            </w:r>
            <w:r w:rsidR="007F69FD">
              <w:rPr>
                <w:lang w:val="en-US"/>
              </w:rPr>
              <w:t>7</w:t>
            </w:r>
          </w:p>
        </w:tc>
        <w:tc>
          <w:tcPr>
            <w:tcW w:w="1344" w:type="dxa"/>
            <w:tcBorders>
              <w:bottom w:val="single" w:sz="4" w:space="0" w:color="auto"/>
            </w:tcBorders>
            <w:shd w:val="clear" w:color="auto" w:fill="auto"/>
            <w:noWrap/>
            <w:vAlign w:val="center"/>
            <w:hideMark/>
          </w:tcPr>
          <w:p w:rsidR="00CD36C4" w:rsidRPr="00772DA2" w:rsidRDefault="00CD36C4" w:rsidP="00340607">
            <w:pPr>
              <w:pStyle w:val="Tablehead"/>
              <w:rPr>
                <w:lang w:val="en-US"/>
              </w:rPr>
            </w:pPr>
            <w:r w:rsidRPr="00772DA2">
              <w:rPr>
                <w:lang w:val="en-US"/>
              </w:rPr>
              <w:t>Available</w:t>
            </w:r>
          </w:p>
        </w:tc>
        <w:tc>
          <w:tcPr>
            <w:tcW w:w="1618" w:type="dxa"/>
            <w:tcBorders>
              <w:bottom w:val="single" w:sz="4" w:space="0" w:color="auto"/>
            </w:tcBorders>
            <w:shd w:val="clear" w:color="auto" w:fill="auto"/>
            <w:noWrap/>
            <w:vAlign w:val="center"/>
            <w:hideMark/>
          </w:tcPr>
          <w:p w:rsidR="00CD36C4" w:rsidRPr="00772DA2" w:rsidRDefault="00CD36C4" w:rsidP="00340607">
            <w:pPr>
              <w:pStyle w:val="Tablehead"/>
              <w:rPr>
                <w:lang w:val="en-US"/>
              </w:rPr>
            </w:pPr>
            <w:r w:rsidRPr="00772DA2">
              <w:rPr>
                <w:lang w:val="en-US"/>
              </w:rPr>
              <w:t>Utilization rate</w:t>
            </w:r>
          </w:p>
        </w:tc>
      </w:tr>
      <w:tr w:rsidR="00CD36C4" w:rsidRPr="000C2D54" w:rsidTr="005E7EC2">
        <w:trPr>
          <w:trHeight w:val="255"/>
          <w:jc w:val="center"/>
        </w:trPr>
        <w:tc>
          <w:tcPr>
            <w:tcW w:w="3268" w:type="dxa"/>
            <w:tcBorders>
              <w:top w:val="single" w:sz="4" w:space="0" w:color="auto"/>
              <w:bottom w:val="nil"/>
            </w:tcBorders>
            <w:shd w:val="clear" w:color="auto" w:fill="auto"/>
            <w:vAlign w:val="bottom"/>
            <w:hideMark/>
          </w:tcPr>
          <w:p w:rsidR="00CD36C4" w:rsidRPr="00F00437" w:rsidRDefault="00CD36C4" w:rsidP="00340607">
            <w:pPr>
              <w:pStyle w:val="Tabletext"/>
              <w:spacing w:before="20" w:after="20"/>
              <w:rPr>
                <w:lang w:val="en-US"/>
              </w:rPr>
            </w:pPr>
            <w:r w:rsidRPr="00F00437">
              <w:rPr>
                <w:lang w:val="en-US"/>
              </w:rPr>
              <w:t>Regular budget</w:t>
            </w:r>
          </w:p>
        </w:tc>
        <w:tc>
          <w:tcPr>
            <w:tcW w:w="1530" w:type="dxa"/>
            <w:tcBorders>
              <w:top w:val="single" w:sz="4" w:space="0" w:color="auto"/>
              <w:bottom w:val="nil"/>
            </w:tcBorders>
            <w:shd w:val="clear" w:color="auto" w:fill="auto"/>
            <w:noWrap/>
            <w:vAlign w:val="center"/>
          </w:tcPr>
          <w:p w:rsidR="00CD36C4" w:rsidRPr="00F00437" w:rsidRDefault="00114765" w:rsidP="007F69FD">
            <w:pPr>
              <w:pStyle w:val="Tabletext"/>
              <w:spacing w:before="20" w:after="20"/>
              <w:ind w:right="288"/>
              <w:jc w:val="right"/>
              <w:rPr>
                <w:lang w:val="en-US"/>
              </w:rPr>
            </w:pPr>
            <w:r w:rsidRPr="00F00437">
              <w:rPr>
                <w:lang w:val="en-US"/>
              </w:rPr>
              <w:t>1’</w:t>
            </w:r>
            <w:r w:rsidR="007F69FD">
              <w:rPr>
                <w:lang w:val="en-US"/>
              </w:rPr>
              <w:t>686</w:t>
            </w:r>
          </w:p>
        </w:tc>
        <w:tc>
          <w:tcPr>
            <w:tcW w:w="1717" w:type="dxa"/>
            <w:tcBorders>
              <w:top w:val="single" w:sz="4" w:space="0" w:color="auto"/>
              <w:bottom w:val="nil"/>
            </w:tcBorders>
            <w:shd w:val="clear" w:color="auto" w:fill="auto"/>
            <w:noWrap/>
            <w:vAlign w:val="center"/>
          </w:tcPr>
          <w:p w:rsidR="00CD36C4" w:rsidRPr="00F00437" w:rsidRDefault="001D4B87" w:rsidP="007F69FD">
            <w:pPr>
              <w:pStyle w:val="Tabletext"/>
              <w:spacing w:before="20" w:after="20"/>
              <w:ind w:right="288"/>
              <w:jc w:val="right"/>
              <w:rPr>
                <w:lang w:val="en-US"/>
              </w:rPr>
            </w:pPr>
            <w:r>
              <w:rPr>
                <w:lang w:val="en-US"/>
              </w:rPr>
              <w:t>1’</w:t>
            </w:r>
            <w:r w:rsidR="007F69FD">
              <w:rPr>
                <w:lang w:val="en-US"/>
              </w:rPr>
              <w:t>131</w:t>
            </w:r>
          </w:p>
        </w:tc>
        <w:tc>
          <w:tcPr>
            <w:tcW w:w="1344" w:type="dxa"/>
            <w:tcBorders>
              <w:top w:val="single" w:sz="4" w:space="0" w:color="auto"/>
              <w:bottom w:val="nil"/>
            </w:tcBorders>
            <w:shd w:val="clear" w:color="auto" w:fill="auto"/>
            <w:noWrap/>
            <w:vAlign w:val="center"/>
          </w:tcPr>
          <w:p w:rsidR="00CD36C4" w:rsidRPr="00F00437" w:rsidRDefault="007F69FD" w:rsidP="007F69FD">
            <w:pPr>
              <w:pStyle w:val="Tabletext"/>
              <w:spacing w:before="20" w:after="20"/>
              <w:ind w:right="288"/>
              <w:jc w:val="right"/>
              <w:rPr>
                <w:lang w:val="en-US"/>
              </w:rPr>
            </w:pPr>
            <w:r>
              <w:rPr>
                <w:lang w:val="en-US"/>
              </w:rPr>
              <w:t>555</w:t>
            </w:r>
          </w:p>
        </w:tc>
        <w:tc>
          <w:tcPr>
            <w:tcW w:w="1618" w:type="dxa"/>
            <w:tcBorders>
              <w:top w:val="single" w:sz="4" w:space="0" w:color="auto"/>
              <w:bottom w:val="nil"/>
            </w:tcBorders>
            <w:shd w:val="clear" w:color="auto" w:fill="auto"/>
            <w:noWrap/>
            <w:vAlign w:val="center"/>
          </w:tcPr>
          <w:p w:rsidR="00CD36C4" w:rsidRPr="00F00437" w:rsidRDefault="007F69FD" w:rsidP="007F69FD">
            <w:pPr>
              <w:pStyle w:val="Tabletext"/>
              <w:spacing w:before="20" w:after="20"/>
              <w:ind w:right="288"/>
              <w:jc w:val="right"/>
              <w:rPr>
                <w:lang w:val="en-US"/>
              </w:rPr>
            </w:pPr>
            <w:r>
              <w:rPr>
                <w:lang w:val="en-US"/>
              </w:rPr>
              <w:t>67</w:t>
            </w:r>
            <w:r w:rsidR="00AB1394" w:rsidRPr="00F00437">
              <w:rPr>
                <w:lang w:val="en-US"/>
              </w:rPr>
              <w:t>%</w:t>
            </w:r>
          </w:p>
        </w:tc>
      </w:tr>
      <w:tr w:rsidR="00CD36C4" w:rsidRPr="000C2D54" w:rsidTr="005E7EC2">
        <w:trPr>
          <w:trHeight w:val="255"/>
          <w:jc w:val="center"/>
        </w:trPr>
        <w:tc>
          <w:tcPr>
            <w:tcW w:w="3268" w:type="dxa"/>
            <w:tcBorders>
              <w:top w:val="nil"/>
              <w:bottom w:val="single" w:sz="4" w:space="0" w:color="auto"/>
            </w:tcBorders>
            <w:shd w:val="clear" w:color="auto" w:fill="auto"/>
            <w:vAlign w:val="bottom"/>
          </w:tcPr>
          <w:p w:rsidR="00CD36C4" w:rsidRPr="00741B7B" w:rsidRDefault="00CD36C4" w:rsidP="00340607">
            <w:pPr>
              <w:pStyle w:val="Tabletext"/>
              <w:spacing w:before="20" w:after="20"/>
              <w:rPr>
                <w:lang w:val="en-US"/>
              </w:rPr>
            </w:pPr>
          </w:p>
        </w:tc>
        <w:tc>
          <w:tcPr>
            <w:tcW w:w="1530" w:type="dxa"/>
            <w:tcBorders>
              <w:top w:val="nil"/>
              <w:bottom w:val="single" w:sz="4" w:space="0" w:color="auto"/>
            </w:tcBorders>
            <w:shd w:val="clear" w:color="auto" w:fill="auto"/>
            <w:noWrap/>
            <w:vAlign w:val="center"/>
          </w:tcPr>
          <w:p w:rsidR="00CD36C4" w:rsidRPr="00741B7B" w:rsidRDefault="00CD36C4" w:rsidP="000C2D54">
            <w:pPr>
              <w:pStyle w:val="Tabletext"/>
              <w:spacing w:before="20" w:after="20"/>
              <w:ind w:right="288"/>
              <w:jc w:val="right"/>
              <w:rPr>
                <w:lang w:val="en-US"/>
              </w:rPr>
            </w:pPr>
          </w:p>
        </w:tc>
        <w:tc>
          <w:tcPr>
            <w:tcW w:w="1717" w:type="dxa"/>
            <w:tcBorders>
              <w:top w:val="nil"/>
              <w:bottom w:val="single" w:sz="4" w:space="0" w:color="auto"/>
            </w:tcBorders>
            <w:shd w:val="clear" w:color="auto" w:fill="auto"/>
            <w:noWrap/>
            <w:vAlign w:val="center"/>
          </w:tcPr>
          <w:p w:rsidR="00CD36C4" w:rsidRPr="00741B7B" w:rsidRDefault="00CD36C4" w:rsidP="000C2D54">
            <w:pPr>
              <w:pStyle w:val="Tabletext"/>
              <w:spacing w:before="20" w:after="20"/>
              <w:ind w:right="288"/>
              <w:jc w:val="right"/>
              <w:rPr>
                <w:lang w:val="en-US"/>
              </w:rPr>
            </w:pPr>
          </w:p>
        </w:tc>
        <w:tc>
          <w:tcPr>
            <w:tcW w:w="1344" w:type="dxa"/>
            <w:tcBorders>
              <w:top w:val="nil"/>
              <w:bottom w:val="single" w:sz="4" w:space="0" w:color="auto"/>
            </w:tcBorders>
            <w:shd w:val="clear" w:color="auto" w:fill="auto"/>
            <w:noWrap/>
            <w:vAlign w:val="center"/>
          </w:tcPr>
          <w:p w:rsidR="00CD36C4" w:rsidRPr="00741B7B" w:rsidRDefault="00CD36C4" w:rsidP="00340607">
            <w:pPr>
              <w:pStyle w:val="Tabletext"/>
              <w:spacing w:before="20" w:after="20"/>
              <w:ind w:right="288"/>
              <w:jc w:val="right"/>
              <w:rPr>
                <w:lang w:val="en-US"/>
              </w:rPr>
            </w:pPr>
          </w:p>
        </w:tc>
        <w:tc>
          <w:tcPr>
            <w:tcW w:w="1618" w:type="dxa"/>
            <w:tcBorders>
              <w:top w:val="nil"/>
              <w:bottom w:val="single" w:sz="4" w:space="0" w:color="auto"/>
            </w:tcBorders>
            <w:shd w:val="clear" w:color="auto" w:fill="auto"/>
            <w:noWrap/>
            <w:vAlign w:val="center"/>
          </w:tcPr>
          <w:p w:rsidR="00CD36C4" w:rsidRPr="00741B7B" w:rsidRDefault="00CD36C4" w:rsidP="000C2D54">
            <w:pPr>
              <w:pStyle w:val="Tabletext"/>
              <w:spacing w:before="20" w:after="20"/>
              <w:ind w:right="288"/>
              <w:jc w:val="right"/>
              <w:rPr>
                <w:lang w:val="en-US"/>
              </w:rPr>
            </w:pPr>
          </w:p>
        </w:tc>
      </w:tr>
    </w:tbl>
    <w:p w:rsidR="00CD36C4" w:rsidRPr="00772DA2" w:rsidRDefault="00CD36C4" w:rsidP="00CD36C4">
      <w:pPr>
        <w:tabs>
          <w:tab w:val="clear" w:pos="567"/>
          <w:tab w:val="clear" w:pos="1134"/>
          <w:tab w:val="clear" w:pos="1701"/>
          <w:tab w:val="clear" w:pos="2268"/>
          <w:tab w:val="clear" w:pos="2835"/>
          <w:tab w:val="left" w:pos="7350"/>
        </w:tabs>
        <w:spacing w:before="0"/>
        <w:rPr>
          <w:sz w:val="18"/>
          <w:szCs w:val="14"/>
          <w:lang w:val="en-US"/>
        </w:rPr>
      </w:pPr>
    </w:p>
    <w:p w:rsidR="00AB400A" w:rsidRPr="002B447E" w:rsidRDefault="00CD36C4" w:rsidP="007F69FD">
      <w:pPr>
        <w:pStyle w:val="ListParagraph"/>
        <w:numPr>
          <w:ilvl w:val="0"/>
          <w:numId w:val="18"/>
        </w:numPr>
        <w:tabs>
          <w:tab w:val="left" w:pos="851"/>
        </w:tabs>
        <w:ind w:left="0" w:firstLine="0"/>
        <w:jc w:val="both"/>
      </w:pPr>
      <w:r w:rsidRPr="002B447E">
        <w:rPr>
          <w:rFonts w:ascii="Calibri" w:eastAsia="Times New Roman" w:hAnsi="Calibri"/>
          <w:lang w:eastAsia="en-US"/>
        </w:rPr>
        <w:t xml:space="preserve">The </w:t>
      </w:r>
      <w:r w:rsidR="005E7EC2" w:rsidRPr="002B447E">
        <w:rPr>
          <w:rFonts w:ascii="Calibri" w:eastAsia="Times New Roman" w:hAnsi="Calibri"/>
          <w:lang w:eastAsia="en-US"/>
        </w:rPr>
        <w:t xml:space="preserve">expenses allocated </w:t>
      </w:r>
      <w:r w:rsidR="00EF43DD" w:rsidRPr="002B447E">
        <w:rPr>
          <w:rFonts w:ascii="Calibri" w:eastAsia="Times New Roman" w:hAnsi="Calibri"/>
          <w:lang w:eastAsia="en-US"/>
        </w:rPr>
        <w:t>to</w:t>
      </w:r>
      <w:r w:rsidR="006B474B" w:rsidRPr="002B447E">
        <w:rPr>
          <w:rFonts w:ascii="Calibri" w:eastAsia="Times New Roman" w:hAnsi="Calibri"/>
          <w:lang w:eastAsia="en-US"/>
        </w:rPr>
        <w:t xml:space="preserve"> fellowships for </w:t>
      </w:r>
      <w:r w:rsidR="00111BDD" w:rsidRPr="002B447E">
        <w:rPr>
          <w:rFonts w:ascii="Calibri" w:eastAsia="Times New Roman" w:hAnsi="Calibri"/>
          <w:lang w:eastAsia="en-US"/>
        </w:rPr>
        <w:t>201</w:t>
      </w:r>
      <w:r w:rsidR="007F69FD">
        <w:rPr>
          <w:rFonts w:ascii="Calibri" w:eastAsia="Times New Roman" w:hAnsi="Calibri"/>
          <w:lang w:eastAsia="en-US"/>
        </w:rPr>
        <w:t>7</w:t>
      </w:r>
      <w:r w:rsidRPr="002B447E">
        <w:rPr>
          <w:rFonts w:ascii="Calibri" w:eastAsia="Times New Roman" w:hAnsi="Calibri"/>
          <w:lang w:eastAsia="en-US"/>
        </w:rPr>
        <w:t xml:space="preserve"> </w:t>
      </w:r>
      <w:r w:rsidR="005E7EC2" w:rsidRPr="002B447E">
        <w:rPr>
          <w:rFonts w:ascii="Calibri" w:eastAsia="Times New Roman" w:hAnsi="Calibri"/>
          <w:lang w:eastAsia="en-US"/>
        </w:rPr>
        <w:t xml:space="preserve">by the </w:t>
      </w:r>
      <w:r w:rsidR="00794C2D" w:rsidRPr="002B447E">
        <w:rPr>
          <w:rFonts w:ascii="Calibri" w:eastAsia="Times New Roman" w:hAnsi="Calibri"/>
          <w:lang w:eastAsia="en-US"/>
        </w:rPr>
        <w:t>Extra-budgetary</w:t>
      </w:r>
      <w:r w:rsidR="005E7EC2" w:rsidRPr="002B447E">
        <w:rPr>
          <w:rFonts w:ascii="Calibri" w:eastAsia="Times New Roman" w:hAnsi="Calibri"/>
          <w:lang w:eastAsia="en-US"/>
        </w:rPr>
        <w:t xml:space="preserve"> funds amounted </w:t>
      </w:r>
      <w:r w:rsidRPr="002B447E">
        <w:rPr>
          <w:rFonts w:ascii="Calibri" w:eastAsia="Times New Roman" w:hAnsi="Calibri"/>
          <w:lang w:eastAsia="en-US"/>
        </w:rPr>
        <w:t xml:space="preserve">to </w:t>
      </w:r>
      <w:r w:rsidR="005E7EC2" w:rsidRPr="002B447E">
        <w:rPr>
          <w:rFonts w:ascii="Calibri" w:eastAsia="Times New Roman" w:hAnsi="Calibri"/>
          <w:lang w:eastAsia="en-US"/>
        </w:rPr>
        <w:t>K</w:t>
      </w:r>
      <w:r w:rsidRPr="002B447E">
        <w:rPr>
          <w:rFonts w:ascii="Calibri" w:eastAsia="Times New Roman" w:hAnsi="Calibri"/>
          <w:lang w:eastAsia="en-US"/>
        </w:rPr>
        <w:t>CHF </w:t>
      </w:r>
      <w:r w:rsidR="007F69FD">
        <w:rPr>
          <w:rFonts w:ascii="Calibri" w:eastAsia="Times New Roman" w:hAnsi="Calibri"/>
          <w:lang w:eastAsia="en-US"/>
        </w:rPr>
        <w:t>275</w:t>
      </w:r>
      <w:r w:rsidR="00EF43DD" w:rsidRPr="002B447E">
        <w:rPr>
          <w:rFonts w:ascii="Calibri" w:eastAsia="Times New Roman" w:hAnsi="Calibri"/>
          <w:lang w:eastAsia="en-US"/>
        </w:rPr>
        <w:t>,</w:t>
      </w:r>
      <w:r w:rsidR="005E7EC2" w:rsidRPr="002B447E">
        <w:rPr>
          <w:rFonts w:ascii="Calibri" w:eastAsia="Times New Roman" w:hAnsi="Calibri"/>
          <w:lang w:eastAsia="en-US"/>
        </w:rPr>
        <w:t xml:space="preserve"> including KCHF</w:t>
      </w:r>
      <w:r w:rsidR="00E01499">
        <w:rPr>
          <w:rFonts w:ascii="Calibri" w:eastAsia="Times New Roman" w:hAnsi="Calibri"/>
          <w:lang w:eastAsia="en-US"/>
        </w:rPr>
        <w:t> </w:t>
      </w:r>
      <w:r w:rsidR="007F69FD">
        <w:rPr>
          <w:rFonts w:ascii="Calibri" w:eastAsia="Times New Roman" w:hAnsi="Calibri"/>
          <w:lang w:eastAsia="en-US"/>
        </w:rPr>
        <w:t>12.5</w:t>
      </w:r>
      <w:r w:rsidR="005E7EC2" w:rsidRPr="002B447E">
        <w:rPr>
          <w:rFonts w:ascii="Calibri" w:eastAsia="Times New Roman" w:hAnsi="Calibri"/>
          <w:lang w:eastAsia="en-US"/>
        </w:rPr>
        <w:t xml:space="preserve"> for TELECOM.</w:t>
      </w:r>
    </w:p>
    <w:p w:rsidR="00CD36C4" w:rsidRPr="00F00437" w:rsidRDefault="00CD36C4" w:rsidP="00E01499">
      <w:pPr>
        <w:pStyle w:val="Headingb"/>
        <w:tabs>
          <w:tab w:val="left" w:pos="851"/>
        </w:tabs>
        <w:spacing w:after="120"/>
        <w:jc w:val="both"/>
        <w:rPr>
          <w:lang w:val="en-US"/>
        </w:rPr>
      </w:pPr>
      <w:r w:rsidRPr="00F00437">
        <w:rPr>
          <w:lang w:val="en-US"/>
        </w:rPr>
        <w:t>Reserve Account</w:t>
      </w:r>
    </w:p>
    <w:p w:rsidR="00CD36C4" w:rsidRDefault="00CD36C4" w:rsidP="00CB657D">
      <w:pPr>
        <w:pStyle w:val="ListParagraph"/>
        <w:numPr>
          <w:ilvl w:val="0"/>
          <w:numId w:val="18"/>
        </w:numPr>
        <w:tabs>
          <w:tab w:val="left" w:pos="851"/>
        </w:tabs>
        <w:adjustRightInd w:val="0"/>
        <w:snapToGrid w:val="0"/>
        <w:ind w:left="0" w:firstLine="0"/>
        <w:contextualSpacing w:val="0"/>
        <w:jc w:val="both"/>
        <w:rPr>
          <w:rFonts w:ascii="Calibri" w:eastAsia="Times New Roman" w:hAnsi="Calibri"/>
          <w:lang w:eastAsia="en-US"/>
        </w:rPr>
      </w:pPr>
      <w:r w:rsidRPr="002B447E">
        <w:rPr>
          <w:rFonts w:ascii="Calibri" w:eastAsia="Times New Roman" w:hAnsi="Calibri"/>
          <w:lang w:eastAsia="en-US"/>
        </w:rPr>
        <w:t xml:space="preserve">In accordance with No. 485 of the Convention and Article 27 of the Financial Regulations, the Reserve Account is maintained mainly from unused appropriations. </w:t>
      </w:r>
      <w:r w:rsidR="001C6301">
        <w:rPr>
          <w:rFonts w:ascii="Calibri" w:eastAsia="Times New Roman" w:hAnsi="Calibri"/>
          <w:lang w:eastAsia="en-US"/>
        </w:rPr>
        <w:t xml:space="preserve"> </w:t>
      </w:r>
      <w:r w:rsidRPr="002B447E">
        <w:rPr>
          <w:rFonts w:ascii="Calibri" w:eastAsia="Times New Roman" w:hAnsi="Calibri"/>
          <w:lang w:eastAsia="en-US"/>
        </w:rPr>
        <w:t>It is thus made up of ITU</w:t>
      </w:r>
      <w:r w:rsidR="007A552E" w:rsidRPr="002B447E">
        <w:rPr>
          <w:rFonts w:ascii="Calibri" w:eastAsia="Times New Roman" w:hAnsi="Calibri"/>
          <w:lang w:eastAsia="en-US"/>
        </w:rPr>
        <w:t>’</w:t>
      </w:r>
      <w:r w:rsidRPr="002B447E">
        <w:rPr>
          <w:rFonts w:ascii="Calibri" w:eastAsia="Times New Roman" w:hAnsi="Calibri"/>
          <w:lang w:eastAsia="en-US"/>
        </w:rPr>
        <w:t>s own funds.</w:t>
      </w:r>
    </w:p>
    <w:p w:rsidR="001C6301" w:rsidRPr="002B447E" w:rsidRDefault="001C6301" w:rsidP="00CB657D">
      <w:pPr>
        <w:pStyle w:val="ListParagraph"/>
        <w:tabs>
          <w:tab w:val="left" w:pos="851"/>
        </w:tabs>
        <w:adjustRightInd w:val="0"/>
        <w:snapToGrid w:val="0"/>
        <w:ind w:left="0"/>
        <w:contextualSpacing w:val="0"/>
        <w:jc w:val="both"/>
        <w:rPr>
          <w:rFonts w:ascii="Calibri" w:eastAsia="Times New Roman" w:hAnsi="Calibri"/>
          <w:lang w:eastAsia="en-US"/>
        </w:rPr>
      </w:pPr>
    </w:p>
    <w:p w:rsidR="00CD36C4" w:rsidRPr="002B447E" w:rsidRDefault="00CD36C4" w:rsidP="00CB657D">
      <w:pPr>
        <w:pStyle w:val="ListParagraph"/>
        <w:numPr>
          <w:ilvl w:val="0"/>
          <w:numId w:val="18"/>
        </w:numPr>
        <w:tabs>
          <w:tab w:val="left" w:pos="851"/>
        </w:tabs>
        <w:adjustRightInd w:val="0"/>
        <w:snapToGrid w:val="0"/>
        <w:ind w:left="0" w:firstLine="0"/>
        <w:contextualSpacing w:val="0"/>
        <w:jc w:val="both"/>
        <w:rPr>
          <w:rFonts w:ascii="Calibri" w:eastAsia="Times New Roman" w:hAnsi="Calibri"/>
          <w:lang w:eastAsia="en-US"/>
        </w:rPr>
      </w:pPr>
      <w:r w:rsidRPr="002B447E">
        <w:rPr>
          <w:rFonts w:ascii="Calibri" w:eastAsia="Times New Roman" w:hAnsi="Calibri"/>
          <w:lang w:eastAsia="en-US"/>
        </w:rPr>
        <w:t xml:space="preserve">The Reserve Account also includes funds derived from those activities in respect of which ITU applies the cost-recovery principle pursuant to Council Resolution 1113 (Document C97/133). </w:t>
      </w:r>
      <w:r w:rsidR="001C6301">
        <w:rPr>
          <w:rFonts w:ascii="Calibri" w:eastAsia="Times New Roman" w:hAnsi="Calibri"/>
          <w:lang w:eastAsia="en-US"/>
        </w:rPr>
        <w:t xml:space="preserve"> </w:t>
      </w:r>
      <w:r w:rsidRPr="002B447E">
        <w:rPr>
          <w:rFonts w:ascii="Calibri" w:eastAsia="Times New Roman" w:hAnsi="Calibri"/>
          <w:lang w:eastAsia="en-US"/>
        </w:rPr>
        <w:t>The products and services to which ITU applies cost recovery are currently:</w:t>
      </w:r>
    </w:p>
    <w:p w:rsidR="00CD36C4" w:rsidRPr="00F00437" w:rsidRDefault="00CD36C4" w:rsidP="00706E3E">
      <w:pPr>
        <w:pStyle w:val="enumlev1"/>
        <w:jc w:val="both"/>
        <w:rPr>
          <w:lang w:val="en-US"/>
        </w:rPr>
      </w:pPr>
      <w:r w:rsidRPr="00F00437">
        <w:rPr>
          <w:lang w:val="en-US"/>
        </w:rPr>
        <w:t>–</w:t>
      </w:r>
      <w:r w:rsidRPr="00F00437">
        <w:rPr>
          <w:lang w:val="en-US"/>
        </w:rPr>
        <w:tab/>
      </w:r>
      <w:proofErr w:type="gramStart"/>
      <w:r w:rsidRPr="00F00437">
        <w:rPr>
          <w:lang w:val="en-US"/>
        </w:rPr>
        <w:t>registration</w:t>
      </w:r>
      <w:proofErr w:type="gramEnd"/>
      <w:r w:rsidRPr="00F00437">
        <w:rPr>
          <w:lang w:val="en-US"/>
        </w:rPr>
        <w:t xml:space="preserve"> of universal international </w:t>
      </w:r>
      <w:proofErr w:type="spellStart"/>
      <w:r w:rsidRPr="00F00437">
        <w:rPr>
          <w:lang w:val="en-US"/>
        </w:rPr>
        <w:t>freephone</w:t>
      </w:r>
      <w:proofErr w:type="spellEnd"/>
      <w:r w:rsidRPr="00F00437">
        <w:rPr>
          <w:lang w:val="en-US"/>
        </w:rPr>
        <w:t xml:space="preserve"> numbers (UIFN)</w:t>
      </w:r>
      <w:r w:rsidR="00AA20AB" w:rsidRPr="00F00437">
        <w:rPr>
          <w:lang w:val="en-US"/>
        </w:rPr>
        <w:t>;</w:t>
      </w:r>
    </w:p>
    <w:p w:rsidR="00CD36C4" w:rsidRPr="00F00437" w:rsidRDefault="00CD36C4" w:rsidP="00741B7B">
      <w:pPr>
        <w:pStyle w:val="enumlev1"/>
        <w:snapToGrid w:val="0"/>
        <w:spacing w:before="60" w:after="60"/>
        <w:jc w:val="both"/>
        <w:rPr>
          <w:lang w:val="en-US"/>
        </w:rPr>
      </w:pPr>
      <w:r w:rsidRPr="00F00437">
        <w:rPr>
          <w:lang w:val="en-US"/>
        </w:rPr>
        <w:t>–</w:t>
      </w:r>
      <w:r w:rsidRPr="00F00437">
        <w:rPr>
          <w:lang w:val="en-US"/>
        </w:rPr>
        <w:tab/>
        <w:t>Memorandum of Understanding on global mobile personal communication systems (GMPCS MoUs)</w:t>
      </w:r>
      <w:r w:rsidR="00AA20AB" w:rsidRPr="00F00437">
        <w:rPr>
          <w:lang w:val="en-US"/>
        </w:rPr>
        <w:t>;</w:t>
      </w:r>
    </w:p>
    <w:p w:rsidR="00CD36C4" w:rsidRPr="00F00437" w:rsidRDefault="00CD36C4" w:rsidP="00741B7B">
      <w:pPr>
        <w:pStyle w:val="enumlev1"/>
        <w:snapToGrid w:val="0"/>
        <w:spacing w:before="0" w:after="60"/>
        <w:jc w:val="both"/>
        <w:rPr>
          <w:lang w:val="en-US"/>
        </w:rPr>
      </w:pPr>
      <w:r w:rsidRPr="00F00437">
        <w:rPr>
          <w:lang w:val="en-US"/>
        </w:rPr>
        <w:t>–</w:t>
      </w:r>
      <w:r w:rsidRPr="00F00437">
        <w:rPr>
          <w:lang w:val="en-US"/>
        </w:rPr>
        <w:tab/>
        <w:t>processing of satellite network filings</w:t>
      </w:r>
      <w:r w:rsidR="00AA20AB" w:rsidRPr="00F00437">
        <w:rPr>
          <w:lang w:val="en-US"/>
        </w:rPr>
        <w:t>;</w:t>
      </w:r>
    </w:p>
    <w:p w:rsidR="00CD36C4" w:rsidRPr="00F00437" w:rsidRDefault="00CD36C4" w:rsidP="00741B7B">
      <w:pPr>
        <w:pStyle w:val="enumlev1"/>
        <w:snapToGrid w:val="0"/>
        <w:spacing w:before="0" w:after="60"/>
        <w:jc w:val="both"/>
        <w:rPr>
          <w:lang w:val="en-US"/>
        </w:rPr>
      </w:pPr>
      <w:r w:rsidRPr="00F00437">
        <w:rPr>
          <w:lang w:val="en-US"/>
        </w:rPr>
        <w:t>–</w:t>
      </w:r>
      <w:r w:rsidRPr="00F00437">
        <w:rPr>
          <w:lang w:val="en-US"/>
        </w:rPr>
        <w:tab/>
      </w:r>
      <w:proofErr w:type="gramStart"/>
      <w:r w:rsidRPr="00F00437">
        <w:rPr>
          <w:lang w:val="en-US"/>
        </w:rPr>
        <w:t>registration</w:t>
      </w:r>
      <w:proofErr w:type="gramEnd"/>
      <w:r w:rsidRPr="00F00437">
        <w:rPr>
          <w:lang w:val="en-US"/>
        </w:rPr>
        <w:t xml:space="preserve"> of universal international premium-rate numbers (UIPRN) and universal international shared-cost numbers (UISCN)</w:t>
      </w:r>
      <w:r w:rsidR="00AA20AB" w:rsidRPr="00F00437">
        <w:rPr>
          <w:lang w:val="en-US"/>
        </w:rPr>
        <w:t>;</w:t>
      </w:r>
    </w:p>
    <w:p w:rsidR="00CD36C4" w:rsidRPr="00F00437" w:rsidRDefault="00CD36C4" w:rsidP="00741B7B">
      <w:pPr>
        <w:pStyle w:val="enumlev1"/>
        <w:snapToGrid w:val="0"/>
        <w:spacing w:before="0" w:after="60"/>
        <w:jc w:val="both"/>
        <w:rPr>
          <w:lang w:val="en-US"/>
        </w:rPr>
      </w:pPr>
      <w:r w:rsidRPr="00F00437">
        <w:rPr>
          <w:lang w:val="en-US"/>
        </w:rPr>
        <w:t>–</w:t>
      </w:r>
      <w:r w:rsidRPr="00F00437">
        <w:rPr>
          <w:lang w:val="en-US"/>
        </w:rPr>
        <w:tab/>
        <w:t>TELECOM</w:t>
      </w:r>
      <w:r w:rsidR="00AA20AB" w:rsidRPr="00F00437">
        <w:rPr>
          <w:lang w:val="en-US"/>
        </w:rPr>
        <w:t>;</w:t>
      </w:r>
    </w:p>
    <w:p w:rsidR="00CD36C4" w:rsidRPr="00F00437" w:rsidRDefault="00CD36C4" w:rsidP="00741B7B">
      <w:pPr>
        <w:pStyle w:val="enumlev1"/>
        <w:snapToGrid w:val="0"/>
        <w:spacing w:before="0" w:after="60"/>
        <w:jc w:val="both"/>
        <w:rPr>
          <w:lang w:val="en-US"/>
        </w:rPr>
      </w:pPr>
      <w:r w:rsidRPr="00F00437">
        <w:rPr>
          <w:lang w:val="en-US"/>
        </w:rPr>
        <w:t>–</w:t>
      </w:r>
      <w:r w:rsidRPr="00F00437">
        <w:rPr>
          <w:lang w:val="en-US"/>
        </w:rPr>
        <w:tab/>
      </w:r>
      <w:proofErr w:type="gramStart"/>
      <w:r w:rsidRPr="00F00437">
        <w:rPr>
          <w:lang w:val="en-US"/>
        </w:rPr>
        <w:t>publication</w:t>
      </w:r>
      <w:proofErr w:type="gramEnd"/>
      <w:r w:rsidRPr="00F00437">
        <w:rPr>
          <w:lang w:val="en-US"/>
        </w:rPr>
        <w:t xml:space="preserve"> sales</w:t>
      </w:r>
      <w:r w:rsidR="00AA20AB" w:rsidRPr="00F00437">
        <w:rPr>
          <w:lang w:val="en-US"/>
        </w:rPr>
        <w:t>;</w:t>
      </w:r>
    </w:p>
    <w:p w:rsidR="00CD36C4" w:rsidRDefault="00CD36C4" w:rsidP="00741B7B">
      <w:pPr>
        <w:pStyle w:val="enumlev1"/>
        <w:snapToGrid w:val="0"/>
        <w:spacing w:before="0" w:after="60"/>
        <w:jc w:val="both"/>
        <w:rPr>
          <w:lang w:val="en-US"/>
        </w:rPr>
      </w:pPr>
      <w:r w:rsidRPr="00F00437">
        <w:rPr>
          <w:lang w:val="en-US"/>
        </w:rPr>
        <w:t>–</w:t>
      </w:r>
      <w:r w:rsidRPr="00F00437">
        <w:rPr>
          <w:lang w:val="en-US"/>
        </w:rPr>
        <w:tab/>
      </w:r>
      <w:proofErr w:type="gramStart"/>
      <w:r w:rsidRPr="00F00437">
        <w:rPr>
          <w:lang w:val="en-US"/>
        </w:rPr>
        <w:t>project</w:t>
      </w:r>
      <w:proofErr w:type="gramEnd"/>
      <w:r w:rsidRPr="00F00437">
        <w:rPr>
          <w:lang w:val="en-US"/>
        </w:rPr>
        <w:t xml:space="preserve"> support revenue.</w:t>
      </w:r>
    </w:p>
    <w:p w:rsidR="009623EA" w:rsidRPr="0002174A" w:rsidRDefault="009623EA" w:rsidP="007862AE">
      <w:pPr>
        <w:pStyle w:val="Heading9"/>
        <w:tabs>
          <w:tab w:val="left" w:pos="851"/>
        </w:tabs>
        <w:snapToGrid w:val="0"/>
        <w:spacing w:before="360" w:after="240"/>
        <w:jc w:val="both"/>
        <w:rPr>
          <w:w w:val="105"/>
          <w:sz w:val="28"/>
          <w:szCs w:val="28"/>
          <w:lang w:val="en-US"/>
        </w:rPr>
      </w:pPr>
      <w:r w:rsidRPr="0002174A">
        <w:rPr>
          <w:w w:val="105"/>
          <w:sz w:val="28"/>
          <w:szCs w:val="28"/>
          <w:lang w:val="en-US"/>
        </w:rPr>
        <w:t>II</w:t>
      </w:r>
      <w:r w:rsidRPr="0002174A">
        <w:rPr>
          <w:w w:val="105"/>
          <w:sz w:val="28"/>
          <w:szCs w:val="28"/>
          <w:lang w:val="en-US"/>
        </w:rPr>
        <w:tab/>
      </w:r>
      <w:r w:rsidR="00B74DD8">
        <w:rPr>
          <w:w w:val="105"/>
          <w:sz w:val="28"/>
          <w:szCs w:val="28"/>
          <w:lang w:val="en-US"/>
        </w:rPr>
        <w:tab/>
      </w:r>
      <w:r>
        <w:rPr>
          <w:w w:val="105"/>
          <w:sz w:val="28"/>
          <w:szCs w:val="28"/>
          <w:lang w:val="en-US"/>
        </w:rPr>
        <w:t>NEW HEADQUARTER</w:t>
      </w:r>
      <w:r w:rsidR="00876E7C">
        <w:rPr>
          <w:w w:val="105"/>
          <w:sz w:val="28"/>
          <w:szCs w:val="28"/>
          <w:lang w:val="en-US"/>
        </w:rPr>
        <w:t>S</w:t>
      </w:r>
      <w:r>
        <w:rPr>
          <w:w w:val="105"/>
          <w:sz w:val="28"/>
          <w:szCs w:val="28"/>
          <w:lang w:val="en-US"/>
        </w:rPr>
        <w:t xml:space="preserve"> PREMISES (</w:t>
      </w:r>
      <w:r w:rsidRPr="0002174A">
        <w:rPr>
          <w:w w:val="105"/>
          <w:sz w:val="28"/>
          <w:szCs w:val="28"/>
          <w:lang w:val="en-US"/>
        </w:rPr>
        <w:t xml:space="preserve">ANNEX </w:t>
      </w:r>
      <w:r>
        <w:rPr>
          <w:w w:val="105"/>
          <w:sz w:val="28"/>
          <w:szCs w:val="28"/>
          <w:lang w:val="en-US"/>
        </w:rPr>
        <w:t>A2</w:t>
      </w:r>
      <w:r w:rsidRPr="005F5EA1">
        <w:rPr>
          <w:w w:val="105"/>
          <w:sz w:val="28"/>
          <w:szCs w:val="28"/>
          <w:lang w:val="en-US"/>
        </w:rPr>
        <w:t>)</w:t>
      </w:r>
    </w:p>
    <w:p w:rsidR="002E36E6" w:rsidRPr="002E36E6" w:rsidRDefault="002E36E6" w:rsidP="007862AE">
      <w:pPr>
        <w:pStyle w:val="ListParagraph"/>
        <w:numPr>
          <w:ilvl w:val="0"/>
          <w:numId w:val="18"/>
        </w:numPr>
        <w:tabs>
          <w:tab w:val="left" w:pos="851"/>
        </w:tabs>
        <w:spacing w:before="240"/>
        <w:ind w:left="0" w:firstLine="0"/>
        <w:jc w:val="both"/>
        <w:rPr>
          <w:rFonts w:ascii="Calibri" w:eastAsia="Times New Roman" w:hAnsi="Calibri"/>
          <w:lang w:eastAsia="en-US"/>
        </w:rPr>
      </w:pPr>
      <w:r w:rsidRPr="002E36E6">
        <w:rPr>
          <w:rFonts w:ascii="Calibri" w:eastAsia="Times New Roman" w:hAnsi="Calibri"/>
          <w:lang w:eastAsia="en-US"/>
        </w:rPr>
        <w:t xml:space="preserve">ITU, in collaboration with the Building Foundation for International Organizations (FIPOI), has organized a competition for the construction of a new building to replace the </w:t>
      </w:r>
      <w:proofErr w:type="spellStart"/>
      <w:r w:rsidRPr="002E36E6">
        <w:rPr>
          <w:rFonts w:ascii="Calibri" w:eastAsia="Times New Roman" w:hAnsi="Calibri"/>
          <w:lang w:eastAsia="en-US"/>
        </w:rPr>
        <w:t>Varembé</w:t>
      </w:r>
      <w:proofErr w:type="spellEnd"/>
      <w:r w:rsidRPr="002E36E6">
        <w:rPr>
          <w:rFonts w:ascii="Calibri" w:eastAsia="Times New Roman" w:hAnsi="Calibri"/>
          <w:lang w:eastAsia="en-US"/>
        </w:rPr>
        <w:t xml:space="preserve"> building, which will be demolished. This new building will represent ITU Headquarters in Geneva.</w:t>
      </w:r>
    </w:p>
    <w:p w:rsidR="002E36E6" w:rsidRPr="002E36E6" w:rsidRDefault="002E36E6" w:rsidP="002E36E6">
      <w:pPr>
        <w:pStyle w:val="ListParagraph"/>
        <w:tabs>
          <w:tab w:val="left" w:pos="851"/>
        </w:tabs>
        <w:ind w:left="0"/>
        <w:jc w:val="both"/>
        <w:rPr>
          <w:rFonts w:ascii="Calibri" w:eastAsia="Times New Roman" w:hAnsi="Calibri"/>
          <w:lang w:eastAsia="en-US"/>
        </w:rPr>
      </w:pPr>
    </w:p>
    <w:p w:rsidR="002E36E6" w:rsidRPr="002E36E6" w:rsidRDefault="002E36E6" w:rsidP="002E36E6">
      <w:pPr>
        <w:pStyle w:val="ListParagraph"/>
        <w:numPr>
          <w:ilvl w:val="0"/>
          <w:numId w:val="18"/>
        </w:numPr>
        <w:tabs>
          <w:tab w:val="left" w:pos="851"/>
        </w:tabs>
        <w:ind w:left="0" w:firstLine="0"/>
        <w:jc w:val="both"/>
        <w:rPr>
          <w:rFonts w:ascii="Calibri" w:eastAsia="Times New Roman" w:hAnsi="Calibri"/>
          <w:lang w:eastAsia="en-US"/>
        </w:rPr>
      </w:pPr>
      <w:r w:rsidRPr="002E36E6">
        <w:rPr>
          <w:rFonts w:ascii="Calibri" w:eastAsia="Times New Roman" w:hAnsi="Calibri"/>
          <w:lang w:eastAsia="en-US"/>
        </w:rPr>
        <w:t xml:space="preserve">An international project architecture competition, in a multi-stage open procedure, was </w:t>
      </w:r>
      <w:r w:rsidR="00E17396" w:rsidRPr="002E36E6">
        <w:rPr>
          <w:rFonts w:ascii="Calibri" w:eastAsia="Times New Roman" w:hAnsi="Calibri"/>
          <w:lang w:eastAsia="en-US"/>
        </w:rPr>
        <w:t>organized</w:t>
      </w:r>
      <w:r w:rsidRPr="002E36E6">
        <w:rPr>
          <w:rFonts w:ascii="Calibri" w:eastAsia="Times New Roman" w:hAnsi="Calibri"/>
          <w:lang w:eastAsia="en-US"/>
        </w:rPr>
        <w:t xml:space="preserve"> in accordance with the "Procedures and forms for awarding architectural services mandates" of the Swiss Society of Engineers and Architects (SIA).</w:t>
      </w:r>
    </w:p>
    <w:p w:rsidR="002E36E6" w:rsidRPr="002E36E6" w:rsidRDefault="002E36E6" w:rsidP="002E36E6">
      <w:pPr>
        <w:pStyle w:val="ListParagraph"/>
        <w:tabs>
          <w:tab w:val="left" w:pos="851"/>
        </w:tabs>
        <w:ind w:left="0"/>
        <w:jc w:val="both"/>
        <w:rPr>
          <w:rFonts w:ascii="Calibri" w:eastAsia="Times New Roman" w:hAnsi="Calibri"/>
          <w:lang w:eastAsia="en-US"/>
        </w:rPr>
      </w:pPr>
    </w:p>
    <w:p w:rsidR="002E36E6" w:rsidRPr="002E36E6" w:rsidRDefault="002E36E6" w:rsidP="0015612B">
      <w:pPr>
        <w:pStyle w:val="ListParagraph"/>
        <w:numPr>
          <w:ilvl w:val="0"/>
          <w:numId w:val="18"/>
        </w:numPr>
        <w:tabs>
          <w:tab w:val="left" w:pos="851"/>
        </w:tabs>
        <w:ind w:left="0" w:firstLine="0"/>
        <w:jc w:val="both"/>
        <w:rPr>
          <w:rFonts w:ascii="Calibri" w:eastAsia="Times New Roman" w:hAnsi="Calibri"/>
          <w:lang w:eastAsia="en-US"/>
        </w:rPr>
      </w:pPr>
      <w:r w:rsidRPr="002E36E6">
        <w:rPr>
          <w:rFonts w:ascii="Calibri" w:eastAsia="Times New Roman" w:hAnsi="Calibri"/>
          <w:lang w:eastAsia="en-US"/>
        </w:rPr>
        <w:t>The first meeting of the Jury took place from 27 to 29 June 2017 in Geneva at ITU Headquarters.  About fifteen projects were selected for which the Jury Members requested further development.</w:t>
      </w:r>
      <w:r w:rsidR="00E17396">
        <w:rPr>
          <w:rFonts w:ascii="Calibri" w:eastAsia="Times New Roman" w:hAnsi="Calibri"/>
          <w:lang w:eastAsia="en-US"/>
        </w:rPr>
        <w:t xml:space="preserve"> </w:t>
      </w:r>
      <w:r w:rsidRPr="002E36E6">
        <w:rPr>
          <w:rFonts w:ascii="Calibri" w:eastAsia="Times New Roman" w:hAnsi="Calibri"/>
          <w:lang w:eastAsia="en-US"/>
        </w:rPr>
        <w:t>The 2nd meeting of the Jury took place from 7 to 9 November 2017 in Geneva at ITU Headquarters. During this meeting, the 15 candidates of the selected projects of the 1st round were examined, among which 4 successful candidates.</w:t>
      </w:r>
    </w:p>
    <w:p w:rsidR="002E36E6" w:rsidRPr="002E36E6" w:rsidRDefault="002E36E6" w:rsidP="002E36E6">
      <w:pPr>
        <w:pStyle w:val="ListParagraph"/>
        <w:tabs>
          <w:tab w:val="left" w:pos="851"/>
        </w:tabs>
        <w:ind w:left="0"/>
        <w:jc w:val="both"/>
        <w:rPr>
          <w:rFonts w:ascii="Calibri" w:eastAsia="Times New Roman" w:hAnsi="Calibri"/>
          <w:lang w:eastAsia="en-US"/>
        </w:rPr>
      </w:pPr>
    </w:p>
    <w:p w:rsidR="002E36E6" w:rsidRDefault="002E36E6" w:rsidP="00B51122">
      <w:pPr>
        <w:pStyle w:val="ListParagraph"/>
        <w:numPr>
          <w:ilvl w:val="0"/>
          <w:numId w:val="18"/>
        </w:numPr>
        <w:tabs>
          <w:tab w:val="left" w:pos="851"/>
        </w:tabs>
        <w:ind w:left="0" w:firstLine="0"/>
        <w:jc w:val="both"/>
        <w:rPr>
          <w:rFonts w:ascii="Calibri" w:eastAsia="Times New Roman" w:hAnsi="Calibri"/>
          <w:lang w:eastAsia="en-US"/>
        </w:rPr>
      </w:pPr>
      <w:r w:rsidRPr="002E36E6">
        <w:rPr>
          <w:rFonts w:ascii="Calibri" w:eastAsia="Times New Roman" w:hAnsi="Calibri"/>
          <w:lang w:eastAsia="en-US"/>
        </w:rPr>
        <w:t xml:space="preserve">Of these 4 winners, the members of the Jury made the final selection of the winner </w:t>
      </w:r>
      <w:r w:rsidR="00B51122">
        <w:rPr>
          <w:rFonts w:ascii="Calibri" w:eastAsia="Times New Roman" w:hAnsi="Calibri"/>
          <w:lang w:eastAsia="en-US"/>
        </w:rPr>
        <w:t>Mr. </w:t>
      </w:r>
      <w:r w:rsidRPr="002E36E6">
        <w:rPr>
          <w:rFonts w:ascii="Calibri" w:eastAsia="Times New Roman" w:hAnsi="Calibri"/>
          <w:lang w:eastAsia="en-US"/>
        </w:rPr>
        <w:t>Christian</w:t>
      </w:r>
      <w:r w:rsidR="00B51122">
        <w:rPr>
          <w:rFonts w:ascii="Calibri" w:eastAsia="Times New Roman" w:hAnsi="Calibri"/>
          <w:lang w:eastAsia="en-US"/>
        </w:rPr>
        <w:t> </w:t>
      </w:r>
      <w:proofErr w:type="spellStart"/>
      <w:r w:rsidRPr="002E36E6">
        <w:rPr>
          <w:rFonts w:ascii="Calibri" w:eastAsia="Times New Roman" w:hAnsi="Calibri"/>
          <w:lang w:eastAsia="en-US"/>
        </w:rPr>
        <w:t>Dupraz</w:t>
      </w:r>
      <w:proofErr w:type="spellEnd"/>
      <w:r w:rsidRPr="002E36E6">
        <w:rPr>
          <w:rFonts w:ascii="Calibri" w:eastAsia="Times New Roman" w:hAnsi="Calibri"/>
          <w:lang w:eastAsia="en-US"/>
        </w:rPr>
        <w:t xml:space="preserve"> for his Microcosm Project.</w:t>
      </w:r>
    </w:p>
    <w:p w:rsidR="002E36E6" w:rsidRPr="002E36E6" w:rsidRDefault="002E36E6" w:rsidP="002E36E6">
      <w:pPr>
        <w:pStyle w:val="ListParagraph"/>
        <w:tabs>
          <w:tab w:val="left" w:pos="851"/>
        </w:tabs>
        <w:ind w:left="0"/>
        <w:jc w:val="both"/>
        <w:rPr>
          <w:rFonts w:ascii="Calibri" w:eastAsia="Times New Roman" w:hAnsi="Calibri"/>
          <w:lang w:eastAsia="en-US"/>
        </w:rPr>
      </w:pPr>
    </w:p>
    <w:p w:rsidR="002E36E6" w:rsidRPr="00E17396" w:rsidRDefault="002E36E6" w:rsidP="00BA43BB">
      <w:pPr>
        <w:pStyle w:val="ListParagraph"/>
        <w:numPr>
          <w:ilvl w:val="0"/>
          <w:numId w:val="18"/>
        </w:numPr>
        <w:tabs>
          <w:tab w:val="left" w:pos="851"/>
        </w:tabs>
        <w:ind w:left="0" w:firstLine="0"/>
        <w:jc w:val="both"/>
        <w:rPr>
          <w:rFonts w:ascii="Calibri" w:eastAsia="Times New Roman" w:hAnsi="Calibri"/>
          <w:lang w:eastAsia="en-US"/>
        </w:rPr>
      </w:pPr>
      <w:r w:rsidRPr="002E36E6">
        <w:rPr>
          <w:rFonts w:ascii="Calibri" w:eastAsia="Times New Roman" w:hAnsi="Calibri"/>
          <w:lang w:eastAsia="en-US"/>
        </w:rPr>
        <w:t>The Project Competition Phase for this new building lasted one year according to the established Plan. The expenses related to the activities of this first phase amounted to CHF</w:t>
      </w:r>
      <w:r w:rsidR="00BA43BB">
        <w:rPr>
          <w:rFonts w:ascii="Calibri" w:eastAsia="Times New Roman" w:hAnsi="Calibri"/>
          <w:lang w:eastAsia="en-US"/>
        </w:rPr>
        <w:t> </w:t>
      </w:r>
      <w:r w:rsidRPr="002E36E6">
        <w:rPr>
          <w:rFonts w:ascii="Calibri" w:eastAsia="Times New Roman" w:hAnsi="Calibri"/>
          <w:lang w:eastAsia="en-US"/>
        </w:rPr>
        <w:t>718,158 and are below the allocated budget.</w:t>
      </w:r>
    </w:p>
    <w:p w:rsidR="00CD36C4" w:rsidRPr="0002174A" w:rsidRDefault="00CD36C4" w:rsidP="00B74DD8">
      <w:pPr>
        <w:pStyle w:val="Heading9"/>
        <w:tabs>
          <w:tab w:val="clear" w:pos="567"/>
          <w:tab w:val="clear" w:pos="1134"/>
          <w:tab w:val="left" w:pos="851"/>
        </w:tabs>
        <w:spacing w:before="360"/>
        <w:rPr>
          <w:w w:val="105"/>
          <w:sz w:val="28"/>
          <w:szCs w:val="28"/>
          <w:lang w:val="en-US"/>
        </w:rPr>
      </w:pPr>
      <w:r w:rsidRPr="0002174A">
        <w:rPr>
          <w:w w:val="105"/>
          <w:sz w:val="28"/>
          <w:szCs w:val="28"/>
          <w:lang w:val="en-US"/>
        </w:rPr>
        <w:t>II</w:t>
      </w:r>
      <w:r w:rsidR="001C0691">
        <w:rPr>
          <w:w w:val="105"/>
          <w:sz w:val="28"/>
          <w:szCs w:val="28"/>
          <w:lang w:val="en-US"/>
        </w:rPr>
        <w:t>I</w:t>
      </w:r>
      <w:r w:rsidRPr="0002174A">
        <w:rPr>
          <w:w w:val="105"/>
          <w:sz w:val="28"/>
          <w:szCs w:val="28"/>
          <w:lang w:val="en-US"/>
        </w:rPr>
        <w:tab/>
        <w:t xml:space="preserve">STAFF SUPERANNUATION AND BENEVOLENT FUNDS (ANNEX </w:t>
      </w:r>
      <w:r w:rsidR="009623EA">
        <w:rPr>
          <w:w w:val="105"/>
          <w:sz w:val="28"/>
          <w:szCs w:val="28"/>
          <w:lang w:val="en-US"/>
        </w:rPr>
        <w:t>A3</w:t>
      </w:r>
      <w:r w:rsidRPr="005F5EA1">
        <w:rPr>
          <w:w w:val="105"/>
          <w:sz w:val="28"/>
          <w:szCs w:val="28"/>
          <w:lang w:val="en-US"/>
        </w:rPr>
        <w:t>)</w:t>
      </w:r>
    </w:p>
    <w:p w:rsidR="006F0140" w:rsidRPr="002E36E6" w:rsidRDefault="00E656A1" w:rsidP="00BA43BB">
      <w:pPr>
        <w:pStyle w:val="ListParagraph"/>
        <w:numPr>
          <w:ilvl w:val="0"/>
          <w:numId w:val="18"/>
        </w:numPr>
        <w:tabs>
          <w:tab w:val="left" w:pos="851"/>
        </w:tabs>
        <w:spacing w:before="240"/>
        <w:ind w:left="0" w:firstLine="0"/>
        <w:jc w:val="both"/>
        <w:rPr>
          <w:rFonts w:ascii="Calibri" w:eastAsia="Times New Roman" w:hAnsi="Calibri"/>
          <w:lang w:eastAsia="en-US"/>
        </w:rPr>
      </w:pPr>
      <w:r>
        <w:rPr>
          <w:rFonts w:ascii="Calibri" w:eastAsia="Times New Roman" w:hAnsi="Calibri"/>
          <w:lang w:eastAsia="en-US"/>
        </w:rPr>
        <w:t>T</w:t>
      </w:r>
      <w:r w:rsidR="00CD36C4" w:rsidRPr="002E36E6">
        <w:rPr>
          <w:rFonts w:ascii="Calibri" w:eastAsia="Times New Roman" w:hAnsi="Calibri"/>
          <w:lang w:eastAsia="en-US"/>
        </w:rPr>
        <w:t xml:space="preserve">he ITU Staff Superannuation and Benevolent Funds are the set of funds that guarantee the pensions of employees who were in service prior to 1 January 1960, the date on which ITU became affiliated to the United Nations Joint Staff Pension Fund. They originally comprised several individual funds and accounts. </w:t>
      </w:r>
      <w:r w:rsidR="00EC79FF" w:rsidRPr="002E36E6">
        <w:rPr>
          <w:rFonts w:ascii="Calibri" w:eastAsia="Times New Roman" w:hAnsi="Calibri"/>
          <w:lang w:eastAsia="en-US"/>
        </w:rPr>
        <w:t>At the end of</w:t>
      </w:r>
      <w:r w:rsidR="00C27436" w:rsidRPr="002E36E6">
        <w:rPr>
          <w:rFonts w:ascii="Calibri" w:eastAsia="Times New Roman" w:hAnsi="Calibri"/>
          <w:lang w:eastAsia="en-US"/>
        </w:rPr>
        <w:t xml:space="preserve"> </w:t>
      </w:r>
      <w:r w:rsidR="00111BDD" w:rsidRPr="002E36E6">
        <w:rPr>
          <w:rFonts w:ascii="Calibri" w:eastAsia="Times New Roman" w:hAnsi="Calibri"/>
          <w:lang w:eastAsia="en-US"/>
        </w:rPr>
        <w:t>201</w:t>
      </w:r>
      <w:r w:rsidR="006526C4" w:rsidRPr="002E36E6">
        <w:rPr>
          <w:rFonts w:ascii="Calibri" w:eastAsia="Times New Roman" w:hAnsi="Calibri"/>
          <w:lang w:eastAsia="en-US"/>
        </w:rPr>
        <w:t>7</w:t>
      </w:r>
      <w:r w:rsidR="00C27436" w:rsidRPr="002E36E6">
        <w:rPr>
          <w:rFonts w:ascii="Calibri" w:eastAsia="Times New Roman" w:hAnsi="Calibri"/>
          <w:lang w:eastAsia="en-US"/>
        </w:rPr>
        <w:t>, the Reserve and Complement Fund pa</w:t>
      </w:r>
      <w:r w:rsidR="00BE5A6B" w:rsidRPr="002E36E6">
        <w:rPr>
          <w:rFonts w:ascii="Calibri" w:eastAsia="Times New Roman" w:hAnsi="Calibri"/>
          <w:lang w:eastAsia="en-US"/>
        </w:rPr>
        <w:t>id</w:t>
      </w:r>
      <w:r w:rsidR="00C27436" w:rsidRPr="002E36E6">
        <w:rPr>
          <w:rFonts w:ascii="Calibri" w:eastAsia="Times New Roman" w:hAnsi="Calibri"/>
          <w:lang w:eastAsia="en-US"/>
        </w:rPr>
        <w:t xml:space="preserve"> out </w:t>
      </w:r>
      <w:r w:rsidR="00FC65FA" w:rsidRPr="002E36E6">
        <w:rPr>
          <w:rFonts w:ascii="Calibri" w:eastAsia="Times New Roman" w:hAnsi="Calibri"/>
          <w:lang w:eastAsia="en-US"/>
        </w:rPr>
        <w:t>2</w:t>
      </w:r>
      <w:r w:rsidR="008F79E1" w:rsidRPr="002E36E6">
        <w:rPr>
          <w:rFonts w:ascii="Calibri" w:eastAsia="Times New Roman" w:hAnsi="Calibri"/>
          <w:lang w:eastAsia="en-US"/>
        </w:rPr>
        <w:t>3</w:t>
      </w:r>
      <w:r w:rsidR="006F3BBC" w:rsidRPr="002E36E6">
        <w:rPr>
          <w:rFonts w:ascii="Calibri" w:eastAsia="Times New Roman" w:hAnsi="Calibri"/>
          <w:lang w:eastAsia="en-US"/>
        </w:rPr>
        <w:t xml:space="preserve"> retirement pensions and </w:t>
      </w:r>
      <w:r w:rsidR="008F79E1" w:rsidRPr="002E36E6">
        <w:rPr>
          <w:rFonts w:ascii="Calibri" w:eastAsia="Times New Roman" w:hAnsi="Calibri"/>
          <w:lang w:eastAsia="en-US"/>
        </w:rPr>
        <w:t>22</w:t>
      </w:r>
      <w:r w:rsidR="00C27436" w:rsidRPr="002E36E6">
        <w:rPr>
          <w:rFonts w:ascii="Calibri" w:eastAsia="Times New Roman" w:hAnsi="Calibri"/>
          <w:lang w:eastAsia="en-US"/>
        </w:rPr>
        <w:t xml:space="preserve"> survivor’s pensions; and the Assistance Fund serve</w:t>
      </w:r>
      <w:r w:rsidR="00BE5A6B" w:rsidRPr="002E36E6">
        <w:rPr>
          <w:rFonts w:ascii="Calibri" w:eastAsia="Times New Roman" w:hAnsi="Calibri"/>
          <w:lang w:eastAsia="en-US"/>
        </w:rPr>
        <w:t>d</w:t>
      </w:r>
      <w:r w:rsidR="00C27436" w:rsidRPr="002E36E6">
        <w:rPr>
          <w:rFonts w:ascii="Calibri" w:eastAsia="Times New Roman" w:hAnsi="Calibri"/>
          <w:lang w:eastAsia="en-US"/>
        </w:rPr>
        <w:t xml:space="preserve"> to assist staff members and pensioners in difficult financial situations. The most recent calculation of the obligations to be provisioned for beneficiaries of the ITU Staff Superannuation and Benevolent Funds was made on 31 December 2011.</w:t>
      </w:r>
    </w:p>
    <w:p w:rsidR="006F0140" w:rsidRPr="002E36E6" w:rsidRDefault="006F0140" w:rsidP="002E36E6">
      <w:pPr>
        <w:pStyle w:val="ListParagraph"/>
        <w:tabs>
          <w:tab w:val="left" w:pos="851"/>
        </w:tabs>
        <w:ind w:left="0"/>
        <w:jc w:val="both"/>
        <w:rPr>
          <w:rFonts w:ascii="Calibri" w:eastAsia="Times New Roman" w:hAnsi="Calibri"/>
          <w:lang w:eastAsia="en-US"/>
        </w:rPr>
      </w:pPr>
    </w:p>
    <w:p w:rsidR="006F0140" w:rsidRPr="002E36E6" w:rsidRDefault="00CD36C4" w:rsidP="0083697E">
      <w:pPr>
        <w:pStyle w:val="ListParagraph"/>
        <w:numPr>
          <w:ilvl w:val="0"/>
          <w:numId w:val="18"/>
        </w:numPr>
        <w:tabs>
          <w:tab w:val="left" w:pos="851"/>
        </w:tabs>
        <w:ind w:left="0" w:firstLine="0"/>
        <w:jc w:val="both"/>
        <w:rPr>
          <w:rFonts w:ascii="Calibri" w:eastAsia="Times New Roman" w:hAnsi="Calibri"/>
          <w:lang w:eastAsia="en-US"/>
        </w:rPr>
      </w:pPr>
      <w:r w:rsidRPr="002E36E6">
        <w:rPr>
          <w:rFonts w:ascii="Calibri" w:eastAsia="Times New Roman" w:hAnsi="Calibri"/>
          <w:lang w:eastAsia="en-US"/>
        </w:rPr>
        <w:t xml:space="preserve">Pursuant to Resolution 7 (Geneva, 1959) of the Plenipotentiary Conference, the staff of ITU is affiliated, as from 1 January 1960, to the United Nations Joint Staff Pension Fund. </w:t>
      </w:r>
      <w:r w:rsidR="00E518E4" w:rsidRPr="002E36E6">
        <w:rPr>
          <w:rFonts w:ascii="Calibri" w:eastAsia="Times New Roman" w:hAnsi="Calibri"/>
          <w:lang w:eastAsia="en-US"/>
        </w:rPr>
        <w:t xml:space="preserve"> </w:t>
      </w:r>
      <w:r w:rsidRPr="002E36E6">
        <w:rPr>
          <w:rFonts w:ascii="Calibri" w:eastAsia="Times New Roman" w:hAnsi="Calibri"/>
          <w:lang w:eastAsia="en-US"/>
        </w:rPr>
        <w:t xml:space="preserve">Under Article 86 of the Regulations of the ITU Staff Superannuation and Benevolent Funds, those Funds are managed by the Union. </w:t>
      </w:r>
      <w:r w:rsidR="00E518E4" w:rsidRPr="002E36E6">
        <w:rPr>
          <w:rFonts w:ascii="Calibri" w:eastAsia="Times New Roman" w:hAnsi="Calibri"/>
          <w:lang w:eastAsia="en-US"/>
        </w:rPr>
        <w:t xml:space="preserve"> </w:t>
      </w:r>
      <w:r w:rsidRPr="002E36E6">
        <w:rPr>
          <w:rFonts w:ascii="Calibri" w:eastAsia="Times New Roman" w:hAnsi="Calibri"/>
          <w:lang w:eastAsia="en-US"/>
        </w:rPr>
        <w:t xml:space="preserve">The assets of the Funds must be invested in trustee securities. </w:t>
      </w:r>
      <w:r w:rsidR="00E518E4" w:rsidRPr="002E36E6">
        <w:rPr>
          <w:rFonts w:ascii="Calibri" w:eastAsia="Times New Roman" w:hAnsi="Calibri"/>
          <w:lang w:eastAsia="en-US"/>
        </w:rPr>
        <w:t xml:space="preserve"> </w:t>
      </w:r>
      <w:r w:rsidRPr="002E36E6">
        <w:rPr>
          <w:rFonts w:ascii="Calibri" w:eastAsia="Times New Roman" w:hAnsi="Calibri"/>
          <w:lang w:eastAsia="en-US"/>
        </w:rPr>
        <w:t>The accounts of these Funds are verified by the External Auditor as part of the periodic audits of the accounts of the Union.</w:t>
      </w:r>
    </w:p>
    <w:p w:rsidR="006F0140" w:rsidRPr="002E36E6" w:rsidRDefault="006F0140" w:rsidP="002E36E6">
      <w:pPr>
        <w:pStyle w:val="ListParagraph"/>
        <w:tabs>
          <w:tab w:val="left" w:pos="851"/>
        </w:tabs>
        <w:ind w:left="0"/>
        <w:jc w:val="both"/>
        <w:rPr>
          <w:rFonts w:ascii="Calibri" w:eastAsia="Times New Roman" w:hAnsi="Calibri"/>
          <w:lang w:eastAsia="en-US"/>
        </w:rPr>
      </w:pPr>
    </w:p>
    <w:p w:rsidR="002E36E6" w:rsidRPr="00586B02" w:rsidRDefault="008D3C00" w:rsidP="009735A7">
      <w:pPr>
        <w:pStyle w:val="ListParagraph"/>
        <w:numPr>
          <w:ilvl w:val="0"/>
          <w:numId w:val="18"/>
        </w:numPr>
        <w:tabs>
          <w:tab w:val="left" w:pos="851"/>
        </w:tabs>
        <w:ind w:left="0" w:firstLine="0"/>
        <w:jc w:val="both"/>
        <w:rPr>
          <w:rFonts w:ascii="Calibri" w:eastAsia="Times New Roman" w:hAnsi="Calibri"/>
          <w:lang w:eastAsia="en-US"/>
        </w:rPr>
      </w:pPr>
      <w:r w:rsidRPr="00586B02">
        <w:rPr>
          <w:rFonts w:ascii="Calibri" w:eastAsia="Times New Roman" w:hAnsi="Calibri"/>
          <w:lang w:eastAsia="en-US"/>
        </w:rPr>
        <w:t xml:space="preserve">A current account for each of the </w:t>
      </w:r>
      <w:r w:rsidR="002D6F5B" w:rsidRPr="00586B02">
        <w:rPr>
          <w:rFonts w:ascii="Calibri" w:eastAsia="Times New Roman" w:hAnsi="Calibri"/>
          <w:lang w:eastAsia="en-US"/>
        </w:rPr>
        <w:t xml:space="preserve">two remaining </w:t>
      </w:r>
      <w:r w:rsidRPr="00586B02">
        <w:rPr>
          <w:rFonts w:ascii="Calibri" w:eastAsia="Times New Roman" w:hAnsi="Calibri"/>
          <w:lang w:eastAsia="en-US"/>
        </w:rPr>
        <w:t xml:space="preserve">Funds is held with the </w:t>
      </w:r>
      <w:r w:rsidR="002D6F5B" w:rsidRPr="00586B02">
        <w:rPr>
          <w:rFonts w:ascii="Calibri" w:eastAsia="Times New Roman" w:hAnsi="Calibri"/>
          <w:lang w:eastAsia="en-US"/>
        </w:rPr>
        <w:t xml:space="preserve">Credit </w:t>
      </w:r>
      <w:proofErr w:type="spellStart"/>
      <w:r w:rsidR="002D6F5B" w:rsidRPr="00586B02">
        <w:rPr>
          <w:rFonts w:ascii="Calibri" w:eastAsia="Times New Roman" w:hAnsi="Calibri"/>
          <w:lang w:eastAsia="en-US"/>
        </w:rPr>
        <w:t>Mutuel</w:t>
      </w:r>
      <w:proofErr w:type="spellEnd"/>
      <w:r w:rsidR="002D6F5B" w:rsidRPr="00586B02">
        <w:rPr>
          <w:rFonts w:ascii="Calibri" w:eastAsia="Times New Roman" w:hAnsi="Calibri"/>
          <w:lang w:eastAsia="en-US"/>
        </w:rPr>
        <w:t xml:space="preserve"> in France.</w:t>
      </w:r>
      <w:r w:rsidR="006526C4" w:rsidRPr="00586B02">
        <w:rPr>
          <w:rFonts w:ascii="Calibri" w:eastAsia="Times New Roman" w:hAnsi="Calibri"/>
          <w:lang w:eastAsia="en-US"/>
        </w:rPr>
        <w:t xml:space="preserve"> T</w:t>
      </w:r>
      <w:r w:rsidR="006F0140" w:rsidRPr="00586B02">
        <w:rPr>
          <w:rFonts w:ascii="Calibri" w:eastAsia="Times New Roman" w:hAnsi="Calibri"/>
          <w:lang w:eastAsia="en-US"/>
        </w:rPr>
        <w:t>he Reserve and Complement fund presented a deficit of CHF 21’862.80.</w:t>
      </w:r>
    </w:p>
    <w:p w:rsidR="00CD36C4" w:rsidRDefault="001C0691" w:rsidP="001C0691">
      <w:pPr>
        <w:pStyle w:val="Heading9"/>
        <w:tabs>
          <w:tab w:val="clear" w:pos="567"/>
          <w:tab w:val="left" w:pos="851"/>
        </w:tabs>
        <w:spacing w:before="360"/>
        <w:jc w:val="both"/>
        <w:rPr>
          <w:w w:val="105"/>
          <w:sz w:val="28"/>
          <w:szCs w:val="28"/>
          <w:lang w:val="en-US"/>
        </w:rPr>
      </w:pPr>
      <w:r>
        <w:rPr>
          <w:w w:val="105"/>
          <w:sz w:val="28"/>
          <w:szCs w:val="28"/>
          <w:lang w:val="en-US"/>
        </w:rPr>
        <w:t>IV</w:t>
      </w:r>
      <w:r w:rsidR="00CD36C4" w:rsidRPr="002E36E6">
        <w:rPr>
          <w:w w:val="105"/>
          <w:sz w:val="28"/>
          <w:szCs w:val="28"/>
          <w:lang w:val="en-US"/>
        </w:rPr>
        <w:tab/>
        <w:t>UNITED NATIONS DEVELOPMENT PROGRAMME (ANNEX </w:t>
      </w:r>
      <w:r w:rsidR="009623EA" w:rsidRPr="002E36E6">
        <w:rPr>
          <w:w w:val="105"/>
          <w:sz w:val="28"/>
          <w:szCs w:val="28"/>
          <w:lang w:val="en-US"/>
        </w:rPr>
        <w:t>A4</w:t>
      </w:r>
      <w:r w:rsidR="00CD36C4" w:rsidRPr="002E36E6">
        <w:rPr>
          <w:w w:val="105"/>
          <w:sz w:val="28"/>
          <w:szCs w:val="28"/>
          <w:lang w:val="en-US"/>
        </w:rPr>
        <w:t>)</w:t>
      </w:r>
    </w:p>
    <w:p w:rsidR="00586B02" w:rsidRPr="00586B02" w:rsidRDefault="00586B02" w:rsidP="00C66AE8">
      <w:pPr>
        <w:spacing w:before="0"/>
        <w:rPr>
          <w:lang w:val="en-US"/>
        </w:rPr>
      </w:pPr>
    </w:p>
    <w:p w:rsidR="00CD36C4" w:rsidRPr="002E36E6" w:rsidRDefault="00CD36C4" w:rsidP="002E36E6">
      <w:pPr>
        <w:pStyle w:val="ListParagraph"/>
        <w:numPr>
          <w:ilvl w:val="0"/>
          <w:numId w:val="18"/>
        </w:numPr>
        <w:tabs>
          <w:tab w:val="left" w:pos="851"/>
        </w:tabs>
        <w:ind w:left="0" w:firstLine="0"/>
        <w:jc w:val="both"/>
        <w:rPr>
          <w:rFonts w:ascii="Calibri" w:eastAsia="Times New Roman" w:hAnsi="Calibri"/>
          <w:lang w:eastAsia="en-US"/>
        </w:rPr>
      </w:pPr>
      <w:r w:rsidRPr="002E36E6">
        <w:rPr>
          <w:rFonts w:ascii="Calibri" w:eastAsia="Times New Roman" w:hAnsi="Calibri"/>
          <w:lang w:eastAsia="en-US"/>
        </w:rPr>
        <w:t>Within the various categories of UNDP projects, ITU can be the executing agency either on an exclusive basis or jointly with UNDP.</w:t>
      </w:r>
    </w:p>
    <w:p w:rsidR="00C66AE8" w:rsidRDefault="00C66AE8">
      <w:pPr>
        <w:tabs>
          <w:tab w:val="clear" w:pos="567"/>
          <w:tab w:val="clear" w:pos="1134"/>
          <w:tab w:val="clear" w:pos="1701"/>
          <w:tab w:val="clear" w:pos="2268"/>
          <w:tab w:val="clear" w:pos="2835"/>
        </w:tabs>
        <w:overflowPunct/>
        <w:autoSpaceDE/>
        <w:autoSpaceDN/>
        <w:adjustRightInd/>
        <w:spacing w:before="0"/>
        <w:textAlignment w:val="auto"/>
        <w:rPr>
          <w:szCs w:val="24"/>
          <w:lang w:val="en-US"/>
        </w:rPr>
      </w:pPr>
      <w:r>
        <w:br w:type="page"/>
      </w:r>
    </w:p>
    <w:p w:rsidR="00D34EB0" w:rsidRPr="002E36E6" w:rsidRDefault="00D34EB0" w:rsidP="002E36E6">
      <w:pPr>
        <w:pStyle w:val="ListParagraph"/>
        <w:tabs>
          <w:tab w:val="left" w:pos="851"/>
        </w:tabs>
        <w:ind w:left="0"/>
        <w:jc w:val="both"/>
        <w:rPr>
          <w:rFonts w:ascii="Calibri" w:eastAsia="Times New Roman" w:hAnsi="Calibri"/>
          <w:lang w:eastAsia="en-US"/>
        </w:rPr>
      </w:pPr>
    </w:p>
    <w:p w:rsidR="00D34EB0" w:rsidRPr="002E36E6" w:rsidRDefault="00CD36C4" w:rsidP="002E36E6">
      <w:pPr>
        <w:pStyle w:val="ListParagraph"/>
        <w:numPr>
          <w:ilvl w:val="0"/>
          <w:numId w:val="18"/>
        </w:numPr>
        <w:tabs>
          <w:tab w:val="left" w:pos="851"/>
        </w:tabs>
        <w:ind w:left="0" w:firstLine="0"/>
        <w:jc w:val="both"/>
        <w:rPr>
          <w:rFonts w:ascii="Calibri" w:eastAsia="Times New Roman" w:hAnsi="Calibri"/>
          <w:lang w:eastAsia="en-US"/>
        </w:rPr>
      </w:pPr>
      <w:r w:rsidRPr="002E36E6">
        <w:rPr>
          <w:rFonts w:ascii="Calibri" w:eastAsia="Times New Roman" w:hAnsi="Calibri"/>
          <w:lang w:eastAsia="en-US"/>
        </w:rPr>
        <w:t>In general</w:t>
      </w:r>
      <w:r w:rsidR="00306F16" w:rsidRPr="002E36E6">
        <w:rPr>
          <w:rFonts w:ascii="Calibri" w:eastAsia="Times New Roman" w:hAnsi="Calibri"/>
          <w:lang w:eastAsia="en-US"/>
        </w:rPr>
        <w:t>,</w:t>
      </w:r>
      <w:r w:rsidRPr="002E36E6">
        <w:rPr>
          <w:rFonts w:ascii="Calibri" w:eastAsia="Times New Roman" w:hAnsi="Calibri"/>
          <w:lang w:eastAsia="en-US"/>
        </w:rPr>
        <w:t xml:space="preserve"> there are </w:t>
      </w:r>
      <w:r w:rsidR="00D34EB0" w:rsidRPr="002E36E6">
        <w:rPr>
          <w:rFonts w:ascii="Calibri" w:eastAsia="Times New Roman" w:hAnsi="Calibri"/>
          <w:lang w:eastAsia="en-US"/>
        </w:rPr>
        <w:t>two</w:t>
      </w:r>
      <w:r w:rsidRPr="002E36E6">
        <w:rPr>
          <w:rFonts w:ascii="Calibri" w:eastAsia="Times New Roman" w:hAnsi="Calibri"/>
          <w:lang w:eastAsia="en-US"/>
        </w:rPr>
        <w:t xml:space="preserve"> categories of UNDP projects</w:t>
      </w:r>
      <w:r w:rsidR="008B59FD" w:rsidRPr="002E36E6">
        <w:rPr>
          <w:rFonts w:ascii="Calibri" w:eastAsia="Times New Roman" w:hAnsi="Calibri"/>
          <w:lang w:eastAsia="en-US"/>
        </w:rPr>
        <w:t xml:space="preserve">:  </w:t>
      </w:r>
      <w:r w:rsidRPr="002E36E6">
        <w:rPr>
          <w:rFonts w:ascii="Calibri" w:eastAsia="Times New Roman" w:hAnsi="Calibri"/>
          <w:lang w:eastAsia="en-US"/>
        </w:rPr>
        <w:t>projects executed by ITU</w:t>
      </w:r>
      <w:r w:rsidR="008B59FD" w:rsidRPr="002E36E6">
        <w:rPr>
          <w:rFonts w:ascii="Calibri" w:eastAsia="Times New Roman" w:hAnsi="Calibri"/>
          <w:lang w:eastAsia="en-US"/>
        </w:rPr>
        <w:t xml:space="preserve"> and </w:t>
      </w:r>
      <w:r w:rsidRPr="002E36E6">
        <w:rPr>
          <w:rFonts w:ascii="Calibri" w:eastAsia="Times New Roman" w:hAnsi="Calibri"/>
          <w:lang w:eastAsia="en-US"/>
        </w:rPr>
        <w:t>projects executed by governments</w:t>
      </w:r>
      <w:r w:rsidR="00BD7301" w:rsidRPr="002E36E6">
        <w:rPr>
          <w:rFonts w:ascii="Calibri" w:eastAsia="Times New Roman" w:hAnsi="Calibri"/>
          <w:lang w:eastAsia="en-US"/>
        </w:rPr>
        <w:t>.</w:t>
      </w:r>
    </w:p>
    <w:p w:rsidR="00D34EB0" w:rsidRPr="002E36E6" w:rsidRDefault="00D34EB0" w:rsidP="002E36E6">
      <w:pPr>
        <w:pStyle w:val="ListParagraph"/>
        <w:tabs>
          <w:tab w:val="left" w:pos="851"/>
        </w:tabs>
        <w:ind w:left="0"/>
        <w:jc w:val="both"/>
        <w:rPr>
          <w:rFonts w:ascii="Calibri" w:eastAsia="Times New Roman" w:hAnsi="Calibri"/>
          <w:lang w:eastAsia="en-US"/>
        </w:rPr>
      </w:pPr>
    </w:p>
    <w:p w:rsidR="00D34EB0" w:rsidRDefault="00CD36C4" w:rsidP="009735A7">
      <w:pPr>
        <w:pStyle w:val="ListParagraph"/>
        <w:numPr>
          <w:ilvl w:val="0"/>
          <w:numId w:val="18"/>
        </w:numPr>
        <w:tabs>
          <w:tab w:val="left" w:pos="851"/>
        </w:tabs>
        <w:ind w:left="0" w:firstLine="0"/>
        <w:jc w:val="both"/>
        <w:rPr>
          <w:rFonts w:ascii="Calibri" w:eastAsia="Times New Roman" w:hAnsi="Calibri"/>
          <w:lang w:eastAsia="en-US"/>
        </w:rPr>
      </w:pPr>
      <w:r w:rsidRPr="007E4FF1">
        <w:rPr>
          <w:rFonts w:ascii="Calibri" w:eastAsia="Times New Roman" w:hAnsi="Calibri"/>
          <w:lang w:eastAsia="en-US"/>
        </w:rPr>
        <w:t xml:space="preserve">For projects that are either partially or entirely executed by ITU, the Union has a budgetary allocation from UNDP. </w:t>
      </w:r>
      <w:r w:rsidR="00306F16" w:rsidRPr="007E4FF1">
        <w:rPr>
          <w:rFonts w:ascii="Calibri" w:eastAsia="Times New Roman" w:hAnsi="Calibri"/>
          <w:lang w:eastAsia="en-US"/>
        </w:rPr>
        <w:t xml:space="preserve"> </w:t>
      </w:r>
      <w:r w:rsidRPr="007E4FF1">
        <w:rPr>
          <w:rFonts w:ascii="Calibri" w:eastAsia="Times New Roman" w:hAnsi="Calibri"/>
          <w:lang w:eastAsia="en-US"/>
        </w:rPr>
        <w:t xml:space="preserve">At the end of each year, on the basis of the project delivery report (PDR), UNDP reimburses ITU for all expenditure incurred, within the allocation. </w:t>
      </w:r>
      <w:r w:rsidR="00306F16" w:rsidRPr="007E4FF1">
        <w:rPr>
          <w:rFonts w:ascii="Calibri" w:eastAsia="Times New Roman" w:hAnsi="Calibri"/>
          <w:lang w:eastAsia="en-US"/>
        </w:rPr>
        <w:t xml:space="preserve"> </w:t>
      </w:r>
      <w:r w:rsidRPr="007E4FF1">
        <w:rPr>
          <w:rFonts w:ascii="Calibri" w:eastAsia="Times New Roman" w:hAnsi="Calibri"/>
          <w:lang w:eastAsia="en-US"/>
        </w:rPr>
        <w:t>For the support that ITU provides to the projects, ITU has an allocation that is based pro rata on the expenditure recorded in the PDRs.</w:t>
      </w:r>
    </w:p>
    <w:p w:rsidR="0015643B" w:rsidRPr="007E4FF1" w:rsidRDefault="0015643B" w:rsidP="0015643B">
      <w:pPr>
        <w:pStyle w:val="ListParagraph"/>
        <w:tabs>
          <w:tab w:val="left" w:pos="851"/>
        </w:tabs>
        <w:ind w:left="0"/>
        <w:jc w:val="both"/>
        <w:rPr>
          <w:rFonts w:ascii="Calibri" w:eastAsia="Times New Roman" w:hAnsi="Calibri"/>
          <w:lang w:eastAsia="en-US"/>
        </w:rPr>
      </w:pPr>
    </w:p>
    <w:p w:rsidR="006526C4" w:rsidRPr="002E36E6" w:rsidRDefault="00CD36C4" w:rsidP="0083697E">
      <w:pPr>
        <w:pStyle w:val="ListParagraph"/>
        <w:numPr>
          <w:ilvl w:val="0"/>
          <w:numId w:val="18"/>
        </w:numPr>
        <w:tabs>
          <w:tab w:val="left" w:pos="851"/>
        </w:tabs>
        <w:ind w:left="0" w:firstLine="0"/>
        <w:jc w:val="both"/>
        <w:rPr>
          <w:rFonts w:ascii="Calibri" w:eastAsia="Times New Roman" w:hAnsi="Calibri"/>
          <w:lang w:eastAsia="en-US"/>
        </w:rPr>
      </w:pPr>
      <w:r w:rsidRPr="002E36E6">
        <w:rPr>
          <w:rFonts w:ascii="Calibri" w:eastAsia="Times New Roman" w:hAnsi="Calibri"/>
          <w:lang w:eastAsia="en-US"/>
        </w:rPr>
        <w:t xml:space="preserve">In </w:t>
      </w:r>
      <w:r w:rsidR="00111BDD" w:rsidRPr="002E36E6">
        <w:rPr>
          <w:rFonts w:ascii="Calibri" w:eastAsia="Times New Roman" w:hAnsi="Calibri"/>
          <w:lang w:eastAsia="en-US"/>
        </w:rPr>
        <w:t>201</w:t>
      </w:r>
      <w:r w:rsidR="006526C4" w:rsidRPr="002E36E6">
        <w:rPr>
          <w:rFonts w:ascii="Calibri" w:eastAsia="Times New Roman" w:hAnsi="Calibri"/>
          <w:lang w:eastAsia="en-US"/>
        </w:rPr>
        <w:t>7</w:t>
      </w:r>
      <w:r w:rsidRPr="002E36E6">
        <w:rPr>
          <w:rFonts w:ascii="Calibri" w:eastAsia="Times New Roman" w:hAnsi="Calibri"/>
          <w:lang w:eastAsia="en-US"/>
        </w:rPr>
        <w:t xml:space="preserve">, the operating fund with UNDP shows a balance of </w:t>
      </w:r>
      <w:r w:rsidR="008330AF" w:rsidRPr="002E36E6">
        <w:rPr>
          <w:rFonts w:ascii="Calibri" w:eastAsia="Times New Roman" w:hAnsi="Calibri"/>
          <w:lang w:eastAsia="en-US"/>
        </w:rPr>
        <w:t>CHF </w:t>
      </w:r>
      <w:r w:rsidR="006526C4" w:rsidRPr="002E36E6">
        <w:rPr>
          <w:rFonts w:ascii="Calibri" w:eastAsia="Times New Roman" w:hAnsi="Calibri"/>
          <w:lang w:eastAsia="en-US"/>
        </w:rPr>
        <w:t>317</w:t>
      </w:r>
      <w:r w:rsidR="008330AF" w:rsidRPr="002E36E6">
        <w:rPr>
          <w:rFonts w:ascii="Calibri" w:eastAsia="Times New Roman" w:hAnsi="Calibri"/>
          <w:lang w:eastAsia="en-US"/>
        </w:rPr>
        <w:t>’</w:t>
      </w:r>
      <w:r w:rsidR="006526C4" w:rsidRPr="002E36E6">
        <w:rPr>
          <w:rFonts w:ascii="Calibri" w:eastAsia="Times New Roman" w:hAnsi="Calibri"/>
          <w:lang w:eastAsia="en-US"/>
        </w:rPr>
        <w:t>959</w:t>
      </w:r>
      <w:r w:rsidR="008330AF" w:rsidRPr="002E36E6">
        <w:rPr>
          <w:rFonts w:ascii="Calibri" w:eastAsia="Times New Roman" w:hAnsi="Calibri"/>
          <w:lang w:eastAsia="en-US"/>
        </w:rPr>
        <w:t xml:space="preserve"> in </w:t>
      </w:r>
      <w:r w:rsidR="006526C4" w:rsidRPr="002E36E6">
        <w:rPr>
          <w:rFonts w:ascii="Calibri" w:eastAsia="Times New Roman" w:hAnsi="Calibri"/>
          <w:lang w:eastAsia="en-US"/>
        </w:rPr>
        <w:t>ITU</w:t>
      </w:r>
      <w:r w:rsidR="007A552E" w:rsidRPr="002E36E6">
        <w:rPr>
          <w:rFonts w:ascii="Calibri" w:eastAsia="Times New Roman" w:hAnsi="Calibri"/>
          <w:lang w:eastAsia="en-US"/>
        </w:rPr>
        <w:t>’</w:t>
      </w:r>
      <w:r w:rsidRPr="002E36E6">
        <w:rPr>
          <w:rFonts w:ascii="Calibri" w:eastAsia="Times New Roman" w:hAnsi="Calibri"/>
          <w:lang w:eastAsia="en-US"/>
        </w:rPr>
        <w:t>s favor (CHF</w:t>
      </w:r>
      <w:r w:rsidR="00AA20AB" w:rsidRPr="002E36E6">
        <w:rPr>
          <w:rFonts w:ascii="Calibri" w:eastAsia="Times New Roman" w:hAnsi="Calibri"/>
          <w:lang w:eastAsia="en-US"/>
        </w:rPr>
        <w:t> </w:t>
      </w:r>
      <w:r w:rsidR="006526C4" w:rsidRPr="002E36E6">
        <w:rPr>
          <w:rFonts w:ascii="Calibri" w:eastAsia="Times New Roman" w:hAnsi="Calibri"/>
          <w:lang w:eastAsia="en-US"/>
        </w:rPr>
        <w:t>740</w:t>
      </w:r>
      <w:r w:rsidR="00BD7301" w:rsidRPr="002E36E6">
        <w:rPr>
          <w:rFonts w:ascii="Calibri" w:eastAsia="Times New Roman" w:hAnsi="Calibri"/>
          <w:lang w:eastAsia="en-US"/>
        </w:rPr>
        <w:t>’</w:t>
      </w:r>
      <w:r w:rsidR="006526C4" w:rsidRPr="002E36E6">
        <w:rPr>
          <w:rFonts w:ascii="Calibri" w:eastAsia="Times New Roman" w:hAnsi="Calibri"/>
          <w:lang w:eastAsia="en-US"/>
        </w:rPr>
        <w:t>420</w:t>
      </w:r>
      <w:r w:rsidR="00D06680" w:rsidRPr="002E36E6">
        <w:rPr>
          <w:rFonts w:ascii="Calibri" w:eastAsia="Times New Roman" w:hAnsi="Calibri"/>
          <w:lang w:eastAsia="en-US"/>
        </w:rPr>
        <w:t xml:space="preserve"> </w:t>
      </w:r>
      <w:r w:rsidR="00BD7301" w:rsidRPr="002E36E6">
        <w:rPr>
          <w:rFonts w:ascii="Calibri" w:eastAsia="Times New Roman" w:hAnsi="Calibri"/>
          <w:lang w:eastAsia="en-US"/>
        </w:rPr>
        <w:t xml:space="preserve">in UNDP’s favor </w:t>
      </w:r>
      <w:r w:rsidR="008330AF" w:rsidRPr="002E36E6">
        <w:rPr>
          <w:rFonts w:ascii="Calibri" w:eastAsia="Times New Roman" w:hAnsi="Calibri"/>
          <w:lang w:eastAsia="en-US"/>
        </w:rPr>
        <w:t xml:space="preserve">in </w:t>
      </w:r>
      <w:r w:rsidRPr="002E36E6">
        <w:rPr>
          <w:rFonts w:ascii="Calibri" w:eastAsia="Times New Roman" w:hAnsi="Calibri"/>
          <w:lang w:eastAsia="en-US"/>
        </w:rPr>
        <w:t>201</w:t>
      </w:r>
      <w:r w:rsidR="006526C4" w:rsidRPr="002E36E6">
        <w:rPr>
          <w:rFonts w:ascii="Calibri" w:eastAsia="Times New Roman" w:hAnsi="Calibri"/>
          <w:lang w:eastAsia="en-US"/>
        </w:rPr>
        <w:t>6</w:t>
      </w:r>
      <w:r w:rsidRPr="002E36E6">
        <w:rPr>
          <w:rFonts w:ascii="Calibri" w:eastAsia="Times New Roman" w:hAnsi="Calibri"/>
          <w:lang w:eastAsia="en-US"/>
        </w:rPr>
        <w:t>).</w:t>
      </w:r>
    </w:p>
    <w:p w:rsidR="006526C4" w:rsidRPr="002E36E6" w:rsidRDefault="006526C4" w:rsidP="002E36E6">
      <w:pPr>
        <w:pStyle w:val="ListParagraph"/>
        <w:tabs>
          <w:tab w:val="left" w:pos="851"/>
        </w:tabs>
        <w:ind w:left="0"/>
        <w:jc w:val="both"/>
        <w:rPr>
          <w:rFonts w:ascii="Calibri" w:eastAsia="Times New Roman" w:hAnsi="Calibri"/>
          <w:lang w:eastAsia="en-US"/>
        </w:rPr>
      </w:pPr>
    </w:p>
    <w:p w:rsidR="00CD36C4" w:rsidRPr="002E36E6" w:rsidRDefault="00C27436" w:rsidP="0083697E">
      <w:pPr>
        <w:pStyle w:val="ListParagraph"/>
        <w:numPr>
          <w:ilvl w:val="0"/>
          <w:numId w:val="18"/>
        </w:numPr>
        <w:tabs>
          <w:tab w:val="left" w:pos="851"/>
        </w:tabs>
        <w:ind w:left="0" w:firstLine="0"/>
        <w:jc w:val="both"/>
        <w:rPr>
          <w:rFonts w:ascii="Calibri" w:eastAsia="Times New Roman" w:hAnsi="Calibri"/>
          <w:lang w:eastAsia="en-US"/>
        </w:rPr>
      </w:pPr>
      <w:r w:rsidRPr="002E36E6">
        <w:rPr>
          <w:rFonts w:ascii="Calibri" w:eastAsia="Times New Roman" w:hAnsi="Calibri"/>
          <w:lang w:eastAsia="en-US"/>
        </w:rPr>
        <w:t xml:space="preserve">In </w:t>
      </w:r>
      <w:r w:rsidR="00111BDD" w:rsidRPr="002E36E6">
        <w:rPr>
          <w:rFonts w:ascii="Calibri" w:eastAsia="Times New Roman" w:hAnsi="Calibri"/>
          <w:lang w:eastAsia="en-US"/>
        </w:rPr>
        <w:t>201</w:t>
      </w:r>
      <w:r w:rsidR="006526C4" w:rsidRPr="002E36E6">
        <w:rPr>
          <w:rFonts w:ascii="Calibri" w:eastAsia="Times New Roman" w:hAnsi="Calibri"/>
          <w:lang w:eastAsia="en-US"/>
        </w:rPr>
        <w:t>7</w:t>
      </w:r>
      <w:r w:rsidR="00CD36C4" w:rsidRPr="002E36E6">
        <w:rPr>
          <w:rFonts w:ascii="Calibri" w:eastAsia="Times New Roman" w:hAnsi="Calibri"/>
          <w:lang w:eastAsia="en-US"/>
        </w:rPr>
        <w:t>, UNDP proj</w:t>
      </w:r>
      <w:r w:rsidRPr="002E36E6">
        <w:rPr>
          <w:rFonts w:ascii="Calibri" w:eastAsia="Times New Roman" w:hAnsi="Calibri"/>
          <w:lang w:eastAsia="en-US"/>
        </w:rPr>
        <w:t>ect expenses amounted to CHF </w:t>
      </w:r>
      <w:r w:rsidR="006526C4" w:rsidRPr="002E36E6">
        <w:rPr>
          <w:rFonts w:ascii="Calibri" w:eastAsia="Times New Roman" w:hAnsi="Calibri"/>
          <w:lang w:eastAsia="en-US"/>
        </w:rPr>
        <w:t>24</w:t>
      </w:r>
      <w:r w:rsidR="00DB171C" w:rsidRPr="002E36E6">
        <w:rPr>
          <w:rFonts w:ascii="Calibri" w:eastAsia="Times New Roman" w:hAnsi="Calibri"/>
          <w:lang w:eastAsia="en-US"/>
        </w:rPr>
        <w:t>,</w:t>
      </w:r>
      <w:r w:rsidR="006526C4" w:rsidRPr="002E36E6">
        <w:rPr>
          <w:rFonts w:ascii="Calibri" w:eastAsia="Times New Roman" w:hAnsi="Calibri"/>
          <w:lang w:eastAsia="en-US"/>
        </w:rPr>
        <w:t>676</w:t>
      </w:r>
      <w:r w:rsidR="00CD36C4" w:rsidRPr="002E36E6">
        <w:rPr>
          <w:rFonts w:ascii="Calibri" w:eastAsia="Times New Roman" w:hAnsi="Calibri"/>
          <w:lang w:eastAsia="en-US"/>
        </w:rPr>
        <w:t xml:space="preserve"> (including CHF </w:t>
      </w:r>
      <w:r w:rsidR="006526C4" w:rsidRPr="002E36E6">
        <w:rPr>
          <w:rFonts w:ascii="Calibri" w:eastAsia="Times New Roman" w:hAnsi="Calibri"/>
          <w:lang w:eastAsia="en-US"/>
        </w:rPr>
        <w:t>2</w:t>
      </w:r>
      <w:r w:rsidRPr="002E36E6">
        <w:rPr>
          <w:rFonts w:ascii="Calibri" w:eastAsia="Times New Roman" w:hAnsi="Calibri"/>
          <w:lang w:eastAsia="en-US"/>
        </w:rPr>
        <w:t>’</w:t>
      </w:r>
      <w:r w:rsidR="006526C4" w:rsidRPr="002E36E6">
        <w:rPr>
          <w:rFonts w:ascii="Calibri" w:eastAsia="Times New Roman" w:hAnsi="Calibri"/>
          <w:lang w:eastAsia="en-US"/>
        </w:rPr>
        <w:t>260</w:t>
      </w:r>
      <w:r w:rsidR="00CD36C4" w:rsidRPr="002E36E6">
        <w:rPr>
          <w:rFonts w:ascii="Calibri" w:eastAsia="Times New Roman" w:hAnsi="Calibri"/>
          <w:lang w:eastAsia="en-US"/>
        </w:rPr>
        <w:t xml:space="preserve"> for support costs).</w:t>
      </w:r>
    </w:p>
    <w:p w:rsidR="00CD36C4" w:rsidRPr="002E36E6" w:rsidRDefault="00CD36C4" w:rsidP="009242D8">
      <w:pPr>
        <w:pStyle w:val="Heading9"/>
        <w:tabs>
          <w:tab w:val="clear" w:pos="567"/>
          <w:tab w:val="left" w:pos="851"/>
        </w:tabs>
        <w:spacing w:before="360"/>
        <w:jc w:val="both"/>
        <w:rPr>
          <w:w w:val="105"/>
          <w:sz w:val="28"/>
          <w:szCs w:val="28"/>
          <w:lang w:val="en-US"/>
        </w:rPr>
      </w:pPr>
      <w:r w:rsidRPr="002E36E6">
        <w:rPr>
          <w:w w:val="105"/>
          <w:sz w:val="28"/>
          <w:szCs w:val="28"/>
          <w:lang w:val="en-US"/>
        </w:rPr>
        <w:t>V</w:t>
      </w:r>
      <w:r w:rsidRPr="002E36E6">
        <w:rPr>
          <w:w w:val="105"/>
          <w:sz w:val="28"/>
          <w:szCs w:val="28"/>
          <w:lang w:val="en-US"/>
        </w:rPr>
        <w:tab/>
        <w:t xml:space="preserve">TRUST FUNDS (ANNEX </w:t>
      </w:r>
      <w:r w:rsidR="009623EA" w:rsidRPr="002E36E6">
        <w:rPr>
          <w:w w:val="105"/>
          <w:sz w:val="28"/>
          <w:szCs w:val="28"/>
          <w:lang w:val="en-US"/>
        </w:rPr>
        <w:t>A5</w:t>
      </w:r>
      <w:r w:rsidRPr="002E36E6">
        <w:rPr>
          <w:w w:val="105"/>
          <w:sz w:val="28"/>
          <w:szCs w:val="28"/>
          <w:lang w:val="en-US"/>
        </w:rPr>
        <w:t>)</w:t>
      </w:r>
    </w:p>
    <w:p w:rsidR="00AF24F3" w:rsidRPr="002E36E6" w:rsidRDefault="00AF24F3" w:rsidP="002E36E6">
      <w:pPr>
        <w:pStyle w:val="ListParagraph"/>
        <w:tabs>
          <w:tab w:val="left" w:pos="851"/>
        </w:tabs>
        <w:ind w:left="0"/>
        <w:jc w:val="both"/>
        <w:rPr>
          <w:rFonts w:ascii="Calibri" w:eastAsia="Times New Roman" w:hAnsi="Calibri"/>
          <w:lang w:eastAsia="en-US"/>
        </w:rPr>
      </w:pPr>
    </w:p>
    <w:p w:rsidR="00CD36C4" w:rsidRPr="002E36E6" w:rsidRDefault="003D2D3A" w:rsidP="002E36E6">
      <w:pPr>
        <w:pStyle w:val="ListParagraph"/>
        <w:numPr>
          <w:ilvl w:val="0"/>
          <w:numId w:val="18"/>
        </w:numPr>
        <w:tabs>
          <w:tab w:val="left" w:pos="851"/>
        </w:tabs>
        <w:ind w:left="0" w:firstLine="0"/>
        <w:jc w:val="both"/>
        <w:rPr>
          <w:rFonts w:ascii="Calibri" w:eastAsia="Times New Roman" w:hAnsi="Calibri"/>
          <w:lang w:eastAsia="en-US"/>
        </w:rPr>
      </w:pPr>
      <w:r w:rsidRPr="002E36E6">
        <w:rPr>
          <w:rFonts w:ascii="Calibri" w:eastAsia="Times New Roman" w:hAnsi="Calibri"/>
          <w:lang w:eastAsia="en-US"/>
        </w:rPr>
        <w:t>The</w:t>
      </w:r>
      <w:r w:rsidR="00CD36C4" w:rsidRPr="002E36E6">
        <w:rPr>
          <w:rFonts w:ascii="Calibri" w:eastAsia="Times New Roman" w:hAnsi="Calibri"/>
          <w:lang w:eastAsia="en-US"/>
        </w:rPr>
        <w:t xml:space="preserve"> Special Fund for Technical Cooperation (SFTC) was designed to meet the needs of developing countries requesting urgent assistance.</w:t>
      </w:r>
      <w:r w:rsidR="006F0378" w:rsidRPr="002E36E6">
        <w:rPr>
          <w:rFonts w:ascii="Calibri" w:eastAsia="Times New Roman" w:hAnsi="Calibri"/>
          <w:lang w:eastAsia="en-US"/>
        </w:rPr>
        <w:t xml:space="preserve"> </w:t>
      </w:r>
      <w:r w:rsidR="00CD36C4" w:rsidRPr="002E36E6">
        <w:rPr>
          <w:rFonts w:ascii="Calibri" w:eastAsia="Times New Roman" w:hAnsi="Calibri"/>
          <w:lang w:eastAsia="en-US"/>
        </w:rPr>
        <w:t xml:space="preserve"> It is based on voluntary contributions, either in cash in any currency or in some other form.</w:t>
      </w:r>
    </w:p>
    <w:p w:rsidR="00743C18" w:rsidRPr="002E36E6" w:rsidRDefault="00743C18" w:rsidP="002E36E6">
      <w:pPr>
        <w:pStyle w:val="ListParagraph"/>
        <w:tabs>
          <w:tab w:val="left" w:pos="851"/>
        </w:tabs>
        <w:ind w:left="0"/>
        <w:jc w:val="both"/>
        <w:rPr>
          <w:rFonts w:ascii="Calibri" w:eastAsia="Times New Roman" w:hAnsi="Calibri"/>
          <w:lang w:eastAsia="en-US"/>
        </w:rPr>
      </w:pPr>
    </w:p>
    <w:p w:rsidR="0041589C" w:rsidRPr="002E36E6" w:rsidRDefault="00CD36C4" w:rsidP="0083697E">
      <w:pPr>
        <w:pStyle w:val="ListParagraph"/>
        <w:numPr>
          <w:ilvl w:val="0"/>
          <w:numId w:val="18"/>
        </w:numPr>
        <w:tabs>
          <w:tab w:val="left" w:pos="851"/>
        </w:tabs>
        <w:ind w:left="0" w:firstLine="0"/>
        <w:jc w:val="both"/>
        <w:rPr>
          <w:rFonts w:ascii="Calibri" w:eastAsia="Times New Roman" w:hAnsi="Calibri"/>
          <w:lang w:eastAsia="en-US"/>
        </w:rPr>
      </w:pPr>
      <w:r w:rsidRPr="002E36E6">
        <w:rPr>
          <w:rFonts w:ascii="Calibri" w:eastAsia="Times New Roman" w:hAnsi="Calibri"/>
          <w:lang w:eastAsia="en-US"/>
        </w:rPr>
        <w:t>Unused appropriations for all types of project</w:t>
      </w:r>
      <w:r w:rsidR="007A2952" w:rsidRPr="002E36E6">
        <w:rPr>
          <w:rFonts w:ascii="Calibri" w:eastAsia="Times New Roman" w:hAnsi="Calibri"/>
          <w:lang w:eastAsia="en-US"/>
        </w:rPr>
        <w:t>s from third parties as well as ITU funds</w:t>
      </w:r>
      <w:r w:rsidRPr="002E36E6">
        <w:rPr>
          <w:rFonts w:ascii="Calibri" w:eastAsia="Times New Roman" w:hAnsi="Calibri"/>
          <w:lang w:eastAsia="en-US"/>
        </w:rPr>
        <w:t xml:space="preserve"> amount</w:t>
      </w:r>
      <w:r w:rsidR="008D1744" w:rsidRPr="002E36E6">
        <w:rPr>
          <w:rFonts w:ascii="Calibri" w:eastAsia="Times New Roman" w:hAnsi="Calibri"/>
          <w:lang w:eastAsia="en-US"/>
        </w:rPr>
        <w:t>ed</w:t>
      </w:r>
      <w:r w:rsidRPr="002E36E6">
        <w:rPr>
          <w:rFonts w:ascii="Calibri" w:eastAsia="Times New Roman" w:hAnsi="Calibri"/>
          <w:lang w:eastAsia="en-US"/>
        </w:rPr>
        <w:t xml:space="preserve"> to CHF </w:t>
      </w:r>
      <w:r w:rsidR="008D1744" w:rsidRPr="002E36E6">
        <w:rPr>
          <w:rFonts w:ascii="Calibri" w:eastAsia="Times New Roman" w:hAnsi="Calibri"/>
          <w:lang w:eastAsia="en-US"/>
        </w:rPr>
        <w:t>2</w:t>
      </w:r>
      <w:r w:rsidR="001945EA" w:rsidRPr="002E36E6">
        <w:rPr>
          <w:rFonts w:ascii="Calibri" w:eastAsia="Times New Roman" w:hAnsi="Calibri"/>
          <w:lang w:eastAsia="en-US"/>
        </w:rPr>
        <w:t>0.6 million</w:t>
      </w:r>
      <w:r w:rsidR="008D1744" w:rsidRPr="002E36E6">
        <w:rPr>
          <w:rFonts w:ascii="Calibri" w:eastAsia="Times New Roman" w:hAnsi="Calibri"/>
          <w:lang w:eastAsia="en-US"/>
        </w:rPr>
        <w:t xml:space="preserve"> </w:t>
      </w:r>
      <w:r w:rsidRPr="002E36E6">
        <w:rPr>
          <w:rFonts w:ascii="Calibri" w:eastAsia="Times New Roman" w:hAnsi="Calibri"/>
          <w:lang w:eastAsia="en-US"/>
        </w:rPr>
        <w:t xml:space="preserve">in </w:t>
      </w:r>
      <w:r w:rsidR="00111BDD" w:rsidRPr="002E36E6">
        <w:rPr>
          <w:rFonts w:ascii="Calibri" w:eastAsia="Times New Roman" w:hAnsi="Calibri"/>
          <w:lang w:eastAsia="en-US"/>
        </w:rPr>
        <w:t>201</w:t>
      </w:r>
      <w:r w:rsidR="00E15AC4" w:rsidRPr="002E36E6">
        <w:rPr>
          <w:rFonts w:ascii="Calibri" w:eastAsia="Times New Roman" w:hAnsi="Calibri"/>
          <w:lang w:eastAsia="en-US"/>
        </w:rPr>
        <w:t>7</w:t>
      </w:r>
      <w:r w:rsidR="0083697E">
        <w:rPr>
          <w:rFonts w:ascii="Calibri" w:eastAsia="Times New Roman" w:hAnsi="Calibri"/>
          <w:lang w:eastAsia="en-US"/>
        </w:rPr>
        <w:t xml:space="preserve"> (similar </w:t>
      </w:r>
      <w:r w:rsidR="007A2952" w:rsidRPr="002E36E6">
        <w:rPr>
          <w:rFonts w:ascii="Calibri" w:eastAsia="Times New Roman" w:hAnsi="Calibri"/>
          <w:lang w:eastAsia="en-US"/>
        </w:rPr>
        <w:t>in 201</w:t>
      </w:r>
      <w:r w:rsidR="00E15AC4" w:rsidRPr="002E36E6">
        <w:rPr>
          <w:rFonts w:ascii="Calibri" w:eastAsia="Times New Roman" w:hAnsi="Calibri"/>
          <w:lang w:eastAsia="en-US"/>
        </w:rPr>
        <w:t>6</w:t>
      </w:r>
      <w:r w:rsidR="0083697E">
        <w:rPr>
          <w:rFonts w:ascii="Calibri" w:eastAsia="Times New Roman" w:hAnsi="Calibri"/>
          <w:lang w:eastAsia="en-US"/>
        </w:rPr>
        <w:t>)</w:t>
      </w:r>
      <w:r w:rsidRPr="002E36E6">
        <w:rPr>
          <w:rFonts w:ascii="Calibri" w:eastAsia="Times New Roman" w:hAnsi="Calibri"/>
          <w:lang w:eastAsia="en-US"/>
        </w:rPr>
        <w:t xml:space="preserve">. </w:t>
      </w:r>
      <w:r w:rsidR="006F0378" w:rsidRPr="002E36E6">
        <w:rPr>
          <w:rFonts w:ascii="Calibri" w:eastAsia="Times New Roman" w:hAnsi="Calibri"/>
          <w:lang w:eastAsia="en-US"/>
        </w:rPr>
        <w:t xml:space="preserve"> </w:t>
      </w:r>
      <w:r w:rsidRPr="002E36E6">
        <w:rPr>
          <w:rFonts w:ascii="Calibri" w:eastAsia="Times New Roman" w:hAnsi="Calibri"/>
          <w:lang w:eastAsia="en-US"/>
        </w:rPr>
        <w:t xml:space="preserve">The balance of third-party funds in the process of allocation, which stood at </w:t>
      </w:r>
      <w:r w:rsidR="008D1744" w:rsidRPr="002E36E6">
        <w:rPr>
          <w:rFonts w:ascii="Calibri" w:eastAsia="Times New Roman" w:hAnsi="Calibri"/>
          <w:lang w:eastAsia="en-US"/>
        </w:rPr>
        <w:t xml:space="preserve">CHF </w:t>
      </w:r>
      <w:r w:rsidR="00CB7F99" w:rsidRPr="002E36E6">
        <w:rPr>
          <w:rFonts w:ascii="Calibri" w:eastAsia="Times New Roman" w:hAnsi="Calibri"/>
          <w:lang w:eastAsia="en-US"/>
        </w:rPr>
        <w:t>1.9</w:t>
      </w:r>
      <w:r w:rsidR="00BF5D67" w:rsidRPr="002E36E6">
        <w:rPr>
          <w:rFonts w:ascii="Calibri" w:eastAsia="Times New Roman" w:hAnsi="Calibri"/>
          <w:lang w:eastAsia="en-US"/>
        </w:rPr>
        <w:t xml:space="preserve"> million</w:t>
      </w:r>
      <w:r w:rsidR="008D1744" w:rsidRPr="002E36E6">
        <w:rPr>
          <w:rFonts w:ascii="Calibri" w:eastAsia="Times New Roman" w:hAnsi="Calibri"/>
          <w:lang w:eastAsia="en-US"/>
        </w:rPr>
        <w:t xml:space="preserve"> </w:t>
      </w:r>
      <w:r w:rsidR="00ED451E" w:rsidRPr="002E36E6">
        <w:rPr>
          <w:rFonts w:ascii="Calibri" w:eastAsia="Times New Roman" w:hAnsi="Calibri"/>
          <w:lang w:eastAsia="en-US"/>
        </w:rPr>
        <w:t xml:space="preserve">at the end of </w:t>
      </w:r>
      <w:r w:rsidR="00111BDD" w:rsidRPr="002E36E6">
        <w:rPr>
          <w:rFonts w:ascii="Calibri" w:eastAsia="Times New Roman" w:hAnsi="Calibri"/>
          <w:lang w:eastAsia="en-US"/>
        </w:rPr>
        <w:t>201</w:t>
      </w:r>
      <w:r w:rsidR="00CB7F99" w:rsidRPr="002E36E6">
        <w:rPr>
          <w:rFonts w:ascii="Calibri" w:eastAsia="Times New Roman" w:hAnsi="Calibri"/>
          <w:lang w:eastAsia="en-US"/>
        </w:rPr>
        <w:t>7</w:t>
      </w:r>
      <w:r w:rsidR="00ED451E" w:rsidRPr="002E36E6">
        <w:rPr>
          <w:rFonts w:ascii="Calibri" w:eastAsia="Times New Roman" w:hAnsi="Calibri"/>
          <w:lang w:eastAsia="en-US"/>
        </w:rPr>
        <w:t xml:space="preserve"> (</w:t>
      </w:r>
      <w:r w:rsidRPr="002E36E6">
        <w:rPr>
          <w:rFonts w:ascii="Calibri" w:eastAsia="Times New Roman" w:hAnsi="Calibri"/>
          <w:lang w:eastAsia="en-US"/>
        </w:rPr>
        <w:t>CHF </w:t>
      </w:r>
      <w:r w:rsidR="00CB7F99" w:rsidRPr="002E36E6">
        <w:rPr>
          <w:rFonts w:ascii="Calibri" w:eastAsia="Times New Roman" w:hAnsi="Calibri"/>
          <w:lang w:eastAsia="en-US"/>
        </w:rPr>
        <w:t>2</w:t>
      </w:r>
      <w:r w:rsidR="00BF5D67" w:rsidRPr="002E36E6">
        <w:rPr>
          <w:rFonts w:ascii="Calibri" w:eastAsia="Times New Roman" w:hAnsi="Calibri"/>
          <w:lang w:eastAsia="en-US"/>
        </w:rPr>
        <w:t>,</w:t>
      </w:r>
      <w:r w:rsidR="00CB7F99" w:rsidRPr="002E36E6">
        <w:rPr>
          <w:rFonts w:ascii="Calibri" w:eastAsia="Times New Roman" w:hAnsi="Calibri"/>
          <w:lang w:eastAsia="en-US"/>
        </w:rPr>
        <w:t>4</w:t>
      </w:r>
      <w:r w:rsidR="00BF5D67" w:rsidRPr="002E36E6">
        <w:rPr>
          <w:rFonts w:ascii="Calibri" w:eastAsia="Times New Roman" w:hAnsi="Calibri"/>
          <w:lang w:eastAsia="en-US"/>
        </w:rPr>
        <w:t xml:space="preserve"> million a</w:t>
      </w:r>
      <w:r w:rsidRPr="002E36E6">
        <w:rPr>
          <w:rFonts w:ascii="Calibri" w:eastAsia="Times New Roman" w:hAnsi="Calibri"/>
          <w:lang w:eastAsia="en-US"/>
        </w:rPr>
        <w:t xml:space="preserve">t </w:t>
      </w:r>
      <w:r w:rsidR="00F30BBA" w:rsidRPr="002E36E6">
        <w:rPr>
          <w:rFonts w:ascii="Calibri" w:eastAsia="Times New Roman" w:hAnsi="Calibri"/>
          <w:lang w:eastAsia="en-US"/>
        </w:rPr>
        <w:t xml:space="preserve">the </w:t>
      </w:r>
      <w:r w:rsidRPr="002E36E6">
        <w:rPr>
          <w:rFonts w:ascii="Calibri" w:eastAsia="Times New Roman" w:hAnsi="Calibri"/>
          <w:lang w:eastAsia="en-US"/>
        </w:rPr>
        <w:t xml:space="preserve">end </w:t>
      </w:r>
      <w:r w:rsidR="00F30BBA" w:rsidRPr="002E36E6">
        <w:rPr>
          <w:rFonts w:ascii="Calibri" w:eastAsia="Times New Roman" w:hAnsi="Calibri"/>
          <w:lang w:eastAsia="en-US"/>
        </w:rPr>
        <w:t xml:space="preserve">of </w:t>
      </w:r>
      <w:r w:rsidRPr="002E36E6">
        <w:rPr>
          <w:rFonts w:ascii="Calibri" w:eastAsia="Times New Roman" w:hAnsi="Calibri"/>
          <w:lang w:eastAsia="en-US"/>
        </w:rPr>
        <w:t>201</w:t>
      </w:r>
      <w:r w:rsidR="00CB7F99" w:rsidRPr="002E36E6">
        <w:rPr>
          <w:rFonts w:ascii="Calibri" w:eastAsia="Times New Roman" w:hAnsi="Calibri"/>
          <w:lang w:eastAsia="en-US"/>
        </w:rPr>
        <w:t>6</w:t>
      </w:r>
      <w:r w:rsidR="00ED451E" w:rsidRPr="002E36E6">
        <w:rPr>
          <w:rFonts w:ascii="Calibri" w:eastAsia="Times New Roman" w:hAnsi="Calibri"/>
          <w:lang w:eastAsia="en-US"/>
        </w:rPr>
        <w:t>)</w:t>
      </w:r>
      <w:r w:rsidRPr="002E36E6">
        <w:rPr>
          <w:rFonts w:ascii="Calibri" w:eastAsia="Times New Roman" w:hAnsi="Calibri"/>
          <w:lang w:eastAsia="en-US"/>
        </w:rPr>
        <w:t>, represent</w:t>
      </w:r>
      <w:r w:rsidR="00ED451E" w:rsidRPr="002E36E6">
        <w:rPr>
          <w:rFonts w:ascii="Calibri" w:eastAsia="Times New Roman" w:hAnsi="Calibri"/>
          <w:lang w:eastAsia="en-US"/>
        </w:rPr>
        <w:t>s</w:t>
      </w:r>
      <w:r w:rsidRPr="002E36E6">
        <w:rPr>
          <w:rFonts w:ascii="Calibri" w:eastAsia="Times New Roman" w:hAnsi="Calibri"/>
          <w:lang w:eastAsia="en-US"/>
        </w:rPr>
        <w:t xml:space="preserve"> newly received funds for projects about to start as well as residual funds from closed projects, which balance will either </w:t>
      </w:r>
      <w:r w:rsidR="00BE5A6B" w:rsidRPr="002E36E6">
        <w:rPr>
          <w:rFonts w:ascii="Calibri" w:eastAsia="Times New Roman" w:hAnsi="Calibri"/>
          <w:lang w:eastAsia="en-US"/>
        </w:rPr>
        <w:t xml:space="preserve">be </w:t>
      </w:r>
      <w:r w:rsidRPr="002E36E6">
        <w:rPr>
          <w:rFonts w:ascii="Calibri" w:eastAsia="Times New Roman" w:hAnsi="Calibri"/>
          <w:lang w:eastAsia="en-US"/>
        </w:rPr>
        <w:t>returned to donors or allocated to new projects</w:t>
      </w:r>
      <w:r w:rsidR="001945EA" w:rsidRPr="002E36E6">
        <w:rPr>
          <w:rFonts w:ascii="Calibri" w:eastAsia="Times New Roman" w:hAnsi="Calibri"/>
          <w:lang w:eastAsia="en-US"/>
        </w:rPr>
        <w:t>.</w:t>
      </w:r>
    </w:p>
    <w:p w:rsidR="00CD36C4" w:rsidRPr="002E36E6" w:rsidRDefault="00CD36C4" w:rsidP="002E36E6">
      <w:pPr>
        <w:pStyle w:val="ListParagraph"/>
        <w:tabs>
          <w:tab w:val="left" w:pos="851"/>
        </w:tabs>
        <w:ind w:left="0"/>
        <w:jc w:val="both"/>
        <w:rPr>
          <w:rFonts w:ascii="Calibri" w:eastAsia="Times New Roman" w:hAnsi="Calibri"/>
          <w:lang w:eastAsia="en-US"/>
        </w:rPr>
      </w:pPr>
    </w:p>
    <w:p w:rsidR="00CD36C4" w:rsidRPr="002E36E6" w:rsidRDefault="00CD36C4" w:rsidP="002E36E6">
      <w:pPr>
        <w:pStyle w:val="ListParagraph"/>
        <w:numPr>
          <w:ilvl w:val="0"/>
          <w:numId w:val="18"/>
        </w:numPr>
        <w:tabs>
          <w:tab w:val="left" w:pos="851"/>
        </w:tabs>
        <w:ind w:left="0" w:firstLine="0"/>
        <w:jc w:val="both"/>
        <w:rPr>
          <w:rFonts w:ascii="Calibri" w:eastAsia="Times New Roman" w:hAnsi="Calibri"/>
          <w:lang w:eastAsia="en-US"/>
        </w:rPr>
      </w:pPr>
      <w:r w:rsidRPr="002E36E6">
        <w:rPr>
          <w:rFonts w:ascii="Calibri" w:eastAsia="Times New Roman" w:hAnsi="Calibri"/>
          <w:lang w:eastAsia="en-US"/>
        </w:rPr>
        <w:t xml:space="preserve">In </w:t>
      </w:r>
      <w:r w:rsidR="00111BDD" w:rsidRPr="002E36E6">
        <w:rPr>
          <w:rFonts w:ascii="Calibri" w:eastAsia="Times New Roman" w:hAnsi="Calibri"/>
          <w:lang w:eastAsia="en-US"/>
        </w:rPr>
        <w:t>201</w:t>
      </w:r>
      <w:r w:rsidR="00E15AC4" w:rsidRPr="002E36E6">
        <w:rPr>
          <w:rFonts w:ascii="Calibri" w:eastAsia="Times New Roman" w:hAnsi="Calibri"/>
          <w:lang w:eastAsia="en-US"/>
        </w:rPr>
        <w:t>7</w:t>
      </w:r>
      <w:r w:rsidRPr="002E36E6">
        <w:rPr>
          <w:rFonts w:ascii="Calibri" w:eastAsia="Times New Roman" w:hAnsi="Calibri"/>
          <w:lang w:eastAsia="en-US"/>
        </w:rPr>
        <w:t xml:space="preserve">, liquid assets </w:t>
      </w:r>
      <w:r w:rsidR="00F30BBA" w:rsidRPr="002E36E6">
        <w:rPr>
          <w:rFonts w:ascii="Calibri" w:eastAsia="Times New Roman" w:hAnsi="Calibri"/>
          <w:lang w:eastAsia="en-US"/>
        </w:rPr>
        <w:t>amount</w:t>
      </w:r>
      <w:r w:rsidR="008D4651" w:rsidRPr="002E36E6">
        <w:rPr>
          <w:rFonts w:ascii="Calibri" w:eastAsia="Times New Roman" w:hAnsi="Calibri"/>
          <w:lang w:eastAsia="en-US"/>
        </w:rPr>
        <w:t>ed</w:t>
      </w:r>
      <w:r w:rsidR="00F30BBA" w:rsidRPr="002E36E6">
        <w:rPr>
          <w:rFonts w:ascii="Calibri" w:eastAsia="Times New Roman" w:hAnsi="Calibri"/>
          <w:lang w:eastAsia="en-US"/>
        </w:rPr>
        <w:t xml:space="preserve"> </w:t>
      </w:r>
      <w:r w:rsidRPr="002E36E6">
        <w:rPr>
          <w:rFonts w:ascii="Calibri" w:eastAsia="Times New Roman" w:hAnsi="Calibri"/>
          <w:lang w:eastAsia="en-US"/>
        </w:rPr>
        <w:t>to CHF </w:t>
      </w:r>
      <w:r w:rsidR="00C75576" w:rsidRPr="002E36E6">
        <w:rPr>
          <w:rFonts w:ascii="Calibri" w:eastAsia="Times New Roman" w:hAnsi="Calibri"/>
          <w:lang w:eastAsia="en-US"/>
        </w:rPr>
        <w:t>2</w:t>
      </w:r>
      <w:r w:rsidR="00E15AC4" w:rsidRPr="002E36E6">
        <w:rPr>
          <w:rFonts w:ascii="Calibri" w:eastAsia="Times New Roman" w:hAnsi="Calibri"/>
          <w:lang w:eastAsia="en-US"/>
        </w:rPr>
        <w:t>1</w:t>
      </w:r>
      <w:r w:rsidR="00C75576" w:rsidRPr="002E36E6">
        <w:rPr>
          <w:rFonts w:ascii="Calibri" w:eastAsia="Times New Roman" w:hAnsi="Calibri"/>
          <w:lang w:eastAsia="en-US"/>
        </w:rPr>
        <w:t>.</w:t>
      </w:r>
      <w:r w:rsidR="00E15AC4" w:rsidRPr="002E36E6">
        <w:rPr>
          <w:rFonts w:ascii="Calibri" w:eastAsia="Times New Roman" w:hAnsi="Calibri"/>
          <w:lang w:eastAsia="en-US"/>
        </w:rPr>
        <w:t>3</w:t>
      </w:r>
      <w:r w:rsidR="00C75576" w:rsidRPr="002E36E6">
        <w:rPr>
          <w:rFonts w:ascii="Calibri" w:eastAsia="Times New Roman" w:hAnsi="Calibri"/>
          <w:lang w:eastAsia="en-US"/>
        </w:rPr>
        <w:t xml:space="preserve"> million</w:t>
      </w:r>
      <w:r w:rsidR="008D4651" w:rsidRPr="002E36E6">
        <w:rPr>
          <w:rFonts w:ascii="Calibri" w:eastAsia="Times New Roman" w:hAnsi="Calibri"/>
          <w:lang w:eastAsia="en-US"/>
        </w:rPr>
        <w:t xml:space="preserve"> </w:t>
      </w:r>
      <w:r w:rsidRPr="002E36E6">
        <w:rPr>
          <w:rFonts w:ascii="Calibri" w:eastAsia="Times New Roman" w:hAnsi="Calibri"/>
          <w:lang w:eastAsia="en-US"/>
        </w:rPr>
        <w:t xml:space="preserve">(CHF </w:t>
      </w:r>
      <w:r w:rsidR="00E15AC4" w:rsidRPr="002E36E6">
        <w:rPr>
          <w:rFonts w:ascii="Calibri" w:eastAsia="Times New Roman" w:hAnsi="Calibri"/>
          <w:lang w:eastAsia="en-US"/>
        </w:rPr>
        <w:t>20.6</w:t>
      </w:r>
      <w:r w:rsidR="00C75576" w:rsidRPr="002E36E6">
        <w:rPr>
          <w:rFonts w:ascii="Calibri" w:eastAsia="Times New Roman" w:hAnsi="Calibri"/>
          <w:lang w:eastAsia="en-US"/>
        </w:rPr>
        <w:t xml:space="preserve"> million</w:t>
      </w:r>
      <w:r w:rsidR="008D4651" w:rsidRPr="002E36E6">
        <w:rPr>
          <w:rFonts w:ascii="Calibri" w:eastAsia="Times New Roman" w:hAnsi="Calibri"/>
          <w:lang w:eastAsia="en-US"/>
        </w:rPr>
        <w:t xml:space="preserve"> </w:t>
      </w:r>
      <w:r w:rsidRPr="002E36E6">
        <w:rPr>
          <w:rFonts w:ascii="Calibri" w:eastAsia="Times New Roman" w:hAnsi="Calibri"/>
          <w:lang w:eastAsia="en-US"/>
        </w:rPr>
        <w:t>in</w:t>
      </w:r>
      <w:r w:rsidR="00F30BBA" w:rsidRPr="002E36E6">
        <w:rPr>
          <w:rFonts w:ascii="Calibri" w:eastAsia="Times New Roman" w:hAnsi="Calibri"/>
          <w:lang w:eastAsia="en-US"/>
        </w:rPr>
        <w:t xml:space="preserve"> </w:t>
      </w:r>
      <w:r w:rsidRPr="002E36E6">
        <w:rPr>
          <w:rFonts w:ascii="Calibri" w:eastAsia="Times New Roman" w:hAnsi="Calibri"/>
          <w:lang w:eastAsia="en-US"/>
        </w:rPr>
        <w:t>201</w:t>
      </w:r>
      <w:r w:rsidR="00E15AC4" w:rsidRPr="002E36E6">
        <w:rPr>
          <w:rFonts w:ascii="Calibri" w:eastAsia="Times New Roman" w:hAnsi="Calibri"/>
          <w:lang w:eastAsia="en-US"/>
        </w:rPr>
        <w:t>6</w:t>
      </w:r>
      <w:r w:rsidRPr="002E36E6">
        <w:rPr>
          <w:rFonts w:ascii="Calibri" w:eastAsia="Times New Roman" w:hAnsi="Calibri"/>
          <w:lang w:eastAsia="en-US"/>
        </w:rPr>
        <w:t>). Investments amount</w:t>
      </w:r>
      <w:r w:rsidR="008D4651" w:rsidRPr="002E36E6">
        <w:rPr>
          <w:rFonts w:ascii="Calibri" w:eastAsia="Times New Roman" w:hAnsi="Calibri"/>
          <w:lang w:eastAsia="en-US"/>
        </w:rPr>
        <w:t>ed</w:t>
      </w:r>
      <w:r w:rsidRPr="002E36E6">
        <w:rPr>
          <w:rFonts w:ascii="Calibri" w:eastAsia="Times New Roman" w:hAnsi="Calibri"/>
          <w:lang w:eastAsia="en-US"/>
        </w:rPr>
        <w:t xml:space="preserve"> to CHF </w:t>
      </w:r>
      <w:r w:rsidR="00E15AC4" w:rsidRPr="002E36E6">
        <w:rPr>
          <w:rFonts w:ascii="Calibri" w:eastAsia="Times New Roman" w:hAnsi="Calibri"/>
          <w:lang w:eastAsia="en-US"/>
        </w:rPr>
        <w:t>9</w:t>
      </w:r>
      <w:r w:rsidR="006B2E0B" w:rsidRPr="002E36E6">
        <w:rPr>
          <w:rFonts w:ascii="Calibri" w:eastAsia="Times New Roman" w:hAnsi="Calibri"/>
          <w:lang w:eastAsia="en-US"/>
        </w:rPr>
        <w:t>.</w:t>
      </w:r>
      <w:r w:rsidR="00E15AC4" w:rsidRPr="002E36E6">
        <w:rPr>
          <w:rFonts w:ascii="Calibri" w:eastAsia="Times New Roman" w:hAnsi="Calibri"/>
          <w:lang w:eastAsia="en-US"/>
        </w:rPr>
        <w:t>3</w:t>
      </w:r>
      <w:r w:rsidR="006B2E0B" w:rsidRPr="002E36E6">
        <w:rPr>
          <w:rFonts w:ascii="Calibri" w:eastAsia="Times New Roman" w:hAnsi="Calibri"/>
          <w:lang w:eastAsia="en-US"/>
        </w:rPr>
        <w:t xml:space="preserve"> million</w:t>
      </w:r>
      <w:r w:rsidR="008D4651" w:rsidRPr="002E36E6">
        <w:rPr>
          <w:rFonts w:ascii="Calibri" w:eastAsia="Times New Roman" w:hAnsi="Calibri"/>
          <w:lang w:eastAsia="en-US"/>
        </w:rPr>
        <w:t xml:space="preserve"> </w:t>
      </w:r>
      <w:r w:rsidRPr="002E36E6">
        <w:rPr>
          <w:rFonts w:ascii="Calibri" w:eastAsia="Times New Roman" w:hAnsi="Calibri"/>
          <w:lang w:eastAsia="en-US"/>
        </w:rPr>
        <w:t xml:space="preserve">at </w:t>
      </w:r>
      <w:r w:rsidR="00F30BBA" w:rsidRPr="002E36E6">
        <w:rPr>
          <w:rFonts w:ascii="Calibri" w:eastAsia="Times New Roman" w:hAnsi="Calibri"/>
          <w:lang w:eastAsia="en-US"/>
        </w:rPr>
        <w:t xml:space="preserve">the </w:t>
      </w:r>
      <w:r w:rsidRPr="002E36E6">
        <w:rPr>
          <w:rFonts w:ascii="Calibri" w:eastAsia="Times New Roman" w:hAnsi="Calibri"/>
          <w:lang w:eastAsia="en-US"/>
        </w:rPr>
        <w:t xml:space="preserve">end of </w:t>
      </w:r>
      <w:r w:rsidR="00111BDD" w:rsidRPr="002E36E6">
        <w:rPr>
          <w:rFonts w:ascii="Calibri" w:eastAsia="Times New Roman" w:hAnsi="Calibri"/>
          <w:lang w:eastAsia="en-US"/>
        </w:rPr>
        <w:t>201</w:t>
      </w:r>
      <w:r w:rsidR="006B2E0B" w:rsidRPr="002E36E6">
        <w:rPr>
          <w:rFonts w:ascii="Calibri" w:eastAsia="Times New Roman" w:hAnsi="Calibri"/>
          <w:lang w:eastAsia="en-US"/>
        </w:rPr>
        <w:t>6</w:t>
      </w:r>
      <w:r w:rsidRPr="002E36E6">
        <w:rPr>
          <w:rFonts w:ascii="Calibri" w:eastAsia="Times New Roman" w:hAnsi="Calibri"/>
          <w:lang w:eastAsia="en-US"/>
        </w:rPr>
        <w:t xml:space="preserve"> (CHF </w:t>
      </w:r>
      <w:r w:rsidR="00E15AC4" w:rsidRPr="002E36E6">
        <w:rPr>
          <w:rFonts w:ascii="Calibri" w:eastAsia="Times New Roman" w:hAnsi="Calibri"/>
          <w:lang w:eastAsia="en-US"/>
        </w:rPr>
        <w:t>7.4</w:t>
      </w:r>
      <w:r w:rsidR="006B2E0B" w:rsidRPr="002E36E6">
        <w:rPr>
          <w:rFonts w:ascii="Calibri" w:eastAsia="Times New Roman" w:hAnsi="Calibri"/>
          <w:lang w:eastAsia="en-US"/>
        </w:rPr>
        <w:t xml:space="preserve"> million</w:t>
      </w:r>
      <w:r w:rsidR="008D4651" w:rsidRPr="002E36E6">
        <w:rPr>
          <w:rFonts w:ascii="Calibri" w:eastAsia="Times New Roman" w:hAnsi="Calibri"/>
          <w:lang w:eastAsia="en-US"/>
        </w:rPr>
        <w:t xml:space="preserve"> </w:t>
      </w:r>
      <w:r w:rsidRPr="002E36E6">
        <w:rPr>
          <w:rFonts w:ascii="Calibri" w:eastAsia="Times New Roman" w:hAnsi="Calibri"/>
          <w:lang w:eastAsia="en-US"/>
        </w:rPr>
        <w:t>in 201</w:t>
      </w:r>
      <w:r w:rsidR="00E15AC4" w:rsidRPr="002E36E6">
        <w:rPr>
          <w:rFonts w:ascii="Calibri" w:eastAsia="Times New Roman" w:hAnsi="Calibri"/>
          <w:lang w:eastAsia="en-US"/>
        </w:rPr>
        <w:t>6</w:t>
      </w:r>
      <w:r w:rsidRPr="002E36E6">
        <w:rPr>
          <w:rFonts w:ascii="Calibri" w:eastAsia="Times New Roman" w:hAnsi="Calibri"/>
          <w:lang w:eastAsia="en-US"/>
        </w:rPr>
        <w:t xml:space="preserve">). These deposits yielded interest </w:t>
      </w:r>
      <w:r w:rsidR="006B2E0B" w:rsidRPr="002E36E6">
        <w:rPr>
          <w:rFonts w:ascii="Calibri" w:eastAsia="Times New Roman" w:hAnsi="Calibri"/>
          <w:lang w:eastAsia="en-US"/>
        </w:rPr>
        <w:t>amounting</w:t>
      </w:r>
      <w:r w:rsidRPr="002E36E6">
        <w:rPr>
          <w:rFonts w:ascii="Calibri" w:eastAsia="Times New Roman" w:hAnsi="Calibri"/>
          <w:lang w:eastAsia="en-US"/>
        </w:rPr>
        <w:t xml:space="preserve"> </w:t>
      </w:r>
      <w:r w:rsidR="0041589C" w:rsidRPr="002E36E6">
        <w:rPr>
          <w:rFonts w:ascii="Calibri" w:eastAsia="Times New Roman" w:hAnsi="Calibri"/>
          <w:lang w:eastAsia="en-US"/>
        </w:rPr>
        <w:t xml:space="preserve">to </w:t>
      </w:r>
      <w:r w:rsidR="006B2E0B" w:rsidRPr="002E36E6">
        <w:rPr>
          <w:rFonts w:ascii="Calibri" w:eastAsia="Times New Roman" w:hAnsi="Calibri"/>
          <w:lang w:eastAsia="en-US"/>
        </w:rPr>
        <w:t>K</w:t>
      </w:r>
      <w:r w:rsidRPr="002E36E6">
        <w:rPr>
          <w:rFonts w:ascii="Calibri" w:eastAsia="Times New Roman" w:hAnsi="Calibri"/>
          <w:lang w:eastAsia="en-US"/>
        </w:rPr>
        <w:t>CHF </w:t>
      </w:r>
      <w:r w:rsidR="006B2E0B" w:rsidRPr="002E36E6">
        <w:rPr>
          <w:rFonts w:ascii="Calibri" w:eastAsia="Times New Roman" w:hAnsi="Calibri"/>
          <w:lang w:eastAsia="en-US"/>
        </w:rPr>
        <w:t>17</w:t>
      </w:r>
      <w:r w:rsidR="00E15AC4" w:rsidRPr="002E36E6">
        <w:rPr>
          <w:rFonts w:ascii="Calibri" w:eastAsia="Times New Roman" w:hAnsi="Calibri"/>
          <w:lang w:eastAsia="en-US"/>
        </w:rPr>
        <w:t>2</w:t>
      </w:r>
      <w:r w:rsidR="008D4651" w:rsidRPr="002E36E6">
        <w:rPr>
          <w:rFonts w:ascii="Calibri" w:eastAsia="Times New Roman" w:hAnsi="Calibri"/>
          <w:lang w:eastAsia="en-US"/>
        </w:rPr>
        <w:t xml:space="preserve"> </w:t>
      </w:r>
      <w:r w:rsidRPr="002E36E6">
        <w:rPr>
          <w:rFonts w:ascii="Calibri" w:eastAsia="Times New Roman" w:hAnsi="Calibri"/>
          <w:lang w:eastAsia="en-US"/>
        </w:rPr>
        <w:t xml:space="preserve">in </w:t>
      </w:r>
      <w:r w:rsidR="00111BDD" w:rsidRPr="002E36E6">
        <w:rPr>
          <w:rFonts w:ascii="Calibri" w:eastAsia="Times New Roman" w:hAnsi="Calibri"/>
          <w:lang w:eastAsia="en-US"/>
        </w:rPr>
        <w:t>201</w:t>
      </w:r>
      <w:r w:rsidR="00E15AC4" w:rsidRPr="002E36E6">
        <w:rPr>
          <w:rFonts w:ascii="Calibri" w:eastAsia="Times New Roman" w:hAnsi="Calibri"/>
          <w:lang w:eastAsia="en-US"/>
        </w:rPr>
        <w:t>7</w:t>
      </w:r>
      <w:r w:rsidRPr="002E36E6">
        <w:rPr>
          <w:rFonts w:ascii="Calibri" w:eastAsia="Times New Roman" w:hAnsi="Calibri"/>
          <w:lang w:eastAsia="en-US"/>
        </w:rPr>
        <w:t xml:space="preserve"> (</w:t>
      </w:r>
      <w:r w:rsidR="006B2E0B" w:rsidRPr="002E36E6">
        <w:rPr>
          <w:rFonts w:ascii="Calibri" w:eastAsia="Times New Roman" w:hAnsi="Calibri"/>
          <w:lang w:eastAsia="en-US"/>
        </w:rPr>
        <w:t>K</w:t>
      </w:r>
      <w:r w:rsidRPr="002E36E6">
        <w:rPr>
          <w:rFonts w:ascii="Calibri" w:eastAsia="Times New Roman" w:hAnsi="Calibri"/>
          <w:lang w:eastAsia="en-US"/>
        </w:rPr>
        <w:t xml:space="preserve">CHF </w:t>
      </w:r>
      <w:r w:rsidR="00E15AC4" w:rsidRPr="002E36E6">
        <w:rPr>
          <w:rFonts w:ascii="Calibri" w:eastAsia="Times New Roman" w:hAnsi="Calibri"/>
          <w:lang w:eastAsia="en-US"/>
        </w:rPr>
        <w:t>171</w:t>
      </w:r>
      <w:r w:rsidR="008D4651" w:rsidRPr="002E36E6">
        <w:rPr>
          <w:rFonts w:ascii="Calibri" w:eastAsia="Times New Roman" w:hAnsi="Calibri"/>
          <w:lang w:eastAsia="en-US"/>
        </w:rPr>
        <w:t xml:space="preserve"> </w:t>
      </w:r>
      <w:r w:rsidRPr="002E36E6">
        <w:rPr>
          <w:rFonts w:ascii="Calibri" w:eastAsia="Times New Roman" w:hAnsi="Calibri"/>
          <w:lang w:eastAsia="en-US"/>
        </w:rPr>
        <w:t>in 201</w:t>
      </w:r>
      <w:r w:rsidR="00E15AC4" w:rsidRPr="002E36E6">
        <w:rPr>
          <w:rFonts w:ascii="Calibri" w:eastAsia="Times New Roman" w:hAnsi="Calibri"/>
          <w:lang w:eastAsia="en-US"/>
        </w:rPr>
        <w:t>6</w:t>
      </w:r>
      <w:r w:rsidRPr="002E36E6">
        <w:rPr>
          <w:rFonts w:ascii="Calibri" w:eastAsia="Times New Roman" w:hAnsi="Calibri"/>
          <w:lang w:eastAsia="en-US"/>
        </w:rPr>
        <w:t>).</w:t>
      </w:r>
    </w:p>
    <w:p w:rsidR="006B2E0B" w:rsidRPr="002E36E6" w:rsidRDefault="006B2E0B" w:rsidP="002E36E6">
      <w:pPr>
        <w:pStyle w:val="ListParagraph"/>
        <w:tabs>
          <w:tab w:val="left" w:pos="851"/>
        </w:tabs>
        <w:ind w:left="0"/>
        <w:jc w:val="both"/>
        <w:rPr>
          <w:rFonts w:ascii="Calibri" w:eastAsia="Times New Roman" w:hAnsi="Calibri"/>
          <w:lang w:eastAsia="en-US"/>
        </w:rPr>
      </w:pPr>
    </w:p>
    <w:p w:rsidR="00CD36C4" w:rsidRPr="002E36E6" w:rsidRDefault="00CD36C4" w:rsidP="002E36E6">
      <w:pPr>
        <w:pStyle w:val="ListParagraph"/>
        <w:tabs>
          <w:tab w:val="left" w:pos="851"/>
        </w:tabs>
        <w:ind w:left="0"/>
        <w:jc w:val="both"/>
        <w:rPr>
          <w:rFonts w:ascii="Calibri" w:eastAsia="Times New Roman" w:hAnsi="Calibri"/>
          <w:b/>
          <w:bCs/>
          <w:lang w:eastAsia="en-US"/>
        </w:rPr>
      </w:pPr>
      <w:r w:rsidRPr="002E36E6">
        <w:rPr>
          <w:rFonts w:ascii="Calibri" w:eastAsia="Times New Roman" w:hAnsi="Calibri"/>
          <w:b/>
          <w:bCs/>
          <w:lang w:eastAsia="en-US"/>
        </w:rPr>
        <w:t xml:space="preserve">Project delivery and support costs </w:t>
      </w:r>
      <w:r w:rsidR="00111BDD" w:rsidRPr="002E36E6">
        <w:rPr>
          <w:rFonts w:ascii="Calibri" w:eastAsia="Times New Roman" w:hAnsi="Calibri"/>
          <w:b/>
          <w:bCs/>
          <w:lang w:eastAsia="en-US"/>
        </w:rPr>
        <w:t>201</w:t>
      </w:r>
      <w:r w:rsidR="00E15AC4" w:rsidRPr="002E36E6">
        <w:rPr>
          <w:rFonts w:ascii="Calibri" w:eastAsia="Times New Roman" w:hAnsi="Calibri"/>
          <w:b/>
          <w:bCs/>
          <w:lang w:eastAsia="en-US"/>
        </w:rPr>
        <w:t>7</w:t>
      </w:r>
    </w:p>
    <w:p w:rsidR="002D7E22" w:rsidRPr="002E36E6" w:rsidRDefault="00CD36C4" w:rsidP="00840A43">
      <w:pPr>
        <w:pStyle w:val="ListParagraph"/>
        <w:numPr>
          <w:ilvl w:val="0"/>
          <w:numId w:val="18"/>
        </w:numPr>
        <w:tabs>
          <w:tab w:val="left" w:pos="851"/>
        </w:tabs>
        <w:adjustRightInd w:val="0"/>
        <w:snapToGrid w:val="0"/>
        <w:spacing w:before="120"/>
        <w:ind w:left="0" w:firstLine="0"/>
        <w:contextualSpacing w:val="0"/>
        <w:jc w:val="both"/>
        <w:rPr>
          <w:rFonts w:ascii="Calibri" w:eastAsia="Times New Roman" w:hAnsi="Calibri"/>
          <w:lang w:eastAsia="en-US"/>
        </w:rPr>
      </w:pPr>
      <w:r w:rsidRPr="002E36E6">
        <w:rPr>
          <w:rFonts w:ascii="Calibri" w:eastAsia="Times New Roman" w:hAnsi="Calibri"/>
          <w:lang w:eastAsia="en-US"/>
        </w:rPr>
        <w:t xml:space="preserve">In </w:t>
      </w:r>
      <w:r w:rsidR="00111BDD" w:rsidRPr="002E36E6">
        <w:rPr>
          <w:rFonts w:ascii="Calibri" w:eastAsia="Times New Roman" w:hAnsi="Calibri"/>
          <w:lang w:eastAsia="en-US"/>
        </w:rPr>
        <w:t>201</w:t>
      </w:r>
      <w:r w:rsidR="00E15AC4" w:rsidRPr="002E36E6">
        <w:rPr>
          <w:rFonts w:ascii="Calibri" w:eastAsia="Times New Roman" w:hAnsi="Calibri"/>
          <w:lang w:eastAsia="en-US"/>
        </w:rPr>
        <w:t>7</w:t>
      </w:r>
      <w:r w:rsidRPr="002E36E6">
        <w:rPr>
          <w:rFonts w:ascii="Calibri" w:eastAsia="Times New Roman" w:hAnsi="Calibri"/>
          <w:lang w:eastAsia="en-US"/>
        </w:rPr>
        <w:t>, expenses for all types of trust fund project</w:t>
      </w:r>
      <w:r w:rsidR="00D34DD8" w:rsidRPr="002E36E6">
        <w:rPr>
          <w:rFonts w:ascii="Calibri" w:eastAsia="Times New Roman" w:hAnsi="Calibri"/>
          <w:lang w:eastAsia="en-US"/>
        </w:rPr>
        <w:t>s</w:t>
      </w:r>
      <w:r w:rsidRPr="002E36E6">
        <w:rPr>
          <w:rFonts w:ascii="Calibri" w:eastAsia="Times New Roman" w:hAnsi="Calibri"/>
          <w:lang w:eastAsia="en-US"/>
        </w:rPr>
        <w:t xml:space="preserve"> amount</w:t>
      </w:r>
      <w:r w:rsidR="00D34DD8" w:rsidRPr="002E36E6">
        <w:rPr>
          <w:rFonts w:ascii="Calibri" w:eastAsia="Times New Roman" w:hAnsi="Calibri"/>
          <w:lang w:eastAsia="en-US"/>
        </w:rPr>
        <w:t>ed</w:t>
      </w:r>
      <w:r w:rsidRPr="002E36E6">
        <w:rPr>
          <w:rFonts w:ascii="Calibri" w:eastAsia="Times New Roman" w:hAnsi="Calibri"/>
          <w:lang w:eastAsia="en-US"/>
        </w:rPr>
        <w:t xml:space="preserve"> to CHF </w:t>
      </w:r>
      <w:r w:rsidR="00E15AC4" w:rsidRPr="002E36E6">
        <w:rPr>
          <w:rFonts w:ascii="Calibri" w:eastAsia="Times New Roman" w:hAnsi="Calibri"/>
          <w:lang w:eastAsia="en-US"/>
        </w:rPr>
        <w:t>9</w:t>
      </w:r>
      <w:r w:rsidR="002A0C57" w:rsidRPr="002E36E6">
        <w:rPr>
          <w:rFonts w:ascii="Calibri" w:eastAsia="Times New Roman" w:hAnsi="Calibri"/>
          <w:lang w:eastAsia="en-US"/>
        </w:rPr>
        <w:t xml:space="preserve"> million</w:t>
      </w:r>
      <w:r w:rsidR="008F15EC" w:rsidRPr="002E36E6">
        <w:rPr>
          <w:rFonts w:ascii="Calibri" w:eastAsia="Times New Roman" w:hAnsi="Calibri"/>
          <w:lang w:eastAsia="en-US"/>
        </w:rPr>
        <w:t>,</w:t>
      </w:r>
      <w:r w:rsidRPr="002E36E6">
        <w:rPr>
          <w:rFonts w:ascii="Calibri" w:eastAsia="Times New Roman" w:hAnsi="Calibri"/>
          <w:lang w:eastAsia="en-US"/>
        </w:rPr>
        <w:t xml:space="preserve"> as against CHF </w:t>
      </w:r>
      <w:r w:rsidR="00E15AC4" w:rsidRPr="002E36E6">
        <w:rPr>
          <w:rFonts w:ascii="Calibri" w:eastAsia="Times New Roman" w:hAnsi="Calibri"/>
          <w:lang w:eastAsia="en-US"/>
        </w:rPr>
        <w:t xml:space="preserve">7.3 </w:t>
      </w:r>
      <w:r w:rsidR="002A0C57" w:rsidRPr="002E36E6">
        <w:rPr>
          <w:rFonts w:ascii="Calibri" w:eastAsia="Times New Roman" w:hAnsi="Calibri"/>
          <w:lang w:eastAsia="en-US"/>
        </w:rPr>
        <w:t>million</w:t>
      </w:r>
      <w:r w:rsidRPr="002E36E6">
        <w:rPr>
          <w:rFonts w:ascii="Calibri" w:eastAsia="Times New Roman" w:hAnsi="Calibri"/>
          <w:lang w:eastAsia="en-US"/>
        </w:rPr>
        <w:t xml:space="preserve"> in 201</w:t>
      </w:r>
      <w:r w:rsidR="00E15AC4" w:rsidRPr="002E36E6">
        <w:rPr>
          <w:rFonts w:ascii="Calibri" w:eastAsia="Times New Roman" w:hAnsi="Calibri"/>
          <w:lang w:eastAsia="en-US"/>
        </w:rPr>
        <w:t>6</w:t>
      </w:r>
      <w:r w:rsidRPr="002E36E6">
        <w:rPr>
          <w:rFonts w:ascii="Calibri" w:eastAsia="Times New Roman" w:hAnsi="Calibri"/>
          <w:lang w:eastAsia="en-US"/>
        </w:rPr>
        <w:t>.</w:t>
      </w:r>
      <w:r w:rsidR="0046222D" w:rsidRPr="002E36E6">
        <w:rPr>
          <w:rFonts w:ascii="Calibri" w:eastAsia="Times New Roman" w:hAnsi="Calibri"/>
          <w:lang w:eastAsia="en-US"/>
        </w:rPr>
        <w:t xml:space="preserve"> The support costs amounted to </w:t>
      </w:r>
      <w:r w:rsidR="002A0C57" w:rsidRPr="002E36E6">
        <w:rPr>
          <w:rFonts w:ascii="Calibri" w:eastAsia="Times New Roman" w:hAnsi="Calibri"/>
          <w:lang w:eastAsia="en-US"/>
        </w:rPr>
        <w:t>K</w:t>
      </w:r>
      <w:r w:rsidR="0046222D" w:rsidRPr="002E36E6">
        <w:rPr>
          <w:rFonts w:ascii="Calibri" w:eastAsia="Times New Roman" w:hAnsi="Calibri"/>
          <w:lang w:eastAsia="en-US"/>
        </w:rPr>
        <w:t xml:space="preserve">CHF </w:t>
      </w:r>
      <w:r w:rsidR="00E15AC4" w:rsidRPr="002E36E6">
        <w:rPr>
          <w:rFonts w:ascii="Calibri" w:eastAsia="Times New Roman" w:hAnsi="Calibri"/>
          <w:lang w:eastAsia="en-US"/>
        </w:rPr>
        <w:t xml:space="preserve">568 </w:t>
      </w:r>
      <w:r w:rsidR="0046222D" w:rsidRPr="002E36E6">
        <w:rPr>
          <w:rFonts w:ascii="Calibri" w:eastAsia="Times New Roman" w:hAnsi="Calibri"/>
          <w:lang w:eastAsia="en-US"/>
        </w:rPr>
        <w:t>in 201</w:t>
      </w:r>
      <w:r w:rsidR="00E15AC4" w:rsidRPr="002E36E6">
        <w:rPr>
          <w:rFonts w:ascii="Calibri" w:eastAsia="Times New Roman" w:hAnsi="Calibri"/>
          <w:lang w:eastAsia="en-US"/>
        </w:rPr>
        <w:t>7</w:t>
      </w:r>
      <w:r w:rsidR="0046222D" w:rsidRPr="002E36E6">
        <w:rPr>
          <w:rFonts w:ascii="Calibri" w:eastAsia="Times New Roman" w:hAnsi="Calibri"/>
          <w:lang w:eastAsia="en-US"/>
        </w:rPr>
        <w:t xml:space="preserve"> (</w:t>
      </w:r>
      <w:r w:rsidR="002A0C57" w:rsidRPr="002E36E6">
        <w:rPr>
          <w:rFonts w:ascii="Calibri" w:eastAsia="Times New Roman" w:hAnsi="Calibri"/>
          <w:lang w:eastAsia="en-US"/>
        </w:rPr>
        <w:t>K</w:t>
      </w:r>
      <w:r w:rsidR="0046222D" w:rsidRPr="002E36E6">
        <w:rPr>
          <w:rFonts w:ascii="Calibri" w:eastAsia="Times New Roman" w:hAnsi="Calibri"/>
          <w:lang w:eastAsia="en-US"/>
        </w:rPr>
        <w:t xml:space="preserve">CHF </w:t>
      </w:r>
      <w:r w:rsidR="00E15AC4" w:rsidRPr="002E36E6">
        <w:rPr>
          <w:rFonts w:ascii="Calibri" w:eastAsia="Times New Roman" w:hAnsi="Calibri"/>
          <w:lang w:eastAsia="en-US"/>
        </w:rPr>
        <w:t>458</w:t>
      </w:r>
      <w:r w:rsidR="002A0C57" w:rsidRPr="002E36E6">
        <w:rPr>
          <w:rFonts w:ascii="Calibri" w:eastAsia="Times New Roman" w:hAnsi="Calibri"/>
          <w:lang w:eastAsia="en-US"/>
        </w:rPr>
        <w:t xml:space="preserve"> </w:t>
      </w:r>
      <w:r w:rsidR="0046222D" w:rsidRPr="002E36E6">
        <w:rPr>
          <w:rFonts w:ascii="Calibri" w:eastAsia="Times New Roman" w:hAnsi="Calibri"/>
          <w:lang w:eastAsia="en-US"/>
        </w:rPr>
        <w:t>in 201</w:t>
      </w:r>
      <w:r w:rsidR="00E15AC4" w:rsidRPr="002E36E6">
        <w:rPr>
          <w:rFonts w:ascii="Calibri" w:eastAsia="Times New Roman" w:hAnsi="Calibri"/>
          <w:lang w:eastAsia="en-US"/>
        </w:rPr>
        <w:t>6</w:t>
      </w:r>
      <w:r w:rsidR="0046222D" w:rsidRPr="002E36E6">
        <w:rPr>
          <w:rFonts w:ascii="Calibri" w:eastAsia="Times New Roman" w:hAnsi="Calibri"/>
          <w:lang w:eastAsia="en-US"/>
        </w:rPr>
        <w:t>).</w:t>
      </w:r>
    </w:p>
    <w:p w:rsidR="00CD36C4" w:rsidRPr="00823212" w:rsidRDefault="00CD36C4" w:rsidP="002E36E6">
      <w:pPr>
        <w:pStyle w:val="Heading9"/>
        <w:spacing w:before="360"/>
        <w:jc w:val="both"/>
        <w:rPr>
          <w:w w:val="105"/>
          <w:sz w:val="28"/>
          <w:szCs w:val="28"/>
          <w:lang w:val="en-US"/>
        </w:rPr>
      </w:pPr>
      <w:r w:rsidRPr="00823212">
        <w:rPr>
          <w:w w:val="105"/>
          <w:sz w:val="28"/>
          <w:szCs w:val="28"/>
          <w:lang w:val="en-US"/>
        </w:rPr>
        <w:t>V</w:t>
      </w:r>
      <w:r w:rsidR="001C0691">
        <w:rPr>
          <w:w w:val="105"/>
          <w:sz w:val="28"/>
          <w:szCs w:val="28"/>
          <w:lang w:val="en-US"/>
        </w:rPr>
        <w:t>I</w:t>
      </w:r>
      <w:r w:rsidRPr="00823212">
        <w:rPr>
          <w:w w:val="105"/>
          <w:sz w:val="28"/>
          <w:szCs w:val="28"/>
          <w:lang w:val="en-US"/>
        </w:rPr>
        <w:tab/>
        <w:t xml:space="preserve">VOLUNTARY CONTRIBUTIONS (ANNEX </w:t>
      </w:r>
      <w:r w:rsidR="009623EA" w:rsidRPr="00823212">
        <w:rPr>
          <w:w w:val="105"/>
          <w:sz w:val="28"/>
          <w:szCs w:val="28"/>
          <w:lang w:val="en-US"/>
        </w:rPr>
        <w:t>A6</w:t>
      </w:r>
      <w:r w:rsidRPr="00823212">
        <w:rPr>
          <w:w w:val="105"/>
          <w:sz w:val="28"/>
          <w:szCs w:val="28"/>
          <w:lang w:val="en-US"/>
        </w:rPr>
        <w:t>)</w:t>
      </w:r>
    </w:p>
    <w:p w:rsidR="00D92E9D" w:rsidRPr="00823212" w:rsidRDefault="00D92E9D" w:rsidP="002E36E6">
      <w:pPr>
        <w:pStyle w:val="ListParagraph"/>
        <w:tabs>
          <w:tab w:val="left" w:pos="851"/>
        </w:tabs>
        <w:ind w:left="0"/>
        <w:jc w:val="both"/>
        <w:rPr>
          <w:rFonts w:ascii="Calibri" w:eastAsia="Times New Roman" w:hAnsi="Calibri"/>
          <w:lang w:eastAsia="en-US"/>
        </w:rPr>
      </w:pPr>
    </w:p>
    <w:p w:rsidR="00940926" w:rsidRPr="00823212" w:rsidRDefault="00471941" w:rsidP="00D2431D">
      <w:pPr>
        <w:pStyle w:val="ListParagraph"/>
        <w:numPr>
          <w:ilvl w:val="0"/>
          <w:numId w:val="18"/>
        </w:numPr>
        <w:tabs>
          <w:tab w:val="left" w:pos="851"/>
        </w:tabs>
        <w:ind w:left="0" w:firstLine="0"/>
        <w:jc w:val="both"/>
        <w:rPr>
          <w:rFonts w:ascii="Calibri" w:eastAsia="Times New Roman" w:hAnsi="Calibri"/>
          <w:lang w:eastAsia="en-US"/>
        </w:rPr>
      </w:pPr>
      <w:r w:rsidRPr="00823212">
        <w:rPr>
          <w:rFonts w:ascii="Calibri" w:eastAsia="Times New Roman" w:hAnsi="Calibri"/>
          <w:lang w:eastAsia="en-US"/>
        </w:rPr>
        <w:t>In 201</w:t>
      </w:r>
      <w:r w:rsidR="003D092F" w:rsidRPr="00823212">
        <w:rPr>
          <w:rFonts w:ascii="Calibri" w:eastAsia="Times New Roman" w:hAnsi="Calibri"/>
          <w:lang w:eastAsia="en-US"/>
        </w:rPr>
        <w:t>7</w:t>
      </w:r>
      <w:r w:rsidRPr="00823212">
        <w:rPr>
          <w:rFonts w:ascii="Calibri" w:eastAsia="Times New Roman" w:hAnsi="Calibri"/>
          <w:lang w:eastAsia="en-US"/>
        </w:rPr>
        <w:t>, liquid assets amounted to CHF </w:t>
      </w:r>
      <w:r w:rsidR="003D092F" w:rsidRPr="00823212">
        <w:rPr>
          <w:rFonts w:ascii="Calibri" w:eastAsia="Times New Roman" w:hAnsi="Calibri"/>
          <w:lang w:eastAsia="en-US"/>
        </w:rPr>
        <w:t>9</w:t>
      </w:r>
      <w:r w:rsidRPr="00823212">
        <w:rPr>
          <w:rFonts w:ascii="Calibri" w:eastAsia="Times New Roman" w:hAnsi="Calibri"/>
          <w:lang w:eastAsia="en-US"/>
        </w:rPr>
        <w:t xml:space="preserve"> million (CHF </w:t>
      </w:r>
      <w:r w:rsidR="00940926" w:rsidRPr="00823212">
        <w:rPr>
          <w:rFonts w:ascii="Calibri" w:eastAsia="Times New Roman" w:hAnsi="Calibri"/>
          <w:lang w:eastAsia="en-US"/>
        </w:rPr>
        <w:t>2.</w:t>
      </w:r>
      <w:r w:rsidR="003D092F" w:rsidRPr="00823212">
        <w:rPr>
          <w:rFonts w:ascii="Calibri" w:eastAsia="Times New Roman" w:hAnsi="Calibri"/>
          <w:lang w:eastAsia="en-US"/>
        </w:rPr>
        <w:t>9</w:t>
      </w:r>
      <w:r w:rsidRPr="00823212">
        <w:rPr>
          <w:rFonts w:ascii="Calibri" w:eastAsia="Times New Roman" w:hAnsi="Calibri"/>
          <w:lang w:eastAsia="en-US"/>
        </w:rPr>
        <w:t xml:space="preserve"> million in 201</w:t>
      </w:r>
      <w:r w:rsidR="003D092F" w:rsidRPr="00823212">
        <w:rPr>
          <w:rFonts w:ascii="Calibri" w:eastAsia="Times New Roman" w:hAnsi="Calibri"/>
          <w:lang w:eastAsia="en-US"/>
        </w:rPr>
        <w:t>6</w:t>
      </w:r>
      <w:r w:rsidRPr="00823212">
        <w:rPr>
          <w:rFonts w:ascii="Calibri" w:eastAsia="Times New Roman" w:hAnsi="Calibri"/>
          <w:lang w:eastAsia="en-US"/>
        </w:rPr>
        <w:t xml:space="preserve">). </w:t>
      </w:r>
      <w:r w:rsidR="003D092F" w:rsidRPr="00823212">
        <w:rPr>
          <w:rFonts w:ascii="Calibri" w:eastAsia="Times New Roman" w:hAnsi="Calibri"/>
          <w:lang w:eastAsia="en-US"/>
        </w:rPr>
        <w:t>This decrease is explained by the reclassification of investments (deposit account</w:t>
      </w:r>
      <w:r w:rsidR="00D2431D" w:rsidRPr="00823212">
        <w:rPr>
          <w:rFonts w:ascii="Calibri" w:eastAsia="Times New Roman" w:hAnsi="Calibri"/>
          <w:lang w:eastAsia="en-US"/>
        </w:rPr>
        <w:t>s</w:t>
      </w:r>
      <w:r w:rsidR="003D092F" w:rsidRPr="00823212">
        <w:rPr>
          <w:rFonts w:ascii="Calibri" w:eastAsia="Times New Roman" w:hAnsi="Calibri"/>
          <w:lang w:eastAsia="en-US"/>
        </w:rPr>
        <w:t>) into cash account</w:t>
      </w:r>
      <w:r w:rsidR="00D2431D" w:rsidRPr="00823212">
        <w:rPr>
          <w:rFonts w:ascii="Calibri" w:eastAsia="Times New Roman" w:hAnsi="Calibri"/>
          <w:lang w:eastAsia="en-US"/>
        </w:rPr>
        <w:t>s</w:t>
      </w:r>
      <w:r w:rsidR="003D092F" w:rsidRPr="00823212">
        <w:rPr>
          <w:rFonts w:ascii="Calibri" w:eastAsia="Times New Roman" w:hAnsi="Calibri"/>
          <w:lang w:eastAsia="en-US"/>
        </w:rPr>
        <w:t xml:space="preserve">. Due to the negative interests on </w:t>
      </w:r>
      <w:r w:rsidR="00D2431D" w:rsidRPr="00823212">
        <w:rPr>
          <w:rFonts w:ascii="Calibri" w:eastAsia="Times New Roman" w:hAnsi="Calibri"/>
          <w:lang w:eastAsia="en-US"/>
        </w:rPr>
        <w:t xml:space="preserve">the </w:t>
      </w:r>
      <w:r w:rsidR="003D092F" w:rsidRPr="00823212">
        <w:rPr>
          <w:rFonts w:ascii="Calibri" w:eastAsia="Times New Roman" w:hAnsi="Calibri"/>
          <w:lang w:eastAsia="en-US"/>
        </w:rPr>
        <w:t xml:space="preserve">Swiss francs, the deposit accounts </w:t>
      </w:r>
      <w:r w:rsidR="00D2431D" w:rsidRPr="00823212">
        <w:rPr>
          <w:rFonts w:ascii="Calibri" w:eastAsia="Times New Roman" w:hAnsi="Calibri"/>
          <w:lang w:eastAsia="en-US"/>
        </w:rPr>
        <w:t xml:space="preserve">are in the process of being </w:t>
      </w:r>
      <w:r w:rsidR="00AA6932" w:rsidRPr="00823212">
        <w:rPr>
          <w:rFonts w:ascii="Calibri" w:eastAsia="Times New Roman" w:hAnsi="Calibri"/>
          <w:lang w:eastAsia="en-US"/>
        </w:rPr>
        <w:t>closed.</w:t>
      </w:r>
    </w:p>
    <w:p w:rsidR="00940926" w:rsidRPr="00823212" w:rsidRDefault="00940926" w:rsidP="002E36E6">
      <w:pPr>
        <w:pStyle w:val="ListParagraph"/>
        <w:tabs>
          <w:tab w:val="left" w:pos="851"/>
        </w:tabs>
        <w:ind w:left="0"/>
        <w:jc w:val="both"/>
        <w:rPr>
          <w:rFonts w:ascii="Calibri" w:eastAsia="Times New Roman" w:hAnsi="Calibri"/>
          <w:lang w:eastAsia="en-US"/>
        </w:rPr>
      </w:pPr>
    </w:p>
    <w:p w:rsidR="0037066B" w:rsidRPr="00823212" w:rsidRDefault="00940926" w:rsidP="009735A7">
      <w:pPr>
        <w:pStyle w:val="ListParagraph"/>
        <w:numPr>
          <w:ilvl w:val="0"/>
          <w:numId w:val="18"/>
        </w:numPr>
        <w:tabs>
          <w:tab w:val="left" w:pos="851"/>
        </w:tabs>
        <w:ind w:left="0" w:firstLine="0"/>
        <w:jc w:val="both"/>
        <w:rPr>
          <w:rFonts w:ascii="Calibri" w:eastAsia="Times New Roman" w:hAnsi="Calibri"/>
          <w:lang w:eastAsia="en-US"/>
        </w:rPr>
      </w:pPr>
      <w:r w:rsidRPr="00823212">
        <w:rPr>
          <w:rFonts w:ascii="Calibri" w:eastAsia="Times New Roman" w:hAnsi="Calibri"/>
          <w:lang w:eastAsia="en-US"/>
        </w:rPr>
        <w:t>In 201</w:t>
      </w:r>
      <w:r w:rsidR="003D092F" w:rsidRPr="00823212">
        <w:rPr>
          <w:rFonts w:ascii="Calibri" w:eastAsia="Times New Roman" w:hAnsi="Calibri"/>
          <w:lang w:eastAsia="en-US"/>
        </w:rPr>
        <w:t>7</w:t>
      </w:r>
      <w:r w:rsidRPr="00823212">
        <w:rPr>
          <w:rFonts w:ascii="Calibri" w:eastAsia="Times New Roman" w:hAnsi="Calibri"/>
          <w:lang w:eastAsia="en-US"/>
        </w:rPr>
        <w:t xml:space="preserve">, expenses for all types of Voluntary </w:t>
      </w:r>
      <w:r w:rsidR="0037066B" w:rsidRPr="00823212">
        <w:rPr>
          <w:rFonts w:ascii="Calibri" w:eastAsia="Times New Roman" w:hAnsi="Calibri"/>
          <w:lang w:eastAsia="en-US"/>
        </w:rPr>
        <w:t>contributions</w:t>
      </w:r>
      <w:r w:rsidRPr="00823212">
        <w:rPr>
          <w:rFonts w:ascii="Calibri" w:eastAsia="Times New Roman" w:hAnsi="Calibri"/>
          <w:lang w:eastAsia="en-US"/>
        </w:rPr>
        <w:t xml:space="preserve"> amounted to CHF </w:t>
      </w:r>
      <w:r w:rsidR="003D092F" w:rsidRPr="00823212">
        <w:rPr>
          <w:rFonts w:ascii="Calibri" w:eastAsia="Times New Roman" w:hAnsi="Calibri"/>
          <w:lang w:eastAsia="en-US"/>
        </w:rPr>
        <w:t>2.8 m</w:t>
      </w:r>
      <w:r w:rsidRPr="00823212">
        <w:rPr>
          <w:rFonts w:ascii="Calibri" w:eastAsia="Times New Roman" w:hAnsi="Calibri"/>
          <w:lang w:eastAsia="en-US"/>
        </w:rPr>
        <w:t>illion, as against CHF </w:t>
      </w:r>
      <w:r w:rsidR="003D092F" w:rsidRPr="00823212">
        <w:rPr>
          <w:rFonts w:ascii="Calibri" w:eastAsia="Times New Roman" w:hAnsi="Calibri"/>
          <w:lang w:eastAsia="en-US"/>
        </w:rPr>
        <w:t>3</w:t>
      </w:r>
      <w:r w:rsidRPr="00823212">
        <w:rPr>
          <w:rFonts w:ascii="Calibri" w:eastAsia="Times New Roman" w:hAnsi="Calibri"/>
          <w:lang w:eastAsia="en-US"/>
        </w:rPr>
        <w:t xml:space="preserve"> million in 201</w:t>
      </w:r>
      <w:r w:rsidR="003D092F" w:rsidRPr="00823212">
        <w:rPr>
          <w:rFonts w:ascii="Calibri" w:eastAsia="Times New Roman" w:hAnsi="Calibri"/>
          <w:lang w:eastAsia="en-US"/>
        </w:rPr>
        <w:t>6</w:t>
      </w:r>
      <w:r w:rsidRPr="00823212">
        <w:rPr>
          <w:rFonts w:ascii="Calibri" w:eastAsia="Times New Roman" w:hAnsi="Calibri"/>
          <w:lang w:eastAsia="en-US"/>
        </w:rPr>
        <w:t>.</w:t>
      </w:r>
    </w:p>
    <w:p w:rsidR="0015643B" w:rsidRDefault="0015643B">
      <w:pPr>
        <w:tabs>
          <w:tab w:val="clear" w:pos="567"/>
          <w:tab w:val="clear" w:pos="1134"/>
          <w:tab w:val="clear" w:pos="1701"/>
          <w:tab w:val="clear" w:pos="2268"/>
          <w:tab w:val="clear" w:pos="2835"/>
        </w:tabs>
        <w:overflowPunct/>
        <w:autoSpaceDE/>
        <w:autoSpaceDN/>
        <w:adjustRightInd/>
        <w:spacing w:before="0"/>
        <w:textAlignment w:val="auto"/>
        <w:rPr>
          <w:b/>
          <w:w w:val="105"/>
          <w:sz w:val="28"/>
          <w:szCs w:val="28"/>
          <w:lang w:val="en-US"/>
        </w:rPr>
      </w:pPr>
      <w:r>
        <w:rPr>
          <w:w w:val="105"/>
          <w:sz w:val="28"/>
          <w:szCs w:val="28"/>
          <w:lang w:val="en-US"/>
        </w:rPr>
        <w:br w:type="page"/>
      </w:r>
    </w:p>
    <w:p w:rsidR="0079154C" w:rsidRPr="002E36E6" w:rsidRDefault="0079154C" w:rsidP="002E36E6">
      <w:pPr>
        <w:pStyle w:val="Heading9"/>
        <w:spacing w:before="360"/>
        <w:jc w:val="both"/>
        <w:rPr>
          <w:w w:val="105"/>
          <w:sz w:val="28"/>
          <w:szCs w:val="28"/>
          <w:lang w:val="en-US"/>
        </w:rPr>
      </w:pPr>
      <w:r w:rsidRPr="00823212">
        <w:rPr>
          <w:w w:val="105"/>
          <w:sz w:val="28"/>
          <w:szCs w:val="28"/>
          <w:lang w:val="en-US"/>
        </w:rPr>
        <w:t>VI</w:t>
      </w:r>
      <w:r w:rsidR="001C0691">
        <w:rPr>
          <w:w w:val="105"/>
          <w:sz w:val="28"/>
          <w:szCs w:val="28"/>
          <w:lang w:val="en-US"/>
        </w:rPr>
        <w:t>I</w:t>
      </w:r>
      <w:r w:rsidRPr="00823212">
        <w:rPr>
          <w:w w:val="105"/>
          <w:sz w:val="28"/>
          <w:szCs w:val="28"/>
          <w:lang w:val="en-US"/>
        </w:rPr>
        <w:tab/>
        <w:t xml:space="preserve">ICT DEVELOPMENT FUND (ANNEX </w:t>
      </w:r>
      <w:r w:rsidR="009623EA" w:rsidRPr="00823212">
        <w:rPr>
          <w:w w:val="105"/>
          <w:sz w:val="28"/>
          <w:szCs w:val="28"/>
          <w:lang w:val="en-US"/>
        </w:rPr>
        <w:t>A7</w:t>
      </w:r>
      <w:r w:rsidRPr="00823212">
        <w:rPr>
          <w:w w:val="105"/>
          <w:sz w:val="28"/>
          <w:szCs w:val="28"/>
          <w:lang w:val="en-US"/>
        </w:rPr>
        <w:t>)</w:t>
      </w:r>
    </w:p>
    <w:p w:rsidR="007A31E3" w:rsidRPr="002E36E6" w:rsidRDefault="007A31E3" w:rsidP="003F6048">
      <w:pPr>
        <w:pStyle w:val="ListParagraph"/>
        <w:tabs>
          <w:tab w:val="left" w:pos="851"/>
        </w:tabs>
        <w:ind w:left="0"/>
        <w:jc w:val="both"/>
        <w:rPr>
          <w:rFonts w:ascii="Calibri" w:eastAsia="Times New Roman" w:hAnsi="Calibri"/>
          <w:lang w:eastAsia="en-US"/>
        </w:rPr>
      </w:pPr>
    </w:p>
    <w:p w:rsidR="0079154C" w:rsidRPr="002E36E6" w:rsidRDefault="0079154C" w:rsidP="002E36E6">
      <w:pPr>
        <w:pStyle w:val="ListParagraph"/>
        <w:numPr>
          <w:ilvl w:val="0"/>
          <w:numId w:val="18"/>
        </w:numPr>
        <w:tabs>
          <w:tab w:val="left" w:pos="851"/>
        </w:tabs>
        <w:ind w:left="0" w:firstLine="0"/>
        <w:jc w:val="both"/>
        <w:rPr>
          <w:rFonts w:ascii="Calibri" w:eastAsia="Times New Roman" w:hAnsi="Calibri"/>
          <w:lang w:eastAsia="en-US"/>
        </w:rPr>
      </w:pPr>
      <w:r w:rsidRPr="002E36E6">
        <w:rPr>
          <w:rFonts w:ascii="Calibri" w:eastAsia="Times New Roman" w:hAnsi="Calibri"/>
          <w:lang w:eastAsia="en-US"/>
        </w:rPr>
        <w:t>At the end of 201</w:t>
      </w:r>
      <w:r w:rsidR="00AA6932" w:rsidRPr="002E36E6">
        <w:rPr>
          <w:rFonts w:ascii="Calibri" w:eastAsia="Times New Roman" w:hAnsi="Calibri"/>
          <w:lang w:eastAsia="en-US"/>
        </w:rPr>
        <w:t>7</w:t>
      </w:r>
      <w:r w:rsidRPr="002E36E6">
        <w:rPr>
          <w:rFonts w:ascii="Calibri" w:eastAsia="Times New Roman" w:hAnsi="Calibri"/>
          <w:lang w:eastAsia="en-US"/>
        </w:rPr>
        <w:t>, the available funds of the ICT Development Fund (ICTDF) amount</w:t>
      </w:r>
      <w:r w:rsidR="00C665A7" w:rsidRPr="002E36E6">
        <w:rPr>
          <w:rFonts w:ascii="Calibri" w:eastAsia="Times New Roman" w:hAnsi="Calibri"/>
          <w:lang w:eastAsia="en-US"/>
        </w:rPr>
        <w:t>ed</w:t>
      </w:r>
      <w:r w:rsidRPr="002E36E6">
        <w:rPr>
          <w:rFonts w:ascii="Calibri" w:eastAsia="Times New Roman" w:hAnsi="Calibri"/>
          <w:lang w:eastAsia="en-US"/>
        </w:rPr>
        <w:t xml:space="preserve"> to CHF </w:t>
      </w:r>
      <w:r w:rsidR="00AA6932" w:rsidRPr="002E36E6">
        <w:rPr>
          <w:rFonts w:ascii="Calibri" w:eastAsia="Times New Roman" w:hAnsi="Calibri"/>
          <w:lang w:eastAsia="en-US"/>
        </w:rPr>
        <w:t>1</w:t>
      </w:r>
      <w:r w:rsidRPr="002E36E6">
        <w:rPr>
          <w:rFonts w:ascii="Calibri" w:eastAsia="Times New Roman" w:hAnsi="Calibri"/>
          <w:lang w:eastAsia="en-US"/>
        </w:rPr>
        <w:t xml:space="preserve"> million (CHF </w:t>
      </w:r>
      <w:r w:rsidR="00AA6932" w:rsidRPr="002E36E6">
        <w:rPr>
          <w:rFonts w:ascii="Calibri" w:eastAsia="Times New Roman" w:hAnsi="Calibri"/>
          <w:lang w:eastAsia="en-US"/>
        </w:rPr>
        <w:t>1</w:t>
      </w:r>
      <w:r w:rsidRPr="002E36E6">
        <w:rPr>
          <w:rFonts w:ascii="Calibri" w:eastAsia="Times New Roman" w:hAnsi="Calibri"/>
          <w:lang w:eastAsia="en-US"/>
        </w:rPr>
        <w:t>.</w:t>
      </w:r>
      <w:r w:rsidR="00AA6932" w:rsidRPr="002E36E6">
        <w:rPr>
          <w:rFonts w:ascii="Calibri" w:eastAsia="Times New Roman" w:hAnsi="Calibri"/>
          <w:lang w:eastAsia="en-US"/>
        </w:rPr>
        <w:t>4</w:t>
      </w:r>
      <w:r w:rsidRPr="002E36E6">
        <w:rPr>
          <w:rFonts w:ascii="Calibri" w:eastAsia="Times New Roman" w:hAnsi="Calibri"/>
          <w:lang w:eastAsia="en-US"/>
        </w:rPr>
        <w:t xml:space="preserve"> million in 201</w:t>
      </w:r>
      <w:r w:rsidR="00AA6932" w:rsidRPr="002E36E6">
        <w:rPr>
          <w:rFonts w:ascii="Calibri" w:eastAsia="Times New Roman" w:hAnsi="Calibri"/>
          <w:lang w:eastAsia="en-US"/>
        </w:rPr>
        <w:t>6</w:t>
      </w:r>
      <w:r w:rsidRPr="002E36E6">
        <w:rPr>
          <w:rFonts w:ascii="Calibri" w:eastAsia="Times New Roman" w:hAnsi="Calibri"/>
          <w:lang w:eastAsia="en-US"/>
        </w:rPr>
        <w:t>). For 201</w:t>
      </w:r>
      <w:r w:rsidR="00AA6932" w:rsidRPr="002E36E6">
        <w:rPr>
          <w:rFonts w:ascii="Calibri" w:eastAsia="Times New Roman" w:hAnsi="Calibri"/>
          <w:lang w:eastAsia="en-US"/>
        </w:rPr>
        <w:t>7</w:t>
      </w:r>
      <w:r w:rsidRPr="002E36E6">
        <w:rPr>
          <w:rFonts w:ascii="Calibri" w:eastAsia="Times New Roman" w:hAnsi="Calibri"/>
          <w:lang w:eastAsia="en-US"/>
        </w:rPr>
        <w:t>, an amount of KCHF</w:t>
      </w:r>
      <w:r w:rsidR="005B6E20" w:rsidRPr="002E36E6">
        <w:rPr>
          <w:rFonts w:ascii="Calibri" w:eastAsia="Times New Roman" w:hAnsi="Calibri"/>
          <w:lang w:eastAsia="en-US"/>
        </w:rPr>
        <w:t xml:space="preserve"> 250</w:t>
      </w:r>
      <w:r w:rsidRPr="002E36E6">
        <w:rPr>
          <w:rFonts w:ascii="Calibri" w:eastAsia="Times New Roman" w:hAnsi="Calibri"/>
          <w:lang w:eastAsia="en-US"/>
        </w:rPr>
        <w:t xml:space="preserve"> (KCHF </w:t>
      </w:r>
      <w:r w:rsidR="005B6E20" w:rsidRPr="002E36E6">
        <w:rPr>
          <w:rFonts w:ascii="Calibri" w:eastAsia="Times New Roman" w:hAnsi="Calibri"/>
          <w:lang w:eastAsia="en-US"/>
        </w:rPr>
        <w:t>74</w:t>
      </w:r>
      <w:r w:rsidRPr="002E36E6">
        <w:rPr>
          <w:rFonts w:ascii="Calibri" w:eastAsia="Times New Roman" w:hAnsi="Calibri"/>
          <w:lang w:eastAsia="en-US"/>
        </w:rPr>
        <w:t xml:space="preserve"> in 201</w:t>
      </w:r>
      <w:r w:rsidR="005B6E20" w:rsidRPr="002E36E6">
        <w:rPr>
          <w:rFonts w:ascii="Calibri" w:eastAsia="Times New Roman" w:hAnsi="Calibri"/>
          <w:lang w:eastAsia="en-US"/>
        </w:rPr>
        <w:t>6</w:t>
      </w:r>
      <w:r w:rsidRPr="002E36E6">
        <w:rPr>
          <w:rFonts w:ascii="Calibri" w:eastAsia="Times New Roman" w:hAnsi="Calibri"/>
          <w:lang w:eastAsia="en-US"/>
        </w:rPr>
        <w:t>) was allocated to the financing of ICT development projects.</w:t>
      </w:r>
    </w:p>
    <w:p w:rsidR="0079154C" w:rsidRPr="002E36E6" w:rsidRDefault="0079154C" w:rsidP="003F6048">
      <w:pPr>
        <w:pStyle w:val="ListParagraph"/>
        <w:tabs>
          <w:tab w:val="left" w:pos="851"/>
        </w:tabs>
        <w:ind w:left="0"/>
        <w:jc w:val="both"/>
        <w:rPr>
          <w:rFonts w:ascii="Calibri" w:eastAsia="Times New Roman" w:hAnsi="Calibri"/>
          <w:lang w:eastAsia="en-US"/>
        </w:rPr>
      </w:pPr>
    </w:p>
    <w:p w:rsidR="00D2431D" w:rsidRPr="00D2431D" w:rsidRDefault="00CD36C4" w:rsidP="00D2431D">
      <w:pPr>
        <w:pStyle w:val="ListParagraph"/>
        <w:numPr>
          <w:ilvl w:val="0"/>
          <w:numId w:val="18"/>
        </w:numPr>
        <w:tabs>
          <w:tab w:val="left" w:pos="851"/>
        </w:tabs>
        <w:ind w:left="0" w:firstLine="0"/>
        <w:jc w:val="both"/>
        <w:rPr>
          <w:rFonts w:ascii="Calibri" w:eastAsia="Times New Roman" w:hAnsi="Calibri"/>
          <w:lang w:eastAsia="en-US"/>
        </w:rPr>
      </w:pPr>
      <w:r w:rsidRPr="002E36E6">
        <w:rPr>
          <w:rFonts w:ascii="Calibri" w:eastAsia="Times New Roman" w:hAnsi="Calibri"/>
          <w:lang w:eastAsia="en-US"/>
        </w:rPr>
        <w:t xml:space="preserve">In </w:t>
      </w:r>
      <w:r w:rsidR="00111BDD" w:rsidRPr="002E36E6">
        <w:rPr>
          <w:rFonts w:ascii="Calibri" w:eastAsia="Times New Roman" w:hAnsi="Calibri"/>
          <w:lang w:eastAsia="en-US"/>
        </w:rPr>
        <w:t>201</w:t>
      </w:r>
      <w:r w:rsidR="005B6E20" w:rsidRPr="002E36E6">
        <w:rPr>
          <w:rFonts w:ascii="Calibri" w:eastAsia="Times New Roman" w:hAnsi="Calibri"/>
          <w:lang w:eastAsia="en-US"/>
        </w:rPr>
        <w:t>7</w:t>
      </w:r>
      <w:r w:rsidRPr="002E36E6">
        <w:rPr>
          <w:rFonts w:ascii="Calibri" w:eastAsia="Times New Roman" w:hAnsi="Calibri"/>
          <w:lang w:eastAsia="en-US"/>
        </w:rPr>
        <w:t>, interest from projects financed by the ICTDF was calc</w:t>
      </w:r>
      <w:r w:rsidR="00D2431D">
        <w:rPr>
          <w:rFonts w:ascii="Calibri" w:eastAsia="Times New Roman" w:hAnsi="Calibri"/>
          <w:lang w:eastAsia="en-US"/>
        </w:rPr>
        <w:t>ulated on total appropriations.</w:t>
      </w:r>
    </w:p>
    <w:p w:rsidR="00D2431D" w:rsidRDefault="00D2431D" w:rsidP="00D2431D">
      <w:pPr>
        <w:pStyle w:val="ListParagraph"/>
        <w:tabs>
          <w:tab w:val="left" w:pos="851"/>
        </w:tabs>
        <w:ind w:left="0"/>
        <w:jc w:val="both"/>
        <w:rPr>
          <w:rFonts w:ascii="Calibri" w:eastAsia="Times New Roman" w:hAnsi="Calibri"/>
          <w:lang w:eastAsia="en-US"/>
        </w:rPr>
      </w:pPr>
    </w:p>
    <w:p w:rsidR="00273F43" w:rsidRPr="002E36E6" w:rsidRDefault="00CD36C4" w:rsidP="00840A43">
      <w:pPr>
        <w:pStyle w:val="ListParagraph"/>
        <w:numPr>
          <w:ilvl w:val="0"/>
          <w:numId w:val="18"/>
        </w:numPr>
        <w:tabs>
          <w:tab w:val="left" w:pos="851"/>
        </w:tabs>
        <w:ind w:left="0" w:firstLine="0"/>
        <w:jc w:val="both"/>
        <w:rPr>
          <w:rFonts w:ascii="Calibri" w:eastAsia="Times New Roman" w:hAnsi="Calibri"/>
          <w:lang w:eastAsia="en-US"/>
        </w:rPr>
      </w:pPr>
      <w:r w:rsidRPr="002E36E6">
        <w:rPr>
          <w:rFonts w:ascii="Calibri" w:eastAsia="Times New Roman" w:hAnsi="Calibri"/>
          <w:lang w:eastAsia="en-US"/>
        </w:rPr>
        <w:t xml:space="preserve">The interest amounted to </w:t>
      </w:r>
      <w:r w:rsidR="00273F43" w:rsidRPr="002E36E6">
        <w:rPr>
          <w:rFonts w:ascii="Calibri" w:eastAsia="Times New Roman" w:hAnsi="Calibri"/>
          <w:lang w:eastAsia="en-US"/>
        </w:rPr>
        <w:t>K</w:t>
      </w:r>
      <w:r w:rsidRPr="002E36E6">
        <w:rPr>
          <w:rFonts w:ascii="Calibri" w:eastAsia="Times New Roman" w:hAnsi="Calibri"/>
          <w:lang w:eastAsia="en-US"/>
        </w:rPr>
        <w:t>CHF </w:t>
      </w:r>
      <w:r w:rsidR="005B6E20" w:rsidRPr="002E36E6">
        <w:rPr>
          <w:rFonts w:ascii="Calibri" w:eastAsia="Times New Roman" w:hAnsi="Calibri"/>
          <w:lang w:eastAsia="en-US"/>
        </w:rPr>
        <w:t>33</w:t>
      </w:r>
      <w:r w:rsidRPr="002E36E6">
        <w:rPr>
          <w:rFonts w:ascii="Calibri" w:eastAsia="Times New Roman" w:hAnsi="Calibri"/>
          <w:lang w:eastAsia="en-US"/>
        </w:rPr>
        <w:t xml:space="preserve"> and was transferred to the ICTDF.</w:t>
      </w:r>
    </w:p>
    <w:p w:rsidR="0022373A" w:rsidRPr="003F6048" w:rsidRDefault="000C2D54" w:rsidP="00DD2E54">
      <w:pPr>
        <w:pStyle w:val="Heading9"/>
        <w:tabs>
          <w:tab w:val="clear" w:pos="567"/>
          <w:tab w:val="left" w:pos="851"/>
        </w:tabs>
        <w:snapToGrid w:val="0"/>
        <w:spacing w:before="360" w:after="360"/>
        <w:jc w:val="both"/>
        <w:rPr>
          <w:w w:val="105"/>
          <w:sz w:val="28"/>
          <w:szCs w:val="28"/>
          <w:lang w:val="en-US"/>
        </w:rPr>
      </w:pPr>
      <w:r w:rsidRPr="003F6048">
        <w:rPr>
          <w:w w:val="105"/>
          <w:sz w:val="28"/>
          <w:szCs w:val="28"/>
          <w:lang w:val="en-US"/>
        </w:rPr>
        <w:t>VII</w:t>
      </w:r>
      <w:r w:rsidR="001C0691">
        <w:rPr>
          <w:w w:val="105"/>
          <w:sz w:val="28"/>
          <w:szCs w:val="28"/>
          <w:lang w:val="en-US"/>
        </w:rPr>
        <w:t>I</w:t>
      </w:r>
      <w:r w:rsidR="00737D33" w:rsidRPr="003F6048">
        <w:rPr>
          <w:w w:val="105"/>
          <w:sz w:val="28"/>
          <w:szCs w:val="28"/>
          <w:lang w:val="en-US"/>
        </w:rPr>
        <w:tab/>
      </w:r>
      <w:r w:rsidR="00DD2E54">
        <w:rPr>
          <w:w w:val="105"/>
          <w:sz w:val="28"/>
          <w:szCs w:val="28"/>
          <w:lang w:val="en-US"/>
        </w:rPr>
        <w:t>ITU TELECOM WORLD 2017</w:t>
      </w:r>
      <w:bookmarkEnd w:id="145"/>
      <w:r w:rsidR="00CB708C" w:rsidRPr="003F6048">
        <w:rPr>
          <w:w w:val="105"/>
          <w:sz w:val="28"/>
          <w:szCs w:val="28"/>
          <w:lang w:val="en-US"/>
        </w:rPr>
        <w:t xml:space="preserve"> (ANNEX </w:t>
      </w:r>
      <w:r w:rsidR="009623EA" w:rsidRPr="003F6048">
        <w:rPr>
          <w:w w:val="105"/>
          <w:sz w:val="28"/>
          <w:szCs w:val="28"/>
          <w:lang w:val="en-US"/>
        </w:rPr>
        <w:t>A8</w:t>
      </w:r>
      <w:r w:rsidR="00CB708C" w:rsidRPr="003F6048">
        <w:rPr>
          <w:w w:val="105"/>
          <w:sz w:val="28"/>
          <w:szCs w:val="28"/>
          <w:lang w:val="en-US"/>
        </w:rPr>
        <w:t>)</w:t>
      </w:r>
    </w:p>
    <w:p w:rsidR="007B1A87" w:rsidRPr="00840A43" w:rsidRDefault="007B1A87" w:rsidP="009242D8">
      <w:pPr>
        <w:pStyle w:val="ListParagraph"/>
        <w:numPr>
          <w:ilvl w:val="0"/>
          <w:numId w:val="31"/>
        </w:numPr>
        <w:tabs>
          <w:tab w:val="left" w:pos="0"/>
          <w:tab w:val="left" w:pos="851"/>
        </w:tabs>
        <w:adjustRightInd w:val="0"/>
        <w:snapToGrid w:val="0"/>
        <w:ind w:left="0" w:firstLine="0"/>
        <w:contextualSpacing w:val="0"/>
        <w:jc w:val="both"/>
        <w:rPr>
          <w:rFonts w:ascii="Calibri" w:hAnsi="Calibri"/>
        </w:rPr>
      </w:pPr>
      <w:r w:rsidRPr="00840A43">
        <w:rPr>
          <w:rFonts w:ascii="Calibri" w:hAnsi="Calibri"/>
        </w:rPr>
        <w:t xml:space="preserve">The event budget </w:t>
      </w:r>
      <w:r w:rsidR="009242D8">
        <w:rPr>
          <w:rFonts w:ascii="Calibri" w:hAnsi="Calibri"/>
        </w:rPr>
        <w:t xml:space="preserve">was </w:t>
      </w:r>
      <w:r w:rsidRPr="00840A43">
        <w:rPr>
          <w:rFonts w:ascii="Calibri" w:hAnsi="Calibri"/>
        </w:rPr>
        <w:t xml:space="preserve">approved on </w:t>
      </w:r>
      <w:r w:rsidR="0064024A" w:rsidRPr="00840A43">
        <w:rPr>
          <w:rFonts w:ascii="Calibri" w:hAnsi="Calibri"/>
        </w:rPr>
        <w:t>30 March 2017</w:t>
      </w:r>
      <w:r w:rsidRPr="00840A43">
        <w:rPr>
          <w:rFonts w:ascii="Calibri" w:hAnsi="Calibri"/>
        </w:rPr>
        <w:t xml:space="preserve"> with an expected total revenue of CHF</w:t>
      </w:r>
      <w:r w:rsidR="00006047" w:rsidRPr="00840A43">
        <w:rPr>
          <w:rFonts w:ascii="Calibri" w:hAnsi="Calibri"/>
        </w:rPr>
        <w:t> </w:t>
      </w:r>
      <w:r w:rsidR="0064024A" w:rsidRPr="00840A43">
        <w:rPr>
          <w:rFonts w:ascii="Calibri" w:hAnsi="Calibri"/>
        </w:rPr>
        <w:t>8</w:t>
      </w:r>
      <w:r w:rsidRPr="00840A43">
        <w:rPr>
          <w:rFonts w:ascii="Calibri" w:hAnsi="Calibri"/>
        </w:rPr>
        <w:t>,</w:t>
      </w:r>
      <w:r w:rsidR="0064024A" w:rsidRPr="00840A43">
        <w:rPr>
          <w:rFonts w:ascii="Calibri" w:hAnsi="Calibri"/>
        </w:rPr>
        <w:t>213</w:t>
      </w:r>
      <w:r w:rsidRPr="00840A43">
        <w:rPr>
          <w:rFonts w:ascii="Calibri" w:hAnsi="Calibri"/>
        </w:rPr>
        <w:t>,</w:t>
      </w:r>
      <w:r w:rsidR="0064024A" w:rsidRPr="00840A43">
        <w:rPr>
          <w:rFonts w:ascii="Calibri" w:hAnsi="Calibri"/>
        </w:rPr>
        <w:t>0</w:t>
      </w:r>
      <w:r w:rsidRPr="00840A43">
        <w:rPr>
          <w:rFonts w:ascii="Calibri" w:hAnsi="Calibri"/>
        </w:rPr>
        <w:t>00 and total expenses of CHF</w:t>
      </w:r>
      <w:r w:rsidR="00006047" w:rsidRPr="00840A43">
        <w:rPr>
          <w:rFonts w:ascii="Calibri" w:hAnsi="Calibri"/>
        </w:rPr>
        <w:t> </w:t>
      </w:r>
      <w:r w:rsidR="0064024A" w:rsidRPr="00840A43">
        <w:rPr>
          <w:rFonts w:ascii="Calibri" w:hAnsi="Calibri"/>
        </w:rPr>
        <w:t>7</w:t>
      </w:r>
      <w:r w:rsidRPr="00840A43">
        <w:rPr>
          <w:rFonts w:ascii="Calibri" w:hAnsi="Calibri"/>
        </w:rPr>
        <w:t>,</w:t>
      </w:r>
      <w:r w:rsidR="0064024A" w:rsidRPr="00840A43">
        <w:rPr>
          <w:rFonts w:ascii="Calibri" w:hAnsi="Calibri"/>
        </w:rPr>
        <w:t>711</w:t>
      </w:r>
      <w:r w:rsidRPr="00840A43">
        <w:rPr>
          <w:rFonts w:ascii="Calibri" w:hAnsi="Calibri"/>
        </w:rPr>
        <w:t>,500 that would generate an event result of CHF</w:t>
      </w:r>
      <w:r w:rsidR="00006047" w:rsidRPr="00840A43">
        <w:rPr>
          <w:rFonts w:ascii="Calibri" w:hAnsi="Calibri"/>
        </w:rPr>
        <w:t> </w:t>
      </w:r>
      <w:r w:rsidR="0064024A" w:rsidRPr="00840A43">
        <w:rPr>
          <w:rFonts w:ascii="Calibri" w:hAnsi="Calibri"/>
        </w:rPr>
        <w:t>501</w:t>
      </w:r>
      <w:r w:rsidRPr="00840A43">
        <w:rPr>
          <w:rFonts w:ascii="Calibri" w:hAnsi="Calibri"/>
        </w:rPr>
        <w:t>,</w:t>
      </w:r>
      <w:r w:rsidR="0064024A" w:rsidRPr="00840A43">
        <w:rPr>
          <w:rFonts w:ascii="Calibri" w:hAnsi="Calibri"/>
        </w:rPr>
        <w:t>5</w:t>
      </w:r>
      <w:r w:rsidRPr="00840A43">
        <w:rPr>
          <w:rFonts w:ascii="Calibri" w:hAnsi="Calibri"/>
        </w:rPr>
        <w:t>00.</w:t>
      </w:r>
    </w:p>
    <w:p w:rsidR="007B1A87" w:rsidRPr="006410A3" w:rsidRDefault="007B1A87" w:rsidP="00840A43">
      <w:pPr>
        <w:pStyle w:val="ListParagraph"/>
        <w:tabs>
          <w:tab w:val="left" w:pos="0"/>
        </w:tabs>
        <w:adjustRightInd w:val="0"/>
        <w:snapToGrid w:val="0"/>
        <w:ind w:left="0"/>
        <w:contextualSpacing w:val="0"/>
        <w:jc w:val="both"/>
        <w:rPr>
          <w:rFonts w:ascii="Calibri" w:eastAsia="Times New Roman" w:hAnsi="Calibri"/>
          <w:lang w:eastAsia="en-US"/>
        </w:rPr>
      </w:pPr>
    </w:p>
    <w:p w:rsidR="007B1A87" w:rsidRDefault="007B1A87" w:rsidP="000637A1">
      <w:pPr>
        <w:pStyle w:val="ListParagraph"/>
        <w:numPr>
          <w:ilvl w:val="0"/>
          <w:numId w:val="31"/>
        </w:numPr>
        <w:tabs>
          <w:tab w:val="left" w:pos="851"/>
        </w:tabs>
        <w:adjustRightInd w:val="0"/>
        <w:snapToGrid w:val="0"/>
        <w:ind w:left="0" w:firstLine="0"/>
        <w:contextualSpacing w:val="0"/>
        <w:jc w:val="both"/>
        <w:rPr>
          <w:rFonts w:ascii="Calibri" w:eastAsia="Times New Roman" w:hAnsi="Calibri"/>
          <w:lang w:eastAsia="en-US"/>
        </w:rPr>
      </w:pPr>
      <w:r w:rsidRPr="002E36E6">
        <w:rPr>
          <w:rFonts w:ascii="Calibri" w:eastAsia="Times New Roman" w:hAnsi="Calibri"/>
          <w:lang w:eastAsia="en-US"/>
        </w:rPr>
        <w:t xml:space="preserve">The Host Country made significant contributions both in monetary terms and in-kind allocation of free goods and services, in accordance with the Host Country Agreement between ITU and the Government of the </w:t>
      </w:r>
      <w:r w:rsidR="00310CD4">
        <w:rPr>
          <w:rFonts w:ascii="Calibri" w:eastAsia="Times New Roman" w:hAnsi="Calibri"/>
          <w:lang w:eastAsia="en-US"/>
        </w:rPr>
        <w:t>Republic of Korea</w:t>
      </w:r>
      <w:r w:rsidRPr="002E36E6">
        <w:rPr>
          <w:rFonts w:ascii="Calibri" w:eastAsia="Times New Roman" w:hAnsi="Calibri"/>
          <w:lang w:eastAsia="en-US"/>
        </w:rPr>
        <w:t xml:space="preserve">.  The amount of monetary contributions from the Host Country totaled CHF </w:t>
      </w:r>
      <w:r w:rsidR="00310CD4">
        <w:rPr>
          <w:rFonts w:ascii="Calibri" w:eastAsia="Times New Roman" w:hAnsi="Calibri"/>
          <w:lang w:eastAsia="en-US"/>
        </w:rPr>
        <w:t>2</w:t>
      </w:r>
      <w:r w:rsidRPr="002E36E6">
        <w:rPr>
          <w:rFonts w:ascii="Calibri" w:eastAsia="Times New Roman" w:hAnsi="Calibri"/>
          <w:lang w:eastAsia="en-US"/>
        </w:rPr>
        <w:t>.</w:t>
      </w:r>
      <w:r w:rsidR="00310CD4">
        <w:rPr>
          <w:rFonts w:ascii="Calibri" w:eastAsia="Times New Roman" w:hAnsi="Calibri"/>
          <w:lang w:eastAsia="en-US"/>
        </w:rPr>
        <w:t>3</w:t>
      </w:r>
      <w:r w:rsidRPr="002E36E6">
        <w:rPr>
          <w:rFonts w:ascii="Calibri" w:eastAsia="Times New Roman" w:hAnsi="Calibri"/>
          <w:lang w:eastAsia="en-US"/>
        </w:rPr>
        <w:t xml:space="preserve"> million which </w:t>
      </w:r>
      <w:r w:rsidR="00310CD4">
        <w:rPr>
          <w:rFonts w:ascii="Calibri" w:eastAsia="Times New Roman" w:hAnsi="Calibri"/>
          <w:lang w:eastAsia="en-US"/>
        </w:rPr>
        <w:t>comprise</w:t>
      </w:r>
      <w:r w:rsidR="000637A1">
        <w:rPr>
          <w:rFonts w:ascii="Calibri" w:eastAsia="Times New Roman" w:hAnsi="Calibri"/>
          <w:lang w:eastAsia="en-US"/>
        </w:rPr>
        <w:t>d</w:t>
      </w:r>
      <w:r w:rsidR="00310CD4">
        <w:rPr>
          <w:rFonts w:ascii="Calibri" w:eastAsia="Times New Roman" w:hAnsi="Calibri"/>
          <w:lang w:eastAsia="en-US"/>
        </w:rPr>
        <w:t xml:space="preserve"> </w:t>
      </w:r>
      <w:r w:rsidRPr="002E36E6">
        <w:rPr>
          <w:rFonts w:ascii="Calibri" w:eastAsia="Times New Roman" w:hAnsi="Calibri"/>
          <w:lang w:eastAsia="en-US"/>
        </w:rPr>
        <w:t xml:space="preserve">a lump sum payment of CHF </w:t>
      </w:r>
      <w:r w:rsidR="00310CD4">
        <w:rPr>
          <w:rFonts w:ascii="Calibri" w:eastAsia="Times New Roman" w:hAnsi="Calibri"/>
          <w:lang w:eastAsia="en-US"/>
        </w:rPr>
        <w:t xml:space="preserve">2 </w:t>
      </w:r>
      <w:r w:rsidRPr="002E36E6">
        <w:rPr>
          <w:rFonts w:ascii="Calibri" w:eastAsia="Times New Roman" w:hAnsi="Calibri"/>
          <w:lang w:eastAsia="en-US"/>
        </w:rPr>
        <w:t xml:space="preserve">million to share ITU Telecom’s core expenses in the preparation, planning and implementation of the Event including costs relating </w:t>
      </w:r>
      <w:r w:rsidR="000637A1">
        <w:rPr>
          <w:rFonts w:ascii="Calibri" w:eastAsia="Times New Roman" w:hAnsi="Calibri"/>
          <w:lang w:eastAsia="en-US"/>
        </w:rPr>
        <w:t xml:space="preserve">to </w:t>
      </w:r>
      <w:r w:rsidRPr="002E36E6">
        <w:rPr>
          <w:rFonts w:ascii="Calibri" w:eastAsia="Times New Roman" w:hAnsi="Calibri"/>
          <w:lang w:eastAsia="en-US"/>
        </w:rPr>
        <w:t xml:space="preserve">the Fellowship </w:t>
      </w:r>
      <w:proofErr w:type="spellStart"/>
      <w:r w:rsidRPr="002E36E6">
        <w:rPr>
          <w:rFonts w:ascii="Calibri" w:eastAsia="Times New Roman" w:hAnsi="Calibri"/>
          <w:lang w:eastAsia="en-US"/>
        </w:rPr>
        <w:t>Programme</w:t>
      </w:r>
      <w:proofErr w:type="spellEnd"/>
      <w:r w:rsidRPr="002E36E6">
        <w:rPr>
          <w:rFonts w:ascii="Calibri" w:eastAsia="Times New Roman" w:hAnsi="Calibri"/>
          <w:lang w:eastAsia="en-US"/>
        </w:rPr>
        <w:t xml:space="preserve">.  </w:t>
      </w:r>
      <w:r w:rsidR="00310CD4" w:rsidRPr="00310CD4">
        <w:rPr>
          <w:rFonts w:ascii="Calibri" w:eastAsia="Times New Roman" w:hAnsi="Calibri"/>
          <w:lang w:eastAsia="en-US"/>
        </w:rPr>
        <w:t xml:space="preserve">In addition to the lump sum, </w:t>
      </w:r>
      <w:r w:rsidR="000637A1">
        <w:rPr>
          <w:rFonts w:ascii="Calibri" w:eastAsia="Times New Roman" w:hAnsi="Calibri"/>
          <w:lang w:eastAsia="en-US"/>
        </w:rPr>
        <w:t xml:space="preserve">an amount of </w:t>
      </w:r>
      <w:r w:rsidR="00310CD4" w:rsidRPr="00310CD4">
        <w:rPr>
          <w:rFonts w:ascii="Calibri" w:eastAsia="Times New Roman" w:hAnsi="Calibri"/>
          <w:lang w:eastAsia="en-US"/>
        </w:rPr>
        <w:t>CHF</w:t>
      </w:r>
      <w:r w:rsidR="000637A1">
        <w:rPr>
          <w:rFonts w:ascii="Calibri" w:eastAsia="Times New Roman" w:hAnsi="Calibri"/>
          <w:lang w:eastAsia="en-US"/>
        </w:rPr>
        <w:t> </w:t>
      </w:r>
      <w:r w:rsidR="00310CD4" w:rsidRPr="00310CD4">
        <w:rPr>
          <w:rFonts w:ascii="Calibri" w:eastAsia="Times New Roman" w:hAnsi="Calibri"/>
          <w:lang w:eastAsia="en-US"/>
        </w:rPr>
        <w:t xml:space="preserve">301,725.63 </w:t>
      </w:r>
      <w:r w:rsidR="000637A1">
        <w:rPr>
          <w:rFonts w:ascii="Calibri" w:eastAsia="Times New Roman" w:hAnsi="Calibri"/>
          <w:lang w:eastAsia="en-US"/>
        </w:rPr>
        <w:t>was</w:t>
      </w:r>
      <w:r w:rsidR="00310CD4" w:rsidRPr="00310CD4">
        <w:rPr>
          <w:rFonts w:ascii="Calibri" w:eastAsia="Times New Roman" w:hAnsi="Calibri"/>
          <w:lang w:eastAsia="en-US"/>
        </w:rPr>
        <w:t xml:space="preserve"> received from the Government for staff missions to the Host Country and contribution for a mobile stand at ITU to promote the event during Council 2017.  Such financial support from the Host Country represented 31% of the total actual revenue.  Goods and services of </w:t>
      </w:r>
      <w:r w:rsidR="000637A1">
        <w:rPr>
          <w:rFonts w:ascii="Calibri" w:eastAsia="Times New Roman" w:hAnsi="Calibri"/>
          <w:lang w:eastAsia="en-US"/>
        </w:rPr>
        <w:t xml:space="preserve">a </w:t>
      </w:r>
      <w:r w:rsidR="00310CD4" w:rsidRPr="00310CD4">
        <w:rPr>
          <w:rFonts w:ascii="Calibri" w:eastAsia="Times New Roman" w:hAnsi="Calibri"/>
          <w:lang w:eastAsia="en-US"/>
        </w:rPr>
        <w:t xml:space="preserve">significant value </w:t>
      </w:r>
      <w:r w:rsidR="000637A1">
        <w:rPr>
          <w:rFonts w:ascii="Calibri" w:eastAsia="Times New Roman" w:hAnsi="Calibri"/>
          <w:lang w:eastAsia="en-US"/>
        </w:rPr>
        <w:t>were</w:t>
      </w:r>
      <w:r w:rsidR="00310CD4" w:rsidRPr="00310CD4">
        <w:rPr>
          <w:rFonts w:ascii="Calibri" w:eastAsia="Times New Roman" w:hAnsi="Calibri"/>
          <w:lang w:eastAsia="en-US"/>
        </w:rPr>
        <w:t xml:space="preserve"> also </w:t>
      </w:r>
      <w:r w:rsidR="000637A1">
        <w:rPr>
          <w:rFonts w:ascii="Calibri" w:eastAsia="Times New Roman" w:hAnsi="Calibri"/>
          <w:lang w:eastAsia="en-US"/>
        </w:rPr>
        <w:t>p</w:t>
      </w:r>
      <w:r w:rsidR="00310CD4" w:rsidRPr="00310CD4">
        <w:rPr>
          <w:rFonts w:ascii="Calibri" w:eastAsia="Times New Roman" w:hAnsi="Calibri"/>
          <w:lang w:eastAsia="en-US"/>
        </w:rPr>
        <w:t>rovided by the Host Country</w:t>
      </w:r>
      <w:r w:rsidR="000637A1">
        <w:rPr>
          <w:rFonts w:ascii="Calibri" w:eastAsia="Times New Roman" w:hAnsi="Calibri"/>
          <w:lang w:eastAsia="en-US"/>
        </w:rPr>
        <w:t>,</w:t>
      </w:r>
      <w:r w:rsidR="00310CD4" w:rsidRPr="00310CD4">
        <w:rPr>
          <w:rFonts w:ascii="Calibri" w:eastAsia="Times New Roman" w:hAnsi="Calibri"/>
          <w:lang w:eastAsia="en-US"/>
        </w:rPr>
        <w:t xml:space="preserve"> free-of-charge including the venue with electricity and cleaning services, security services, local staff, IT equipment, local transportation for participants, etc.</w:t>
      </w:r>
    </w:p>
    <w:p w:rsidR="00310CD4" w:rsidRPr="00840A43" w:rsidRDefault="00310CD4" w:rsidP="000637A1">
      <w:pPr>
        <w:snapToGrid w:val="0"/>
        <w:spacing w:before="0"/>
      </w:pPr>
    </w:p>
    <w:p w:rsidR="00310CD4" w:rsidRDefault="00310CD4" w:rsidP="000637A1">
      <w:pPr>
        <w:pStyle w:val="ListParagraph"/>
        <w:numPr>
          <w:ilvl w:val="0"/>
          <w:numId w:val="31"/>
        </w:numPr>
        <w:tabs>
          <w:tab w:val="left" w:pos="851"/>
        </w:tabs>
        <w:adjustRightInd w:val="0"/>
        <w:snapToGrid w:val="0"/>
        <w:ind w:left="0" w:firstLine="0"/>
        <w:contextualSpacing w:val="0"/>
        <w:jc w:val="both"/>
        <w:rPr>
          <w:rFonts w:ascii="Calibri" w:eastAsia="Times New Roman" w:hAnsi="Calibri"/>
          <w:lang w:eastAsia="en-US"/>
        </w:rPr>
      </w:pPr>
      <w:r w:rsidRPr="00310CD4">
        <w:rPr>
          <w:rFonts w:ascii="Calibri" w:eastAsia="Times New Roman" w:hAnsi="Calibri"/>
          <w:lang w:eastAsia="en-US"/>
        </w:rPr>
        <w:t>As of December 2017, ITU TELECOM WORLD 2017 show</w:t>
      </w:r>
      <w:r w:rsidR="000637A1">
        <w:rPr>
          <w:rFonts w:ascii="Calibri" w:eastAsia="Times New Roman" w:hAnsi="Calibri"/>
          <w:lang w:eastAsia="en-US"/>
        </w:rPr>
        <w:t>ed</w:t>
      </w:r>
      <w:r w:rsidRPr="00310CD4">
        <w:rPr>
          <w:rFonts w:ascii="Calibri" w:eastAsia="Times New Roman" w:hAnsi="Calibri"/>
          <w:lang w:eastAsia="en-US"/>
        </w:rPr>
        <w:t xml:space="preserve"> an event result of CHF</w:t>
      </w:r>
      <w:r w:rsidR="000637A1">
        <w:rPr>
          <w:rFonts w:ascii="Calibri" w:eastAsia="Times New Roman" w:hAnsi="Calibri"/>
          <w:lang w:eastAsia="en-US"/>
        </w:rPr>
        <w:t> </w:t>
      </w:r>
      <w:r w:rsidRPr="00310CD4">
        <w:rPr>
          <w:rFonts w:ascii="Calibri" w:eastAsia="Times New Roman" w:hAnsi="Calibri"/>
          <w:lang w:eastAsia="en-US"/>
        </w:rPr>
        <w:t>22,753.45 with a total actual revenue of CHF</w:t>
      </w:r>
      <w:r w:rsidR="000637A1">
        <w:rPr>
          <w:rFonts w:ascii="Calibri" w:eastAsia="Times New Roman" w:hAnsi="Calibri"/>
          <w:lang w:eastAsia="en-US"/>
        </w:rPr>
        <w:t> </w:t>
      </w:r>
      <w:r w:rsidRPr="00310CD4">
        <w:rPr>
          <w:rFonts w:ascii="Calibri" w:eastAsia="Times New Roman" w:hAnsi="Calibri"/>
          <w:lang w:eastAsia="en-US"/>
        </w:rPr>
        <w:t xml:space="preserve">7,411,099.17 (90% of revenue budget of CHF 8,213,000) and overall actual expenses of CHF 7,388,345.72 (96% of total expense budget of CHF 7,711,500).  Provisions for unpaid debts as of 31 December 2017 in the amount of CHF 240,400 have been included in the total expense. Out of the direct cost budget of CHF 3,132,500 only CHF 2,883,314.90 (92%) </w:t>
      </w:r>
      <w:r w:rsidR="000637A1">
        <w:rPr>
          <w:rFonts w:ascii="Calibri" w:eastAsia="Times New Roman" w:hAnsi="Calibri"/>
          <w:lang w:eastAsia="en-US"/>
        </w:rPr>
        <w:t>were</w:t>
      </w:r>
      <w:r w:rsidRPr="00310CD4">
        <w:rPr>
          <w:rFonts w:ascii="Calibri" w:eastAsia="Times New Roman" w:hAnsi="Calibri"/>
          <w:lang w:eastAsia="en-US"/>
        </w:rPr>
        <w:t xml:space="preserve"> spent. The continuous application of efficiency measures by the ITU Telecom Secretariat and the financial controls exercised by the Financial Resources Management Department led to these savings.  The actual indirect cost of CHF 4,505,030.82 represents 98% of the core expense budget.</w:t>
      </w:r>
    </w:p>
    <w:p w:rsidR="00310CD4" w:rsidRPr="000637A1" w:rsidRDefault="00310CD4" w:rsidP="000637A1">
      <w:pPr>
        <w:snapToGrid w:val="0"/>
        <w:spacing w:before="0"/>
      </w:pPr>
    </w:p>
    <w:p w:rsidR="00310CD4" w:rsidRDefault="00310CD4" w:rsidP="000637A1">
      <w:pPr>
        <w:pStyle w:val="ListParagraph"/>
        <w:numPr>
          <w:ilvl w:val="0"/>
          <w:numId w:val="31"/>
        </w:numPr>
        <w:tabs>
          <w:tab w:val="left" w:pos="851"/>
        </w:tabs>
        <w:adjustRightInd w:val="0"/>
        <w:snapToGrid w:val="0"/>
        <w:ind w:left="0" w:firstLine="0"/>
        <w:contextualSpacing w:val="0"/>
        <w:jc w:val="both"/>
        <w:rPr>
          <w:rFonts w:ascii="Calibri" w:eastAsia="Times New Roman" w:hAnsi="Calibri"/>
          <w:lang w:eastAsia="en-US"/>
        </w:rPr>
      </w:pPr>
      <w:r w:rsidRPr="00310CD4">
        <w:rPr>
          <w:rFonts w:ascii="Calibri" w:eastAsia="Times New Roman" w:hAnsi="Calibri"/>
          <w:lang w:eastAsia="en-US"/>
        </w:rPr>
        <w:t>Actual total revenue represents 90% of the budget.  Earnings from sponsorships and contributions correspond to 80% of the budget while actual revenue from space rental is equivalent to 98% of the budget.  Host Country contribution was estimated at CHF 2,208,500 while actual amount paid to ITU was CHF 2,301,725.63 (104%).  This is mainly due to the request from the Host Country for ITU to purchase on their behalf 30 business class air tickets for staff event missions in order to avail of reduced rates, representing some savings for the Host Country.  The cost of these 30</w:t>
      </w:r>
      <w:r w:rsidR="000637A1">
        <w:rPr>
          <w:rFonts w:ascii="Calibri" w:eastAsia="Times New Roman" w:hAnsi="Calibri"/>
          <w:lang w:eastAsia="en-US"/>
        </w:rPr>
        <w:t> </w:t>
      </w:r>
      <w:r w:rsidRPr="00310CD4">
        <w:rPr>
          <w:rFonts w:ascii="Calibri" w:eastAsia="Times New Roman" w:hAnsi="Calibri"/>
          <w:lang w:eastAsia="en-US"/>
        </w:rPr>
        <w:t>air tickets have been paid by the Host Country to ITU and reflected as revenue. The total actual revenue consists of 44% sponsorships and contributions, 39% space rental, 15% other event-related revenue and 2% admission fees.</w:t>
      </w:r>
    </w:p>
    <w:p w:rsidR="0015643B" w:rsidRDefault="0015643B">
      <w:pPr>
        <w:tabs>
          <w:tab w:val="clear" w:pos="567"/>
          <w:tab w:val="clear" w:pos="1134"/>
          <w:tab w:val="clear" w:pos="1701"/>
          <w:tab w:val="clear" w:pos="2268"/>
          <w:tab w:val="clear" w:pos="2835"/>
        </w:tabs>
        <w:overflowPunct/>
        <w:autoSpaceDE/>
        <w:autoSpaceDN/>
        <w:adjustRightInd/>
        <w:spacing w:before="0"/>
        <w:textAlignment w:val="auto"/>
        <w:rPr>
          <w:szCs w:val="24"/>
          <w:lang w:val="en-US"/>
        </w:rPr>
      </w:pPr>
      <w:r>
        <w:br w:type="page"/>
      </w:r>
    </w:p>
    <w:p w:rsidR="00310CD4" w:rsidRDefault="00310CD4" w:rsidP="000637A1">
      <w:pPr>
        <w:pStyle w:val="ListParagraph"/>
        <w:tabs>
          <w:tab w:val="left" w:pos="851"/>
        </w:tabs>
        <w:adjustRightInd w:val="0"/>
        <w:snapToGrid w:val="0"/>
        <w:ind w:left="0"/>
        <w:contextualSpacing w:val="0"/>
        <w:jc w:val="both"/>
        <w:rPr>
          <w:rFonts w:ascii="Calibri" w:eastAsia="Times New Roman" w:hAnsi="Calibri"/>
          <w:lang w:eastAsia="en-US"/>
        </w:rPr>
      </w:pPr>
    </w:p>
    <w:p w:rsidR="00F7232E" w:rsidRPr="00310CD4" w:rsidRDefault="00310CD4" w:rsidP="000637A1">
      <w:pPr>
        <w:pStyle w:val="ListParagraph"/>
        <w:numPr>
          <w:ilvl w:val="0"/>
          <w:numId w:val="31"/>
        </w:numPr>
        <w:tabs>
          <w:tab w:val="left" w:pos="851"/>
        </w:tabs>
        <w:adjustRightInd w:val="0"/>
        <w:snapToGrid w:val="0"/>
        <w:ind w:left="0" w:firstLine="0"/>
        <w:contextualSpacing w:val="0"/>
        <w:jc w:val="both"/>
        <w:rPr>
          <w:rFonts w:ascii="Calibri" w:eastAsia="Times New Roman" w:hAnsi="Calibri"/>
          <w:lang w:eastAsia="en-US"/>
        </w:rPr>
      </w:pPr>
      <w:r w:rsidRPr="00310CD4">
        <w:rPr>
          <w:rFonts w:ascii="Calibri" w:eastAsia="Times New Roman" w:hAnsi="Calibri"/>
          <w:lang w:eastAsia="en-US"/>
        </w:rPr>
        <w:t xml:space="preserve">Actual total expenses represented only 96% of the budget as explained in </w:t>
      </w:r>
      <w:r w:rsidR="000637A1">
        <w:rPr>
          <w:rFonts w:ascii="Calibri" w:eastAsia="Times New Roman" w:hAnsi="Calibri"/>
          <w:lang w:eastAsia="en-US"/>
        </w:rPr>
        <w:t xml:space="preserve">Annexes </w:t>
      </w:r>
      <w:r w:rsidRPr="00310CD4">
        <w:rPr>
          <w:rFonts w:ascii="Calibri" w:eastAsia="Times New Roman" w:hAnsi="Calibri"/>
          <w:lang w:eastAsia="en-US"/>
        </w:rPr>
        <w:t>C and</w:t>
      </w:r>
      <w:r w:rsidR="000637A1">
        <w:rPr>
          <w:rFonts w:ascii="Calibri" w:eastAsia="Times New Roman" w:hAnsi="Calibri"/>
          <w:lang w:eastAsia="en-US"/>
        </w:rPr>
        <w:t> </w:t>
      </w:r>
      <w:r w:rsidRPr="00310CD4">
        <w:rPr>
          <w:rFonts w:ascii="Calibri" w:eastAsia="Times New Roman" w:hAnsi="Calibri"/>
          <w:lang w:eastAsia="en-US"/>
        </w:rPr>
        <w:t>D below. The concerted efforts between ITU Telecom and the Financial Resources Management Department in carefully monitoring and reducing expenses made possible the lower level of direct costs which correspond to only 92% of the budget.</w:t>
      </w:r>
    </w:p>
    <w:p w:rsidR="00310CD4" w:rsidRPr="002E36E6" w:rsidRDefault="00310CD4" w:rsidP="000637A1">
      <w:pPr>
        <w:pStyle w:val="ListParagraph"/>
        <w:tabs>
          <w:tab w:val="left" w:pos="851"/>
        </w:tabs>
        <w:adjustRightInd w:val="0"/>
        <w:snapToGrid w:val="0"/>
        <w:ind w:left="0"/>
        <w:contextualSpacing w:val="0"/>
        <w:jc w:val="both"/>
        <w:rPr>
          <w:rFonts w:ascii="Calibri" w:eastAsia="Times New Roman" w:hAnsi="Calibri"/>
          <w:lang w:eastAsia="en-US"/>
        </w:rPr>
      </w:pPr>
    </w:p>
    <w:p w:rsidR="00310CD4" w:rsidRPr="00310CD4" w:rsidRDefault="00310CD4" w:rsidP="0015643B">
      <w:pPr>
        <w:pStyle w:val="ListParagraph"/>
        <w:numPr>
          <w:ilvl w:val="0"/>
          <w:numId w:val="31"/>
        </w:numPr>
        <w:tabs>
          <w:tab w:val="left" w:pos="851"/>
        </w:tabs>
        <w:adjustRightInd w:val="0"/>
        <w:snapToGrid w:val="0"/>
        <w:ind w:left="0" w:firstLine="0"/>
        <w:contextualSpacing w:val="0"/>
        <w:jc w:val="both"/>
        <w:rPr>
          <w:rFonts w:ascii="Calibri" w:eastAsia="Times New Roman" w:hAnsi="Calibri"/>
          <w:lang w:eastAsia="en-US"/>
        </w:rPr>
      </w:pPr>
      <w:r w:rsidRPr="00310CD4">
        <w:rPr>
          <w:rFonts w:ascii="Calibri" w:eastAsia="Times New Roman" w:hAnsi="Calibri"/>
          <w:lang w:eastAsia="en-US"/>
        </w:rPr>
        <w:t>Core expenses comprising ITU cost recovery and ITU Telecom Secretariat cost during the period when the staff have rendered services for the event, are slightly lower than the budget (98%).  Actual amount of cost recovery is the same as the budget.</w:t>
      </w:r>
    </w:p>
    <w:p w:rsidR="00310CD4" w:rsidRPr="00310CD4" w:rsidRDefault="00310CD4" w:rsidP="000637A1">
      <w:pPr>
        <w:pStyle w:val="ListParagraph"/>
        <w:tabs>
          <w:tab w:val="left" w:pos="851"/>
        </w:tabs>
        <w:adjustRightInd w:val="0"/>
        <w:snapToGrid w:val="0"/>
        <w:ind w:left="0"/>
        <w:contextualSpacing w:val="0"/>
        <w:jc w:val="both"/>
        <w:rPr>
          <w:rFonts w:ascii="Calibri" w:eastAsia="Times New Roman" w:hAnsi="Calibri"/>
          <w:lang w:eastAsia="en-US"/>
        </w:rPr>
      </w:pPr>
    </w:p>
    <w:p w:rsidR="007B1A87" w:rsidRPr="00310CD4" w:rsidRDefault="00310CD4" w:rsidP="000637A1">
      <w:pPr>
        <w:pStyle w:val="ListParagraph"/>
        <w:numPr>
          <w:ilvl w:val="0"/>
          <w:numId w:val="31"/>
        </w:numPr>
        <w:tabs>
          <w:tab w:val="left" w:pos="851"/>
        </w:tabs>
        <w:adjustRightInd w:val="0"/>
        <w:snapToGrid w:val="0"/>
        <w:ind w:left="0" w:firstLine="0"/>
        <w:contextualSpacing w:val="0"/>
        <w:jc w:val="both"/>
        <w:rPr>
          <w:rFonts w:ascii="Calibri" w:eastAsia="Times New Roman" w:hAnsi="Calibri"/>
          <w:lang w:eastAsia="en-US"/>
        </w:rPr>
      </w:pPr>
      <w:r w:rsidRPr="00310CD4">
        <w:rPr>
          <w:rFonts w:ascii="Calibri" w:eastAsia="Times New Roman" w:hAnsi="Calibri"/>
          <w:lang w:eastAsia="en-US"/>
        </w:rPr>
        <w:t xml:space="preserve">A positive event result of CHF 22,753.45 as of 31 December 2017 has been generated by the Event.  As of 31 December 2017, provisions for the outstanding debts from five (5) entities totaled CHF 240,400.  Taking into consideration the joint efforts of ITU Telecom and </w:t>
      </w:r>
      <w:r w:rsidR="000637A1">
        <w:rPr>
          <w:rFonts w:ascii="Calibri" w:eastAsia="Times New Roman" w:hAnsi="Calibri"/>
          <w:lang w:eastAsia="en-US"/>
        </w:rPr>
        <w:t xml:space="preserve">the Financial Resources Management Department </w:t>
      </w:r>
      <w:r w:rsidRPr="00310CD4">
        <w:rPr>
          <w:rFonts w:ascii="Calibri" w:eastAsia="Times New Roman" w:hAnsi="Calibri"/>
          <w:lang w:eastAsia="en-US"/>
        </w:rPr>
        <w:t>to regularly follow-up on the payment of outstanding amounts, CHF</w:t>
      </w:r>
      <w:r w:rsidR="000637A1">
        <w:rPr>
          <w:rFonts w:ascii="Calibri" w:eastAsia="Times New Roman" w:hAnsi="Calibri"/>
          <w:lang w:eastAsia="en-US"/>
        </w:rPr>
        <w:t> </w:t>
      </w:r>
      <w:r w:rsidRPr="00310CD4">
        <w:rPr>
          <w:rFonts w:ascii="Calibri" w:eastAsia="Times New Roman" w:hAnsi="Calibri"/>
          <w:lang w:eastAsia="en-US"/>
        </w:rPr>
        <w:t>50,000 was received after 31 December 2017 reducing the number of debtors to four (4) and leading to an event result of CHF 72,753.45 as of the time of this writing.</w:t>
      </w:r>
    </w:p>
    <w:p w:rsidR="00310CD4" w:rsidRPr="00310CD4" w:rsidRDefault="00310CD4" w:rsidP="000637A1">
      <w:pPr>
        <w:pStyle w:val="ListParagraph"/>
        <w:tabs>
          <w:tab w:val="left" w:pos="851"/>
        </w:tabs>
        <w:adjustRightInd w:val="0"/>
        <w:snapToGrid w:val="0"/>
        <w:ind w:left="0"/>
        <w:contextualSpacing w:val="0"/>
        <w:jc w:val="both"/>
        <w:rPr>
          <w:rFonts w:ascii="Calibri" w:eastAsia="Times New Roman" w:hAnsi="Calibri"/>
          <w:lang w:eastAsia="en-US"/>
        </w:rPr>
      </w:pPr>
    </w:p>
    <w:p w:rsidR="00310CD4" w:rsidRPr="00310CD4" w:rsidRDefault="00310CD4" w:rsidP="000637A1">
      <w:pPr>
        <w:pStyle w:val="ListParagraph"/>
        <w:numPr>
          <w:ilvl w:val="0"/>
          <w:numId w:val="31"/>
        </w:numPr>
        <w:tabs>
          <w:tab w:val="left" w:pos="851"/>
        </w:tabs>
        <w:adjustRightInd w:val="0"/>
        <w:snapToGrid w:val="0"/>
        <w:ind w:left="0" w:firstLine="0"/>
        <w:contextualSpacing w:val="0"/>
        <w:jc w:val="both"/>
        <w:rPr>
          <w:rFonts w:ascii="Calibri" w:eastAsia="Times New Roman" w:hAnsi="Calibri"/>
          <w:lang w:eastAsia="en-US"/>
        </w:rPr>
      </w:pPr>
      <w:r w:rsidRPr="00310CD4">
        <w:rPr>
          <w:rFonts w:ascii="Calibri" w:eastAsia="Times New Roman" w:hAnsi="Calibri"/>
          <w:lang w:eastAsia="en-US"/>
        </w:rPr>
        <w:t>The Exhibition had a total of 5,968 m2 paid exhibition space which include</w:t>
      </w:r>
      <w:r w:rsidR="000637A1">
        <w:rPr>
          <w:rFonts w:ascii="Calibri" w:eastAsia="Times New Roman" w:hAnsi="Calibri"/>
          <w:lang w:eastAsia="en-US"/>
        </w:rPr>
        <w:t>d</w:t>
      </w:r>
      <w:r w:rsidRPr="00310CD4">
        <w:rPr>
          <w:rFonts w:ascii="Calibri" w:eastAsia="Times New Roman" w:hAnsi="Calibri"/>
          <w:lang w:eastAsia="en-US"/>
        </w:rPr>
        <w:t xml:space="preserve"> raw space of 4,661 m2 and turnkey stands of 1,307 m2.  The sold exhibition space </w:t>
      </w:r>
      <w:r w:rsidR="000637A1">
        <w:rPr>
          <w:rFonts w:ascii="Calibri" w:eastAsia="Times New Roman" w:hAnsi="Calibri"/>
          <w:lang w:eastAsia="en-US"/>
        </w:rPr>
        <w:t>was</w:t>
      </w:r>
      <w:r w:rsidRPr="00310CD4">
        <w:rPr>
          <w:rFonts w:ascii="Calibri" w:eastAsia="Times New Roman" w:hAnsi="Calibri"/>
          <w:lang w:eastAsia="en-US"/>
        </w:rPr>
        <w:t xml:space="preserve"> significantly higher than during ITU Telecom World 2016 wherein the total exhibition space sold was 3,956.50 m2 (66% of 2017) comprising 3,042.50 m2 (65%) of raw space and 914 m2 (70%) of turnkey stands. The rented raw space of 4,661 m2 correspond</w:t>
      </w:r>
      <w:r w:rsidR="000637A1">
        <w:rPr>
          <w:rFonts w:ascii="Calibri" w:eastAsia="Times New Roman" w:hAnsi="Calibri"/>
          <w:lang w:eastAsia="en-US"/>
        </w:rPr>
        <w:t>ed</w:t>
      </w:r>
      <w:r w:rsidRPr="00310CD4">
        <w:rPr>
          <w:rFonts w:ascii="Calibri" w:eastAsia="Times New Roman" w:hAnsi="Calibri"/>
          <w:lang w:eastAsia="en-US"/>
        </w:rPr>
        <w:t xml:space="preserve"> to 130% of the area forecasted in the budget which is 3,600 m2.</w:t>
      </w:r>
    </w:p>
    <w:p w:rsidR="00310CD4" w:rsidRPr="00310CD4" w:rsidRDefault="00310CD4" w:rsidP="000637A1">
      <w:pPr>
        <w:pStyle w:val="ListParagraph"/>
        <w:tabs>
          <w:tab w:val="left" w:pos="851"/>
        </w:tabs>
        <w:adjustRightInd w:val="0"/>
        <w:snapToGrid w:val="0"/>
        <w:ind w:left="0"/>
        <w:contextualSpacing w:val="0"/>
        <w:jc w:val="both"/>
        <w:rPr>
          <w:rFonts w:ascii="Calibri" w:eastAsia="Times New Roman" w:hAnsi="Calibri"/>
          <w:lang w:eastAsia="en-US"/>
        </w:rPr>
      </w:pPr>
    </w:p>
    <w:p w:rsidR="00310CD4" w:rsidRPr="00310CD4" w:rsidRDefault="00310CD4" w:rsidP="000637A1">
      <w:pPr>
        <w:pStyle w:val="ListParagraph"/>
        <w:numPr>
          <w:ilvl w:val="0"/>
          <w:numId w:val="31"/>
        </w:numPr>
        <w:tabs>
          <w:tab w:val="left" w:pos="851"/>
        </w:tabs>
        <w:adjustRightInd w:val="0"/>
        <w:snapToGrid w:val="0"/>
        <w:ind w:left="0" w:firstLine="0"/>
        <w:contextualSpacing w:val="0"/>
        <w:jc w:val="both"/>
        <w:rPr>
          <w:rFonts w:ascii="Calibri" w:eastAsia="Times New Roman" w:hAnsi="Calibri"/>
          <w:lang w:eastAsia="en-US"/>
        </w:rPr>
      </w:pPr>
      <w:r w:rsidRPr="00310CD4">
        <w:rPr>
          <w:rFonts w:ascii="Calibri" w:eastAsia="Times New Roman" w:hAnsi="Calibri"/>
          <w:lang w:eastAsia="en-US"/>
        </w:rPr>
        <w:t>Actual revenue from rental of raw space amounted to CHF 1,853,924 which is almost the same as the budget. The space rental included discounted rates in line with policies and procedures.</w:t>
      </w:r>
    </w:p>
    <w:p w:rsidR="00310CD4" w:rsidRPr="00310CD4" w:rsidRDefault="00310CD4" w:rsidP="000637A1">
      <w:pPr>
        <w:pStyle w:val="ListParagraph"/>
        <w:tabs>
          <w:tab w:val="left" w:pos="851"/>
        </w:tabs>
        <w:adjustRightInd w:val="0"/>
        <w:snapToGrid w:val="0"/>
        <w:ind w:left="0"/>
        <w:contextualSpacing w:val="0"/>
        <w:jc w:val="both"/>
        <w:rPr>
          <w:rFonts w:ascii="Calibri" w:eastAsia="Times New Roman" w:hAnsi="Calibri"/>
          <w:lang w:eastAsia="en-US"/>
        </w:rPr>
      </w:pPr>
    </w:p>
    <w:p w:rsidR="00310CD4" w:rsidRPr="00310CD4" w:rsidRDefault="00310CD4" w:rsidP="00823212">
      <w:pPr>
        <w:pStyle w:val="ListParagraph"/>
        <w:numPr>
          <w:ilvl w:val="0"/>
          <w:numId w:val="31"/>
        </w:numPr>
        <w:tabs>
          <w:tab w:val="left" w:pos="851"/>
        </w:tabs>
        <w:adjustRightInd w:val="0"/>
        <w:snapToGrid w:val="0"/>
        <w:ind w:left="0" w:firstLine="0"/>
        <w:contextualSpacing w:val="0"/>
        <w:jc w:val="both"/>
        <w:rPr>
          <w:rFonts w:ascii="Calibri" w:eastAsia="Times New Roman" w:hAnsi="Calibri"/>
          <w:lang w:eastAsia="en-US"/>
        </w:rPr>
      </w:pPr>
      <w:r w:rsidRPr="00310CD4">
        <w:rPr>
          <w:rFonts w:ascii="Calibri" w:eastAsia="Times New Roman" w:hAnsi="Calibri"/>
          <w:lang w:eastAsia="en-US"/>
        </w:rPr>
        <w:t>Total income from exhibition admission fee amounted to CHF 12,545 which represents 81% of the budget.  In order to entice more visitors, the admission fee for this event was established at CHF 5 which is the lowest compared to past events.  There were 2,509 paid visitors during this event while there were only 381 in 2016 (CHF 10) and 212 in 2015 (CHF 30).  Therefore, there was a significant increase in the number of paid visitors by 2,128 compared with 2016 and 2,297 compared with 2015.</w:t>
      </w:r>
    </w:p>
    <w:p w:rsidR="00310CD4" w:rsidRPr="00310CD4" w:rsidRDefault="00310CD4" w:rsidP="000637A1">
      <w:pPr>
        <w:pStyle w:val="ListParagraph"/>
        <w:tabs>
          <w:tab w:val="left" w:pos="851"/>
        </w:tabs>
        <w:adjustRightInd w:val="0"/>
        <w:snapToGrid w:val="0"/>
        <w:ind w:left="0"/>
        <w:contextualSpacing w:val="0"/>
        <w:jc w:val="both"/>
        <w:rPr>
          <w:rFonts w:ascii="Calibri" w:eastAsia="Times New Roman" w:hAnsi="Calibri"/>
          <w:lang w:eastAsia="en-US"/>
        </w:rPr>
      </w:pPr>
    </w:p>
    <w:p w:rsidR="00310CD4" w:rsidRPr="00310CD4" w:rsidRDefault="00310CD4" w:rsidP="00823212">
      <w:pPr>
        <w:pStyle w:val="ListParagraph"/>
        <w:numPr>
          <w:ilvl w:val="0"/>
          <w:numId w:val="31"/>
        </w:numPr>
        <w:tabs>
          <w:tab w:val="left" w:pos="851"/>
        </w:tabs>
        <w:adjustRightInd w:val="0"/>
        <w:snapToGrid w:val="0"/>
        <w:ind w:left="0" w:firstLine="0"/>
        <w:contextualSpacing w:val="0"/>
        <w:jc w:val="both"/>
        <w:rPr>
          <w:rFonts w:ascii="Calibri" w:eastAsia="Times New Roman" w:hAnsi="Calibri"/>
          <w:lang w:eastAsia="en-US"/>
        </w:rPr>
      </w:pPr>
      <w:r w:rsidRPr="00310CD4">
        <w:rPr>
          <w:rFonts w:ascii="Calibri" w:eastAsia="Times New Roman" w:hAnsi="Calibri"/>
          <w:lang w:eastAsia="en-US"/>
        </w:rPr>
        <w:t>A fixed amount of CHF1.5 million for ITU cost recovery (core expense) has been foreseen in the budget, which represented the salaries and remunerations of staff in other departments who have rendered services for ITU Telecom World 2017.</w:t>
      </w:r>
    </w:p>
    <w:p w:rsidR="00310CD4" w:rsidRPr="00310CD4" w:rsidRDefault="00310CD4" w:rsidP="000637A1">
      <w:pPr>
        <w:pStyle w:val="ListParagraph"/>
        <w:tabs>
          <w:tab w:val="left" w:pos="851"/>
        </w:tabs>
        <w:adjustRightInd w:val="0"/>
        <w:snapToGrid w:val="0"/>
        <w:ind w:left="0"/>
        <w:contextualSpacing w:val="0"/>
        <w:jc w:val="both"/>
        <w:rPr>
          <w:rFonts w:ascii="Calibri" w:eastAsia="Times New Roman" w:hAnsi="Calibri"/>
          <w:lang w:eastAsia="en-US"/>
        </w:rPr>
      </w:pPr>
    </w:p>
    <w:p w:rsidR="00310CD4" w:rsidRPr="00310CD4" w:rsidRDefault="00310CD4" w:rsidP="00823212">
      <w:pPr>
        <w:pStyle w:val="ListParagraph"/>
        <w:numPr>
          <w:ilvl w:val="0"/>
          <w:numId w:val="31"/>
        </w:numPr>
        <w:tabs>
          <w:tab w:val="left" w:pos="851"/>
        </w:tabs>
        <w:adjustRightInd w:val="0"/>
        <w:snapToGrid w:val="0"/>
        <w:ind w:left="0" w:firstLine="0"/>
        <w:contextualSpacing w:val="0"/>
        <w:jc w:val="both"/>
        <w:rPr>
          <w:rFonts w:ascii="Calibri" w:eastAsia="Times New Roman" w:hAnsi="Calibri"/>
          <w:lang w:eastAsia="en-US"/>
        </w:rPr>
      </w:pPr>
      <w:r w:rsidRPr="00310CD4">
        <w:rPr>
          <w:rFonts w:ascii="Calibri" w:eastAsia="Times New Roman" w:hAnsi="Calibri"/>
          <w:lang w:eastAsia="en-US"/>
        </w:rPr>
        <w:t>The actual cost of ITU Telecom Secretariat (core expense) which was charged to the event represented 98% of the budget.  These charges were calculated based on the information conveyed by ITU Telecom management on the percentage of time that ITU Telecom staff dedicated to the event during 2016 and 2017 or 20% and 80%, respectively.</w:t>
      </w:r>
    </w:p>
    <w:p w:rsidR="00375257" w:rsidRPr="003F6048" w:rsidRDefault="00375257" w:rsidP="00C66AE8">
      <w:pPr>
        <w:pStyle w:val="Heading9"/>
        <w:snapToGrid w:val="0"/>
        <w:spacing w:before="240" w:after="240"/>
        <w:jc w:val="both"/>
        <w:rPr>
          <w:w w:val="105"/>
          <w:sz w:val="28"/>
          <w:szCs w:val="28"/>
          <w:lang w:val="en-US"/>
        </w:rPr>
      </w:pPr>
      <w:r w:rsidRPr="003F6048">
        <w:rPr>
          <w:w w:val="105"/>
          <w:sz w:val="28"/>
          <w:szCs w:val="28"/>
          <w:lang w:val="en-US"/>
        </w:rPr>
        <w:t>I</w:t>
      </w:r>
      <w:r w:rsidR="00C66AE8">
        <w:rPr>
          <w:w w:val="105"/>
          <w:sz w:val="28"/>
          <w:szCs w:val="28"/>
          <w:lang w:val="en-US"/>
        </w:rPr>
        <w:t>X</w:t>
      </w:r>
      <w:r w:rsidRPr="003F6048">
        <w:rPr>
          <w:w w:val="105"/>
          <w:sz w:val="28"/>
          <w:szCs w:val="28"/>
          <w:lang w:val="en-US"/>
        </w:rPr>
        <w:tab/>
        <w:t>EXTERNAL AUDIT OF THE UNION’S ACCOUNTS</w:t>
      </w:r>
    </w:p>
    <w:p w:rsidR="00375257" w:rsidRPr="002E36E6" w:rsidRDefault="00375257" w:rsidP="00840A43">
      <w:pPr>
        <w:pStyle w:val="ListParagraph"/>
        <w:numPr>
          <w:ilvl w:val="0"/>
          <w:numId w:val="31"/>
        </w:numPr>
        <w:tabs>
          <w:tab w:val="left" w:pos="851"/>
        </w:tabs>
        <w:adjustRightInd w:val="0"/>
        <w:snapToGrid w:val="0"/>
        <w:ind w:left="0" w:firstLine="0"/>
        <w:contextualSpacing w:val="0"/>
        <w:jc w:val="both"/>
        <w:rPr>
          <w:rFonts w:ascii="Calibri" w:eastAsia="Times New Roman" w:hAnsi="Calibri"/>
          <w:lang w:eastAsia="en-US"/>
        </w:rPr>
      </w:pPr>
      <w:r w:rsidRPr="002E36E6">
        <w:rPr>
          <w:rFonts w:ascii="Calibri" w:eastAsia="Times New Roman" w:hAnsi="Calibri"/>
          <w:lang w:eastAsia="en-US"/>
        </w:rPr>
        <w:t>Pursuant to Article 28 of the Financial Regulations, the External Auditor of the Union’s accounts is the supreme audit institution of Italy which has been appointed by Council at its 2011 session, in a manner decided by the Plenipotentiary Conference and for a four-year term. The audit was carried out in accordance with generally accepted common auditing standards and, subject to any special directions of the Council, in accordance with the Additional terms of reference governing external audit set out in Annex 1 to the Financial Regulations.</w:t>
      </w:r>
    </w:p>
    <w:p w:rsidR="003F6048" w:rsidRPr="002E36E6" w:rsidRDefault="003F6048" w:rsidP="00840A43">
      <w:pPr>
        <w:pStyle w:val="ListParagraph"/>
        <w:tabs>
          <w:tab w:val="left" w:pos="851"/>
        </w:tabs>
        <w:adjustRightInd w:val="0"/>
        <w:snapToGrid w:val="0"/>
        <w:ind w:left="0"/>
        <w:contextualSpacing w:val="0"/>
        <w:jc w:val="both"/>
        <w:rPr>
          <w:rFonts w:ascii="Calibri" w:eastAsia="Times New Roman" w:hAnsi="Calibri"/>
          <w:lang w:eastAsia="en-US"/>
        </w:rPr>
      </w:pPr>
    </w:p>
    <w:p w:rsidR="00375257" w:rsidRPr="002E36E6" w:rsidRDefault="00375257" w:rsidP="00840A43">
      <w:pPr>
        <w:pStyle w:val="ListParagraph"/>
        <w:numPr>
          <w:ilvl w:val="0"/>
          <w:numId w:val="31"/>
        </w:numPr>
        <w:tabs>
          <w:tab w:val="left" w:pos="851"/>
        </w:tabs>
        <w:adjustRightInd w:val="0"/>
        <w:snapToGrid w:val="0"/>
        <w:ind w:left="0" w:firstLine="0"/>
        <w:contextualSpacing w:val="0"/>
        <w:jc w:val="both"/>
        <w:rPr>
          <w:rFonts w:ascii="Calibri" w:eastAsia="Times New Roman" w:hAnsi="Calibri"/>
          <w:lang w:eastAsia="en-US"/>
        </w:rPr>
      </w:pPr>
      <w:r w:rsidRPr="002E36E6">
        <w:rPr>
          <w:rFonts w:ascii="Calibri" w:eastAsia="Times New Roman" w:hAnsi="Calibri"/>
          <w:lang w:eastAsia="en-US"/>
        </w:rPr>
        <w:t>Pursuant to the United Nations accounting standards, the information submitted for auditing is presented in the form of statements or tables.</w:t>
      </w:r>
    </w:p>
    <w:p w:rsidR="00375257" w:rsidRPr="002E36E6" w:rsidRDefault="00375257" w:rsidP="00840A43">
      <w:pPr>
        <w:pStyle w:val="ListParagraph"/>
        <w:tabs>
          <w:tab w:val="left" w:pos="851"/>
        </w:tabs>
        <w:adjustRightInd w:val="0"/>
        <w:snapToGrid w:val="0"/>
        <w:ind w:left="0"/>
        <w:contextualSpacing w:val="0"/>
        <w:jc w:val="both"/>
        <w:rPr>
          <w:rFonts w:ascii="Calibri" w:eastAsia="Times New Roman" w:hAnsi="Calibri"/>
          <w:lang w:eastAsia="en-US"/>
        </w:rPr>
      </w:pPr>
    </w:p>
    <w:p w:rsidR="00375257" w:rsidRPr="002E36E6" w:rsidRDefault="00375257" w:rsidP="00840A43">
      <w:pPr>
        <w:pStyle w:val="ListParagraph"/>
        <w:numPr>
          <w:ilvl w:val="0"/>
          <w:numId w:val="31"/>
        </w:numPr>
        <w:tabs>
          <w:tab w:val="left" w:pos="851"/>
        </w:tabs>
        <w:adjustRightInd w:val="0"/>
        <w:snapToGrid w:val="0"/>
        <w:ind w:left="0" w:firstLine="0"/>
        <w:contextualSpacing w:val="0"/>
        <w:jc w:val="both"/>
        <w:rPr>
          <w:rFonts w:ascii="Calibri" w:eastAsia="Times New Roman" w:hAnsi="Calibri"/>
          <w:lang w:eastAsia="en-US"/>
        </w:rPr>
      </w:pPr>
      <w:r w:rsidRPr="002E36E6">
        <w:rPr>
          <w:rFonts w:ascii="Calibri" w:eastAsia="Times New Roman" w:hAnsi="Calibri"/>
          <w:lang w:eastAsia="en-US"/>
        </w:rPr>
        <w:t>The audited accounts are submitted to the Council for approval. They are accompanied by the reports of the External Auditor, who will be invited to introduce his reports at the relevant meeting of the Council</w:t>
      </w:r>
      <w:r w:rsidR="00106D57" w:rsidRPr="002E36E6">
        <w:rPr>
          <w:rFonts w:ascii="Calibri" w:eastAsia="Times New Roman" w:hAnsi="Calibri"/>
          <w:lang w:eastAsia="en-US"/>
        </w:rPr>
        <w:t>.</w:t>
      </w:r>
    </w:p>
    <w:p w:rsidR="007B1A87" w:rsidRDefault="007B1A87" w:rsidP="007B1A87"/>
    <w:p w:rsidR="0015643B" w:rsidRDefault="0015643B">
      <w:pPr>
        <w:tabs>
          <w:tab w:val="clear" w:pos="567"/>
          <w:tab w:val="clear" w:pos="1134"/>
          <w:tab w:val="clear" w:pos="1701"/>
          <w:tab w:val="clear" w:pos="2268"/>
          <w:tab w:val="clear" w:pos="2835"/>
        </w:tabs>
        <w:overflowPunct/>
        <w:autoSpaceDE/>
        <w:autoSpaceDN/>
        <w:adjustRightInd/>
        <w:spacing w:before="0"/>
        <w:textAlignment w:val="auto"/>
      </w:pPr>
      <w:r>
        <w:br w:type="page"/>
      </w:r>
    </w:p>
    <w:p w:rsidR="003F6048" w:rsidRDefault="003F6048" w:rsidP="007B1A87"/>
    <w:p w:rsidR="003F6048" w:rsidRDefault="003F6048" w:rsidP="007B1A87"/>
    <w:p w:rsidR="003F6048" w:rsidRDefault="003F6048" w:rsidP="007B1A87"/>
    <w:p w:rsidR="003F6048" w:rsidRDefault="003F6048" w:rsidP="007B1A87"/>
    <w:p w:rsidR="00185A58" w:rsidRDefault="00185A58" w:rsidP="007B1A87"/>
    <w:p w:rsidR="00185A58" w:rsidRPr="00196B8F" w:rsidRDefault="00284E11" w:rsidP="00284E11">
      <w:pPr>
        <w:spacing w:before="0"/>
        <w:jc w:val="center"/>
        <w:rPr>
          <w:sz w:val="28"/>
          <w:szCs w:val="28"/>
        </w:rPr>
      </w:pPr>
      <w:r>
        <w:rPr>
          <w:sz w:val="28"/>
          <w:szCs w:val="28"/>
        </w:rPr>
        <w:t>AUDIT CERTIFICATE</w:t>
      </w:r>
    </w:p>
    <w:p w:rsidR="00185A58" w:rsidRPr="009B5838" w:rsidRDefault="00185A58" w:rsidP="00185A58">
      <w:pPr>
        <w:spacing w:before="0"/>
        <w:jc w:val="center"/>
        <w:rPr>
          <w:i/>
          <w:iCs/>
          <w:sz w:val="22"/>
          <w:szCs w:val="22"/>
        </w:rPr>
      </w:pPr>
      <w:r w:rsidRPr="009B5838">
        <w:rPr>
          <w:i/>
          <w:iCs/>
          <w:sz w:val="22"/>
          <w:szCs w:val="22"/>
        </w:rPr>
        <w:t>(To be inserted in the audited Financial Operating Report for the financial year 201</w:t>
      </w:r>
      <w:r>
        <w:rPr>
          <w:i/>
          <w:iCs/>
          <w:sz w:val="22"/>
          <w:szCs w:val="22"/>
        </w:rPr>
        <w:t>7</w:t>
      </w:r>
      <w:r w:rsidRPr="009B5838">
        <w:rPr>
          <w:i/>
          <w:iCs/>
          <w:sz w:val="22"/>
          <w:szCs w:val="22"/>
        </w:rPr>
        <w:t>)</w:t>
      </w:r>
    </w:p>
    <w:p w:rsidR="00185A58" w:rsidRDefault="00185A58" w:rsidP="007B1A87"/>
    <w:p w:rsidR="0015643B" w:rsidRPr="007B1A87" w:rsidRDefault="0015643B" w:rsidP="007B1A87"/>
    <w:p w:rsidR="00FF654B" w:rsidRDefault="00FF654B" w:rsidP="00375257">
      <w:pPr>
        <w:jc w:val="both"/>
        <w:rPr>
          <w:sz w:val="22"/>
          <w:szCs w:val="22"/>
        </w:rPr>
      </w:pPr>
      <w:r w:rsidRPr="009B5838">
        <w:rPr>
          <w:sz w:val="22"/>
          <w:szCs w:val="22"/>
        </w:rPr>
        <w:br w:type="page"/>
      </w:r>
    </w:p>
    <w:p w:rsidR="002038A4" w:rsidRDefault="002038A4" w:rsidP="002D6C39">
      <w:pPr>
        <w:snapToGrid w:val="0"/>
        <w:spacing w:before="0"/>
        <w:jc w:val="both"/>
        <w:rPr>
          <w:sz w:val="22"/>
          <w:szCs w:val="22"/>
        </w:rPr>
      </w:pPr>
    </w:p>
    <w:p w:rsidR="00860C6B" w:rsidRDefault="00860C6B" w:rsidP="004D6371">
      <w:pPr>
        <w:pStyle w:val="Heading9"/>
        <w:snapToGrid w:val="0"/>
        <w:spacing w:before="0"/>
        <w:jc w:val="center"/>
        <w:rPr>
          <w:b w:val="0"/>
          <w:bCs/>
          <w:w w:val="105"/>
          <w:sz w:val="28"/>
          <w:szCs w:val="28"/>
          <w:lang w:val="en-US"/>
        </w:rPr>
      </w:pPr>
      <w:r>
        <w:rPr>
          <w:b w:val="0"/>
          <w:bCs/>
          <w:w w:val="105"/>
          <w:sz w:val="28"/>
          <w:szCs w:val="28"/>
          <w:lang w:val="en-US"/>
        </w:rPr>
        <w:t xml:space="preserve">ANNEX </w:t>
      </w:r>
      <w:r w:rsidR="004D6371">
        <w:rPr>
          <w:b w:val="0"/>
          <w:bCs/>
          <w:w w:val="105"/>
          <w:sz w:val="28"/>
          <w:szCs w:val="28"/>
          <w:lang w:val="en-US"/>
        </w:rPr>
        <w:t>A</w:t>
      </w:r>
      <w:r>
        <w:rPr>
          <w:b w:val="0"/>
          <w:bCs/>
          <w:w w:val="105"/>
          <w:sz w:val="28"/>
          <w:szCs w:val="28"/>
          <w:lang w:val="en-US"/>
        </w:rPr>
        <w:t>1</w:t>
      </w:r>
    </w:p>
    <w:p w:rsidR="00860C6B" w:rsidRPr="002502E2" w:rsidRDefault="00860C6B" w:rsidP="002502E2">
      <w:pPr>
        <w:snapToGrid w:val="0"/>
        <w:spacing w:after="120"/>
        <w:jc w:val="center"/>
        <w:rPr>
          <w:b/>
          <w:bCs/>
          <w:sz w:val="28"/>
          <w:szCs w:val="28"/>
          <w:lang w:val="en-US"/>
        </w:rPr>
      </w:pPr>
      <w:r w:rsidRPr="002502E2">
        <w:rPr>
          <w:b/>
          <w:bCs/>
          <w:sz w:val="28"/>
          <w:szCs w:val="28"/>
          <w:lang w:val="en-US"/>
        </w:rPr>
        <w:t>Regular Budget</w:t>
      </w:r>
    </w:p>
    <w:tbl>
      <w:tblPr>
        <w:tblW w:w="10065" w:type="dxa"/>
        <w:tblInd w:w="-5" w:type="dxa"/>
        <w:tblLayout w:type="fixed"/>
        <w:tblLook w:val="04A0" w:firstRow="1" w:lastRow="0" w:firstColumn="1" w:lastColumn="0" w:noHBand="0" w:noVBand="1"/>
      </w:tblPr>
      <w:tblGrid>
        <w:gridCol w:w="3119"/>
        <w:gridCol w:w="1134"/>
        <w:gridCol w:w="1134"/>
        <w:gridCol w:w="1134"/>
        <w:gridCol w:w="1134"/>
        <w:gridCol w:w="1134"/>
        <w:gridCol w:w="1276"/>
      </w:tblGrid>
      <w:tr w:rsidR="00205267" w:rsidRPr="00205267" w:rsidTr="002502E2">
        <w:trPr>
          <w:trHeight w:val="300"/>
        </w:trPr>
        <w:tc>
          <w:tcPr>
            <w:tcW w:w="31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05267" w:rsidRPr="00205267" w:rsidRDefault="00205267" w:rsidP="00205267">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20"/>
                <w:lang w:val="en-US" w:eastAsia="zh-CN"/>
              </w:rPr>
            </w:pPr>
            <w:r w:rsidRPr="00205267">
              <w:rPr>
                <w:rFonts w:ascii="Arial" w:hAnsi="Arial" w:cs="Arial"/>
                <w:b/>
                <w:bCs/>
                <w:color w:val="000000"/>
                <w:sz w:val="20"/>
                <w:lang w:val="en-US" w:eastAsia="zh-CN"/>
              </w:rPr>
              <w:t>Revenue</w:t>
            </w:r>
          </w:p>
        </w:tc>
        <w:tc>
          <w:tcPr>
            <w:tcW w:w="453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05267" w:rsidRPr="00205267" w:rsidRDefault="00205267" w:rsidP="00205267">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val="en-US" w:eastAsia="zh-CN"/>
              </w:rPr>
            </w:pPr>
            <w:r w:rsidRPr="00205267">
              <w:rPr>
                <w:rFonts w:ascii="Arial" w:hAnsi="Arial" w:cs="Arial"/>
                <w:b/>
                <w:bCs/>
                <w:color w:val="000000"/>
                <w:sz w:val="16"/>
                <w:szCs w:val="16"/>
                <w:lang w:val="en-US" w:eastAsia="zh-CN"/>
              </w:rPr>
              <w:t>Budgeted amounts</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05267" w:rsidRPr="00205267" w:rsidRDefault="00205267" w:rsidP="00205267">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val="en-US" w:eastAsia="zh-CN"/>
              </w:rPr>
            </w:pPr>
            <w:r w:rsidRPr="00205267">
              <w:rPr>
                <w:rFonts w:ascii="Arial" w:hAnsi="Arial" w:cs="Arial"/>
                <w:b/>
                <w:bCs/>
                <w:color w:val="000000"/>
                <w:sz w:val="16"/>
                <w:szCs w:val="16"/>
                <w:lang w:val="en-US" w:eastAsia="zh-CN"/>
              </w:rPr>
              <w:t xml:space="preserve">Actual amounts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05267" w:rsidRPr="00205267" w:rsidRDefault="00205267" w:rsidP="00205267">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val="en-US" w:eastAsia="zh-CN"/>
              </w:rPr>
            </w:pPr>
            <w:r w:rsidRPr="00205267">
              <w:rPr>
                <w:rFonts w:ascii="Arial" w:hAnsi="Arial" w:cs="Arial"/>
                <w:b/>
                <w:bCs/>
                <w:color w:val="000000"/>
                <w:sz w:val="16"/>
                <w:szCs w:val="16"/>
                <w:lang w:val="en-US" w:eastAsia="zh-CN"/>
              </w:rPr>
              <w:t>Difference between final budget and actual amounts</w:t>
            </w:r>
          </w:p>
        </w:tc>
      </w:tr>
      <w:tr w:rsidR="00205267" w:rsidRPr="00205267" w:rsidTr="002502E2">
        <w:trPr>
          <w:trHeight w:val="450"/>
        </w:trPr>
        <w:tc>
          <w:tcPr>
            <w:tcW w:w="3119" w:type="dxa"/>
            <w:vMerge/>
            <w:tcBorders>
              <w:top w:val="single" w:sz="4" w:space="0" w:color="auto"/>
              <w:left w:val="single" w:sz="4" w:space="0" w:color="auto"/>
              <w:bottom w:val="single" w:sz="4" w:space="0" w:color="000000"/>
              <w:right w:val="single" w:sz="4" w:space="0" w:color="auto"/>
            </w:tcBorders>
            <w:vAlign w:val="center"/>
            <w:hideMark/>
          </w:tcPr>
          <w:p w:rsidR="00205267" w:rsidRPr="00205267" w:rsidRDefault="00205267" w:rsidP="0020526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20"/>
                <w:lang w:val="en-US" w:eastAsia="zh-CN"/>
              </w:rPr>
            </w:pPr>
          </w:p>
        </w:tc>
        <w:tc>
          <w:tcPr>
            <w:tcW w:w="1134" w:type="dxa"/>
            <w:tcBorders>
              <w:top w:val="nil"/>
              <w:left w:val="nil"/>
              <w:bottom w:val="single" w:sz="4" w:space="0" w:color="auto"/>
              <w:right w:val="single" w:sz="4" w:space="0" w:color="auto"/>
            </w:tcBorders>
            <w:shd w:val="clear" w:color="auto" w:fill="auto"/>
            <w:vAlign w:val="center"/>
            <w:hideMark/>
          </w:tcPr>
          <w:p w:rsidR="00205267" w:rsidRPr="00205267" w:rsidRDefault="00205267" w:rsidP="00205267">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val="en-US" w:eastAsia="zh-CN"/>
              </w:rPr>
            </w:pPr>
            <w:r w:rsidRPr="00205267">
              <w:rPr>
                <w:rFonts w:ascii="Arial" w:hAnsi="Arial" w:cs="Arial"/>
                <w:b/>
                <w:bCs/>
                <w:color w:val="000000"/>
                <w:sz w:val="16"/>
                <w:szCs w:val="16"/>
                <w:lang w:val="en-US" w:eastAsia="zh-CN"/>
              </w:rPr>
              <w:t>Initial Budget</w:t>
            </w:r>
          </w:p>
        </w:tc>
        <w:tc>
          <w:tcPr>
            <w:tcW w:w="1134" w:type="dxa"/>
            <w:tcBorders>
              <w:top w:val="nil"/>
              <w:left w:val="nil"/>
              <w:bottom w:val="single" w:sz="4" w:space="0" w:color="auto"/>
              <w:right w:val="nil"/>
            </w:tcBorders>
            <w:shd w:val="clear" w:color="auto" w:fill="auto"/>
            <w:vAlign w:val="center"/>
            <w:hideMark/>
          </w:tcPr>
          <w:p w:rsidR="00205267" w:rsidRPr="00966288" w:rsidRDefault="00205267" w:rsidP="00205267">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val="en-US" w:eastAsia="zh-CN"/>
              </w:rPr>
            </w:pPr>
            <w:r w:rsidRPr="00966288">
              <w:rPr>
                <w:rFonts w:ascii="Arial" w:hAnsi="Arial" w:cs="Arial"/>
                <w:b/>
                <w:bCs/>
                <w:color w:val="000000"/>
                <w:sz w:val="16"/>
                <w:szCs w:val="16"/>
                <w:lang w:val="en-US" w:eastAsia="zh-CN"/>
              </w:rPr>
              <w:t>Deferred Activity</w:t>
            </w:r>
          </w:p>
        </w:tc>
        <w:tc>
          <w:tcPr>
            <w:tcW w:w="1134" w:type="dxa"/>
            <w:tcBorders>
              <w:top w:val="nil"/>
              <w:left w:val="nil"/>
              <w:bottom w:val="single" w:sz="4" w:space="0" w:color="auto"/>
              <w:right w:val="nil"/>
            </w:tcBorders>
            <w:shd w:val="clear" w:color="auto" w:fill="auto"/>
            <w:vAlign w:val="center"/>
            <w:hideMark/>
          </w:tcPr>
          <w:p w:rsidR="00205267" w:rsidRPr="00205267" w:rsidRDefault="00205267" w:rsidP="00205267">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val="en-US" w:eastAsia="zh-CN"/>
              </w:rPr>
            </w:pPr>
            <w:r w:rsidRPr="00205267">
              <w:rPr>
                <w:rFonts w:ascii="Arial" w:hAnsi="Arial" w:cs="Arial"/>
                <w:b/>
                <w:bCs/>
                <w:color w:val="000000"/>
                <w:sz w:val="16"/>
                <w:szCs w:val="16"/>
                <w:lang w:val="en-US" w:eastAsia="zh-CN"/>
              </w:rPr>
              <w:t>Budget transfers</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205267" w:rsidRPr="00205267" w:rsidRDefault="00205267" w:rsidP="00205267">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val="en-US" w:eastAsia="zh-CN"/>
              </w:rPr>
            </w:pPr>
            <w:r w:rsidRPr="00205267">
              <w:rPr>
                <w:rFonts w:ascii="Arial" w:hAnsi="Arial" w:cs="Arial"/>
                <w:b/>
                <w:bCs/>
                <w:color w:val="000000"/>
                <w:sz w:val="16"/>
                <w:szCs w:val="16"/>
                <w:lang w:val="en-US" w:eastAsia="zh-CN"/>
              </w:rPr>
              <w:t>Final budget</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05267" w:rsidRPr="00205267" w:rsidRDefault="00205267" w:rsidP="0020526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6"/>
                <w:szCs w:val="16"/>
                <w:lang w:val="en-US" w:eastAsia="zh-CN"/>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05267" w:rsidRPr="00205267" w:rsidRDefault="00205267" w:rsidP="0020526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6"/>
                <w:szCs w:val="16"/>
                <w:lang w:val="en-US" w:eastAsia="zh-CN"/>
              </w:rPr>
            </w:pPr>
          </w:p>
        </w:tc>
      </w:tr>
      <w:tr w:rsidR="00205267" w:rsidRPr="00205267" w:rsidTr="002502E2">
        <w:trPr>
          <w:trHeight w:val="300"/>
        </w:trPr>
        <w:tc>
          <w:tcPr>
            <w:tcW w:w="3119" w:type="dxa"/>
            <w:vMerge/>
            <w:tcBorders>
              <w:top w:val="single" w:sz="4" w:space="0" w:color="auto"/>
              <w:left w:val="single" w:sz="4" w:space="0" w:color="auto"/>
              <w:bottom w:val="single" w:sz="4" w:space="0" w:color="000000"/>
              <w:right w:val="single" w:sz="4" w:space="0" w:color="auto"/>
            </w:tcBorders>
            <w:vAlign w:val="center"/>
            <w:hideMark/>
          </w:tcPr>
          <w:p w:rsidR="00205267" w:rsidRPr="00205267" w:rsidRDefault="00205267" w:rsidP="0020526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20"/>
                <w:lang w:val="en-US" w:eastAsia="zh-CN"/>
              </w:rPr>
            </w:pPr>
          </w:p>
        </w:tc>
        <w:tc>
          <w:tcPr>
            <w:tcW w:w="1134" w:type="dxa"/>
            <w:tcBorders>
              <w:top w:val="nil"/>
              <w:left w:val="nil"/>
              <w:bottom w:val="single" w:sz="4" w:space="0" w:color="auto"/>
              <w:right w:val="single" w:sz="4" w:space="0" w:color="auto"/>
            </w:tcBorders>
            <w:shd w:val="clear" w:color="auto" w:fill="auto"/>
            <w:noWrap/>
            <w:vAlign w:val="center"/>
            <w:hideMark/>
          </w:tcPr>
          <w:p w:rsidR="00205267" w:rsidRPr="00205267" w:rsidRDefault="00205267" w:rsidP="00205267">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val="en-US" w:eastAsia="zh-CN"/>
              </w:rPr>
            </w:pPr>
            <w:r w:rsidRPr="00205267">
              <w:rPr>
                <w:rFonts w:ascii="Arial" w:hAnsi="Arial" w:cs="Arial"/>
                <w:b/>
                <w:bCs/>
                <w:color w:val="000000"/>
                <w:sz w:val="16"/>
                <w:szCs w:val="16"/>
                <w:lang w:val="en-US" w:eastAsia="zh-CN"/>
              </w:rPr>
              <w:t xml:space="preserve"> 31.12.2017 </w:t>
            </w:r>
          </w:p>
        </w:tc>
        <w:tc>
          <w:tcPr>
            <w:tcW w:w="1134" w:type="dxa"/>
            <w:tcBorders>
              <w:top w:val="nil"/>
              <w:left w:val="nil"/>
              <w:bottom w:val="single" w:sz="4" w:space="0" w:color="auto"/>
              <w:right w:val="single" w:sz="4" w:space="0" w:color="auto"/>
            </w:tcBorders>
            <w:shd w:val="clear" w:color="auto" w:fill="auto"/>
            <w:noWrap/>
            <w:vAlign w:val="center"/>
            <w:hideMark/>
          </w:tcPr>
          <w:p w:rsidR="00205267" w:rsidRPr="00205267" w:rsidRDefault="00205267" w:rsidP="00205267">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val="en-US" w:eastAsia="zh-CN"/>
              </w:rPr>
            </w:pPr>
            <w:r w:rsidRPr="00205267">
              <w:rPr>
                <w:rFonts w:ascii="Arial" w:hAnsi="Arial" w:cs="Arial"/>
                <w:b/>
                <w:bCs/>
                <w:color w:val="000000"/>
                <w:sz w:val="16"/>
                <w:szCs w:val="16"/>
                <w:lang w:val="en-US" w:eastAsia="zh-CN"/>
              </w:rPr>
              <w:t xml:space="preserve"> 31.12.2017 </w:t>
            </w:r>
          </w:p>
        </w:tc>
        <w:tc>
          <w:tcPr>
            <w:tcW w:w="1134" w:type="dxa"/>
            <w:tcBorders>
              <w:top w:val="nil"/>
              <w:left w:val="nil"/>
              <w:bottom w:val="single" w:sz="4" w:space="0" w:color="auto"/>
              <w:right w:val="single" w:sz="4" w:space="0" w:color="auto"/>
            </w:tcBorders>
            <w:shd w:val="clear" w:color="auto" w:fill="auto"/>
            <w:noWrap/>
            <w:vAlign w:val="center"/>
            <w:hideMark/>
          </w:tcPr>
          <w:p w:rsidR="00205267" w:rsidRPr="00205267" w:rsidRDefault="00205267" w:rsidP="00205267">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val="en-US" w:eastAsia="zh-CN"/>
              </w:rPr>
            </w:pPr>
            <w:r w:rsidRPr="00205267">
              <w:rPr>
                <w:rFonts w:ascii="Arial" w:hAnsi="Arial" w:cs="Arial"/>
                <w:b/>
                <w:bCs/>
                <w:color w:val="000000"/>
                <w:sz w:val="16"/>
                <w:szCs w:val="16"/>
                <w:lang w:val="en-US" w:eastAsia="zh-CN"/>
              </w:rPr>
              <w:t xml:space="preserve"> 31.12.2017 </w:t>
            </w:r>
          </w:p>
        </w:tc>
        <w:tc>
          <w:tcPr>
            <w:tcW w:w="1134" w:type="dxa"/>
            <w:tcBorders>
              <w:top w:val="nil"/>
              <w:left w:val="nil"/>
              <w:bottom w:val="single" w:sz="4" w:space="0" w:color="auto"/>
              <w:right w:val="single" w:sz="4" w:space="0" w:color="auto"/>
            </w:tcBorders>
            <w:shd w:val="clear" w:color="auto" w:fill="auto"/>
            <w:noWrap/>
            <w:vAlign w:val="center"/>
            <w:hideMark/>
          </w:tcPr>
          <w:p w:rsidR="00205267" w:rsidRPr="00205267" w:rsidRDefault="00205267" w:rsidP="00205267">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val="en-US" w:eastAsia="zh-CN"/>
              </w:rPr>
            </w:pPr>
            <w:r w:rsidRPr="00205267">
              <w:rPr>
                <w:rFonts w:ascii="Arial" w:hAnsi="Arial" w:cs="Arial"/>
                <w:b/>
                <w:bCs/>
                <w:color w:val="000000"/>
                <w:sz w:val="16"/>
                <w:szCs w:val="16"/>
                <w:lang w:val="en-US" w:eastAsia="zh-CN"/>
              </w:rPr>
              <w:t xml:space="preserve"> 31.12.2017 </w:t>
            </w:r>
          </w:p>
        </w:tc>
        <w:tc>
          <w:tcPr>
            <w:tcW w:w="1134" w:type="dxa"/>
            <w:tcBorders>
              <w:top w:val="nil"/>
              <w:left w:val="nil"/>
              <w:bottom w:val="single" w:sz="4" w:space="0" w:color="auto"/>
              <w:right w:val="single" w:sz="4" w:space="0" w:color="auto"/>
            </w:tcBorders>
            <w:shd w:val="clear" w:color="auto" w:fill="auto"/>
            <w:noWrap/>
            <w:vAlign w:val="center"/>
            <w:hideMark/>
          </w:tcPr>
          <w:p w:rsidR="00205267" w:rsidRPr="00205267" w:rsidRDefault="00205267" w:rsidP="00205267">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val="en-US" w:eastAsia="zh-CN"/>
              </w:rPr>
            </w:pPr>
            <w:r w:rsidRPr="00205267">
              <w:rPr>
                <w:rFonts w:ascii="Arial" w:hAnsi="Arial" w:cs="Arial"/>
                <w:b/>
                <w:bCs/>
                <w:color w:val="000000"/>
                <w:sz w:val="16"/>
                <w:szCs w:val="16"/>
                <w:lang w:val="en-US" w:eastAsia="zh-CN"/>
              </w:rPr>
              <w:t xml:space="preserve"> 31.12.2017 </w:t>
            </w:r>
          </w:p>
        </w:tc>
        <w:tc>
          <w:tcPr>
            <w:tcW w:w="1276" w:type="dxa"/>
            <w:tcBorders>
              <w:top w:val="nil"/>
              <w:left w:val="nil"/>
              <w:bottom w:val="single" w:sz="4" w:space="0" w:color="auto"/>
              <w:right w:val="single" w:sz="4" w:space="0" w:color="auto"/>
            </w:tcBorders>
            <w:shd w:val="clear" w:color="auto" w:fill="auto"/>
            <w:noWrap/>
            <w:vAlign w:val="center"/>
            <w:hideMark/>
          </w:tcPr>
          <w:p w:rsidR="00205267" w:rsidRPr="00205267" w:rsidRDefault="00205267" w:rsidP="00205267">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val="en-US" w:eastAsia="zh-CN"/>
              </w:rPr>
            </w:pPr>
            <w:r w:rsidRPr="00205267">
              <w:rPr>
                <w:rFonts w:ascii="Arial" w:hAnsi="Arial" w:cs="Arial"/>
                <w:b/>
                <w:bCs/>
                <w:color w:val="000000"/>
                <w:sz w:val="16"/>
                <w:szCs w:val="16"/>
                <w:lang w:val="en-US" w:eastAsia="zh-CN"/>
              </w:rPr>
              <w:t xml:space="preserve"> 31.12.2017 </w:t>
            </w:r>
          </w:p>
        </w:tc>
      </w:tr>
      <w:tr w:rsidR="00205267" w:rsidRPr="00205267" w:rsidTr="002502E2">
        <w:trPr>
          <w:trHeight w:val="300"/>
        </w:trPr>
        <w:tc>
          <w:tcPr>
            <w:tcW w:w="3119" w:type="dxa"/>
            <w:tcBorders>
              <w:top w:val="nil"/>
              <w:left w:val="single" w:sz="4" w:space="0" w:color="auto"/>
              <w:bottom w:val="nil"/>
              <w:right w:val="nil"/>
            </w:tcBorders>
            <w:shd w:val="clear" w:color="auto" w:fill="auto"/>
            <w:noWrap/>
            <w:vAlign w:val="center"/>
            <w:hideMark/>
          </w:tcPr>
          <w:p w:rsidR="00205267" w:rsidRPr="00205267" w:rsidRDefault="00205267" w:rsidP="0020526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205267">
              <w:rPr>
                <w:rFonts w:ascii="Arial" w:hAnsi="Arial" w:cs="Arial"/>
                <w:color w:val="000000"/>
                <w:sz w:val="16"/>
                <w:szCs w:val="16"/>
                <w:lang w:val="en-US" w:eastAsia="zh-CN"/>
              </w:rPr>
              <w:t> </w:t>
            </w:r>
          </w:p>
        </w:tc>
        <w:tc>
          <w:tcPr>
            <w:tcW w:w="1134" w:type="dxa"/>
            <w:tcBorders>
              <w:top w:val="nil"/>
              <w:left w:val="single" w:sz="4" w:space="0" w:color="auto"/>
              <w:bottom w:val="nil"/>
              <w:right w:val="single" w:sz="4" w:space="0" w:color="auto"/>
            </w:tcBorders>
            <w:shd w:val="clear" w:color="auto" w:fill="auto"/>
            <w:noWrap/>
            <w:vAlign w:val="center"/>
            <w:hideMark/>
          </w:tcPr>
          <w:p w:rsidR="00205267" w:rsidRPr="00205267" w:rsidRDefault="00205267" w:rsidP="00205267">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val="en-US" w:eastAsia="zh-CN"/>
              </w:rPr>
            </w:pPr>
            <w:r w:rsidRPr="00205267">
              <w:rPr>
                <w:rFonts w:ascii="Arial" w:hAnsi="Arial" w:cs="Arial"/>
                <w:color w:val="000000"/>
                <w:sz w:val="16"/>
                <w:szCs w:val="16"/>
                <w:lang w:val="en-US" w:eastAsia="zh-CN"/>
              </w:rPr>
              <w:t> </w:t>
            </w:r>
          </w:p>
        </w:tc>
        <w:tc>
          <w:tcPr>
            <w:tcW w:w="1134" w:type="dxa"/>
            <w:tcBorders>
              <w:top w:val="nil"/>
              <w:left w:val="nil"/>
              <w:bottom w:val="nil"/>
              <w:right w:val="single" w:sz="4" w:space="0" w:color="auto"/>
            </w:tcBorders>
            <w:shd w:val="clear" w:color="auto" w:fill="auto"/>
            <w:noWrap/>
            <w:vAlign w:val="center"/>
            <w:hideMark/>
          </w:tcPr>
          <w:p w:rsidR="00205267" w:rsidRPr="00205267" w:rsidRDefault="00205267" w:rsidP="00205267">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val="en-US" w:eastAsia="zh-CN"/>
              </w:rPr>
            </w:pPr>
            <w:r w:rsidRPr="00205267">
              <w:rPr>
                <w:rFonts w:ascii="Arial" w:hAnsi="Arial" w:cs="Arial"/>
                <w:color w:val="000000"/>
                <w:sz w:val="16"/>
                <w:szCs w:val="16"/>
                <w:lang w:val="en-US" w:eastAsia="zh-CN"/>
              </w:rPr>
              <w:t> </w:t>
            </w:r>
          </w:p>
        </w:tc>
        <w:tc>
          <w:tcPr>
            <w:tcW w:w="1134" w:type="dxa"/>
            <w:tcBorders>
              <w:top w:val="nil"/>
              <w:left w:val="nil"/>
              <w:bottom w:val="nil"/>
              <w:right w:val="single" w:sz="4" w:space="0" w:color="auto"/>
            </w:tcBorders>
            <w:shd w:val="clear" w:color="auto" w:fill="auto"/>
            <w:noWrap/>
            <w:vAlign w:val="center"/>
            <w:hideMark/>
          </w:tcPr>
          <w:p w:rsidR="00205267" w:rsidRPr="00205267" w:rsidRDefault="00205267" w:rsidP="00205267">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val="en-US" w:eastAsia="zh-CN"/>
              </w:rPr>
            </w:pPr>
            <w:r w:rsidRPr="00205267">
              <w:rPr>
                <w:rFonts w:ascii="Arial" w:hAnsi="Arial" w:cs="Arial"/>
                <w:color w:val="000000"/>
                <w:sz w:val="16"/>
                <w:szCs w:val="16"/>
                <w:lang w:val="en-US" w:eastAsia="zh-CN"/>
              </w:rPr>
              <w:t> </w:t>
            </w:r>
          </w:p>
        </w:tc>
        <w:tc>
          <w:tcPr>
            <w:tcW w:w="1134" w:type="dxa"/>
            <w:tcBorders>
              <w:top w:val="nil"/>
              <w:left w:val="nil"/>
              <w:bottom w:val="nil"/>
              <w:right w:val="single" w:sz="4" w:space="0" w:color="auto"/>
            </w:tcBorders>
            <w:shd w:val="clear" w:color="auto" w:fill="auto"/>
            <w:noWrap/>
            <w:vAlign w:val="center"/>
            <w:hideMark/>
          </w:tcPr>
          <w:p w:rsidR="00205267" w:rsidRPr="00205267" w:rsidRDefault="00205267" w:rsidP="00205267">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val="en-US" w:eastAsia="zh-CN"/>
              </w:rPr>
            </w:pPr>
            <w:r w:rsidRPr="00205267">
              <w:rPr>
                <w:rFonts w:ascii="Arial" w:hAnsi="Arial" w:cs="Arial"/>
                <w:color w:val="000000"/>
                <w:sz w:val="16"/>
                <w:szCs w:val="16"/>
                <w:lang w:val="en-US" w:eastAsia="zh-CN"/>
              </w:rPr>
              <w:t> </w:t>
            </w:r>
          </w:p>
        </w:tc>
        <w:tc>
          <w:tcPr>
            <w:tcW w:w="1134" w:type="dxa"/>
            <w:tcBorders>
              <w:top w:val="nil"/>
              <w:left w:val="nil"/>
              <w:bottom w:val="nil"/>
              <w:right w:val="single" w:sz="4" w:space="0" w:color="auto"/>
            </w:tcBorders>
            <w:shd w:val="clear" w:color="auto" w:fill="auto"/>
            <w:noWrap/>
            <w:vAlign w:val="center"/>
            <w:hideMark/>
          </w:tcPr>
          <w:p w:rsidR="00205267" w:rsidRPr="00205267" w:rsidRDefault="00205267" w:rsidP="00205267">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val="en-US" w:eastAsia="zh-CN"/>
              </w:rPr>
            </w:pPr>
            <w:r w:rsidRPr="00205267">
              <w:rPr>
                <w:rFonts w:ascii="Arial" w:hAnsi="Arial" w:cs="Arial"/>
                <w:color w:val="000000"/>
                <w:sz w:val="16"/>
                <w:szCs w:val="16"/>
                <w:lang w:val="en-US" w:eastAsia="zh-CN"/>
              </w:rPr>
              <w:t> </w:t>
            </w:r>
          </w:p>
        </w:tc>
        <w:tc>
          <w:tcPr>
            <w:tcW w:w="1276" w:type="dxa"/>
            <w:tcBorders>
              <w:top w:val="nil"/>
              <w:left w:val="nil"/>
              <w:bottom w:val="nil"/>
              <w:right w:val="single" w:sz="4" w:space="0" w:color="auto"/>
            </w:tcBorders>
            <w:shd w:val="clear" w:color="auto" w:fill="auto"/>
            <w:noWrap/>
            <w:vAlign w:val="center"/>
            <w:hideMark/>
          </w:tcPr>
          <w:p w:rsidR="00205267" w:rsidRPr="00205267" w:rsidRDefault="00205267" w:rsidP="00205267">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val="en-US" w:eastAsia="zh-CN"/>
              </w:rPr>
            </w:pPr>
            <w:r w:rsidRPr="00205267">
              <w:rPr>
                <w:rFonts w:ascii="Arial" w:hAnsi="Arial" w:cs="Arial"/>
                <w:color w:val="000000"/>
                <w:sz w:val="16"/>
                <w:szCs w:val="16"/>
                <w:lang w:val="en-US" w:eastAsia="zh-CN"/>
              </w:rPr>
              <w:t> </w:t>
            </w:r>
          </w:p>
        </w:tc>
      </w:tr>
      <w:tr w:rsidR="00205267" w:rsidRPr="00205267" w:rsidTr="002502E2">
        <w:trPr>
          <w:trHeight w:val="300"/>
        </w:trPr>
        <w:tc>
          <w:tcPr>
            <w:tcW w:w="3119" w:type="dxa"/>
            <w:tcBorders>
              <w:top w:val="nil"/>
              <w:left w:val="single" w:sz="4" w:space="0" w:color="auto"/>
              <w:bottom w:val="nil"/>
              <w:right w:val="nil"/>
            </w:tcBorders>
            <w:shd w:val="clear" w:color="auto" w:fill="auto"/>
            <w:vAlign w:val="bottom"/>
            <w:hideMark/>
          </w:tcPr>
          <w:p w:rsidR="00205267" w:rsidRPr="00205267" w:rsidRDefault="00205267" w:rsidP="0020526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Assessed contributions Member States</w:t>
            </w:r>
          </w:p>
        </w:tc>
        <w:tc>
          <w:tcPr>
            <w:tcW w:w="1134" w:type="dxa"/>
            <w:tcBorders>
              <w:top w:val="nil"/>
              <w:left w:val="single" w:sz="4" w:space="0" w:color="auto"/>
              <w:bottom w:val="nil"/>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 xml:space="preserve">         106,371 </w:t>
            </w:r>
          </w:p>
        </w:tc>
        <w:tc>
          <w:tcPr>
            <w:tcW w:w="1134" w:type="dxa"/>
            <w:tcBorders>
              <w:top w:val="nil"/>
              <w:left w:val="nil"/>
              <w:bottom w:val="nil"/>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 </w:t>
            </w:r>
          </w:p>
        </w:tc>
        <w:tc>
          <w:tcPr>
            <w:tcW w:w="1134" w:type="dxa"/>
            <w:tcBorders>
              <w:top w:val="nil"/>
              <w:left w:val="nil"/>
              <w:bottom w:val="nil"/>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 </w:t>
            </w:r>
          </w:p>
        </w:tc>
        <w:tc>
          <w:tcPr>
            <w:tcW w:w="1134" w:type="dxa"/>
            <w:tcBorders>
              <w:top w:val="nil"/>
              <w:left w:val="nil"/>
              <w:bottom w:val="nil"/>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 xml:space="preserve">        106,371 </w:t>
            </w:r>
          </w:p>
        </w:tc>
        <w:tc>
          <w:tcPr>
            <w:tcW w:w="1134" w:type="dxa"/>
            <w:tcBorders>
              <w:top w:val="nil"/>
              <w:left w:val="nil"/>
              <w:bottom w:val="nil"/>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 xml:space="preserve">                             106,292 </w:t>
            </w:r>
          </w:p>
        </w:tc>
        <w:tc>
          <w:tcPr>
            <w:tcW w:w="1276" w:type="dxa"/>
            <w:tcBorders>
              <w:top w:val="nil"/>
              <w:left w:val="nil"/>
              <w:bottom w:val="nil"/>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 xml:space="preserve">                                              -80 </w:t>
            </w:r>
          </w:p>
        </w:tc>
      </w:tr>
      <w:tr w:rsidR="00205267" w:rsidRPr="00205267" w:rsidTr="002502E2">
        <w:trPr>
          <w:trHeight w:val="300"/>
        </w:trPr>
        <w:tc>
          <w:tcPr>
            <w:tcW w:w="3119" w:type="dxa"/>
            <w:tcBorders>
              <w:top w:val="nil"/>
              <w:left w:val="single" w:sz="4" w:space="0" w:color="auto"/>
              <w:bottom w:val="nil"/>
              <w:right w:val="nil"/>
            </w:tcBorders>
            <w:shd w:val="clear" w:color="auto" w:fill="auto"/>
            <w:vAlign w:val="bottom"/>
            <w:hideMark/>
          </w:tcPr>
          <w:p w:rsidR="00205267" w:rsidRPr="00205267" w:rsidRDefault="00205267" w:rsidP="0020526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Assessed contributions Sector Members</w:t>
            </w:r>
          </w:p>
        </w:tc>
        <w:tc>
          <w:tcPr>
            <w:tcW w:w="1134" w:type="dxa"/>
            <w:tcBorders>
              <w:top w:val="nil"/>
              <w:left w:val="single" w:sz="4" w:space="0" w:color="auto"/>
              <w:bottom w:val="nil"/>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 xml:space="preserve">           15,875 </w:t>
            </w:r>
          </w:p>
        </w:tc>
        <w:tc>
          <w:tcPr>
            <w:tcW w:w="1134" w:type="dxa"/>
            <w:tcBorders>
              <w:top w:val="nil"/>
              <w:left w:val="nil"/>
              <w:bottom w:val="nil"/>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 </w:t>
            </w:r>
          </w:p>
        </w:tc>
        <w:tc>
          <w:tcPr>
            <w:tcW w:w="1134" w:type="dxa"/>
            <w:tcBorders>
              <w:top w:val="nil"/>
              <w:left w:val="nil"/>
              <w:bottom w:val="nil"/>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 </w:t>
            </w:r>
          </w:p>
        </w:tc>
        <w:tc>
          <w:tcPr>
            <w:tcW w:w="1134" w:type="dxa"/>
            <w:tcBorders>
              <w:top w:val="nil"/>
              <w:left w:val="nil"/>
              <w:bottom w:val="nil"/>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 xml:space="preserve">          15,875 </w:t>
            </w:r>
          </w:p>
        </w:tc>
        <w:tc>
          <w:tcPr>
            <w:tcW w:w="1134" w:type="dxa"/>
            <w:tcBorders>
              <w:top w:val="nil"/>
              <w:left w:val="nil"/>
              <w:bottom w:val="nil"/>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 xml:space="preserve">                               14,210 </w:t>
            </w:r>
          </w:p>
        </w:tc>
        <w:tc>
          <w:tcPr>
            <w:tcW w:w="1276" w:type="dxa"/>
            <w:tcBorders>
              <w:top w:val="nil"/>
              <w:left w:val="nil"/>
              <w:bottom w:val="nil"/>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 xml:space="preserve">                                         -1,665 </w:t>
            </w:r>
          </w:p>
        </w:tc>
      </w:tr>
      <w:tr w:rsidR="00205267" w:rsidRPr="00205267" w:rsidTr="002502E2">
        <w:trPr>
          <w:trHeight w:val="300"/>
        </w:trPr>
        <w:tc>
          <w:tcPr>
            <w:tcW w:w="3119" w:type="dxa"/>
            <w:tcBorders>
              <w:top w:val="nil"/>
              <w:left w:val="single" w:sz="4" w:space="0" w:color="auto"/>
              <w:bottom w:val="nil"/>
              <w:right w:val="nil"/>
            </w:tcBorders>
            <w:shd w:val="clear" w:color="auto" w:fill="auto"/>
            <w:vAlign w:val="bottom"/>
            <w:hideMark/>
          </w:tcPr>
          <w:p w:rsidR="00205267" w:rsidRPr="00205267" w:rsidRDefault="00205267" w:rsidP="0020526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Assessed contributions Associates</w:t>
            </w:r>
          </w:p>
        </w:tc>
        <w:tc>
          <w:tcPr>
            <w:tcW w:w="1134" w:type="dxa"/>
            <w:tcBorders>
              <w:top w:val="nil"/>
              <w:left w:val="single" w:sz="4" w:space="0" w:color="auto"/>
              <w:bottom w:val="nil"/>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 xml:space="preserve">             1,955 </w:t>
            </w:r>
          </w:p>
        </w:tc>
        <w:tc>
          <w:tcPr>
            <w:tcW w:w="1134" w:type="dxa"/>
            <w:tcBorders>
              <w:top w:val="nil"/>
              <w:left w:val="nil"/>
              <w:bottom w:val="nil"/>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 </w:t>
            </w:r>
          </w:p>
        </w:tc>
        <w:tc>
          <w:tcPr>
            <w:tcW w:w="1134" w:type="dxa"/>
            <w:tcBorders>
              <w:top w:val="nil"/>
              <w:left w:val="nil"/>
              <w:bottom w:val="nil"/>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 </w:t>
            </w:r>
          </w:p>
        </w:tc>
        <w:tc>
          <w:tcPr>
            <w:tcW w:w="1134" w:type="dxa"/>
            <w:tcBorders>
              <w:top w:val="nil"/>
              <w:left w:val="nil"/>
              <w:bottom w:val="nil"/>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 xml:space="preserve">            1,955 </w:t>
            </w:r>
          </w:p>
        </w:tc>
        <w:tc>
          <w:tcPr>
            <w:tcW w:w="1134" w:type="dxa"/>
            <w:tcBorders>
              <w:top w:val="nil"/>
              <w:left w:val="nil"/>
              <w:bottom w:val="nil"/>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 xml:space="preserve">                                 1,577 </w:t>
            </w:r>
          </w:p>
        </w:tc>
        <w:tc>
          <w:tcPr>
            <w:tcW w:w="1276" w:type="dxa"/>
            <w:tcBorders>
              <w:top w:val="nil"/>
              <w:left w:val="nil"/>
              <w:bottom w:val="nil"/>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 xml:space="preserve">                                            -378 </w:t>
            </w:r>
          </w:p>
        </w:tc>
      </w:tr>
      <w:tr w:rsidR="00205267" w:rsidRPr="00205267" w:rsidTr="002502E2">
        <w:trPr>
          <w:trHeight w:val="300"/>
        </w:trPr>
        <w:tc>
          <w:tcPr>
            <w:tcW w:w="3119" w:type="dxa"/>
            <w:tcBorders>
              <w:top w:val="nil"/>
              <w:left w:val="single" w:sz="4" w:space="0" w:color="auto"/>
              <w:bottom w:val="nil"/>
              <w:right w:val="nil"/>
            </w:tcBorders>
            <w:shd w:val="clear" w:color="auto" w:fill="auto"/>
            <w:vAlign w:val="bottom"/>
            <w:hideMark/>
          </w:tcPr>
          <w:p w:rsidR="00205267" w:rsidRPr="00205267" w:rsidRDefault="00205267" w:rsidP="0020526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Assessed contributions Academia</w:t>
            </w:r>
          </w:p>
        </w:tc>
        <w:tc>
          <w:tcPr>
            <w:tcW w:w="1134" w:type="dxa"/>
            <w:tcBorders>
              <w:top w:val="nil"/>
              <w:left w:val="single" w:sz="4" w:space="0" w:color="auto"/>
              <w:bottom w:val="nil"/>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 xml:space="preserve">                200 </w:t>
            </w:r>
          </w:p>
        </w:tc>
        <w:tc>
          <w:tcPr>
            <w:tcW w:w="1134" w:type="dxa"/>
            <w:tcBorders>
              <w:top w:val="nil"/>
              <w:left w:val="nil"/>
              <w:bottom w:val="nil"/>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 </w:t>
            </w:r>
          </w:p>
        </w:tc>
        <w:tc>
          <w:tcPr>
            <w:tcW w:w="1134" w:type="dxa"/>
            <w:tcBorders>
              <w:top w:val="nil"/>
              <w:left w:val="nil"/>
              <w:bottom w:val="nil"/>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 </w:t>
            </w:r>
          </w:p>
        </w:tc>
        <w:tc>
          <w:tcPr>
            <w:tcW w:w="1134" w:type="dxa"/>
            <w:tcBorders>
              <w:top w:val="nil"/>
              <w:left w:val="nil"/>
              <w:bottom w:val="nil"/>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 xml:space="preserve">               200 </w:t>
            </w:r>
          </w:p>
        </w:tc>
        <w:tc>
          <w:tcPr>
            <w:tcW w:w="1134" w:type="dxa"/>
            <w:tcBorders>
              <w:top w:val="nil"/>
              <w:left w:val="nil"/>
              <w:bottom w:val="nil"/>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 xml:space="preserve">                                    306 </w:t>
            </w:r>
          </w:p>
        </w:tc>
        <w:tc>
          <w:tcPr>
            <w:tcW w:w="1276" w:type="dxa"/>
            <w:tcBorders>
              <w:top w:val="nil"/>
              <w:left w:val="nil"/>
              <w:bottom w:val="nil"/>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 xml:space="preserve">                                              106 </w:t>
            </w:r>
          </w:p>
        </w:tc>
      </w:tr>
      <w:tr w:rsidR="00205267" w:rsidRPr="00205267" w:rsidTr="002502E2">
        <w:trPr>
          <w:trHeight w:val="300"/>
        </w:trPr>
        <w:tc>
          <w:tcPr>
            <w:tcW w:w="3119" w:type="dxa"/>
            <w:tcBorders>
              <w:top w:val="nil"/>
              <w:left w:val="single" w:sz="4" w:space="0" w:color="auto"/>
              <w:bottom w:val="nil"/>
              <w:right w:val="nil"/>
            </w:tcBorders>
            <w:shd w:val="clear" w:color="auto" w:fill="auto"/>
            <w:vAlign w:val="bottom"/>
            <w:hideMark/>
          </w:tcPr>
          <w:p w:rsidR="00205267" w:rsidRPr="00205267" w:rsidRDefault="00205267" w:rsidP="0020526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 </w:t>
            </w:r>
          </w:p>
        </w:tc>
        <w:tc>
          <w:tcPr>
            <w:tcW w:w="1134" w:type="dxa"/>
            <w:tcBorders>
              <w:top w:val="nil"/>
              <w:left w:val="single" w:sz="4" w:space="0" w:color="auto"/>
              <w:bottom w:val="nil"/>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 </w:t>
            </w:r>
          </w:p>
        </w:tc>
        <w:tc>
          <w:tcPr>
            <w:tcW w:w="1134" w:type="dxa"/>
            <w:tcBorders>
              <w:top w:val="nil"/>
              <w:left w:val="nil"/>
              <w:bottom w:val="nil"/>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 </w:t>
            </w:r>
          </w:p>
        </w:tc>
        <w:tc>
          <w:tcPr>
            <w:tcW w:w="1134" w:type="dxa"/>
            <w:tcBorders>
              <w:top w:val="nil"/>
              <w:left w:val="nil"/>
              <w:bottom w:val="nil"/>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 </w:t>
            </w:r>
          </w:p>
        </w:tc>
        <w:tc>
          <w:tcPr>
            <w:tcW w:w="1134" w:type="dxa"/>
            <w:tcBorders>
              <w:top w:val="nil"/>
              <w:left w:val="nil"/>
              <w:bottom w:val="nil"/>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 </w:t>
            </w:r>
          </w:p>
        </w:tc>
        <w:tc>
          <w:tcPr>
            <w:tcW w:w="1134" w:type="dxa"/>
            <w:tcBorders>
              <w:top w:val="nil"/>
              <w:left w:val="nil"/>
              <w:bottom w:val="nil"/>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 xml:space="preserve">                                        7 </w:t>
            </w:r>
          </w:p>
        </w:tc>
        <w:tc>
          <w:tcPr>
            <w:tcW w:w="1276" w:type="dxa"/>
            <w:tcBorders>
              <w:top w:val="nil"/>
              <w:left w:val="nil"/>
              <w:bottom w:val="nil"/>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 </w:t>
            </w:r>
          </w:p>
        </w:tc>
      </w:tr>
      <w:tr w:rsidR="00205267" w:rsidRPr="00205267" w:rsidTr="002502E2">
        <w:trPr>
          <w:trHeight w:val="300"/>
        </w:trPr>
        <w:tc>
          <w:tcPr>
            <w:tcW w:w="3119" w:type="dxa"/>
            <w:tcBorders>
              <w:top w:val="single" w:sz="4" w:space="0" w:color="auto"/>
              <w:left w:val="single" w:sz="4" w:space="0" w:color="auto"/>
              <w:bottom w:val="single" w:sz="4" w:space="0" w:color="auto"/>
              <w:right w:val="nil"/>
            </w:tcBorders>
            <w:shd w:val="clear" w:color="auto" w:fill="auto"/>
            <w:vAlign w:val="center"/>
            <w:hideMark/>
          </w:tcPr>
          <w:p w:rsidR="00205267" w:rsidRPr="00205267" w:rsidRDefault="00205267" w:rsidP="0020526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6"/>
                <w:szCs w:val="16"/>
                <w:lang w:val="en-US" w:eastAsia="zh-CN"/>
              </w:rPr>
            </w:pPr>
            <w:r w:rsidRPr="00205267">
              <w:rPr>
                <w:rFonts w:ascii="Arial" w:hAnsi="Arial" w:cs="Arial"/>
                <w:b/>
                <w:bCs/>
                <w:color w:val="000000"/>
                <w:sz w:val="16"/>
                <w:szCs w:val="16"/>
                <w:lang w:val="en-US" w:eastAsia="zh-CN"/>
              </w:rPr>
              <w:t>Assessed contributions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6"/>
                <w:szCs w:val="16"/>
                <w:lang w:val="en-US" w:eastAsia="zh-CN"/>
              </w:rPr>
            </w:pPr>
            <w:r w:rsidRPr="00205267">
              <w:rPr>
                <w:rFonts w:ascii="Arial" w:hAnsi="Arial" w:cs="Arial"/>
                <w:b/>
                <w:bCs/>
                <w:color w:val="000000"/>
                <w:sz w:val="16"/>
                <w:szCs w:val="16"/>
                <w:lang w:val="en-US" w:eastAsia="zh-CN"/>
              </w:rPr>
              <w:t xml:space="preserve">      124,401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6"/>
                <w:szCs w:val="16"/>
                <w:lang w:val="en-US" w:eastAsia="zh-CN"/>
              </w:rPr>
            </w:pPr>
            <w:r w:rsidRPr="00205267">
              <w:rPr>
                <w:rFonts w:ascii="Arial" w:hAnsi="Arial" w:cs="Arial"/>
                <w:b/>
                <w:bCs/>
                <w:color w:val="000000"/>
                <w:sz w:val="16"/>
                <w:szCs w:val="16"/>
                <w:lang w:val="en-US" w:eastAsia="zh-CN"/>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6"/>
                <w:szCs w:val="16"/>
                <w:lang w:val="en-US" w:eastAsia="zh-CN"/>
              </w:rPr>
            </w:pPr>
            <w:r w:rsidRPr="00205267">
              <w:rPr>
                <w:rFonts w:ascii="Arial" w:hAnsi="Arial" w:cs="Arial"/>
                <w:b/>
                <w:bCs/>
                <w:color w:val="000000"/>
                <w:sz w:val="16"/>
                <w:szCs w:val="16"/>
                <w:lang w:val="en-US" w:eastAsia="zh-CN"/>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6"/>
                <w:szCs w:val="16"/>
                <w:lang w:val="en-US" w:eastAsia="zh-CN"/>
              </w:rPr>
            </w:pPr>
            <w:r w:rsidRPr="00205267">
              <w:rPr>
                <w:rFonts w:ascii="Arial" w:hAnsi="Arial" w:cs="Arial"/>
                <w:b/>
                <w:bCs/>
                <w:color w:val="000000"/>
                <w:sz w:val="16"/>
                <w:szCs w:val="16"/>
                <w:lang w:val="en-US" w:eastAsia="zh-CN"/>
              </w:rPr>
              <w:t xml:space="preserve">     124,401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6"/>
                <w:szCs w:val="16"/>
                <w:lang w:val="en-US" w:eastAsia="zh-CN"/>
              </w:rPr>
            </w:pPr>
            <w:r w:rsidRPr="00205267">
              <w:rPr>
                <w:rFonts w:ascii="Arial" w:hAnsi="Arial" w:cs="Arial"/>
                <w:b/>
                <w:bCs/>
                <w:color w:val="000000"/>
                <w:sz w:val="16"/>
                <w:szCs w:val="16"/>
                <w:lang w:val="en-US" w:eastAsia="zh-CN"/>
              </w:rPr>
              <w:t xml:space="preserve">      122,390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6"/>
                <w:szCs w:val="16"/>
                <w:lang w:val="en-US" w:eastAsia="zh-CN"/>
              </w:rPr>
            </w:pPr>
            <w:r w:rsidRPr="00205267">
              <w:rPr>
                <w:rFonts w:ascii="Arial" w:hAnsi="Arial" w:cs="Arial"/>
                <w:b/>
                <w:bCs/>
                <w:color w:val="000000"/>
                <w:sz w:val="16"/>
                <w:szCs w:val="16"/>
                <w:lang w:val="en-US" w:eastAsia="zh-CN"/>
              </w:rPr>
              <w:t xml:space="preserve">            -2,011 </w:t>
            </w:r>
          </w:p>
        </w:tc>
      </w:tr>
      <w:tr w:rsidR="00205267" w:rsidRPr="00205267" w:rsidTr="002502E2">
        <w:trPr>
          <w:trHeight w:val="300"/>
        </w:trPr>
        <w:tc>
          <w:tcPr>
            <w:tcW w:w="3119" w:type="dxa"/>
            <w:tcBorders>
              <w:top w:val="nil"/>
              <w:left w:val="single" w:sz="4" w:space="0" w:color="auto"/>
              <w:bottom w:val="nil"/>
              <w:right w:val="nil"/>
            </w:tcBorders>
            <w:shd w:val="clear" w:color="auto" w:fill="auto"/>
            <w:vAlign w:val="bottom"/>
            <w:hideMark/>
          </w:tcPr>
          <w:p w:rsidR="00205267" w:rsidRPr="00205267" w:rsidRDefault="00205267" w:rsidP="0020526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205267">
              <w:rPr>
                <w:rFonts w:ascii="Arial" w:hAnsi="Arial" w:cs="Arial"/>
                <w:color w:val="000000"/>
                <w:sz w:val="16"/>
                <w:szCs w:val="16"/>
                <w:lang w:val="en-US" w:eastAsia="zh-CN"/>
              </w:rPr>
              <w:t> </w:t>
            </w:r>
          </w:p>
        </w:tc>
        <w:tc>
          <w:tcPr>
            <w:tcW w:w="1134" w:type="dxa"/>
            <w:tcBorders>
              <w:top w:val="nil"/>
              <w:left w:val="single" w:sz="4" w:space="0" w:color="auto"/>
              <w:bottom w:val="nil"/>
              <w:right w:val="single" w:sz="4" w:space="0" w:color="auto"/>
            </w:tcBorders>
            <w:shd w:val="clear" w:color="auto" w:fill="auto"/>
            <w:noWrap/>
            <w:vAlign w:val="bottom"/>
            <w:hideMark/>
          </w:tcPr>
          <w:p w:rsidR="00205267" w:rsidRPr="00205267" w:rsidRDefault="00205267" w:rsidP="0020526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205267">
              <w:rPr>
                <w:rFonts w:ascii="Arial" w:hAnsi="Arial" w:cs="Arial"/>
                <w:color w:val="000000"/>
                <w:sz w:val="16"/>
                <w:szCs w:val="16"/>
                <w:lang w:val="en-US" w:eastAsia="zh-CN"/>
              </w:rPr>
              <w:t> </w:t>
            </w:r>
          </w:p>
        </w:tc>
        <w:tc>
          <w:tcPr>
            <w:tcW w:w="1134" w:type="dxa"/>
            <w:tcBorders>
              <w:top w:val="nil"/>
              <w:left w:val="nil"/>
              <w:bottom w:val="nil"/>
              <w:right w:val="single" w:sz="4" w:space="0" w:color="auto"/>
            </w:tcBorders>
            <w:shd w:val="clear" w:color="auto" w:fill="auto"/>
            <w:noWrap/>
            <w:vAlign w:val="bottom"/>
            <w:hideMark/>
          </w:tcPr>
          <w:p w:rsidR="00205267" w:rsidRPr="00205267" w:rsidRDefault="00205267" w:rsidP="0020526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205267">
              <w:rPr>
                <w:rFonts w:ascii="Arial" w:hAnsi="Arial" w:cs="Arial"/>
                <w:color w:val="000000"/>
                <w:sz w:val="16"/>
                <w:szCs w:val="16"/>
                <w:lang w:val="en-US" w:eastAsia="zh-CN"/>
              </w:rPr>
              <w:t> </w:t>
            </w:r>
          </w:p>
        </w:tc>
        <w:tc>
          <w:tcPr>
            <w:tcW w:w="1134" w:type="dxa"/>
            <w:tcBorders>
              <w:top w:val="nil"/>
              <w:left w:val="nil"/>
              <w:bottom w:val="nil"/>
              <w:right w:val="single" w:sz="4" w:space="0" w:color="auto"/>
            </w:tcBorders>
            <w:shd w:val="clear" w:color="auto" w:fill="auto"/>
            <w:noWrap/>
            <w:vAlign w:val="bottom"/>
            <w:hideMark/>
          </w:tcPr>
          <w:p w:rsidR="00205267" w:rsidRPr="00205267" w:rsidRDefault="00205267" w:rsidP="0020526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205267">
              <w:rPr>
                <w:rFonts w:ascii="Arial" w:hAnsi="Arial" w:cs="Arial"/>
                <w:color w:val="000000"/>
                <w:sz w:val="16"/>
                <w:szCs w:val="16"/>
                <w:lang w:val="en-US" w:eastAsia="zh-CN"/>
              </w:rPr>
              <w:t> </w:t>
            </w:r>
          </w:p>
        </w:tc>
        <w:tc>
          <w:tcPr>
            <w:tcW w:w="1134" w:type="dxa"/>
            <w:tcBorders>
              <w:top w:val="nil"/>
              <w:left w:val="nil"/>
              <w:bottom w:val="nil"/>
              <w:right w:val="single" w:sz="4" w:space="0" w:color="auto"/>
            </w:tcBorders>
            <w:shd w:val="clear" w:color="auto" w:fill="auto"/>
            <w:noWrap/>
            <w:vAlign w:val="bottom"/>
            <w:hideMark/>
          </w:tcPr>
          <w:p w:rsidR="00205267" w:rsidRPr="00205267" w:rsidRDefault="00205267" w:rsidP="0020526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205267">
              <w:rPr>
                <w:rFonts w:ascii="Arial" w:hAnsi="Arial" w:cs="Arial"/>
                <w:color w:val="000000"/>
                <w:sz w:val="16"/>
                <w:szCs w:val="16"/>
                <w:lang w:val="en-US" w:eastAsia="zh-CN"/>
              </w:rPr>
              <w:t> </w:t>
            </w:r>
          </w:p>
        </w:tc>
        <w:tc>
          <w:tcPr>
            <w:tcW w:w="1134" w:type="dxa"/>
            <w:tcBorders>
              <w:top w:val="nil"/>
              <w:left w:val="nil"/>
              <w:bottom w:val="nil"/>
              <w:right w:val="single" w:sz="4" w:space="0" w:color="auto"/>
            </w:tcBorders>
            <w:shd w:val="clear" w:color="auto" w:fill="auto"/>
            <w:noWrap/>
            <w:vAlign w:val="bottom"/>
            <w:hideMark/>
          </w:tcPr>
          <w:p w:rsidR="00205267" w:rsidRPr="00205267" w:rsidRDefault="00205267" w:rsidP="0020526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205267">
              <w:rPr>
                <w:rFonts w:ascii="Arial" w:hAnsi="Arial" w:cs="Arial"/>
                <w:color w:val="000000"/>
                <w:sz w:val="16"/>
                <w:szCs w:val="16"/>
                <w:lang w:val="en-US" w:eastAsia="zh-CN"/>
              </w:rPr>
              <w:t> </w:t>
            </w:r>
          </w:p>
        </w:tc>
        <w:tc>
          <w:tcPr>
            <w:tcW w:w="1276" w:type="dxa"/>
            <w:tcBorders>
              <w:top w:val="nil"/>
              <w:left w:val="nil"/>
              <w:bottom w:val="nil"/>
              <w:right w:val="single" w:sz="4" w:space="0" w:color="auto"/>
            </w:tcBorders>
            <w:shd w:val="clear" w:color="auto" w:fill="auto"/>
            <w:noWrap/>
            <w:vAlign w:val="bottom"/>
            <w:hideMark/>
          </w:tcPr>
          <w:p w:rsidR="00205267" w:rsidRPr="00205267" w:rsidRDefault="00205267" w:rsidP="0020526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205267">
              <w:rPr>
                <w:rFonts w:ascii="Arial" w:hAnsi="Arial" w:cs="Arial"/>
                <w:color w:val="000000"/>
                <w:sz w:val="16"/>
                <w:szCs w:val="16"/>
                <w:lang w:val="en-US" w:eastAsia="zh-CN"/>
              </w:rPr>
              <w:t> </w:t>
            </w:r>
          </w:p>
        </w:tc>
      </w:tr>
      <w:tr w:rsidR="00205267" w:rsidRPr="00205267" w:rsidTr="002502E2">
        <w:trPr>
          <w:trHeight w:val="300"/>
        </w:trPr>
        <w:tc>
          <w:tcPr>
            <w:tcW w:w="3119" w:type="dxa"/>
            <w:tcBorders>
              <w:top w:val="nil"/>
              <w:left w:val="single" w:sz="4" w:space="0" w:color="auto"/>
              <w:bottom w:val="nil"/>
              <w:right w:val="nil"/>
            </w:tcBorders>
            <w:shd w:val="clear" w:color="auto" w:fill="auto"/>
            <w:vAlign w:val="bottom"/>
            <w:hideMark/>
          </w:tcPr>
          <w:p w:rsidR="00205267" w:rsidRPr="00205267" w:rsidRDefault="00205267" w:rsidP="0020526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Support cost</w:t>
            </w:r>
          </w:p>
        </w:tc>
        <w:tc>
          <w:tcPr>
            <w:tcW w:w="1134" w:type="dxa"/>
            <w:tcBorders>
              <w:top w:val="nil"/>
              <w:left w:val="single" w:sz="4" w:space="0" w:color="auto"/>
              <w:bottom w:val="nil"/>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 xml:space="preserve">          1,375 </w:t>
            </w:r>
          </w:p>
        </w:tc>
        <w:tc>
          <w:tcPr>
            <w:tcW w:w="1134" w:type="dxa"/>
            <w:tcBorders>
              <w:top w:val="nil"/>
              <w:left w:val="nil"/>
              <w:bottom w:val="nil"/>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 </w:t>
            </w:r>
          </w:p>
        </w:tc>
        <w:tc>
          <w:tcPr>
            <w:tcW w:w="1134" w:type="dxa"/>
            <w:tcBorders>
              <w:top w:val="nil"/>
              <w:left w:val="nil"/>
              <w:bottom w:val="nil"/>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 </w:t>
            </w:r>
          </w:p>
        </w:tc>
        <w:tc>
          <w:tcPr>
            <w:tcW w:w="1134" w:type="dxa"/>
            <w:tcBorders>
              <w:top w:val="nil"/>
              <w:left w:val="nil"/>
              <w:bottom w:val="nil"/>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 xml:space="preserve">           1,375 </w:t>
            </w:r>
          </w:p>
        </w:tc>
        <w:tc>
          <w:tcPr>
            <w:tcW w:w="1134" w:type="dxa"/>
            <w:tcBorders>
              <w:top w:val="nil"/>
              <w:left w:val="nil"/>
              <w:bottom w:val="nil"/>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 xml:space="preserve">                        571 </w:t>
            </w:r>
          </w:p>
        </w:tc>
        <w:tc>
          <w:tcPr>
            <w:tcW w:w="1276" w:type="dxa"/>
            <w:tcBorders>
              <w:top w:val="nil"/>
              <w:left w:val="nil"/>
              <w:bottom w:val="nil"/>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 xml:space="preserve">                                           -804 </w:t>
            </w:r>
          </w:p>
        </w:tc>
      </w:tr>
      <w:tr w:rsidR="00205267" w:rsidRPr="00205267" w:rsidTr="002502E2">
        <w:trPr>
          <w:trHeight w:val="300"/>
        </w:trPr>
        <w:tc>
          <w:tcPr>
            <w:tcW w:w="3119" w:type="dxa"/>
            <w:tcBorders>
              <w:top w:val="nil"/>
              <w:left w:val="single" w:sz="4" w:space="0" w:color="auto"/>
              <w:bottom w:val="nil"/>
              <w:right w:val="nil"/>
            </w:tcBorders>
            <w:shd w:val="clear" w:color="auto" w:fill="auto"/>
            <w:vAlign w:val="bottom"/>
            <w:hideMark/>
          </w:tcPr>
          <w:p w:rsidR="00205267" w:rsidRPr="00205267" w:rsidRDefault="00205267" w:rsidP="0020526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Sales of Publications</w:t>
            </w:r>
          </w:p>
        </w:tc>
        <w:tc>
          <w:tcPr>
            <w:tcW w:w="1134" w:type="dxa"/>
            <w:tcBorders>
              <w:top w:val="nil"/>
              <w:left w:val="single" w:sz="4" w:space="0" w:color="auto"/>
              <w:bottom w:val="nil"/>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 xml:space="preserve">       18,500 </w:t>
            </w:r>
          </w:p>
        </w:tc>
        <w:tc>
          <w:tcPr>
            <w:tcW w:w="1134" w:type="dxa"/>
            <w:tcBorders>
              <w:top w:val="nil"/>
              <w:left w:val="nil"/>
              <w:bottom w:val="nil"/>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 </w:t>
            </w:r>
          </w:p>
        </w:tc>
        <w:tc>
          <w:tcPr>
            <w:tcW w:w="1134" w:type="dxa"/>
            <w:tcBorders>
              <w:top w:val="nil"/>
              <w:left w:val="nil"/>
              <w:bottom w:val="nil"/>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 </w:t>
            </w:r>
          </w:p>
        </w:tc>
        <w:tc>
          <w:tcPr>
            <w:tcW w:w="1134" w:type="dxa"/>
            <w:tcBorders>
              <w:top w:val="nil"/>
              <w:left w:val="nil"/>
              <w:bottom w:val="nil"/>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 xml:space="preserve">       18,500 </w:t>
            </w:r>
          </w:p>
        </w:tc>
        <w:tc>
          <w:tcPr>
            <w:tcW w:w="1134" w:type="dxa"/>
            <w:tcBorders>
              <w:top w:val="nil"/>
              <w:left w:val="nil"/>
              <w:bottom w:val="nil"/>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 xml:space="preserve">        19,592 </w:t>
            </w:r>
          </w:p>
        </w:tc>
        <w:tc>
          <w:tcPr>
            <w:tcW w:w="1276" w:type="dxa"/>
            <w:tcBorders>
              <w:top w:val="nil"/>
              <w:left w:val="nil"/>
              <w:bottom w:val="nil"/>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 xml:space="preserve">            1,092 </w:t>
            </w:r>
          </w:p>
        </w:tc>
      </w:tr>
      <w:tr w:rsidR="00205267" w:rsidRPr="00205267" w:rsidTr="002502E2">
        <w:trPr>
          <w:trHeight w:val="300"/>
        </w:trPr>
        <w:tc>
          <w:tcPr>
            <w:tcW w:w="3119" w:type="dxa"/>
            <w:tcBorders>
              <w:top w:val="nil"/>
              <w:left w:val="single" w:sz="4" w:space="0" w:color="auto"/>
              <w:bottom w:val="nil"/>
              <w:right w:val="nil"/>
            </w:tcBorders>
            <w:shd w:val="clear" w:color="auto" w:fill="auto"/>
            <w:vAlign w:val="bottom"/>
            <w:hideMark/>
          </w:tcPr>
          <w:p w:rsidR="00205267" w:rsidRPr="00205267" w:rsidRDefault="00205267" w:rsidP="0020526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UIFN</w:t>
            </w:r>
          </w:p>
        </w:tc>
        <w:tc>
          <w:tcPr>
            <w:tcW w:w="1134" w:type="dxa"/>
            <w:tcBorders>
              <w:top w:val="nil"/>
              <w:left w:val="single" w:sz="4" w:space="0" w:color="auto"/>
              <w:bottom w:val="nil"/>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 xml:space="preserve">            250 </w:t>
            </w:r>
          </w:p>
        </w:tc>
        <w:tc>
          <w:tcPr>
            <w:tcW w:w="1134" w:type="dxa"/>
            <w:tcBorders>
              <w:top w:val="nil"/>
              <w:left w:val="nil"/>
              <w:bottom w:val="nil"/>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 </w:t>
            </w:r>
          </w:p>
        </w:tc>
        <w:tc>
          <w:tcPr>
            <w:tcW w:w="1134" w:type="dxa"/>
            <w:tcBorders>
              <w:top w:val="nil"/>
              <w:left w:val="nil"/>
              <w:bottom w:val="nil"/>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 </w:t>
            </w:r>
          </w:p>
        </w:tc>
        <w:tc>
          <w:tcPr>
            <w:tcW w:w="1134" w:type="dxa"/>
            <w:tcBorders>
              <w:top w:val="nil"/>
              <w:left w:val="nil"/>
              <w:bottom w:val="nil"/>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 xml:space="preserve">             250 </w:t>
            </w:r>
          </w:p>
        </w:tc>
        <w:tc>
          <w:tcPr>
            <w:tcW w:w="1134" w:type="dxa"/>
            <w:tcBorders>
              <w:top w:val="nil"/>
              <w:left w:val="nil"/>
              <w:bottom w:val="nil"/>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 xml:space="preserve">             139 </w:t>
            </w:r>
          </w:p>
        </w:tc>
        <w:tc>
          <w:tcPr>
            <w:tcW w:w="1276" w:type="dxa"/>
            <w:tcBorders>
              <w:top w:val="nil"/>
              <w:left w:val="nil"/>
              <w:bottom w:val="nil"/>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 xml:space="preserve">              -111 </w:t>
            </w:r>
          </w:p>
        </w:tc>
      </w:tr>
      <w:tr w:rsidR="00205267" w:rsidRPr="00205267" w:rsidTr="002502E2">
        <w:trPr>
          <w:trHeight w:val="300"/>
        </w:trPr>
        <w:tc>
          <w:tcPr>
            <w:tcW w:w="3119" w:type="dxa"/>
            <w:tcBorders>
              <w:top w:val="nil"/>
              <w:left w:val="single" w:sz="4" w:space="0" w:color="auto"/>
              <w:bottom w:val="nil"/>
              <w:right w:val="nil"/>
            </w:tcBorders>
            <w:shd w:val="clear" w:color="auto" w:fill="auto"/>
            <w:vAlign w:val="bottom"/>
            <w:hideMark/>
          </w:tcPr>
          <w:p w:rsidR="00205267" w:rsidRPr="00205267" w:rsidRDefault="00205267" w:rsidP="0020526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TELECOM</w:t>
            </w:r>
          </w:p>
        </w:tc>
        <w:tc>
          <w:tcPr>
            <w:tcW w:w="1134" w:type="dxa"/>
            <w:tcBorders>
              <w:top w:val="nil"/>
              <w:left w:val="single" w:sz="4" w:space="0" w:color="auto"/>
              <w:bottom w:val="nil"/>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 xml:space="preserve">          1,500 </w:t>
            </w:r>
          </w:p>
        </w:tc>
        <w:tc>
          <w:tcPr>
            <w:tcW w:w="1134" w:type="dxa"/>
            <w:tcBorders>
              <w:top w:val="nil"/>
              <w:left w:val="nil"/>
              <w:bottom w:val="nil"/>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 </w:t>
            </w:r>
          </w:p>
        </w:tc>
        <w:tc>
          <w:tcPr>
            <w:tcW w:w="1134" w:type="dxa"/>
            <w:tcBorders>
              <w:top w:val="nil"/>
              <w:left w:val="nil"/>
              <w:bottom w:val="nil"/>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 </w:t>
            </w:r>
          </w:p>
        </w:tc>
        <w:tc>
          <w:tcPr>
            <w:tcW w:w="1134" w:type="dxa"/>
            <w:tcBorders>
              <w:top w:val="nil"/>
              <w:left w:val="nil"/>
              <w:bottom w:val="nil"/>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 xml:space="preserve">          1,500 </w:t>
            </w:r>
          </w:p>
        </w:tc>
        <w:tc>
          <w:tcPr>
            <w:tcW w:w="1134" w:type="dxa"/>
            <w:tcBorders>
              <w:top w:val="nil"/>
              <w:left w:val="nil"/>
              <w:bottom w:val="nil"/>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 xml:space="preserve">          1,500 </w:t>
            </w:r>
          </w:p>
        </w:tc>
        <w:tc>
          <w:tcPr>
            <w:tcW w:w="1276" w:type="dxa"/>
            <w:tcBorders>
              <w:top w:val="nil"/>
              <w:left w:val="nil"/>
              <w:bottom w:val="nil"/>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 xml:space="preserve">               -   </w:t>
            </w:r>
          </w:p>
        </w:tc>
      </w:tr>
      <w:tr w:rsidR="00205267" w:rsidRPr="00205267" w:rsidTr="002502E2">
        <w:trPr>
          <w:trHeight w:val="300"/>
        </w:trPr>
        <w:tc>
          <w:tcPr>
            <w:tcW w:w="3119" w:type="dxa"/>
            <w:tcBorders>
              <w:top w:val="nil"/>
              <w:left w:val="single" w:sz="4" w:space="0" w:color="auto"/>
              <w:bottom w:val="nil"/>
              <w:right w:val="nil"/>
            </w:tcBorders>
            <w:shd w:val="clear" w:color="auto" w:fill="auto"/>
            <w:vAlign w:val="bottom"/>
            <w:hideMark/>
          </w:tcPr>
          <w:p w:rsidR="00205267" w:rsidRPr="00205267" w:rsidRDefault="00205267" w:rsidP="0020526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SNF Cost recovery</w:t>
            </w:r>
          </w:p>
        </w:tc>
        <w:tc>
          <w:tcPr>
            <w:tcW w:w="1134" w:type="dxa"/>
            <w:tcBorders>
              <w:top w:val="nil"/>
              <w:left w:val="single" w:sz="4" w:space="0" w:color="auto"/>
              <w:bottom w:val="nil"/>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 xml:space="preserve">       13,000 </w:t>
            </w:r>
          </w:p>
        </w:tc>
        <w:tc>
          <w:tcPr>
            <w:tcW w:w="1134" w:type="dxa"/>
            <w:tcBorders>
              <w:top w:val="nil"/>
              <w:left w:val="nil"/>
              <w:bottom w:val="nil"/>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 </w:t>
            </w:r>
          </w:p>
        </w:tc>
        <w:tc>
          <w:tcPr>
            <w:tcW w:w="1134" w:type="dxa"/>
            <w:tcBorders>
              <w:top w:val="nil"/>
              <w:left w:val="nil"/>
              <w:bottom w:val="nil"/>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 </w:t>
            </w:r>
          </w:p>
        </w:tc>
        <w:tc>
          <w:tcPr>
            <w:tcW w:w="1134" w:type="dxa"/>
            <w:tcBorders>
              <w:top w:val="nil"/>
              <w:left w:val="nil"/>
              <w:bottom w:val="nil"/>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 xml:space="preserve">       13,000 </w:t>
            </w:r>
          </w:p>
        </w:tc>
        <w:tc>
          <w:tcPr>
            <w:tcW w:w="1134" w:type="dxa"/>
            <w:tcBorders>
              <w:top w:val="nil"/>
              <w:left w:val="nil"/>
              <w:bottom w:val="nil"/>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 xml:space="preserve">        15,342 </w:t>
            </w:r>
          </w:p>
        </w:tc>
        <w:tc>
          <w:tcPr>
            <w:tcW w:w="1276" w:type="dxa"/>
            <w:tcBorders>
              <w:top w:val="nil"/>
              <w:left w:val="nil"/>
              <w:bottom w:val="nil"/>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 xml:space="preserve">             2,342 </w:t>
            </w:r>
          </w:p>
        </w:tc>
      </w:tr>
      <w:tr w:rsidR="00205267" w:rsidRPr="00205267" w:rsidTr="002502E2">
        <w:trPr>
          <w:trHeight w:val="300"/>
        </w:trPr>
        <w:tc>
          <w:tcPr>
            <w:tcW w:w="3119" w:type="dxa"/>
            <w:tcBorders>
              <w:top w:val="nil"/>
              <w:left w:val="single" w:sz="4" w:space="0" w:color="auto"/>
              <w:bottom w:val="nil"/>
              <w:right w:val="nil"/>
            </w:tcBorders>
            <w:shd w:val="clear" w:color="auto" w:fill="auto"/>
            <w:vAlign w:val="bottom"/>
            <w:hideMark/>
          </w:tcPr>
          <w:p w:rsidR="00205267" w:rsidRPr="00205267" w:rsidRDefault="00205267" w:rsidP="0020526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Cost recovery other</w:t>
            </w:r>
          </w:p>
        </w:tc>
        <w:tc>
          <w:tcPr>
            <w:tcW w:w="1134" w:type="dxa"/>
            <w:tcBorders>
              <w:top w:val="nil"/>
              <w:left w:val="single" w:sz="4" w:space="0" w:color="auto"/>
              <w:bottom w:val="nil"/>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 </w:t>
            </w:r>
          </w:p>
        </w:tc>
        <w:tc>
          <w:tcPr>
            <w:tcW w:w="1134" w:type="dxa"/>
            <w:tcBorders>
              <w:top w:val="nil"/>
              <w:left w:val="nil"/>
              <w:bottom w:val="nil"/>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 </w:t>
            </w:r>
          </w:p>
        </w:tc>
        <w:tc>
          <w:tcPr>
            <w:tcW w:w="1134" w:type="dxa"/>
            <w:tcBorders>
              <w:top w:val="nil"/>
              <w:left w:val="nil"/>
              <w:bottom w:val="nil"/>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 </w:t>
            </w:r>
          </w:p>
        </w:tc>
        <w:tc>
          <w:tcPr>
            <w:tcW w:w="1134" w:type="dxa"/>
            <w:tcBorders>
              <w:top w:val="nil"/>
              <w:left w:val="nil"/>
              <w:bottom w:val="nil"/>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 xml:space="preserve">                  -   </w:t>
            </w:r>
          </w:p>
        </w:tc>
        <w:tc>
          <w:tcPr>
            <w:tcW w:w="1134" w:type="dxa"/>
            <w:tcBorders>
              <w:top w:val="nil"/>
              <w:left w:val="nil"/>
              <w:bottom w:val="nil"/>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 xml:space="preserve">30 </w:t>
            </w:r>
          </w:p>
        </w:tc>
        <w:tc>
          <w:tcPr>
            <w:tcW w:w="1276" w:type="dxa"/>
            <w:tcBorders>
              <w:top w:val="nil"/>
              <w:left w:val="nil"/>
              <w:bottom w:val="nil"/>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 xml:space="preserve">          30 </w:t>
            </w:r>
          </w:p>
        </w:tc>
      </w:tr>
      <w:tr w:rsidR="00205267" w:rsidRPr="00205267" w:rsidTr="002502E2">
        <w:trPr>
          <w:trHeight w:val="300"/>
        </w:trPr>
        <w:tc>
          <w:tcPr>
            <w:tcW w:w="3119" w:type="dxa"/>
            <w:tcBorders>
              <w:top w:val="single" w:sz="4" w:space="0" w:color="auto"/>
              <w:left w:val="single" w:sz="4" w:space="0" w:color="auto"/>
              <w:bottom w:val="single" w:sz="4" w:space="0" w:color="auto"/>
              <w:right w:val="nil"/>
            </w:tcBorders>
            <w:shd w:val="clear" w:color="auto" w:fill="auto"/>
            <w:vAlign w:val="bottom"/>
            <w:hideMark/>
          </w:tcPr>
          <w:p w:rsidR="00205267" w:rsidRPr="00205267" w:rsidRDefault="00205267" w:rsidP="0020526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6"/>
                <w:szCs w:val="16"/>
                <w:lang w:val="en-US" w:eastAsia="zh-CN"/>
              </w:rPr>
            </w:pPr>
            <w:r w:rsidRPr="00205267">
              <w:rPr>
                <w:rFonts w:ascii="Arial" w:hAnsi="Arial" w:cs="Arial"/>
                <w:b/>
                <w:bCs/>
                <w:color w:val="000000"/>
                <w:sz w:val="16"/>
                <w:szCs w:val="16"/>
                <w:lang w:val="en-US" w:eastAsia="zh-CN"/>
              </w:rPr>
              <w:t>Cost recovery</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6"/>
                <w:szCs w:val="16"/>
                <w:lang w:val="en-US" w:eastAsia="zh-CN"/>
              </w:rPr>
            </w:pPr>
            <w:r w:rsidRPr="00205267">
              <w:rPr>
                <w:rFonts w:ascii="Arial" w:hAnsi="Arial" w:cs="Arial"/>
                <w:b/>
                <w:bCs/>
                <w:color w:val="000000"/>
                <w:sz w:val="16"/>
                <w:szCs w:val="16"/>
                <w:lang w:val="en-US" w:eastAsia="zh-CN"/>
              </w:rPr>
              <w:t xml:space="preserve">     34,625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6"/>
                <w:szCs w:val="16"/>
                <w:lang w:val="en-US" w:eastAsia="zh-CN"/>
              </w:rPr>
            </w:pPr>
            <w:r w:rsidRPr="00205267">
              <w:rPr>
                <w:rFonts w:ascii="Arial" w:hAnsi="Arial" w:cs="Arial"/>
                <w:b/>
                <w:bCs/>
                <w:color w:val="000000"/>
                <w:sz w:val="16"/>
                <w:szCs w:val="16"/>
                <w:lang w:val="en-US" w:eastAsia="zh-CN"/>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6"/>
                <w:szCs w:val="16"/>
                <w:lang w:val="en-US" w:eastAsia="zh-CN"/>
              </w:rPr>
            </w:pPr>
            <w:r w:rsidRPr="00205267">
              <w:rPr>
                <w:rFonts w:ascii="Arial" w:hAnsi="Arial" w:cs="Arial"/>
                <w:b/>
                <w:bCs/>
                <w:color w:val="000000"/>
                <w:sz w:val="16"/>
                <w:szCs w:val="16"/>
                <w:lang w:val="en-US" w:eastAsia="zh-CN"/>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6"/>
                <w:szCs w:val="16"/>
                <w:lang w:val="en-US" w:eastAsia="zh-CN"/>
              </w:rPr>
            </w:pPr>
            <w:r w:rsidRPr="00205267">
              <w:rPr>
                <w:rFonts w:ascii="Arial" w:hAnsi="Arial" w:cs="Arial"/>
                <w:b/>
                <w:bCs/>
                <w:color w:val="000000"/>
                <w:sz w:val="16"/>
                <w:szCs w:val="16"/>
                <w:lang w:val="en-US" w:eastAsia="zh-CN"/>
              </w:rPr>
              <w:t xml:space="preserve">   34,625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6"/>
                <w:szCs w:val="16"/>
                <w:lang w:val="en-US" w:eastAsia="zh-CN"/>
              </w:rPr>
            </w:pPr>
            <w:r w:rsidRPr="00205267">
              <w:rPr>
                <w:rFonts w:ascii="Arial" w:hAnsi="Arial" w:cs="Arial"/>
                <w:b/>
                <w:bCs/>
                <w:color w:val="000000"/>
                <w:sz w:val="16"/>
                <w:szCs w:val="16"/>
                <w:lang w:val="en-US" w:eastAsia="zh-CN"/>
              </w:rPr>
              <w:t xml:space="preserve">37,174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6"/>
                <w:szCs w:val="16"/>
                <w:lang w:val="en-US" w:eastAsia="zh-CN"/>
              </w:rPr>
            </w:pPr>
            <w:r w:rsidRPr="00205267">
              <w:rPr>
                <w:rFonts w:ascii="Arial" w:hAnsi="Arial" w:cs="Arial"/>
                <w:b/>
                <w:bCs/>
                <w:color w:val="000000"/>
                <w:sz w:val="16"/>
                <w:szCs w:val="16"/>
                <w:lang w:val="en-US" w:eastAsia="zh-CN"/>
              </w:rPr>
              <w:t xml:space="preserve">             2,549 </w:t>
            </w:r>
          </w:p>
        </w:tc>
      </w:tr>
      <w:tr w:rsidR="00205267" w:rsidRPr="00205267" w:rsidTr="002502E2">
        <w:trPr>
          <w:trHeight w:val="135"/>
        </w:trPr>
        <w:tc>
          <w:tcPr>
            <w:tcW w:w="3119" w:type="dxa"/>
            <w:tcBorders>
              <w:top w:val="nil"/>
              <w:left w:val="single" w:sz="4" w:space="0" w:color="auto"/>
              <w:bottom w:val="nil"/>
              <w:right w:val="nil"/>
            </w:tcBorders>
            <w:shd w:val="clear" w:color="auto" w:fill="auto"/>
            <w:vAlign w:val="bottom"/>
            <w:hideMark/>
          </w:tcPr>
          <w:p w:rsidR="00205267" w:rsidRPr="00205267" w:rsidRDefault="00205267" w:rsidP="0020526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205267">
              <w:rPr>
                <w:rFonts w:ascii="Arial" w:hAnsi="Arial" w:cs="Arial"/>
                <w:color w:val="000000"/>
                <w:sz w:val="16"/>
                <w:szCs w:val="16"/>
                <w:lang w:val="en-US" w:eastAsia="zh-CN"/>
              </w:rPr>
              <w:t> </w:t>
            </w:r>
          </w:p>
        </w:tc>
        <w:tc>
          <w:tcPr>
            <w:tcW w:w="1134" w:type="dxa"/>
            <w:tcBorders>
              <w:top w:val="nil"/>
              <w:left w:val="single" w:sz="4" w:space="0" w:color="auto"/>
              <w:bottom w:val="nil"/>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6"/>
                <w:szCs w:val="16"/>
                <w:lang w:val="en-US" w:eastAsia="zh-CN"/>
              </w:rPr>
            </w:pPr>
            <w:r w:rsidRPr="00205267">
              <w:rPr>
                <w:rFonts w:ascii="Arial" w:hAnsi="Arial" w:cs="Arial"/>
                <w:color w:val="000000"/>
                <w:sz w:val="16"/>
                <w:szCs w:val="16"/>
                <w:lang w:val="en-US" w:eastAsia="zh-CN"/>
              </w:rPr>
              <w:t> </w:t>
            </w:r>
          </w:p>
        </w:tc>
        <w:tc>
          <w:tcPr>
            <w:tcW w:w="1134" w:type="dxa"/>
            <w:tcBorders>
              <w:top w:val="nil"/>
              <w:left w:val="nil"/>
              <w:bottom w:val="nil"/>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6"/>
                <w:szCs w:val="16"/>
                <w:lang w:val="en-US" w:eastAsia="zh-CN"/>
              </w:rPr>
            </w:pPr>
            <w:r w:rsidRPr="00205267">
              <w:rPr>
                <w:rFonts w:ascii="Arial" w:hAnsi="Arial" w:cs="Arial"/>
                <w:color w:val="000000"/>
                <w:sz w:val="16"/>
                <w:szCs w:val="16"/>
                <w:lang w:val="en-US" w:eastAsia="zh-CN"/>
              </w:rPr>
              <w:t> </w:t>
            </w:r>
          </w:p>
        </w:tc>
        <w:tc>
          <w:tcPr>
            <w:tcW w:w="1134" w:type="dxa"/>
            <w:tcBorders>
              <w:top w:val="nil"/>
              <w:left w:val="nil"/>
              <w:bottom w:val="nil"/>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6"/>
                <w:szCs w:val="16"/>
                <w:lang w:val="en-US" w:eastAsia="zh-CN"/>
              </w:rPr>
            </w:pPr>
            <w:r w:rsidRPr="00205267">
              <w:rPr>
                <w:rFonts w:ascii="Arial" w:hAnsi="Arial" w:cs="Arial"/>
                <w:color w:val="000000"/>
                <w:sz w:val="16"/>
                <w:szCs w:val="16"/>
                <w:lang w:val="en-US" w:eastAsia="zh-CN"/>
              </w:rPr>
              <w:t> </w:t>
            </w:r>
          </w:p>
        </w:tc>
        <w:tc>
          <w:tcPr>
            <w:tcW w:w="1134" w:type="dxa"/>
            <w:tcBorders>
              <w:top w:val="nil"/>
              <w:left w:val="nil"/>
              <w:bottom w:val="nil"/>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6"/>
                <w:szCs w:val="16"/>
                <w:lang w:val="en-US" w:eastAsia="zh-CN"/>
              </w:rPr>
            </w:pPr>
            <w:r w:rsidRPr="00205267">
              <w:rPr>
                <w:rFonts w:ascii="Arial" w:hAnsi="Arial" w:cs="Arial"/>
                <w:color w:val="000000"/>
                <w:sz w:val="16"/>
                <w:szCs w:val="16"/>
                <w:lang w:val="en-US" w:eastAsia="zh-CN"/>
              </w:rPr>
              <w:t> </w:t>
            </w:r>
          </w:p>
        </w:tc>
        <w:tc>
          <w:tcPr>
            <w:tcW w:w="1134" w:type="dxa"/>
            <w:tcBorders>
              <w:top w:val="nil"/>
              <w:left w:val="nil"/>
              <w:bottom w:val="nil"/>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6"/>
                <w:szCs w:val="16"/>
                <w:lang w:val="en-US" w:eastAsia="zh-CN"/>
              </w:rPr>
            </w:pPr>
            <w:r w:rsidRPr="00205267">
              <w:rPr>
                <w:rFonts w:ascii="Arial" w:hAnsi="Arial" w:cs="Arial"/>
                <w:color w:val="000000"/>
                <w:sz w:val="16"/>
                <w:szCs w:val="16"/>
                <w:lang w:val="en-US" w:eastAsia="zh-CN"/>
              </w:rPr>
              <w:t> </w:t>
            </w:r>
          </w:p>
        </w:tc>
        <w:tc>
          <w:tcPr>
            <w:tcW w:w="1276" w:type="dxa"/>
            <w:tcBorders>
              <w:top w:val="nil"/>
              <w:left w:val="nil"/>
              <w:bottom w:val="nil"/>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16"/>
                <w:szCs w:val="16"/>
                <w:lang w:val="en-US" w:eastAsia="zh-CN"/>
              </w:rPr>
            </w:pPr>
            <w:r w:rsidRPr="00205267">
              <w:rPr>
                <w:rFonts w:ascii="Arial" w:hAnsi="Arial" w:cs="Arial"/>
                <w:color w:val="000000"/>
                <w:sz w:val="16"/>
                <w:szCs w:val="16"/>
                <w:lang w:val="en-US" w:eastAsia="zh-CN"/>
              </w:rPr>
              <w:t> </w:t>
            </w:r>
          </w:p>
        </w:tc>
      </w:tr>
      <w:tr w:rsidR="00205267" w:rsidRPr="00205267" w:rsidTr="002502E2">
        <w:trPr>
          <w:trHeight w:val="300"/>
        </w:trPr>
        <w:tc>
          <w:tcPr>
            <w:tcW w:w="3119" w:type="dxa"/>
            <w:tcBorders>
              <w:top w:val="nil"/>
              <w:left w:val="single" w:sz="4" w:space="0" w:color="auto"/>
              <w:bottom w:val="nil"/>
              <w:right w:val="nil"/>
            </w:tcBorders>
            <w:shd w:val="clear" w:color="auto" w:fill="auto"/>
            <w:vAlign w:val="bottom"/>
            <w:hideMark/>
          </w:tcPr>
          <w:p w:rsidR="00205267" w:rsidRPr="00205267" w:rsidRDefault="00205267" w:rsidP="0020526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6"/>
                <w:szCs w:val="16"/>
                <w:lang w:val="en-US" w:eastAsia="zh-CN"/>
              </w:rPr>
            </w:pPr>
            <w:r w:rsidRPr="00205267">
              <w:rPr>
                <w:rFonts w:ascii="Arial" w:hAnsi="Arial" w:cs="Arial"/>
                <w:b/>
                <w:bCs/>
                <w:color w:val="000000"/>
                <w:sz w:val="16"/>
                <w:szCs w:val="16"/>
                <w:lang w:val="en-US" w:eastAsia="zh-CN"/>
              </w:rPr>
              <w:t>Interests</w:t>
            </w:r>
          </w:p>
        </w:tc>
        <w:tc>
          <w:tcPr>
            <w:tcW w:w="1134" w:type="dxa"/>
            <w:tcBorders>
              <w:top w:val="nil"/>
              <w:left w:val="single" w:sz="4" w:space="0" w:color="auto"/>
              <w:bottom w:val="nil"/>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6"/>
                <w:szCs w:val="16"/>
                <w:lang w:val="en-US" w:eastAsia="zh-CN"/>
              </w:rPr>
            </w:pPr>
            <w:r w:rsidRPr="00205267">
              <w:rPr>
                <w:rFonts w:ascii="Arial" w:hAnsi="Arial" w:cs="Arial"/>
                <w:b/>
                <w:bCs/>
                <w:color w:val="000000"/>
                <w:sz w:val="16"/>
                <w:szCs w:val="16"/>
                <w:lang w:val="en-US" w:eastAsia="zh-CN"/>
              </w:rPr>
              <w:t xml:space="preserve">            300 </w:t>
            </w:r>
          </w:p>
        </w:tc>
        <w:tc>
          <w:tcPr>
            <w:tcW w:w="1134" w:type="dxa"/>
            <w:tcBorders>
              <w:top w:val="nil"/>
              <w:left w:val="nil"/>
              <w:bottom w:val="nil"/>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6"/>
                <w:szCs w:val="16"/>
                <w:lang w:val="en-US" w:eastAsia="zh-CN"/>
              </w:rPr>
            </w:pPr>
            <w:r w:rsidRPr="00205267">
              <w:rPr>
                <w:rFonts w:ascii="Arial" w:hAnsi="Arial" w:cs="Arial"/>
                <w:b/>
                <w:bCs/>
                <w:color w:val="000000"/>
                <w:sz w:val="16"/>
                <w:szCs w:val="16"/>
                <w:lang w:val="en-US" w:eastAsia="zh-CN"/>
              </w:rPr>
              <w:t> </w:t>
            </w:r>
          </w:p>
        </w:tc>
        <w:tc>
          <w:tcPr>
            <w:tcW w:w="1134" w:type="dxa"/>
            <w:tcBorders>
              <w:top w:val="nil"/>
              <w:left w:val="nil"/>
              <w:bottom w:val="nil"/>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6"/>
                <w:szCs w:val="16"/>
                <w:lang w:val="en-US" w:eastAsia="zh-CN"/>
              </w:rPr>
            </w:pPr>
            <w:r w:rsidRPr="00205267">
              <w:rPr>
                <w:rFonts w:ascii="Arial" w:hAnsi="Arial" w:cs="Arial"/>
                <w:b/>
                <w:bCs/>
                <w:color w:val="000000"/>
                <w:sz w:val="16"/>
                <w:szCs w:val="16"/>
                <w:lang w:val="en-US" w:eastAsia="zh-CN"/>
              </w:rPr>
              <w:t> </w:t>
            </w:r>
          </w:p>
        </w:tc>
        <w:tc>
          <w:tcPr>
            <w:tcW w:w="1134" w:type="dxa"/>
            <w:tcBorders>
              <w:top w:val="nil"/>
              <w:left w:val="nil"/>
              <w:bottom w:val="nil"/>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6"/>
                <w:szCs w:val="16"/>
                <w:lang w:val="en-US" w:eastAsia="zh-CN"/>
              </w:rPr>
            </w:pPr>
            <w:r w:rsidRPr="00205267">
              <w:rPr>
                <w:rFonts w:ascii="Arial" w:hAnsi="Arial" w:cs="Arial"/>
                <w:b/>
                <w:bCs/>
                <w:color w:val="000000"/>
                <w:sz w:val="16"/>
                <w:szCs w:val="16"/>
                <w:lang w:val="en-US" w:eastAsia="zh-CN"/>
              </w:rPr>
              <w:t xml:space="preserve">            300 </w:t>
            </w:r>
          </w:p>
        </w:tc>
        <w:tc>
          <w:tcPr>
            <w:tcW w:w="1134" w:type="dxa"/>
            <w:tcBorders>
              <w:top w:val="nil"/>
              <w:left w:val="nil"/>
              <w:bottom w:val="nil"/>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6"/>
                <w:szCs w:val="16"/>
                <w:lang w:val="en-US" w:eastAsia="zh-CN"/>
              </w:rPr>
            </w:pPr>
            <w:r w:rsidRPr="00205267">
              <w:rPr>
                <w:rFonts w:ascii="Arial" w:hAnsi="Arial" w:cs="Arial"/>
                <w:b/>
                <w:bCs/>
                <w:color w:val="000000"/>
                <w:sz w:val="16"/>
                <w:szCs w:val="16"/>
                <w:lang w:val="en-US" w:eastAsia="zh-CN"/>
              </w:rPr>
              <w:t xml:space="preserve">  29 </w:t>
            </w:r>
          </w:p>
        </w:tc>
        <w:tc>
          <w:tcPr>
            <w:tcW w:w="1276" w:type="dxa"/>
            <w:tcBorders>
              <w:top w:val="nil"/>
              <w:left w:val="nil"/>
              <w:bottom w:val="nil"/>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6"/>
                <w:szCs w:val="16"/>
                <w:lang w:val="en-US" w:eastAsia="zh-CN"/>
              </w:rPr>
            </w:pPr>
            <w:r w:rsidRPr="00205267">
              <w:rPr>
                <w:rFonts w:ascii="Arial" w:hAnsi="Arial" w:cs="Arial"/>
                <w:b/>
                <w:bCs/>
                <w:color w:val="000000"/>
                <w:sz w:val="16"/>
                <w:szCs w:val="16"/>
                <w:lang w:val="en-US" w:eastAsia="zh-CN"/>
              </w:rPr>
              <w:t xml:space="preserve">              -271 </w:t>
            </w:r>
          </w:p>
        </w:tc>
      </w:tr>
      <w:tr w:rsidR="00205267" w:rsidRPr="00205267" w:rsidTr="002502E2">
        <w:trPr>
          <w:trHeight w:val="300"/>
        </w:trPr>
        <w:tc>
          <w:tcPr>
            <w:tcW w:w="3119" w:type="dxa"/>
            <w:tcBorders>
              <w:top w:val="nil"/>
              <w:left w:val="single" w:sz="4" w:space="0" w:color="auto"/>
              <w:bottom w:val="nil"/>
              <w:right w:val="nil"/>
            </w:tcBorders>
            <w:shd w:val="clear" w:color="auto" w:fill="auto"/>
            <w:vAlign w:val="bottom"/>
            <w:hideMark/>
          </w:tcPr>
          <w:p w:rsidR="00205267" w:rsidRPr="00205267" w:rsidRDefault="00205267" w:rsidP="0020526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6"/>
                <w:szCs w:val="16"/>
                <w:lang w:val="en-US" w:eastAsia="zh-CN"/>
              </w:rPr>
            </w:pPr>
            <w:r w:rsidRPr="00205267">
              <w:rPr>
                <w:rFonts w:ascii="Arial" w:hAnsi="Arial" w:cs="Arial"/>
                <w:b/>
                <w:bCs/>
                <w:color w:val="000000"/>
                <w:sz w:val="16"/>
                <w:szCs w:val="16"/>
                <w:lang w:val="en-US" w:eastAsia="zh-CN"/>
              </w:rPr>
              <w:t>Other revenue</w:t>
            </w:r>
          </w:p>
        </w:tc>
        <w:tc>
          <w:tcPr>
            <w:tcW w:w="1134" w:type="dxa"/>
            <w:tcBorders>
              <w:top w:val="nil"/>
              <w:left w:val="single" w:sz="4" w:space="0" w:color="auto"/>
              <w:bottom w:val="nil"/>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sz w:val="16"/>
                <w:szCs w:val="16"/>
                <w:lang w:val="en-US" w:eastAsia="zh-CN"/>
              </w:rPr>
            </w:pPr>
            <w:r w:rsidRPr="00205267">
              <w:rPr>
                <w:rFonts w:ascii="Arial" w:hAnsi="Arial" w:cs="Arial"/>
                <w:b/>
                <w:bCs/>
                <w:sz w:val="16"/>
                <w:szCs w:val="16"/>
                <w:lang w:val="en-US" w:eastAsia="zh-CN"/>
              </w:rPr>
              <w:t xml:space="preserve">          100 </w:t>
            </w:r>
          </w:p>
        </w:tc>
        <w:tc>
          <w:tcPr>
            <w:tcW w:w="1134" w:type="dxa"/>
            <w:tcBorders>
              <w:top w:val="nil"/>
              <w:left w:val="nil"/>
              <w:bottom w:val="nil"/>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sz w:val="16"/>
                <w:szCs w:val="16"/>
                <w:lang w:val="en-US" w:eastAsia="zh-CN"/>
              </w:rPr>
            </w:pPr>
            <w:r w:rsidRPr="00205267">
              <w:rPr>
                <w:rFonts w:ascii="Arial" w:hAnsi="Arial" w:cs="Arial"/>
                <w:b/>
                <w:bCs/>
                <w:sz w:val="16"/>
                <w:szCs w:val="16"/>
                <w:lang w:val="en-US" w:eastAsia="zh-CN"/>
              </w:rPr>
              <w:t> </w:t>
            </w:r>
          </w:p>
        </w:tc>
        <w:tc>
          <w:tcPr>
            <w:tcW w:w="1134" w:type="dxa"/>
            <w:tcBorders>
              <w:top w:val="nil"/>
              <w:left w:val="nil"/>
              <w:bottom w:val="nil"/>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6"/>
                <w:szCs w:val="16"/>
                <w:lang w:val="en-US" w:eastAsia="zh-CN"/>
              </w:rPr>
            </w:pPr>
            <w:r w:rsidRPr="00205267">
              <w:rPr>
                <w:rFonts w:ascii="Arial" w:hAnsi="Arial" w:cs="Arial"/>
                <w:b/>
                <w:bCs/>
                <w:color w:val="000000"/>
                <w:sz w:val="16"/>
                <w:szCs w:val="16"/>
                <w:lang w:val="en-US" w:eastAsia="zh-CN"/>
              </w:rPr>
              <w:t> </w:t>
            </w:r>
          </w:p>
        </w:tc>
        <w:tc>
          <w:tcPr>
            <w:tcW w:w="1134" w:type="dxa"/>
            <w:tcBorders>
              <w:top w:val="nil"/>
              <w:left w:val="nil"/>
              <w:bottom w:val="nil"/>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sz w:val="16"/>
                <w:szCs w:val="16"/>
                <w:lang w:val="en-US" w:eastAsia="zh-CN"/>
              </w:rPr>
            </w:pPr>
            <w:r w:rsidRPr="00205267">
              <w:rPr>
                <w:rFonts w:ascii="Arial" w:hAnsi="Arial" w:cs="Arial"/>
                <w:b/>
                <w:bCs/>
                <w:sz w:val="16"/>
                <w:szCs w:val="16"/>
                <w:lang w:val="en-US" w:eastAsia="zh-CN"/>
              </w:rPr>
              <w:t xml:space="preserve">          100 </w:t>
            </w:r>
          </w:p>
        </w:tc>
        <w:tc>
          <w:tcPr>
            <w:tcW w:w="1134" w:type="dxa"/>
            <w:tcBorders>
              <w:top w:val="nil"/>
              <w:left w:val="nil"/>
              <w:bottom w:val="nil"/>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sz w:val="16"/>
                <w:szCs w:val="16"/>
                <w:lang w:val="en-US" w:eastAsia="zh-CN"/>
              </w:rPr>
            </w:pPr>
            <w:r w:rsidRPr="00205267">
              <w:rPr>
                <w:rFonts w:ascii="Arial" w:hAnsi="Arial" w:cs="Arial"/>
                <w:b/>
                <w:bCs/>
                <w:sz w:val="16"/>
                <w:szCs w:val="16"/>
                <w:lang w:val="en-US" w:eastAsia="zh-CN"/>
              </w:rPr>
              <w:t xml:space="preserve">  1,441 </w:t>
            </w:r>
          </w:p>
        </w:tc>
        <w:tc>
          <w:tcPr>
            <w:tcW w:w="1276" w:type="dxa"/>
            <w:tcBorders>
              <w:top w:val="nil"/>
              <w:left w:val="nil"/>
              <w:bottom w:val="nil"/>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sz w:val="16"/>
                <w:szCs w:val="16"/>
                <w:lang w:val="en-US" w:eastAsia="zh-CN"/>
              </w:rPr>
            </w:pPr>
            <w:r w:rsidRPr="00205267">
              <w:rPr>
                <w:rFonts w:ascii="Arial" w:hAnsi="Arial" w:cs="Arial"/>
                <w:b/>
                <w:bCs/>
                <w:sz w:val="16"/>
                <w:szCs w:val="16"/>
                <w:lang w:val="en-US" w:eastAsia="zh-CN"/>
              </w:rPr>
              <w:t xml:space="preserve">            1,341 </w:t>
            </w:r>
          </w:p>
        </w:tc>
      </w:tr>
      <w:tr w:rsidR="00205267" w:rsidRPr="00205267" w:rsidTr="002502E2">
        <w:trPr>
          <w:trHeight w:val="300"/>
        </w:trPr>
        <w:tc>
          <w:tcPr>
            <w:tcW w:w="3119" w:type="dxa"/>
            <w:tcBorders>
              <w:top w:val="nil"/>
              <w:left w:val="single" w:sz="4" w:space="0" w:color="auto"/>
              <w:bottom w:val="nil"/>
              <w:right w:val="nil"/>
            </w:tcBorders>
            <w:shd w:val="clear" w:color="auto" w:fill="auto"/>
            <w:vAlign w:val="bottom"/>
            <w:hideMark/>
          </w:tcPr>
          <w:p w:rsidR="00205267" w:rsidRPr="00205267" w:rsidRDefault="00205267" w:rsidP="0020526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6"/>
                <w:szCs w:val="16"/>
                <w:lang w:val="en-US" w:eastAsia="zh-CN"/>
              </w:rPr>
            </w:pPr>
            <w:r w:rsidRPr="00205267">
              <w:rPr>
                <w:rFonts w:ascii="Arial" w:hAnsi="Arial" w:cs="Arial"/>
                <w:b/>
                <w:bCs/>
                <w:color w:val="000000"/>
                <w:sz w:val="16"/>
                <w:szCs w:val="16"/>
                <w:lang w:val="en-US" w:eastAsia="zh-CN"/>
              </w:rPr>
              <w:t>Withdrawal from Reserve Account</w:t>
            </w:r>
          </w:p>
        </w:tc>
        <w:tc>
          <w:tcPr>
            <w:tcW w:w="1134" w:type="dxa"/>
            <w:tcBorders>
              <w:top w:val="nil"/>
              <w:left w:val="single" w:sz="4" w:space="0" w:color="auto"/>
              <w:bottom w:val="nil"/>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6"/>
                <w:szCs w:val="16"/>
                <w:lang w:val="en-US" w:eastAsia="zh-CN"/>
              </w:rPr>
            </w:pPr>
            <w:r w:rsidRPr="00205267">
              <w:rPr>
                <w:rFonts w:ascii="Arial" w:hAnsi="Arial" w:cs="Arial"/>
                <w:b/>
                <w:bCs/>
                <w:color w:val="000000"/>
                <w:sz w:val="16"/>
                <w:szCs w:val="16"/>
                <w:lang w:val="en-US" w:eastAsia="zh-CN"/>
              </w:rPr>
              <w:t xml:space="preserve">1,117 </w:t>
            </w:r>
          </w:p>
        </w:tc>
        <w:tc>
          <w:tcPr>
            <w:tcW w:w="1134" w:type="dxa"/>
            <w:tcBorders>
              <w:top w:val="nil"/>
              <w:left w:val="nil"/>
              <w:bottom w:val="nil"/>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6"/>
                <w:szCs w:val="16"/>
                <w:lang w:val="en-US" w:eastAsia="zh-CN"/>
              </w:rPr>
            </w:pPr>
            <w:r w:rsidRPr="00205267">
              <w:rPr>
                <w:rFonts w:ascii="Arial" w:hAnsi="Arial" w:cs="Arial"/>
                <w:b/>
                <w:bCs/>
                <w:color w:val="000000"/>
                <w:sz w:val="16"/>
                <w:szCs w:val="16"/>
                <w:lang w:val="en-US" w:eastAsia="zh-CN"/>
              </w:rPr>
              <w:t xml:space="preserve">         317 </w:t>
            </w:r>
          </w:p>
        </w:tc>
        <w:tc>
          <w:tcPr>
            <w:tcW w:w="1134" w:type="dxa"/>
            <w:tcBorders>
              <w:top w:val="nil"/>
              <w:left w:val="nil"/>
              <w:bottom w:val="nil"/>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6"/>
                <w:szCs w:val="16"/>
                <w:lang w:val="en-US" w:eastAsia="zh-CN"/>
              </w:rPr>
            </w:pPr>
            <w:r w:rsidRPr="00205267">
              <w:rPr>
                <w:rFonts w:ascii="Arial" w:hAnsi="Arial" w:cs="Arial"/>
                <w:b/>
                <w:bCs/>
                <w:color w:val="000000"/>
                <w:sz w:val="16"/>
                <w:szCs w:val="16"/>
                <w:lang w:val="en-US" w:eastAsia="zh-CN"/>
              </w:rPr>
              <w:t> </w:t>
            </w:r>
          </w:p>
        </w:tc>
        <w:tc>
          <w:tcPr>
            <w:tcW w:w="1134" w:type="dxa"/>
            <w:tcBorders>
              <w:top w:val="nil"/>
              <w:left w:val="nil"/>
              <w:bottom w:val="nil"/>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6"/>
                <w:szCs w:val="16"/>
                <w:lang w:val="en-US" w:eastAsia="zh-CN"/>
              </w:rPr>
            </w:pPr>
            <w:r w:rsidRPr="00205267">
              <w:rPr>
                <w:rFonts w:ascii="Arial" w:hAnsi="Arial" w:cs="Arial"/>
                <w:b/>
                <w:bCs/>
                <w:color w:val="000000"/>
                <w:sz w:val="16"/>
                <w:szCs w:val="16"/>
                <w:lang w:val="en-US" w:eastAsia="zh-CN"/>
              </w:rPr>
              <w:t xml:space="preserve">    1,434 </w:t>
            </w:r>
          </w:p>
        </w:tc>
        <w:tc>
          <w:tcPr>
            <w:tcW w:w="1134" w:type="dxa"/>
            <w:tcBorders>
              <w:top w:val="nil"/>
              <w:left w:val="nil"/>
              <w:bottom w:val="nil"/>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6"/>
                <w:szCs w:val="16"/>
                <w:lang w:val="en-US" w:eastAsia="zh-CN"/>
              </w:rPr>
            </w:pPr>
            <w:r w:rsidRPr="00205267">
              <w:rPr>
                <w:rFonts w:ascii="Arial" w:hAnsi="Arial" w:cs="Arial"/>
                <w:b/>
                <w:bCs/>
                <w:color w:val="000000"/>
                <w:sz w:val="16"/>
                <w:szCs w:val="16"/>
                <w:lang w:val="en-US" w:eastAsia="zh-CN"/>
              </w:rPr>
              <w:t xml:space="preserve">           -   </w:t>
            </w:r>
          </w:p>
        </w:tc>
        <w:tc>
          <w:tcPr>
            <w:tcW w:w="1276" w:type="dxa"/>
            <w:tcBorders>
              <w:top w:val="nil"/>
              <w:left w:val="nil"/>
              <w:bottom w:val="nil"/>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6"/>
                <w:szCs w:val="16"/>
                <w:lang w:val="en-US" w:eastAsia="zh-CN"/>
              </w:rPr>
            </w:pPr>
            <w:r w:rsidRPr="00205267">
              <w:rPr>
                <w:rFonts w:ascii="Arial" w:hAnsi="Arial" w:cs="Arial"/>
                <w:b/>
                <w:bCs/>
                <w:color w:val="000000"/>
                <w:sz w:val="16"/>
                <w:szCs w:val="16"/>
                <w:lang w:val="en-US" w:eastAsia="zh-CN"/>
              </w:rPr>
              <w:t xml:space="preserve">            -1,434 </w:t>
            </w:r>
          </w:p>
        </w:tc>
      </w:tr>
      <w:tr w:rsidR="00205267" w:rsidRPr="00205267" w:rsidTr="002502E2">
        <w:trPr>
          <w:trHeight w:val="180"/>
        </w:trPr>
        <w:tc>
          <w:tcPr>
            <w:tcW w:w="3119" w:type="dxa"/>
            <w:tcBorders>
              <w:top w:val="nil"/>
              <w:left w:val="single" w:sz="4" w:space="0" w:color="auto"/>
              <w:bottom w:val="nil"/>
              <w:right w:val="nil"/>
            </w:tcBorders>
            <w:shd w:val="clear" w:color="auto" w:fill="auto"/>
            <w:vAlign w:val="bottom"/>
            <w:hideMark/>
          </w:tcPr>
          <w:p w:rsidR="00205267" w:rsidRPr="00205267" w:rsidRDefault="00205267" w:rsidP="0020526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205267">
              <w:rPr>
                <w:rFonts w:ascii="Arial" w:hAnsi="Arial" w:cs="Arial"/>
                <w:color w:val="000000"/>
                <w:sz w:val="16"/>
                <w:szCs w:val="16"/>
                <w:lang w:val="en-US" w:eastAsia="zh-CN"/>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205267">
              <w:rPr>
                <w:rFonts w:ascii="Arial" w:hAnsi="Arial" w:cs="Arial"/>
                <w:color w:val="000000"/>
                <w:sz w:val="20"/>
                <w:lang w:val="en-US" w:eastAsia="zh-CN"/>
              </w:rPr>
              <w:t> </w:t>
            </w:r>
          </w:p>
        </w:tc>
        <w:tc>
          <w:tcPr>
            <w:tcW w:w="1134" w:type="dxa"/>
            <w:tcBorders>
              <w:top w:val="nil"/>
              <w:left w:val="nil"/>
              <w:bottom w:val="single" w:sz="4" w:space="0" w:color="auto"/>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205267">
              <w:rPr>
                <w:rFonts w:ascii="Arial" w:hAnsi="Arial" w:cs="Arial"/>
                <w:color w:val="000000"/>
                <w:sz w:val="20"/>
                <w:lang w:val="en-US" w:eastAsia="zh-CN"/>
              </w:rPr>
              <w:t> </w:t>
            </w:r>
          </w:p>
        </w:tc>
        <w:tc>
          <w:tcPr>
            <w:tcW w:w="1134" w:type="dxa"/>
            <w:tcBorders>
              <w:top w:val="nil"/>
              <w:left w:val="nil"/>
              <w:bottom w:val="single" w:sz="4" w:space="0" w:color="auto"/>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205267">
              <w:rPr>
                <w:rFonts w:ascii="Arial" w:hAnsi="Arial" w:cs="Arial"/>
                <w:color w:val="000000"/>
                <w:sz w:val="20"/>
                <w:lang w:val="en-US" w:eastAsia="zh-CN"/>
              </w:rPr>
              <w:t> </w:t>
            </w:r>
          </w:p>
        </w:tc>
        <w:tc>
          <w:tcPr>
            <w:tcW w:w="1134" w:type="dxa"/>
            <w:tcBorders>
              <w:top w:val="nil"/>
              <w:left w:val="nil"/>
              <w:bottom w:val="single" w:sz="4" w:space="0" w:color="auto"/>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205267">
              <w:rPr>
                <w:rFonts w:ascii="Arial" w:hAnsi="Arial" w:cs="Arial"/>
                <w:color w:val="000000"/>
                <w:sz w:val="20"/>
                <w:lang w:val="en-US" w:eastAsia="zh-CN"/>
              </w:rPr>
              <w:t> </w:t>
            </w:r>
          </w:p>
        </w:tc>
        <w:tc>
          <w:tcPr>
            <w:tcW w:w="1134" w:type="dxa"/>
            <w:tcBorders>
              <w:top w:val="nil"/>
              <w:left w:val="nil"/>
              <w:bottom w:val="single" w:sz="4" w:space="0" w:color="auto"/>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205267">
              <w:rPr>
                <w:rFonts w:ascii="Arial" w:hAnsi="Arial" w:cs="Arial"/>
                <w:color w:val="000000"/>
                <w:sz w:val="20"/>
                <w:lang w:val="en-US" w:eastAsia="zh-CN"/>
              </w:rPr>
              <w:t> </w:t>
            </w:r>
          </w:p>
        </w:tc>
        <w:tc>
          <w:tcPr>
            <w:tcW w:w="1276" w:type="dxa"/>
            <w:tcBorders>
              <w:top w:val="nil"/>
              <w:left w:val="nil"/>
              <w:bottom w:val="single" w:sz="4" w:space="0" w:color="auto"/>
              <w:right w:val="single" w:sz="4" w:space="0" w:color="auto"/>
            </w:tcBorders>
            <w:shd w:val="clear" w:color="auto" w:fill="auto"/>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sidRPr="00205267">
              <w:rPr>
                <w:rFonts w:ascii="Arial" w:hAnsi="Arial" w:cs="Arial"/>
                <w:color w:val="000000"/>
                <w:sz w:val="20"/>
                <w:lang w:val="en-US" w:eastAsia="zh-CN"/>
              </w:rPr>
              <w:t> </w:t>
            </w:r>
          </w:p>
        </w:tc>
      </w:tr>
      <w:tr w:rsidR="00205267" w:rsidRPr="00205267" w:rsidTr="002502E2">
        <w:trPr>
          <w:trHeight w:val="300"/>
        </w:trPr>
        <w:tc>
          <w:tcPr>
            <w:tcW w:w="3119"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205267" w:rsidRPr="00205267" w:rsidRDefault="00205267" w:rsidP="0020526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20"/>
                <w:lang w:val="en-US" w:eastAsia="zh-CN"/>
              </w:rPr>
            </w:pPr>
            <w:r w:rsidRPr="00205267">
              <w:rPr>
                <w:rFonts w:ascii="Arial" w:hAnsi="Arial" w:cs="Arial"/>
                <w:b/>
                <w:bCs/>
                <w:color w:val="000000"/>
                <w:sz w:val="20"/>
                <w:lang w:val="en-US" w:eastAsia="zh-CN"/>
              </w:rPr>
              <w:t>Total revenue</w:t>
            </w:r>
          </w:p>
        </w:tc>
        <w:tc>
          <w:tcPr>
            <w:tcW w:w="1134" w:type="dxa"/>
            <w:tcBorders>
              <w:top w:val="nil"/>
              <w:left w:val="nil"/>
              <w:bottom w:val="single" w:sz="4" w:space="0" w:color="auto"/>
              <w:right w:val="single" w:sz="4" w:space="0" w:color="auto"/>
            </w:tcBorders>
            <w:shd w:val="clear" w:color="000000" w:fill="DCE6F1"/>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205267">
              <w:rPr>
                <w:rFonts w:ascii="Arial" w:hAnsi="Arial" w:cs="Arial"/>
                <w:b/>
                <w:bCs/>
                <w:color w:val="000000"/>
                <w:sz w:val="20"/>
                <w:lang w:val="en-US" w:eastAsia="zh-CN"/>
              </w:rPr>
              <w:t xml:space="preserve">160,543 </w:t>
            </w:r>
          </w:p>
        </w:tc>
        <w:tc>
          <w:tcPr>
            <w:tcW w:w="1134" w:type="dxa"/>
            <w:tcBorders>
              <w:top w:val="nil"/>
              <w:left w:val="nil"/>
              <w:bottom w:val="single" w:sz="4" w:space="0" w:color="auto"/>
              <w:right w:val="single" w:sz="4" w:space="0" w:color="auto"/>
            </w:tcBorders>
            <w:shd w:val="clear" w:color="000000" w:fill="DCE6F1"/>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205267">
              <w:rPr>
                <w:rFonts w:ascii="Arial" w:hAnsi="Arial" w:cs="Arial"/>
                <w:b/>
                <w:bCs/>
                <w:color w:val="000000"/>
                <w:sz w:val="20"/>
                <w:lang w:val="en-US" w:eastAsia="zh-CN"/>
              </w:rPr>
              <w:t> </w:t>
            </w:r>
          </w:p>
        </w:tc>
        <w:tc>
          <w:tcPr>
            <w:tcW w:w="1134" w:type="dxa"/>
            <w:tcBorders>
              <w:top w:val="nil"/>
              <w:left w:val="nil"/>
              <w:bottom w:val="single" w:sz="4" w:space="0" w:color="auto"/>
              <w:right w:val="single" w:sz="4" w:space="0" w:color="auto"/>
            </w:tcBorders>
            <w:shd w:val="clear" w:color="000000" w:fill="DCE6F1"/>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205267">
              <w:rPr>
                <w:rFonts w:ascii="Arial" w:hAnsi="Arial" w:cs="Arial"/>
                <w:b/>
                <w:bCs/>
                <w:color w:val="000000"/>
                <w:sz w:val="20"/>
                <w:lang w:val="en-US" w:eastAsia="zh-CN"/>
              </w:rPr>
              <w:t xml:space="preserve">            -   </w:t>
            </w:r>
          </w:p>
        </w:tc>
        <w:tc>
          <w:tcPr>
            <w:tcW w:w="1134" w:type="dxa"/>
            <w:tcBorders>
              <w:top w:val="nil"/>
              <w:left w:val="nil"/>
              <w:bottom w:val="single" w:sz="4" w:space="0" w:color="auto"/>
              <w:right w:val="single" w:sz="4" w:space="0" w:color="auto"/>
            </w:tcBorders>
            <w:shd w:val="clear" w:color="000000" w:fill="DCE6F1"/>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205267">
              <w:rPr>
                <w:rFonts w:ascii="Arial" w:hAnsi="Arial" w:cs="Arial"/>
                <w:b/>
                <w:bCs/>
                <w:color w:val="000000"/>
                <w:sz w:val="20"/>
                <w:lang w:val="en-US" w:eastAsia="zh-CN"/>
              </w:rPr>
              <w:t xml:space="preserve">  160,860 </w:t>
            </w:r>
          </w:p>
        </w:tc>
        <w:tc>
          <w:tcPr>
            <w:tcW w:w="1134" w:type="dxa"/>
            <w:tcBorders>
              <w:top w:val="nil"/>
              <w:left w:val="nil"/>
              <w:bottom w:val="single" w:sz="4" w:space="0" w:color="auto"/>
              <w:right w:val="single" w:sz="4" w:space="0" w:color="auto"/>
            </w:tcBorders>
            <w:shd w:val="clear" w:color="000000" w:fill="DCE6F1"/>
            <w:noWrap/>
            <w:vAlign w:val="bottom"/>
            <w:hideMark/>
          </w:tcPr>
          <w:p w:rsidR="00205267" w:rsidRPr="00205267" w:rsidRDefault="00666B9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Pr>
                <w:rFonts w:ascii="Arial" w:hAnsi="Arial" w:cs="Arial"/>
                <w:b/>
                <w:bCs/>
                <w:color w:val="000000"/>
                <w:sz w:val="20"/>
                <w:lang w:val="en-US" w:eastAsia="zh-CN"/>
              </w:rPr>
              <w:t>1</w:t>
            </w:r>
            <w:r w:rsidR="00205267" w:rsidRPr="00205267">
              <w:rPr>
                <w:rFonts w:ascii="Arial" w:hAnsi="Arial" w:cs="Arial"/>
                <w:b/>
                <w:bCs/>
                <w:color w:val="000000"/>
                <w:sz w:val="20"/>
                <w:lang w:val="en-US" w:eastAsia="zh-CN"/>
              </w:rPr>
              <w:t xml:space="preserve">61,034 </w:t>
            </w:r>
          </w:p>
        </w:tc>
        <w:tc>
          <w:tcPr>
            <w:tcW w:w="1276" w:type="dxa"/>
            <w:tcBorders>
              <w:top w:val="nil"/>
              <w:left w:val="nil"/>
              <w:bottom w:val="single" w:sz="4" w:space="0" w:color="auto"/>
              <w:right w:val="single" w:sz="4" w:space="0" w:color="auto"/>
            </w:tcBorders>
            <w:shd w:val="clear" w:color="000000" w:fill="DCE6F1"/>
            <w:noWrap/>
            <w:vAlign w:val="bottom"/>
            <w:hideMark/>
          </w:tcPr>
          <w:p w:rsidR="00205267" w:rsidRPr="00205267" w:rsidRDefault="00205267" w:rsidP="0041182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205267">
              <w:rPr>
                <w:rFonts w:ascii="Arial" w:hAnsi="Arial" w:cs="Arial"/>
                <w:b/>
                <w:bCs/>
                <w:color w:val="000000"/>
                <w:sz w:val="20"/>
                <w:lang w:val="en-US" w:eastAsia="zh-CN"/>
              </w:rPr>
              <w:t xml:space="preserve">           174 </w:t>
            </w:r>
          </w:p>
        </w:tc>
      </w:tr>
      <w:tr w:rsidR="00205267" w:rsidRPr="00205267" w:rsidTr="002502E2">
        <w:trPr>
          <w:trHeight w:val="300"/>
        </w:trPr>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rsidR="00205267" w:rsidRPr="00205267" w:rsidRDefault="00205267" w:rsidP="00205267">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20"/>
                <w:lang w:val="en-US" w:eastAsia="zh-CN"/>
              </w:rPr>
            </w:pPr>
            <w:r w:rsidRPr="00205267">
              <w:rPr>
                <w:rFonts w:ascii="Arial" w:hAnsi="Arial" w:cs="Arial"/>
                <w:b/>
                <w:bCs/>
                <w:color w:val="000000"/>
                <w:sz w:val="20"/>
                <w:lang w:val="en-US" w:eastAsia="zh-CN"/>
              </w:rPr>
              <w:t>Expenses</w:t>
            </w:r>
          </w:p>
        </w:tc>
        <w:tc>
          <w:tcPr>
            <w:tcW w:w="453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05267" w:rsidRPr="00205267" w:rsidRDefault="00205267" w:rsidP="00205267">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val="en-US" w:eastAsia="zh-CN"/>
              </w:rPr>
            </w:pPr>
            <w:r w:rsidRPr="00205267">
              <w:rPr>
                <w:rFonts w:ascii="Arial" w:hAnsi="Arial" w:cs="Arial"/>
                <w:b/>
                <w:bCs/>
                <w:color w:val="000000"/>
                <w:sz w:val="16"/>
                <w:szCs w:val="16"/>
                <w:lang w:val="en-US" w:eastAsia="zh-CN"/>
              </w:rPr>
              <w:t>Budgeted amounts</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205267" w:rsidRPr="00205267" w:rsidRDefault="00205267" w:rsidP="00205267">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val="en-US" w:eastAsia="zh-CN"/>
              </w:rPr>
            </w:pPr>
            <w:r w:rsidRPr="00205267">
              <w:rPr>
                <w:rFonts w:ascii="Arial" w:hAnsi="Arial" w:cs="Arial"/>
                <w:b/>
                <w:bCs/>
                <w:color w:val="000000"/>
                <w:sz w:val="16"/>
                <w:szCs w:val="16"/>
                <w:lang w:val="en-US" w:eastAsia="zh-CN"/>
              </w:rPr>
              <w:t xml:space="preserve">Actual amounts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05267" w:rsidRPr="00205267" w:rsidRDefault="00205267" w:rsidP="00205267">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val="en-US" w:eastAsia="zh-CN"/>
              </w:rPr>
            </w:pPr>
            <w:r w:rsidRPr="00205267">
              <w:rPr>
                <w:rFonts w:ascii="Arial" w:hAnsi="Arial" w:cs="Arial"/>
                <w:b/>
                <w:bCs/>
                <w:color w:val="000000"/>
                <w:sz w:val="16"/>
                <w:szCs w:val="16"/>
                <w:lang w:val="en-US" w:eastAsia="zh-CN"/>
              </w:rPr>
              <w:t>Difference between final budget and actual amounts</w:t>
            </w:r>
          </w:p>
        </w:tc>
      </w:tr>
      <w:tr w:rsidR="00205267" w:rsidRPr="00205267" w:rsidTr="002502E2">
        <w:trPr>
          <w:trHeight w:val="450"/>
        </w:trPr>
        <w:tc>
          <w:tcPr>
            <w:tcW w:w="3119" w:type="dxa"/>
            <w:vMerge/>
            <w:tcBorders>
              <w:top w:val="nil"/>
              <w:left w:val="single" w:sz="4" w:space="0" w:color="auto"/>
              <w:bottom w:val="single" w:sz="4" w:space="0" w:color="000000"/>
              <w:right w:val="single" w:sz="4" w:space="0" w:color="auto"/>
            </w:tcBorders>
            <w:vAlign w:val="center"/>
            <w:hideMark/>
          </w:tcPr>
          <w:p w:rsidR="00205267" w:rsidRPr="00205267" w:rsidRDefault="00205267" w:rsidP="0020526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20"/>
                <w:lang w:val="en-US" w:eastAsia="zh-CN"/>
              </w:rPr>
            </w:pPr>
          </w:p>
        </w:tc>
        <w:tc>
          <w:tcPr>
            <w:tcW w:w="1134" w:type="dxa"/>
            <w:tcBorders>
              <w:top w:val="nil"/>
              <w:left w:val="nil"/>
              <w:bottom w:val="single" w:sz="4" w:space="0" w:color="auto"/>
              <w:right w:val="single" w:sz="4" w:space="0" w:color="auto"/>
            </w:tcBorders>
            <w:shd w:val="clear" w:color="auto" w:fill="auto"/>
            <w:vAlign w:val="center"/>
            <w:hideMark/>
          </w:tcPr>
          <w:p w:rsidR="00205267" w:rsidRPr="00205267" w:rsidRDefault="00205267" w:rsidP="00205267">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val="en-US" w:eastAsia="zh-CN"/>
              </w:rPr>
            </w:pPr>
            <w:r w:rsidRPr="00205267">
              <w:rPr>
                <w:rFonts w:ascii="Arial" w:hAnsi="Arial" w:cs="Arial"/>
                <w:b/>
                <w:bCs/>
                <w:color w:val="000000"/>
                <w:sz w:val="16"/>
                <w:szCs w:val="16"/>
                <w:lang w:val="en-US" w:eastAsia="zh-CN"/>
              </w:rPr>
              <w:t>Initial Budget</w:t>
            </w:r>
          </w:p>
        </w:tc>
        <w:tc>
          <w:tcPr>
            <w:tcW w:w="1134" w:type="dxa"/>
            <w:tcBorders>
              <w:top w:val="nil"/>
              <w:left w:val="nil"/>
              <w:bottom w:val="single" w:sz="4" w:space="0" w:color="auto"/>
              <w:right w:val="nil"/>
            </w:tcBorders>
            <w:shd w:val="clear" w:color="auto" w:fill="auto"/>
            <w:vAlign w:val="center"/>
            <w:hideMark/>
          </w:tcPr>
          <w:p w:rsidR="00205267" w:rsidRPr="00966288" w:rsidRDefault="00CD0F7D" w:rsidP="00205267">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val="en-US" w:eastAsia="zh-CN"/>
              </w:rPr>
            </w:pPr>
            <w:r w:rsidRPr="00966288">
              <w:rPr>
                <w:rFonts w:ascii="Arial" w:hAnsi="Arial" w:cs="Arial"/>
                <w:b/>
                <w:bCs/>
                <w:color w:val="000000"/>
                <w:sz w:val="16"/>
                <w:szCs w:val="16"/>
                <w:lang w:val="en-US" w:eastAsia="zh-CN"/>
              </w:rPr>
              <w:t>Deferred activity</w:t>
            </w:r>
            <w:r w:rsidR="00205267" w:rsidRPr="00966288">
              <w:rPr>
                <w:rFonts w:ascii="Arial" w:hAnsi="Arial" w:cs="Arial"/>
                <w:b/>
                <w:bCs/>
                <w:color w:val="000000"/>
                <w:sz w:val="16"/>
                <w:szCs w:val="16"/>
                <w:lang w:val="en-US" w:eastAsia="zh-CN"/>
              </w:rPr>
              <w:t> </w:t>
            </w:r>
          </w:p>
        </w:tc>
        <w:tc>
          <w:tcPr>
            <w:tcW w:w="1134" w:type="dxa"/>
            <w:tcBorders>
              <w:top w:val="nil"/>
              <w:left w:val="nil"/>
              <w:bottom w:val="single" w:sz="4" w:space="0" w:color="auto"/>
              <w:right w:val="nil"/>
            </w:tcBorders>
            <w:shd w:val="clear" w:color="auto" w:fill="auto"/>
            <w:vAlign w:val="center"/>
            <w:hideMark/>
          </w:tcPr>
          <w:p w:rsidR="00205267" w:rsidRPr="00205267" w:rsidRDefault="00205267" w:rsidP="00205267">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val="en-US" w:eastAsia="zh-CN"/>
              </w:rPr>
            </w:pPr>
            <w:r w:rsidRPr="00205267">
              <w:rPr>
                <w:rFonts w:ascii="Arial" w:hAnsi="Arial" w:cs="Arial"/>
                <w:b/>
                <w:bCs/>
                <w:color w:val="000000"/>
                <w:sz w:val="16"/>
                <w:szCs w:val="16"/>
                <w:lang w:val="en-US" w:eastAsia="zh-CN"/>
              </w:rPr>
              <w:t>Budget transfers</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205267" w:rsidRPr="00205267" w:rsidRDefault="00205267" w:rsidP="00205267">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val="en-US" w:eastAsia="zh-CN"/>
              </w:rPr>
            </w:pPr>
            <w:r w:rsidRPr="00205267">
              <w:rPr>
                <w:rFonts w:ascii="Arial" w:hAnsi="Arial" w:cs="Arial"/>
                <w:b/>
                <w:bCs/>
                <w:color w:val="000000"/>
                <w:sz w:val="16"/>
                <w:szCs w:val="16"/>
                <w:lang w:val="en-US" w:eastAsia="zh-CN"/>
              </w:rPr>
              <w:t>Final budget</w:t>
            </w:r>
          </w:p>
        </w:tc>
        <w:tc>
          <w:tcPr>
            <w:tcW w:w="1134" w:type="dxa"/>
            <w:vMerge/>
            <w:tcBorders>
              <w:top w:val="nil"/>
              <w:left w:val="single" w:sz="4" w:space="0" w:color="auto"/>
              <w:bottom w:val="single" w:sz="4" w:space="0" w:color="000000"/>
              <w:right w:val="single" w:sz="4" w:space="0" w:color="auto"/>
            </w:tcBorders>
            <w:vAlign w:val="center"/>
            <w:hideMark/>
          </w:tcPr>
          <w:p w:rsidR="00205267" w:rsidRPr="00205267" w:rsidRDefault="00205267" w:rsidP="0020526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6"/>
                <w:szCs w:val="16"/>
                <w:lang w:val="en-US" w:eastAsia="zh-CN"/>
              </w:rPr>
            </w:pPr>
          </w:p>
        </w:tc>
        <w:tc>
          <w:tcPr>
            <w:tcW w:w="1276" w:type="dxa"/>
            <w:vMerge/>
            <w:tcBorders>
              <w:top w:val="nil"/>
              <w:left w:val="single" w:sz="4" w:space="0" w:color="auto"/>
              <w:bottom w:val="single" w:sz="4" w:space="0" w:color="000000"/>
              <w:right w:val="single" w:sz="4" w:space="0" w:color="auto"/>
            </w:tcBorders>
            <w:vAlign w:val="center"/>
            <w:hideMark/>
          </w:tcPr>
          <w:p w:rsidR="00205267" w:rsidRPr="00205267" w:rsidRDefault="00205267" w:rsidP="0020526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6"/>
                <w:szCs w:val="16"/>
                <w:lang w:val="en-US" w:eastAsia="zh-CN"/>
              </w:rPr>
            </w:pPr>
          </w:p>
        </w:tc>
      </w:tr>
      <w:tr w:rsidR="00205267" w:rsidRPr="00205267" w:rsidTr="002502E2">
        <w:trPr>
          <w:trHeight w:val="300"/>
        </w:trPr>
        <w:tc>
          <w:tcPr>
            <w:tcW w:w="3119" w:type="dxa"/>
            <w:vMerge/>
            <w:tcBorders>
              <w:top w:val="nil"/>
              <w:left w:val="single" w:sz="4" w:space="0" w:color="auto"/>
              <w:bottom w:val="single" w:sz="4" w:space="0" w:color="000000"/>
              <w:right w:val="single" w:sz="4" w:space="0" w:color="auto"/>
            </w:tcBorders>
            <w:vAlign w:val="center"/>
            <w:hideMark/>
          </w:tcPr>
          <w:p w:rsidR="00205267" w:rsidRPr="00205267" w:rsidRDefault="00205267" w:rsidP="0020526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20"/>
                <w:lang w:val="en-US" w:eastAsia="zh-CN"/>
              </w:rPr>
            </w:pPr>
          </w:p>
        </w:tc>
        <w:tc>
          <w:tcPr>
            <w:tcW w:w="1134" w:type="dxa"/>
            <w:tcBorders>
              <w:top w:val="nil"/>
              <w:left w:val="nil"/>
              <w:bottom w:val="single" w:sz="4" w:space="0" w:color="auto"/>
              <w:right w:val="single" w:sz="4" w:space="0" w:color="auto"/>
            </w:tcBorders>
            <w:shd w:val="clear" w:color="auto" w:fill="auto"/>
            <w:noWrap/>
            <w:vAlign w:val="center"/>
            <w:hideMark/>
          </w:tcPr>
          <w:p w:rsidR="00205267" w:rsidRPr="00205267" w:rsidRDefault="00205267" w:rsidP="00205267">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val="en-US" w:eastAsia="zh-CN"/>
              </w:rPr>
            </w:pPr>
            <w:r w:rsidRPr="00205267">
              <w:rPr>
                <w:rFonts w:ascii="Arial" w:hAnsi="Arial" w:cs="Arial"/>
                <w:b/>
                <w:bCs/>
                <w:color w:val="000000"/>
                <w:sz w:val="16"/>
                <w:szCs w:val="16"/>
                <w:lang w:val="en-US" w:eastAsia="zh-CN"/>
              </w:rPr>
              <w:t xml:space="preserve"> 31.12.2017 </w:t>
            </w:r>
          </w:p>
        </w:tc>
        <w:tc>
          <w:tcPr>
            <w:tcW w:w="1134" w:type="dxa"/>
            <w:tcBorders>
              <w:top w:val="nil"/>
              <w:left w:val="nil"/>
              <w:bottom w:val="single" w:sz="4" w:space="0" w:color="auto"/>
              <w:right w:val="single" w:sz="4" w:space="0" w:color="auto"/>
            </w:tcBorders>
            <w:shd w:val="clear" w:color="auto" w:fill="auto"/>
            <w:noWrap/>
            <w:vAlign w:val="center"/>
            <w:hideMark/>
          </w:tcPr>
          <w:p w:rsidR="00205267" w:rsidRPr="00205267" w:rsidRDefault="00205267" w:rsidP="00205267">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val="en-US" w:eastAsia="zh-CN"/>
              </w:rPr>
            </w:pPr>
            <w:r w:rsidRPr="00205267">
              <w:rPr>
                <w:rFonts w:ascii="Arial" w:hAnsi="Arial" w:cs="Arial"/>
                <w:b/>
                <w:bCs/>
                <w:color w:val="000000"/>
                <w:sz w:val="16"/>
                <w:szCs w:val="16"/>
                <w:lang w:val="en-US" w:eastAsia="zh-CN"/>
              </w:rPr>
              <w:t> </w:t>
            </w:r>
          </w:p>
        </w:tc>
        <w:tc>
          <w:tcPr>
            <w:tcW w:w="1134" w:type="dxa"/>
            <w:tcBorders>
              <w:top w:val="nil"/>
              <w:left w:val="nil"/>
              <w:bottom w:val="single" w:sz="4" w:space="0" w:color="auto"/>
              <w:right w:val="single" w:sz="4" w:space="0" w:color="auto"/>
            </w:tcBorders>
            <w:shd w:val="clear" w:color="auto" w:fill="auto"/>
            <w:noWrap/>
            <w:vAlign w:val="center"/>
            <w:hideMark/>
          </w:tcPr>
          <w:p w:rsidR="00205267" w:rsidRPr="00205267" w:rsidRDefault="00205267" w:rsidP="00205267">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val="en-US" w:eastAsia="zh-CN"/>
              </w:rPr>
            </w:pPr>
            <w:r w:rsidRPr="00205267">
              <w:rPr>
                <w:rFonts w:ascii="Arial" w:hAnsi="Arial" w:cs="Arial"/>
                <w:b/>
                <w:bCs/>
                <w:color w:val="000000"/>
                <w:sz w:val="16"/>
                <w:szCs w:val="16"/>
                <w:lang w:val="en-US" w:eastAsia="zh-CN"/>
              </w:rPr>
              <w:t xml:space="preserve"> 31.12.2017 </w:t>
            </w:r>
          </w:p>
        </w:tc>
        <w:tc>
          <w:tcPr>
            <w:tcW w:w="1134" w:type="dxa"/>
            <w:tcBorders>
              <w:top w:val="nil"/>
              <w:left w:val="nil"/>
              <w:bottom w:val="single" w:sz="4" w:space="0" w:color="auto"/>
              <w:right w:val="single" w:sz="4" w:space="0" w:color="auto"/>
            </w:tcBorders>
            <w:shd w:val="clear" w:color="auto" w:fill="auto"/>
            <w:noWrap/>
            <w:vAlign w:val="center"/>
            <w:hideMark/>
          </w:tcPr>
          <w:p w:rsidR="00205267" w:rsidRPr="00205267" w:rsidRDefault="00205267" w:rsidP="00205267">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val="en-US" w:eastAsia="zh-CN"/>
              </w:rPr>
            </w:pPr>
            <w:r w:rsidRPr="00205267">
              <w:rPr>
                <w:rFonts w:ascii="Arial" w:hAnsi="Arial" w:cs="Arial"/>
                <w:b/>
                <w:bCs/>
                <w:color w:val="000000"/>
                <w:sz w:val="16"/>
                <w:szCs w:val="16"/>
                <w:lang w:val="en-US" w:eastAsia="zh-CN"/>
              </w:rPr>
              <w:t xml:space="preserve"> 31.12.2017 </w:t>
            </w:r>
          </w:p>
        </w:tc>
        <w:tc>
          <w:tcPr>
            <w:tcW w:w="1134" w:type="dxa"/>
            <w:tcBorders>
              <w:top w:val="nil"/>
              <w:left w:val="nil"/>
              <w:bottom w:val="single" w:sz="4" w:space="0" w:color="auto"/>
              <w:right w:val="single" w:sz="4" w:space="0" w:color="auto"/>
            </w:tcBorders>
            <w:shd w:val="clear" w:color="auto" w:fill="auto"/>
            <w:noWrap/>
            <w:vAlign w:val="center"/>
            <w:hideMark/>
          </w:tcPr>
          <w:p w:rsidR="00205267" w:rsidRPr="00205267" w:rsidRDefault="00205267" w:rsidP="00205267">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val="en-US" w:eastAsia="zh-CN"/>
              </w:rPr>
            </w:pPr>
            <w:r w:rsidRPr="00205267">
              <w:rPr>
                <w:rFonts w:ascii="Arial" w:hAnsi="Arial" w:cs="Arial"/>
                <w:b/>
                <w:bCs/>
                <w:color w:val="000000"/>
                <w:sz w:val="16"/>
                <w:szCs w:val="16"/>
                <w:lang w:val="en-US" w:eastAsia="zh-CN"/>
              </w:rPr>
              <w:t xml:space="preserve"> 31.12.2017 </w:t>
            </w:r>
          </w:p>
        </w:tc>
        <w:tc>
          <w:tcPr>
            <w:tcW w:w="1276" w:type="dxa"/>
            <w:tcBorders>
              <w:top w:val="nil"/>
              <w:left w:val="nil"/>
              <w:bottom w:val="single" w:sz="4" w:space="0" w:color="auto"/>
              <w:right w:val="single" w:sz="4" w:space="0" w:color="auto"/>
            </w:tcBorders>
            <w:shd w:val="clear" w:color="auto" w:fill="auto"/>
            <w:noWrap/>
            <w:vAlign w:val="center"/>
            <w:hideMark/>
          </w:tcPr>
          <w:p w:rsidR="00205267" w:rsidRPr="00205267" w:rsidRDefault="00205267" w:rsidP="00205267">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val="en-US" w:eastAsia="zh-CN"/>
              </w:rPr>
            </w:pPr>
            <w:r w:rsidRPr="00205267">
              <w:rPr>
                <w:rFonts w:ascii="Arial" w:hAnsi="Arial" w:cs="Arial"/>
                <w:b/>
                <w:bCs/>
                <w:color w:val="000000"/>
                <w:sz w:val="16"/>
                <w:szCs w:val="16"/>
                <w:lang w:val="en-US" w:eastAsia="zh-CN"/>
              </w:rPr>
              <w:t xml:space="preserve"> 31.12.2017 </w:t>
            </w:r>
          </w:p>
        </w:tc>
      </w:tr>
      <w:tr w:rsidR="00205267" w:rsidRPr="00205267" w:rsidTr="002502E2">
        <w:trPr>
          <w:trHeight w:val="300"/>
        </w:trPr>
        <w:tc>
          <w:tcPr>
            <w:tcW w:w="3119" w:type="dxa"/>
            <w:tcBorders>
              <w:top w:val="nil"/>
              <w:left w:val="single" w:sz="4" w:space="0" w:color="auto"/>
              <w:bottom w:val="nil"/>
              <w:right w:val="nil"/>
            </w:tcBorders>
            <w:shd w:val="clear" w:color="auto" w:fill="auto"/>
            <w:vAlign w:val="bottom"/>
            <w:hideMark/>
          </w:tcPr>
          <w:p w:rsidR="00205267" w:rsidRPr="00205267" w:rsidRDefault="00205267" w:rsidP="0020526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General Secretariat</w:t>
            </w:r>
          </w:p>
        </w:tc>
        <w:tc>
          <w:tcPr>
            <w:tcW w:w="1134" w:type="dxa"/>
            <w:tcBorders>
              <w:top w:val="nil"/>
              <w:left w:val="single" w:sz="4" w:space="0" w:color="auto"/>
              <w:bottom w:val="nil"/>
              <w:right w:val="single" w:sz="4" w:space="0" w:color="auto"/>
            </w:tcBorders>
            <w:shd w:val="clear" w:color="auto" w:fill="auto"/>
            <w:noWrap/>
            <w:vAlign w:val="bottom"/>
            <w:hideMark/>
          </w:tcPr>
          <w:p w:rsidR="00205267" w:rsidRPr="00205267" w:rsidRDefault="00205267" w:rsidP="00666B97">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 xml:space="preserve">        90,761 </w:t>
            </w:r>
          </w:p>
        </w:tc>
        <w:tc>
          <w:tcPr>
            <w:tcW w:w="1134" w:type="dxa"/>
            <w:tcBorders>
              <w:top w:val="nil"/>
              <w:left w:val="nil"/>
              <w:bottom w:val="nil"/>
              <w:right w:val="nil"/>
            </w:tcBorders>
            <w:shd w:val="clear" w:color="auto" w:fill="auto"/>
            <w:noWrap/>
            <w:vAlign w:val="bottom"/>
            <w:hideMark/>
          </w:tcPr>
          <w:p w:rsidR="00205267" w:rsidRPr="00205267" w:rsidRDefault="00205267" w:rsidP="00666B97">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p>
        </w:tc>
        <w:tc>
          <w:tcPr>
            <w:tcW w:w="1134" w:type="dxa"/>
            <w:tcBorders>
              <w:top w:val="nil"/>
              <w:left w:val="single" w:sz="4" w:space="0" w:color="auto"/>
              <w:bottom w:val="nil"/>
              <w:right w:val="single" w:sz="4" w:space="0" w:color="auto"/>
            </w:tcBorders>
            <w:shd w:val="clear" w:color="auto" w:fill="auto"/>
            <w:noWrap/>
            <w:vAlign w:val="bottom"/>
            <w:hideMark/>
          </w:tcPr>
          <w:p w:rsidR="00205267" w:rsidRPr="00205267" w:rsidRDefault="00205267" w:rsidP="00666B97">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 xml:space="preserve">            -116 </w:t>
            </w:r>
          </w:p>
        </w:tc>
        <w:tc>
          <w:tcPr>
            <w:tcW w:w="1134" w:type="dxa"/>
            <w:tcBorders>
              <w:top w:val="nil"/>
              <w:left w:val="nil"/>
              <w:bottom w:val="nil"/>
              <w:right w:val="single" w:sz="4" w:space="0" w:color="auto"/>
            </w:tcBorders>
            <w:shd w:val="clear" w:color="auto" w:fill="auto"/>
            <w:noWrap/>
            <w:vAlign w:val="bottom"/>
            <w:hideMark/>
          </w:tcPr>
          <w:p w:rsidR="00205267" w:rsidRPr="00205267" w:rsidRDefault="00205267" w:rsidP="00666B97">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 xml:space="preserve">        90,645 </w:t>
            </w:r>
          </w:p>
        </w:tc>
        <w:tc>
          <w:tcPr>
            <w:tcW w:w="1134" w:type="dxa"/>
            <w:tcBorders>
              <w:top w:val="nil"/>
              <w:left w:val="nil"/>
              <w:bottom w:val="nil"/>
              <w:right w:val="single" w:sz="4" w:space="0" w:color="auto"/>
            </w:tcBorders>
            <w:shd w:val="clear" w:color="auto" w:fill="auto"/>
            <w:noWrap/>
            <w:vAlign w:val="bottom"/>
            <w:hideMark/>
          </w:tcPr>
          <w:p w:rsidR="00205267" w:rsidRPr="00205267" w:rsidRDefault="00205267" w:rsidP="00666B97">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 xml:space="preserve">       81,762 </w:t>
            </w:r>
          </w:p>
        </w:tc>
        <w:tc>
          <w:tcPr>
            <w:tcW w:w="1276" w:type="dxa"/>
            <w:tcBorders>
              <w:top w:val="nil"/>
              <w:left w:val="nil"/>
              <w:bottom w:val="nil"/>
              <w:right w:val="single" w:sz="4" w:space="0" w:color="auto"/>
            </w:tcBorders>
            <w:shd w:val="clear" w:color="auto" w:fill="auto"/>
            <w:noWrap/>
            <w:vAlign w:val="bottom"/>
            <w:hideMark/>
          </w:tcPr>
          <w:p w:rsidR="00205267" w:rsidRPr="00205267" w:rsidRDefault="00205267" w:rsidP="00666B97">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 xml:space="preserve">             8,883 </w:t>
            </w:r>
          </w:p>
        </w:tc>
      </w:tr>
      <w:tr w:rsidR="00205267" w:rsidRPr="00205267" w:rsidTr="002502E2">
        <w:trPr>
          <w:trHeight w:val="300"/>
        </w:trPr>
        <w:tc>
          <w:tcPr>
            <w:tcW w:w="3119" w:type="dxa"/>
            <w:tcBorders>
              <w:top w:val="nil"/>
              <w:left w:val="single" w:sz="4" w:space="0" w:color="auto"/>
              <w:bottom w:val="nil"/>
              <w:right w:val="nil"/>
            </w:tcBorders>
            <w:shd w:val="clear" w:color="auto" w:fill="auto"/>
            <w:vAlign w:val="bottom"/>
            <w:hideMark/>
          </w:tcPr>
          <w:p w:rsidR="00205267" w:rsidRPr="00205267" w:rsidRDefault="00205267" w:rsidP="0020526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i/>
                <w:iCs/>
                <w:color w:val="000000"/>
                <w:sz w:val="16"/>
                <w:szCs w:val="16"/>
                <w:lang w:val="en-US" w:eastAsia="zh-CN"/>
              </w:rPr>
            </w:pPr>
            <w:proofErr w:type="spellStart"/>
            <w:r w:rsidRPr="00205267">
              <w:rPr>
                <w:rFonts w:ascii="Arial" w:hAnsi="Arial" w:cs="Arial"/>
                <w:i/>
                <w:iCs/>
                <w:color w:val="000000"/>
                <w:sz w:val="16"/>
                <w:szCs w:val="16"/>
                <w:lang w:val="en-US" w:eastAsia="zh-CN"/>
              </w:rPr>
              <w:t>Radiocommunication</w:t>
            </w:r>
            <w:proofErr w:type="spellEnd"/>
            <w:r w:rsidRPr="00205267">
              <w:rPr>
                <w:rFonts w:ascii="Arial" w:hAnsi="Arial" w:cs="Arial"/>
                <w:i/>
                <w:iCs/>
                <w:color w:val="000000"/>
                <w:sz w:val="16"/>
                <w:szCs w:val="16"/>
                <w:lang w:val="en-US" w:eastAsia="zh-CN"/>
              </w:rPr>
              <w:t xml:space="preserve"> Sector</w:t>
            </w:r>
          </w:p>
        </w:tc>
        <w:tc>
          <w:tcPr>
            <w:tcW w:w="1134" w:type="dxa"/>
            <w:tcBorders>
              <w:top w:val="nil"/>
              <w:left w:val="single" w:sz="4" w:space="0" w:color="auto"/>
              <w:bottom w:val="nil"/>
              <w:right w:val="single" w:sz="4" w:space="0" w:color="auto"/>
            </w:tcBorders>
            <w:shd w:val="clear" w:color="auto" w:fill="auto"/>
            <w:noWrap/>
            <w:vAlign w:val="bottom"/>
            <w:hideMark/>
          </w:tcPr>
          <w:p w:rsidR="00205267" w:rsidRPr="00205267" w:rsidRDefault="00205267" w:rsidP="00666B97">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 xml:space="preserve">        28,603 </w:t>
            </w:r>
          </w:p>
        </w:tc>
        <w:tc>
          <w:tcPr>
            <w:tcW w:w="1134" w:type="dxa"/>
            <w:tcBorders>
              <w:top w:val="nil"/>
              <w:left w:val="nil"/>
              <w:bottom w:val="nil"/>
              <w:right w:val="single" w:sz="4" w:space="0" w:color="auto"/>
            </w:tcBorders>
            <w:shd w:val="clear" w:color="auto" w:fill="auto"/>
            <w:noWrap/>
            <w:vAlign w:val="bottom"/>
            <w:hideMark/>
          </w:tcPr>
          <w:p w:rsidR="00205267" w:rsidRPr="00205267" w:rsidRDefault="00205267" w:rsidP="00666B97">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 </w:t>
            </w:r>
          </w:p>
        </w:tc>
        <w:tc>
          <w:tcPr>
            <w:tcW w:w="1134" w:type="dxa"/>
            <w:tcBorders>
              <w:top w:val="nil"/>
              <w:left w:val="nil"/>
              <w:bottom w:val="nil"/>
              <w:right w:val="single" w:sz="4" w:space="0" w:color="auto"/>
            </w:tcBorders>
            <w:shd w:val="clear" w:color="auto" w:fill="auto"/>
            <w:noWrap/>
            <w:vAlign w:val="bottom"/>
            <w:hideMark/>
          </w:tcPr>
          <w:p w:rsidR="00205267" w:rsidRPr="00205267" w:rsidRDefault="00205267" w:rsidP="00666B97">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 </w:t>
            </w:r>
          </w:p>
        </w:tc>
        <w:tc>
          <w:tcPr>
            <w:tcW w:w="1134" w:type="dxa"/>
            <w:tcBorders>
              <w:top w:val="nil"/>
              <w:left w:val="nil"/>
              <w:bottom w:val="nil"/>
              <w:right w:val="single" w:sz="4" w:space="0" w:color="auto"/>
            </w:tcBorders>
            <w:shd w:val="clear" w:color="auto" w:fill="auto"/>
            <w:noWrap/>
            <w:vAlign w:val="bottom"/>
            <w:hideMark/>
          </w:tcPr>
          <w:p w:rsidR="00205267" w:rsidRPr="00205267" w:rsidRDefault="00205267" w:rsidP="00666B97">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 xml:space="preserve">         28,603 </w:t>
            </w:r>
          </w:p>
        </w:tc>
        <w:tc>
          <w:tcPr>
            <w:tcW w:w="1134" w:type="dxa"/>
            <w:tcBorders>
              <w:top w:val="nil"/>
              <w:left w:val="nil"/>
              <w:bottom w:val="nil"/>
              <w:right w:val="single" w:sz="4" w:space="0" w:color="auto"/>
            </w:tcBorders>
            <w:shd w:val="clear" w:color="auto" w:fill="auto"/>
            <w:noWrap/>
            <w:vAlign w:val="bottom"/>
            <w:hideMark/>
          </w:tcPr>
          <w:p w:rsidR="00205267" w:rsidRPr="00205267" w:rsidRDefault="00205267" w:rsidP="00666B97">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 xml:space="preserve">        27,234 </w:t>
            </w:r>
          </w:p>
        </w:tc>
        <w:tc>
          <w:tcPr>
            <w:tcW w:w="1276" w:type="dxa"/>
            <w:tcBorders>
              <w:top w:val="nil"/>
              <w:left w:val="nil"/>
              <w:bottom w:val="nil"/>
              <w:right w:val="single" w:sz="4" w:space="0" w:color="auto"/>
            </w:tcBorders>
            <w:shd w:val="clear" w:color="auto" w:fill="auto"/>
            <w:noWrap/>
            <w:vAlign w:val="bottom"/>
            <w:hideMark/>
          </w:tcPr>
          <w:p w:rsidR="00205267" w:rsidRPr="00205267" w:rsidRDefault="00205267" w:rsidP="00666B97">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 xml:space="preserve">             1,369 </w:t>
            </w:r>
          </w:p>
        </w:tc>
      </w:tr>
      <w:tr w:rsidR="00205267" w:rsidRPr="00205267" w:rsidTr="002502E2">
        <w:trPr>
          <w:trHeight w:val="300"/>
        </w:trPr>
        <w:tc>
          <w:tcPr>
            <w:tcW w:w="3119" w:type="dxa"/>
            <w:tcBorders>
              <w:top w:val="nil"/>
              <w:left w:val="single" w:sz="4" w:space="0" w:color="auto"/>
              <w:bottom w:val="nil"/>
              <w:right w:val="nil"/>
            </w:tcBorders>
            <w:shd w:val="clear" w:color="auto" w:fill="auto"/>
            <w:vAlign w:val="bottom"/>
            <w:hideMark/>
          </w:tcPr>
          <w:p w:rsidR="00205267" w:rsidRPr="00205267" w:rsidRDefault="00205267" w:rsidP="0020526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Telecommunication Standardization Sector</w:t>
            </w:r>
          </w:p>
        </w:tc>
        <w:tc>
          <w:tcPr>
            <w:tcW w:w="1134" w:type="dxa"/>
            <w:tcBorders>
              <w:top w:val="nil"/>
              <w:left w:val="single" w:sz="4" w:space="0" w:color="auto"/>
              <w:bottom w:val="nil"/>
              <w:right w:val="single" w:sz="4" w:space="0" w:color="auto"/>
            </w:tcBorders>
            <w:shd w:val="clear" w:color="auto" w:fill="auto"/>
            <w:noWrap/>
            <w:hideMark/>
          </w:tcPr>
          <w:p w:rsidR="00205267" w:rsidRPr="00205267" w:rsidRDefault="00205267" w:rsidP="00666B97">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 xml:space="preserve">       12,438 </w:t>
            </w:r>
          </w:p>
        </w:tc>
        <w:tc>
          <w:tcPr>
            <w:tcW w:w="1134" w:type="dxa"/>
            <w:tcBorders>
              <w:top w:val="nil"/>
              <w:left w:val="nil"/>
              <w:bottom w:val="nil"/>
              <w:right w:val="single" w:sz="4" w:space="0" w:color="auto"/>
            </w:tcBorders>
            <w:shd w:val="clear" w:color="auto" w:fill="auto"/>
            <w:noWrap/>
            <w:hideMark/>
          </w:tcPr>
          <w:p w:rsidR="00205267" w:rsidRPr="00205267" w:rsidRDefault="00205267" w:rsidP="00666B97">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 </w:t>
            </w:r>
          </w:p>
        </w:tc>
        <w:tc>
          <w:tcPr>
            <w:tcW w:w="1134" w:type="dxa"/>
            <w:tcBorders>
              <w:top w:val="nil"/>
              <w:left w:val="nil"/>
              <w:bottom w:val="nil"/>
              <w:right w:val="single" w:sz="4" w:space="0" w:color="auto"/>
            </w:tcBorders>
            <w:shd w:val="clear" w:color="auto" w:fill="auto"/>
            <w:noWrap/>
            <w:hideMark/>
          </w:tcPr>
          <w:p w:rsidR="00205267" w:rsidRPr="00205267" w:rsidRDefault="00205267" w:rsidP="00666B97">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 </w:t>
            </w:r>
          </w:p>
        </w:tc>
        <w:tc>
          <w:tcPr>
            <w:tcW w:w="1134" w:type="dxa"/>
            <w:tcBorders>
              <w:top w:val="nil"/>
              <w:left w:val="nil"/>
              <w:bottom w:val="nil"/>
              <w:right w:val="single" w:sz="4" w:space="0" w:color="auto"/>
            </w:tcBorders>
            <w:shd w:val="clear" w:color="auto" w:fill="auto"/>
            <w:noWrap/>
            <w:hideMark/>
          </w:tcPr>
          <w:p w:rsidR="00205267" w:rsidRPr="00205267" w:rsidRDefault="00205267" w:rsidP="00666B97">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 xml:space="preserve">        12,438 </w:t>
            </w:r>
          </w:p>
        </w:tc>
        <w:tc>
          <w:tcPr>
            <w:tcW w:w="1134" w:type="dxa"/>
            <w:tcBorders>
              <w:top w:val="nil"/>
              <w:left w:val="nil"/>
              <w:bottom w:val="nil"/>
              <w:right w:val="single" w:sz="4" w:space="0" w:color="auto"/>
            </w:tcBorders>
            <w:shd w:val="clear" w:color="auto" w:fill="auto"/>
            <w:noWrap/>
            <w:hideMark/>
          </w:tcPr>
          <w:p w:rsidR="00205267" w:rsidRPr="00205267" w:rsidRDefault="00205267" w:rsidP="00666B97">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 xml:space="preserve">        12,296 </w:t>
            </w:r>
          </w:p>
        </w:tc>
        <w:tc>
          <w:tcPr>
            <w:tcW w:w="1276" w:type="dxa"/>
            <w:tcBorders>
              <w:top w:val="nil"/>
              <w:left w:val="nil"/>
              <w:bottom w:val="nil"/>
              <w:right w:val="single" w:sz="4" w:space="0" w:color="auto"/>
            </w:tcBorders>
            <w:shd w:val="clear" w:color="auto" w:fill="auto"/>
            <w:noWrap/>
            <w:hideMark/>
          </w:tcPr>
          <w:p w:rsidR="00205267" w:rsidRPr="00205267" w:rsidRDefault="00205267" w:rsidP="00666B97">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 xml:space="preserve">              142 </w:t>
            </w:r>
          </w:p>
        </w:tc>
      </w:tr>
      <w:tr w:rsidR="00205267" w:rsidRPr="00205267" w:rsidTr="002502E2">
        <w:trPr>
          <w:trHeight w:val="300"/>
        </w:trPr>
        <w:tc>
          <w:tcPr>
            <w:tcW w:w="3119" w:type="dxa"/>
            <w:tcBorders>
              <w:top w:val="nil"/>
              <w:left w:val="single" w:sz="4" w:space="0" w:color="auto"/>
              <w:bottom w:val="nil"/>
              <w:right w:val="nil"/>
            </w:tcBorders>
            <w:shd w:val="clear" w:color="auto" w:fill="auto"/>
            <w:vAlign w:val="bottom"/>
            <w:hideMark/>
          </w:tcPr>
          <w:p w:rsidR="00205267" w:rsidRPr="00205267" w:rsidRDefault="00205267" w:rsidP="0020526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Telecommunication Development Sector</w:t>
            </w:r>
          </w:p>
        </w:tc>
        <w:tc>
          <w:tcPr>
            <w:tcW w:w="1134" w:type="dxa"/>
            <w:tcBorders>
              <w:top w:val="nil"/>
              <w:left w:val="single" w:sz="4" w:space="0" w:color="auto"/>
              <w:bottom w:val="nil"/>
              <w:right w:val="single" w:sz="4" w:space="0" w:color="auto"/>
            </w:tcBorders>
            <w:shd w:val="clear" w:color="auto" w:fill="auto"/>
            <w:noWrap/>
            <w:vAlign w:val="bottom"/>
            <w:hideMark/>
          </w:tcPr>
          <w:p w:rsidR="00205267" w:rsidRPr="00205267" w:rsidRDefault="00205267" w:rsidP="00666B97">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 xml:space="preserve">       28,741 </w:t>
            </w:r>
          </w:p>
        </w:tc>
        <w:tc>
          <w:tcPr>
            <w:tcW w:w="1134" w:type="dxa"/>
            <w:tcBorders>
              <w:top w:val="nil"/>
              <w:left w:val="nil"/>
              <w:bottom w:val="nil"/>
              <w:right w:val="single" w:sz="4" w:space="0" w:color="auto"/>
            </w:tcBorders>
            <w:shd w:val="clear" w:color="auto" w:fill="auto"/>
            <w:noWrap/>
            <w:vAlign w:val="bottom"/>
            <w:hideMark/>
          </w:tcPr>
          <w:p w:rsidR="00205267" w:rsidRPr="00205267" w:rsidRDefault="00205267" w:rsidP="00666B97">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 xml:space="preserve">            317 </w:t>
            </w:r>
          </w:p>
        </w:tc>
        <w:tc>
          <w:tcPr>
            <w:tcW w:w="1134" w:type="dxa"/>
            <w:tcBorders>
              <w:top w:val="nil"/>
              <w:left w:val="nil"/>
              <w:bottom w:val="nil"/>
              <w:right w:val="single" w:sz="4" w:space="0" w:color="auto"/>
            </w:tcBorders>
            <w:shd w:val="clear" w:color="auto" w:fill="auto"/>
            <w:noWrap/>
            <w:vAlign w:val="bottom"/>
            <w:hideMark/>
          </w:tcPr>
          <w:p w:rsidR="00205267" w:rsidRPr="00205267" w:rsidRDefault="00205267" w:rsidP="00666B97">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 xml:space="preserve">             116 </w:t>
            </w:r>
          </w:p>
        </w:tc>
        <w:tc>
          <w:tcPr>
            <w:tcW w:w="1134" w:type="dxa"/>
            <w:tcBorders>
              <w:top w:val="nil"/>
              <w:left w:val="nil"/>
              <w:bottom w:val="nil"/>
              <w:right w:val="single" w:sz="4" w:space="0" w:color="auto"/>
            </w:tcBorders>
            <w:shd w:val="clear" w:color="auto" w:fill="auto"/>
            <w:noWrap/>
            <w:vAlign w:val="bottom"/>
            <w:hideMark/>
          </w:tcPr>
          <w:p w:rsidR="00205267" w:rsidRPr="00205267" w:rsidRDefault="00205267" w:rsidP="00666B97">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 xml:space="preserve">        29,174 </w:t>
            </w:r>
          </w:p>
        </w:tc>
        <w:tc>
          <w:tcPr>
            <w:tcW w:w="1134" w:type="dxa"/>
            <w:tcBorders>
              <w:top w:val="nil"/>
              <w:left w:val="nil"/>
              <w:bottom w:val="nil"/>
              <w:right w:val="single" w:sz="4" w:space="0" w:color="auto"/>
            </w:tcBorders>
            <w:shd w:val="clear" w:color="auto" w:fill="auto"/>
            <w:noWrap/>
            <w:vAlign w:val="bottom"/>
            <w:hideMark/>
          </w:tcPr>
          <w:p w:rsidR="00205267" w:rsidRPr="00205267" w:rsidRDefault="00205267" w:rsidP="00666B97">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 xml:space="preserve">    27,733 </w:t>
            </w:r>
          </w:p>
        </w:tc>
        <w:tc>
          <w:tcPr>
            <w:tcW w:w="1276" w:type="dxa"/>
            <w:tcBorders>
              <w:top w:val="nil"/>
              <w:left w:val="nil"/>
              <w:bottom w:val="nil"/>
              <w:right w:val="single" w:sz="4" w:space="0" w:color="auto"/>
            </w:tcBorders>
            <w:shd w:val="clear" w:color="auto" w:fill="auto"/>
            <w:noWrap/>
            <w:vAlign w:val="bottom"/>
            <w:hideMark/>
          </w:tcPr>
          <w:p w:rsidR="00205267" w:rsidRPr="00205267" w:rsidRDefault="00205267" w:rsidP="00666B97">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 xml:space="preserve">           1,441 </w:t>
            </w:r>
          </w:p>
        </w:tc>
      </w:tr>
      <w:tr w:rsidR="00205267" w:rsidRPr="00205267" w:rsidTr="002502E2">
        <w:trPr>
          <w:trHeight w:val="300"/>
        </w:trPr>
        <w:tc>
          <w:tcPr>
            <w:tcW w:w="3119" w:type="dxa"/>
            <w:tcBorders>
              <w:top w:val="nil"/>
              <w:left w:val="single" w:sz="4" w:space="0" w:color="auto"/>
              <w:bottom w:val="nil"/>
              <w:right w:val="nil"/>
            </w:tcBorders>
            <w:shd w:val="clear" w:color="auto" w:fill="auto"/>
            <w:vAlign w:val="bottom"/>
            <w:hideMark/>
          </w:tcPr>
          <w:p w:rsidR="00205267" w:rsidRPr="00205267" w:rsidRDefault="00205267" w:rsidP="0020526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Expenses not foreseen in approved budget</w:t>
            </w:r>
          </w:p>
        </w:tc>
        <w:tc>
          <w:tcPr>
            <w:tcW w:w="1134" w:type="dxa"/>
            <w:tcBorders>
              <w:top w:val="nil"/>
              <w:left w:val="single" w:sz="4" w:space="0" w:color="auto"/>
              <w:bottom w:val="nil"/>
              <w:right w:val="single" w:sz="4" w:space="0" w:color="auto"/>
            </w:tcBorders>
            <w:shd w:val="clear" w:color="auto" w:fill="auto"/>
            <w:noWrap/>
            <w:hideMark/>
          </w:tcPr>
          <w:p w:rsidR="00205267" w:rsidRPr="00205267" w:rsidRDefault="00205267" w:rsidP="00666B97">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 </w:t>
            </w:r>
          </w:p>
        </w:tc>
        <w:tc>
          <w:tcPr>
            <w:tcW w:w="1134" w:type="dxa"/>
            <w:tcBorders>
              <w:top w:val="nil"/>
              <w:left w:val="nil"/>
              <w:bottom w:val="nil"/>
              <w:right w:val="single" w:sz="4" w:space="0" w:color="auto"/>
            </w:tcBorders>
            <w:shd w:val="clear" w:color="auto" w:fill="auto"/>
            <w:noWrap/>
            <w:hideMark/>
          </w:tcPr>
          <w:p w:rsidR="00205267" w:rsidRPr="00205267" w:rsidRDefault="00205267" w:rsidP="00666B97">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 </w:t>
            </w:r>
          </w:p>
        </w:tc>
        <w:tc>
          <w:tcPr>
            <w:tcW w:w="1134" w:type="dxa"/>
            <w:tcBorders>
              <w:top w:val="nil"/>
              <w:left w:val="nil"/>
              <w:bottom w:val="nil"/>
              <w:right w:val="single" w:sz="4" w:space="0" w:color="auto"/>
            </w:tcBorders>
            <w:shd w:val="clear" w:color="auto" w:fill="auto"/>
            <w:noWrap/>
            <w:hideMark/>
          </w:tcPr>
          <w:p w:rsidR="00205267" w:rsidRPr="00205267" w:rsidRDefault="00205267" w:rsidP="00666B97">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 </w:t>
            </w:r>
          </w:p>
        </w:tc>
        <w:tc>
          <w:tcPr>
            <w:tcW w:w="1134" w:type="dxa"/>
            <w:tcBorders>
              <w:top w:val="nil"/>
              <w:left w:val="nil"/>
              <w:bottom w:val="nil"/>
              <w:right w:val="single" w:sz="4" w:space="0" w:color="auto"/>
            </w:tcBorders>
            <w:shd w:val="clear" w:color="auto" w:fill="auto"/>
            <w:noWrap/>
            <w:hideMark/>
          </w:tcPr>
          <w:p w:rsidR="00205267" w:rsidRPr="00205267" w:rsidRDefault="00205267" w:rsidP="00666B97">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 xml:space="preserve">                  -   </w:t>
            </w:r>
          </w:p>
        </w:tc>
        <w:tc>
          <w:tcPr>
            <w:tcW w:w="1134" w:type="dxa"/>
            <w:tcBorders>
              <w:top w:val="nil"/>
              <w:left w:val="nil"/>
              <w:bottom w:val="nil"/>
              <w:right w:val="single" w:sz="4" w:space="0" w:color="auto"/>
            </w:tcBorders>
            <w:shd w:val="clear" w:color="auto" w:fill="auto"/>
            <w:noWrap/>
            <w:hideMark/>
          </w:tcPr>
          <w:p w:rsidR="00205267" w:rsidRPr="00205267" w:rsidRDefault="00205267" w:rsidP="00666B97">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 xml:space="preserve">          644 </w:t>
            </w:r>
          </w:p>
        </w:tc>
        <w:tc>
          <w:tcPr>
            <w:tcW w:w="1276" w:type="dxa"/>
            <w:tcBorders>
              <w:top w:val="nil"/>
              <w:left w:val="nil"/>
              <w:bottom w:val="nil"/>
              <w:right w:val="single" w:sz="4" w:space="0" w:color="auto"/>
            </w:tcBorders>
            <w:shd w:val="clear" w:color="auto" w:fill="auto"/>
            <w:noWrap/>
            <w:hideMark/>
          </w:tcPr>
          <w:p w:rsidR="00205267" w:rsidRPr="00205267" w:rsidRDefault="00205267" w:rsidP="00666B97">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205267">
              <w:rPr>
                <w:rFonts w:ascii="Arial" w:hAnsi="Arial" w:cs="Arial"/>
                <w:i/>
                <w:iCs/>
                <w:color w:val="000000"/>
                <w:sz w:val="16"/>
                <w:szCs w:val="16"/>
                <w:lang w:val="en-US" w:eastAsia="zh-CN"/>
              </w:rPr>
              <w:t xml:space="preserve">               -644 </w:t>
            </w:r>
          </w:p>
        </w:tc>
      </w:tr>
      <w:tr w:rsidR="00205267" w:rsidRPr="00205267" w:rsidTr="002502E2">
        <w:trPr>
          <w:trHeight w:val="300"/>
        </w:trPr>
        <w:tc>
          <w:tcPr>
            <w:tcW w:w="3119" w:type="dxa"/>
            <w:tcBorders>
              <w:top w:val="single" w:sz="4" w:space="0" w:color="auto"/>
              <w:left w:val="single" w:sz="4" w:space="0" w:color="auto"/>
              <w:bottom w:val="single" w:sz="4" w:space="0" w:color="auto"/>
              <w:right w:val="nil"/>
            </w:tcBorders>
            <w:shd w:val="clear" w:color="000000" w:fill="DCE6F1"/>
            <w:noWrap/>
            <w:vAlign w:val="bottom"/>
            <w:hideMark/>
          </w:tcPr>
          <w:p w:rsidR="00205267" w:rsidRPr="00205267" w:rsidRDefault="00205267" w:rsidP="0020526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20"/>
                <w:lang w:val="en-US" w:eastAsia="zh-CN"/>
              </w:rPr>
            </w:pPr>
            <w:r w:rsidRPr="00205267">
              <w:rPr>
                <w:rFonts w:ascii="Arial" w:hAnsi="Arial" w:cs="Arial"/>
                <w:b/>
                <w:bCs/>
                <w:color w:val="000000"/>
                <w:sz w:val="20"/>
                <w:lang w:val="en-US" w:eastAsia="zh-CN"/>
              </w:rPr>
              <w:t xml:space="preserve">Total expenses  </w:t>
            </w:r>
          </w:p>
        </w:tc>
        <w:tc>
          <w:tcPr>
            <w:tcW w:w="1134"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rsidR="00205267" w:rsidRPr="00966288" w:rsidRDefault="00CD0F7D" w:rsidP="00666B97">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966288">
              <w:rPr>
                <w:rFonts w:ascii="Arial" w:hAnsi="Arial" w:cs="Arial"/>
                <w:b/>
                <w:bCs/>
                <w:color w:val="000000"/>
                <w:sz w:val="20"/>
                <w:lang w:val="en-US" w:eastAsia="zh-CN"/>
              </w:rPr>
              <w:t>16</w:t>
            </w:r>
            <w:r w:rsidR="00205267" w:rsidRPr="00966288">
              <w:rPr>
                <w:rFonts w:ascii="Arial" w:hAnsi="Arial" w:cs="Arial"/>
                <w:b/>
                <w:bCs/>
                <w:color w:val="000000"/>
                <w:sz w:val="20"/>
                <w:lang w:val="en-US" w:eastAsia="zh-CN"/>
              </w:rPr>
              <w:t xml:space="preserve">0,543 </w:t>
            </w:r>
          </w:p>
        </w:tc>
        <w:tc>
          <w:tcPr>
            <w:tcW w:w="1134" w:type="dxa"/>
            <w:tcBorders>
              <w:top w:val="single" w:sz="4" w:space="0" w:color="auto"/>
              <w:left w:val="nil"/>
              <w:bottom w:val="single" w:sz="4" w:space="0" w:color="auto"/>
              <w:right w:val="single" w:sz="4" w:space="0" w:color="auto"/>
            </w:tcBorders>
            <w:shd w:val="clear" w:color="000000" w:fill="DCE6F1"/>
            <w:noWrap/>
            <w:vAlign w:val="bottom"/>
            <w:hideMark/>
          </w:tcPr>
          <w:p w:rsidR="00205267" w:rsidRPr="00205267" w:rsidRDefault="00205267" w:rsidP="00666B97">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205267">
              <w:rPr>
                <w:rFonts w:ascii="Arial" w:hAnsi="Arial" w:cs="Arial"/>
                <w:b/>
                <w:bCs/>
                <w:color w:val="000000"/>
                <w:sz w:val="20"/>
                <w:lang w:val="en-US" w:eastAsia="zh-CN"/>
              </w:rPr>
              <w:t> </w:t>
            </w:r>
          </w:p>
        </w:tc>
        <w:tc>
          <w:tcPr>
            <w:tcW w:w="1134" w:type="dxa"/>
            <w:tcBorders>
              <w:top w:val="single" w:sz="4" w:space="0" w:color="auto"/>
              <w:left w:val="nil"/>
              <w:bottom w:val="single" w:sz="4" w:space="0" w:color="auto"/>
              <w:right w:val="single" w:sz="4" w:space="0" w:color="auto"/>
            </w:tcBorders>
            <w:shd w:val="clear" w:color="000000" w:fill="DCE6F1"/>
            <w:noWrap/>
            <w:vAlign w:val="bottom"/>
            <w:hideMark/>
          </w:tcPr>
          <w:p w:rsidR="00205267" w:rsidRPr="00205267" w:rsidRDefault="00205267" w:rsidP="00666B97">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205267">
              <w:rPr>
                <w:rFonts w:ascii="Arial" w:hAnsi="Arial" w:cs="Arial"/>
                <w:b/>
                <w:bCs/>
                <w:color w:val="000000"/>
                <w:sz w:val="20"/>
                <w:lang w:val="en-US" w:eastAsia="zh-CN"/>
              </w:rPr>
              <w:t xml:space="preserve">            -   </w:t>
            </w:r>
          </w:p>
        </w:tc>
        <w:tc>
          <w:tcPr>
            <w:tcW w:w="1134" w:type="dxa"/>
            <w:tcBorders>
              <w:top w:val="single" w:sz="4" w:space="0" w:color="auto"/>
              <w:left w:val="nil"/>
              <w:bottom w:val="single" w:sz="4" w:space="0" w:color="auto"/>
              <w:right w:val="single" w:sz="4" w:space="0" w:color="auto"/>
            </w:tcBorders>
            <w:shd w:val="clear" w:color="000000" w:fill="DCE6F1"/>
            <w:noWrap/>
            <w:vAlign w:val="bottom"/>
            <w:hideMark/>
          </w:tcPr>
          <w:p w:rsidR="00205267" w:rsidRPr="00205267" w:rsidRDefault="00205267" w:rsidP="00666B97">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205267">
              <w:rPr>
                <w:rFonts w:ascii="Arial" w:hAnsi="Arial" w:cs="Arial"/>
                <w:b/>
                <w:bCs/>
                <w:color w:val="000000"/>
                <w:sz w:val="20"/>
                <w:lang w:val="en-US" w:eastAsia="zh-CN"/>
              </w:rPr>
              <w:t xml:space="preserve">  160,860 </w:t>
            </w:r>
          </w:p>
        </w:tc>
        <w:tc>
          <w:tcPr>
            <w:tcW w:w="1134" w:type="dxa"/>
            <w:tcBorders>
              <w:top w:val="single" w:sz="4" w:space="0" w:color="auto"/>
              <w:left w:val="nil"/>
              <w:bottom w:val="single" w:sz="4" w:space="0" w:color="auto"/>
              <w:right w:val="single" w:sz="4" w:space="0" w:color="auto"/>
            </w:tcBorders>
            <w:shd w:val="clear" w:color="000000" w:fill="DCE6F1"/>
            <w:noWrap/>
            <w:vAlign w:val="bottom"/>
            <w:hideMark/>
          </w:tcPr>
          <w:p w:rsidR="00205267" w:rsidRPr="00205267" w:rsidRDefault="00666B97" w:rsidP="00666B97">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Pr>
                <w:rFonts w:ascii="Arial" w:hAnsi="Arial" w:cs="Arial"/>
                <w:b/>
                <w:bCs/>
                <w:color w:val="000000"/>
                <w:sz w:val="20"/>
                <w:lang w:val="en-US" w:eastAsia="zh-CN"/>
              </w:rPr>
              <w:t>14</w:t>
            </w:r>
            <w:r w:rsidR="00205267" w:rsidRPr="00205267">
              <w:rPr>
                <w:rFonts w:ascii="Arial" w:hAnsi="Arial" w:cs="Arial"/>
                <w:b/>
                <w:bCs/>
                <w:color w:val="000000"/>
                <w:sz w:val="20"/>
                <w:lang w:val="en-US" w:eastAsia="zh-CN"/>
              </w:rPr>
              <w:t xml:space="preserve">9,669 </w:t>
            </w:r>
          </w:p>
        </w:tc>
        <w:tc>
          <w:tcPr>
            <w:tcW w:w="1276" w:type="dxa"/>
            <w:tcBorders>
              <w:top w:val="single" w:sz="4" w:space="0" w:color="auto"/>
              <w:left w:val="nil"/>
              <w:bottom w:val="single" w:sz="4" w:space="0" w:color="auto"/>
              <w:right w:val="single" w:sz="4" w:space="0" w:color="auto"/>
            </w:tcBorders>
            <w:shd w:val="clear" w:color="000000" w:fill="DCE6F1"/>
            <w:noWrap/>
            <w:vAlign w:val="bottom"/>
            <w:hideMark/>
          </w:tcPr>
          <w:p w:rsidR="00205267" w:rsidRPr="00205267" w:rsidRDefault="00205267" w:rsidP="00666B97">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205267">
              <w:rPr>
                <w:rFonts w:ascii="Arial" w:hAnsi="Arial" w:cs="Arial"/>
                <w:b/>
                <w:bCs/>
                <w:color w:val="000000"/>
                <w:sz w:val="20"/>
                <w:lang w:val="en-US" w:eastAsia="zh-CN"/>
              </w:rPr>
              <w:t xml:space="preserve">       11,191 </w:t>
            </w:r>
          </w:p>
        </w:tc>
      </w:tr>
      <w:tr w:rsidR="00205267" w:rsidRPr="00205267" w:rsidTr="002502E2">
        <w:trPr>
          <w:trHeight w:val="300"/>
        </w:trPr>
        <w:tc>
          <w:tcPr>
            <w:tcW w:w="3119" w:type="dxa"/>
            <w:tcBorders>
              <w:top w:val="nil"/>
              <w:left w:val="single" w:sz="4" w:space="0" w:color="auto"/>
              <w:bottom w:val="single" w:sz="4" w:space="0" w:color="auto"/>
              <w:right w:val="nil"/>
            </w:tcBorders>
            <w:shd w:val="clear" w:color="auto" w:fill="auto"/>
            <w:vAlign w:val="center"/>
            <w:hideMark/>
          </w:tcPr>
          <w:p w:rsidR="00205267" w:rsidRPr="00205267" w:rsidRDefault="00205267" w:rsidP="0020526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20"/>
                <w:lang w:val="en-US" w:eastAsia="zh-CN"/>
              </w:rPr>
            </w:pPr>
            <w:r w:rsidRPr="00205267">
              <w:rPr>
                <w:rFonts w:ascii="Arial" w:hAnsi="Arial" w:cs="Arial"/>
                <w:b/>
                <w:bCs/>
                <w:color w:val="000000"/>
                <w:sz w:val="20"/>
                <w:lang w:val="en-US" w:eastAsia="zh-CN"/>
              </w:rPr>
              <w:t>Result</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05267" w:rsidRPr="00205267" w:rsidRDefault="00205267" w:rsidP="00666B97">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205267">
              <w:rPr>
                <w:rFonts w:ascii="Arial" w:hAnsi="Arial" w:cs="Arial"/>
                <w:b/>
                <w:bCs/>
                <w:color w:val="000000"/>
                <w:sz w:val="20"/>
                <w:lang w:val="en-US" w:eastAsia="zh-CN"/>
              </w:rPr>
              <w:t> </w:t>
            </w:r>
          </w:p>
        </w:tc>
        <w:tc>
          <w:tcPr>
            <w:tcW w:w="1134" w:type="dxa"/>
            <w:tcBorders>
              <w:top w:val="nil"/>
              <w:left w:val="nil"/>
              <w:bottom w:val="single" w:sz="4" w:space="0" w:color="auto"/>
              <w:right w:val="single" w:sz="4" w:space="0" w:color="auto"/>
            </w:tcBorders>
            <w:shd w:val="clear" w:color="auto" w:fill="auto"/>
            <w:noWrap/>
            <w:vAlign w:val="bottom"/>
            <w:hideMark/>
          </w:tcPr>
          <w:p w:rsidR="00205267" w:rsidRPr="00205267" w:rsidRDefault="00205267" w:rsidP="00666B97">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205267">
              <w:rPr>
                <w:rFonts w:ascii="Arial" w:hAnsi="Arial" w:cs="Arial"/>
                <w:b/>
                <w:bCs/>
                <w:color w:val="000000"/>
                <w:sz w:val="20"/>
                <w:lang w:val="en-US" w:eastAsia="zh-CN"/>
              </w:rPr>
              <w:t> </w:t>
            </w:r>
          </w:p>
        </w:tc>
        <w:tc>
          <w:tcPr>
            <w:tcW w:w="1134" w:type="dxa"/>
            <w:tcBorders>
              <w:top w:val="nil"/>
              <w:left w:val="nil"/>
              <w:bottom w:val="single" w:sz="4" w:space="0" w:color="auto"/>
              <w:right w:val="single" w:sz="4" w:space="0" w:color="auto"/>
            </w:tcBorders>
            <w:shd w:val="clear" w:color="auto" w:fill="auto"/>
            <w:noWrap/>
            <w:vAlign w:val="bottom"/>
            <w:hideMark/>
          </w:tcPr>
          <w:p w:rsidR="00205267" w:rsidRPr="00205267" w:rsidRDefault="00205267" w:rsidP="00666B97">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205267">
              <w:rPr>
                <w:rFonts w:ascii="Arial" w:hAnsi="Arial" w:cs="Arial"/>
                <w:b/>
                <w:bCs/>
                <w:color w:val="000000"/>
                <w:sz w:val="20"/>
                <w:lang w:val="en-US" w:eastAsia="zh-CN"/>
              </w:rPr>
              <w:t> </w:t>
            </w:r>
          </w:p>
        </w:tc>
        <w:tc>
          <w:tcPr>
            <w:tcW w:w="1134" w:type="dxa"/>
            <w:tcBorders>
              <w:top w:val="nil"/>
              <w:left w:val="nil"/>
              <w:bottom w:val="single" w:sz="4" w:space="0" w:color="auto"/>
              <w:right w:val="single" w:sz="4" w:space="0" w:color="auto"/>
            </w:tcBorders>
            <w:shd w:val="clear" w:color="auto" w:fill="auto"/>
            <w:noWrap/>
            <w:vAlign w:val="bottom"/>
            <w:hideMark/>
          </w:tcPr>
          <w:p w:rsidR="00205267" w:rsidRPr="00205267" w:rsidRDefault="00205267" w:rsidP="00666B97">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205267">
              <w:rPr>
                <w:rFonts w:ascii="Arial" w:hAnsi="Arial" w:cs="Arial"/>
                <w:b/>
                <w:bCs/>
                <w:color w:val="000000"/>
                <w:sz w:val="20"/>
                <w:lang w:val="en-US" w:eastAsia="zh-CN"/>
              </w:rPr>
              <w:t> </w:t>
            </w:r>
          </w:p>
        </w:tc>
        <w:tc>
          <w:tcPr>
            <w:tcW w:w="1134" w:type="dxa"/>
            <w:tcBorders>
              <w:top w:val="nil"/>
              <w:left w:val="nil"/>
              <w:bottom w:val="single" w:sz="4" w:space="0" w:color="auto"/>
              <w:right w:val="single" w:sz="4" w:space="0" w:color="auto"/>
            </w:tcBorders>
            <w:shd w:val="clear" w:color="auto" w:fill="auto"/>
            <w:noWrap/>
            <w:vAlign w:val="bottom"/>
            <w:hideMark/>
          </w:tcPr>
          <w:p w:rsidR="00205267" w:rsidRPr="00205267" w:rsidRDefault="00205267" w:rsidP="00666B97">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205267">
              <w:rPr>
                <w:rFonts w:ascii="Arial" w:hAnsi="Arial" w:cs="Arial"/>
                <w:b/>
                <w:bCs/>
                <w:color w:val="000000"/>
                <w:sz w:val="20"/>
                <w:lang w:val="en-US" w:eastAsia="zh-CN"/>
              </w:rPr>
              <w:t xml:space="preserve">     11,365 </w:t>
            </w:r>
          </w:p>
        </w:tc>
        <w:tc>
          <w:tcPr>
            <w:tcW w:w="1276" w:type="dxa"/>
            <w:tcBorders>
              <w:top w:val="nil"/>
              <w:left w:val="nil"/>
              <w:bottom w:val="single" w:sz="4" w:space="0" w:color="auto"/>
              <w:right w:val="single" w:sz="4" w:space="0" w:color="auto"/>
            </w:tcBorders>
            <w:shd w:val="clear" w:color="auto" w:fill="auto"/>
            <w:noWrap/>
            <w:vAlign w:val="bottom"/>
            <w:hideMark/>
          </w:tcPr>
          <w:p w:rsidR="00205267" w:rsidRPr="00205267" w:rsidRDefault="00205267" w:rsidP="00666B97">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205267">
              <w:rPr>
                <w:rFonts w:ascii="Arial" w:hAnsi="Arial" w:cs="Arial"/>
                <w:b/>
                <w:bCs/>
                <w:color w:val="000000"/>
                <w:sz w:val="20"/>
                <w:lang w:val="en-US" w:eastAsia="zh-CN"/>
              </w:rPr>
              <w:t xml:space="preserve">       11,365 </w:t>
            </w:r>
          </w:p>
        </w:tc>
      </w:tr>
    </w:tbl>
    <w:p w:rsidR="0007677D" w:rsidRDefault="0007677D" w:rsidP="00BE5761">
      <w:pPr>
        <w:tabs>
          <w:tab w:val="left" w:pos="851"/>
        </w:tabs>
        <w:spacing w:before="240"/>
        <w:rPr>
          <w:color w:val="000000"/>
          <w:lang w:val="en-US"/>
        </w:rPr>
      </w:pPr>
    </w:p>
    <w:p w:rsidR="00D27B5F" w:rsidRDefault="00D27B5F" w:rsidP="00BE5761">
      <w:pPr>
        <w:tabs>
          <w:tab w:val="left" w:pos="851"/>
        </w:tabs>
        <w:spacing w:before="240"/>
        <w:rPr>
          <w:color w:val="000000"/>
          <w:lang w:val="en-US"/>
        </w:rPr>
      </w:pPr>
    </w:p>
    <w:p w:rsidR="003D789A" w:rsidRDefault="007A32EE" w:rsidP="006B69B1">
      <w:pPr>
        <w:pStyle w:val="Heading9"/>
        <w:snapToGrid w:val="0"/>
        <w:spacing w:before="0"/>
        <w:jc w:val="center"/>
        <w:rPr>
          <w:b w:val="0"/>
          <w:bCs/>
          <w:w w:val="105"/>
          <w:sz w:val="28"/>
          <w:szCs w:val="28"/>
          <w:lang w:val="en-US"/>
        </w:rPr>
      </w:pPr>
      <w:r>
        <w:rPr>
          <w:color w:val="000000"/>
          <w:lang w:val="en-US"/>
        </w:rPr>
        <w:br w:type="page"/>
      </w:r>
      <w:r w:rsidR="003D789A">
        <w:rPr>
          <w:b w:val="0"/>
          <w:bCs/>
          <w:w w:val="105"/>
          <w:sz w:val="28"/>
          <w:szCs w:val="28"/>
          <w:lang w:val="en-US"/>
        </w:rPr>
        <w:t xml:space="preserve">ANNEX </w:t>
      </w:r>
      <w:r w:rsidR="004D6371">
        <w:rPr>
          <w:b w:val="0"/>
          <w:bCs/>
          <w:w w:val="105"/>
          <w:sz w:val="28"/>
          <w:szCs w:val="28"/>
          <w:lang w:val="en-US"/>
        </w:rPr>
        <w:t>A</w:t>
      </w:r>
      <w:r w:rsidR="003D789A">
        <w:rPr>
          <w:b w:val="0"/>
          <w:bCs/>
          <w:w w:val="105"/>
          <w:sz w:val="28"/>
          <w:szCs w:val="28"/>
          <w:lang w:val="en-US"/>
        </w:rPr>
        <w:t>2</w:t>
      </w:r>
    </w:p>
    <w:p w:rsidR="003D789A" w:rsidRPr="002502E2" w:rsidRDefault="003D789A" w:rsidP="002502E2">
      <w:pPr>
        <w:snapToGrid w:val="0"/>
        <w:spacing w:after="120"/>
        <w:jc w:val="center"/>
        <w:rPr>
          <w:b/>
          <w:bCs/>
          <w:sz w:val="28"/>
          <w:szCs w:val="28"/>
          <w:lang w:val="en-US"/>
        </w:rPr>
      </w:pPr>
      <w:r w:rsidRPr="002502E2">
        <w:rPr>
          <w:b/>
          <w:bCs/>
          <w:sz w:val="28"/>
          <w:szCs w:val="28"/>
          <w:lang w:val="en-US"/>
        </w:rPr>
        <w:t xml:space="preserve">New </w:t>
      </w:r>
      <w:r w:rsidR="009623EA" w:rsidRPr="002502E2">
        <w:rPr>
          <w:b/>
          <w:bCs/>
          <w:sz w:val="28"/>
          <w:szCs w:val="28"/>
          <w:lang w:val="en-US"/>
        </w:rPr>
        <w:t>headquarter</w:t>
      </w:r>
      <w:r w:rsidR="004F4A3C">
        <w:rPr>
          <w:b/>
          <w:bCs/>
          <w:sz w:val="28"/>
          <w:szCs w:val="28"/>
          <w:lang w:val="en-US"/>
        </w:rPr>
        <w:t>s</w:t>
      </w:r>
      <w:r w:rsidR="009623EA" w:rsidRPr="002502E2">
        <w:rPr>
          <w:b/>
          <w:bCs/>
          <w:sz w:val="28"/>
          <w:szCs w:val="28"/>
          <w:lang w:val="en-US"/>
        </w:rPr>
        <w:t xml:space="preserve"> premises</w:t>
      </w:r>
    </w:p>
    <w:tbl>
      <w:tblPr>
        <w:tblW w:w="6137" w:type="dxa"/>
        <w:jc w:val="center"/>
        <w:tblLook w:val="04A0" w:firstRow="1" w:lastRow="0" w:firstColumn="1" w:lastColumn="0" w:noHBand="0" w:noVBand="1"/>
      </w:tblPr>
      <w:tblGrid>
        <w:gridCol w:w="4920"/>
        <w:gridCol w:w="1217"/>
      </w:tblGrid>
      <w:tr w:rsidR="006506F5" w:rsidRPr="00D23D6A" w:rsidTr="00706A3C">
        <w:trPr>
          <w:trHeight w:val="255"/>
          <w:jc w:val="center"/>
        </w:trPr>
        <w:tc>
          <w:tcPr>
            <w:tcW w:w="613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506F5" w:rsidRPr="00D533F9" w:rsidRDefault="006506F5" w:rsidP="006506F5">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0"/>
                <w:lang w:val="en-US" w:eastAsia="zh-CN"/>
              </w:rPr>
            </w:pPr>
            <w:r>
              <w:rPr>
                <w:rFonts w:cs="Calibri"/>
                <w:b/>
                <w:bCs/>
                <w:sz w:val="20"/>
                <w:lang w:val="en-US"/>
              </w:rPr>
              <w:t>Statement of financial performance for the 2017 period</w:t>
            </w:r>
          </w:p>
        </w:tc>
      </w:tr>
      <w:tr w:rsidR="00D23D6A" w:rsidRPr="00D23D6A" w:rsidTr="002502E2">
        <w:trPr>
          <w:trHeight w:val="255"/>
          <w:jc w:val="center"/>
        </w:trPr>
        <w:tc>
          <w:tcPr>
            <w:tcW w:w="4920" w:type="dxa"/>
            <w:tcBorders>
              <w:top w:val="single" w:sz="4" w:space="0" w:color="auto"/>
              <w:left w:val="single" w:sz="4" w:space="0" w:color="auto"/>
              <w:bottom w:val="single" w:sz="4" w:space="0" w:color="auto"/>
              <w:right w:val="nil"/>
            </w:tcBorders>
            <w:shd w:val="clear" w:color="auto" w:fill="auto"/>
            <w:noWrap/>
            <w:vAlign w:val="bottom"/>
            <w:hideMark/>
          </w:tcPr>
          <w:p w:rsidR="00D23D6A" w:rsidRPr="00D533F9" w:rsidRDefault="00D23D6A" w:rsidP="00D23D6A">
            <w:pPr>
              <w:tabs>
                <w:tab w:val="clear" w:pos="567"/>
                <w:tab w:val="clear" w:pos="1134"/>
                <w:tab w:val="clear" w:pos="1701"/>
                <w:tab w:val="clear" w:pos="2268"/>
                <w:tab w:val="clear" w:pos="2835"/>
              </w:tabs>
              <w:overflowPunct/>
              <w:autoSpaceDE/>
              <w:autoSpaceDN/>
              <w:adjustRightInd/>
              <w:spacing w:before="0"/>
              <w:textAlignment w:val="auto"/>
              <w:rPr>
                <w:rFonts w:cs="Arial"/>
                <w:sz w:val="20"/>
                <w:lang w:val="en-US" w:eastAsia="zh-CN"/>
              </w:rPr>
            </w:pPr>
            <w:r w:rsidRPr="00D533F9">
              <w:rPr>
                <w:rFonts w:cs="Arial"/>
                <w:sz w:val="20"/>
                <w:lang w:val="en-US" w:eastAsia="zh-CN"/>
              </w:rPr>
              <w:t>(in thousands of Swiss francs)</w:t>
            </w:r>
          </w:p>
        </w:tc>
        <w:tc>
          <w:tcPr>
            <w:tcW w:w="1217" w:type="dxa"/>
            <w:tcBorders>
              <w:top w:val="single" w:sz="4" w:space="0" w:color="auto"/>
              <w:left w:val="single" w:sz="4" w:space="0" w:color="auto"/>
              <w:bottom w:val="single" w:sz="4" w:space="0" w:color="auto"/>
              <w:right w:val="single" w:sz="4" w:space="0" w:color="auto"/>
            </w:tcBorders>
            <w:shd w:val="clear" w:color="auto" w:fill="auto"/>
            <w:hideMark/>
          </w:tcPr>
          <w:p w:rsidR="00D23D6A" w:rsidRPr="00D533F9" w:rsidRDefault="00D23D6A" w:rsidP="00D23D6A">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D533F9">
              <w:rPr>
                <w:rFonts w:cs="Arial"/>
                <w:b/>
                <w:bCs/>
                <w:color w:val="000000"/>
                <w:sz w:val="20"/>
                <w:lang w:val="en-US" w:eastAsia="zh-CN"/>
              </w:rPr>
              <w:t>31/12/2017</w:t>
            </w:r>
          </w:p>
        </w:tc>
      </w:tr>
      <w:tr w:rsidR="00D23D6A" w:rsidRPr="00D23D6A" w:rsidTr="002502E2">
        <w:trPr>
          <w:trHeight w:val="255"/>
          <w:jc w:val="center"/>
        </w:trPr>
        <w:tc>
          <w:tcPr>
            <w:tcW w:w="4920" w:type="dxa"/>
            <w:tcBorders>
              <w:top w:val="nil"/>
              <w:left w:val="single" w:sz="4" w:space="0" w:color="auto"/>
              <w:bottom w:val="nil"/>
              <w:right w:val="nil"/>
            </w:tcBorders>
            <w:shd w:val="clear" w:color="auto" w:fill="auto"/>
            <w:noWrap/>
            <w:vAlign w:val="bottom"/>
            <w:hideMark/>
          </w:tcPr>
          <w:p w:rsidR="00D23D6A" w:rsidRPr="00D533F9" w:rsidRDefault="00D23D6A" w:rsidP="00D23D6A">
            <w:pPr>
              <w:tabs>
                <w:tab w:val="clear" w:pos="567"/>
                <w:tab w:val="clear" w:pos="1134"/>
                <w:tab w:val="clear" w:pos="1701"/>
                <w:tab w:val="clear" w:pos="2268"/>
                <w:tab w:val="clear" w:pos="2835"/>
              </w:tabs>
              <w:overflowPunct/>
              <w:autoSpaceDE/>
              <w:autoSpaceDN/>
              <w:adjustRightInd/>
              <w:spacing w:before="0"/>
              <w:textAlignment w:val="auto"/>
              <w:rPr>
                <w:rFonts w:cs="Arial"/>
                <w:sz w:val="20"/>
                <w:lang w:val="en-US" w:eastAsia="zh-CN"/>
              </w:rPr>
            </w:pPr>
            <w:r w:rsidRPr="00D533F9">
              <w:rPr>
                <w:rFonts w:cs="Arial"/>
                <w:sz w:val="20"/>
                <w:lang w:val="en-US" w:eastAsia="zh-CN"/>
              </w:rPr>
              <w:t> </w:t>
            </w:r>
          </w:p>
        </w:tc>
        <w:tc>
          <w:tcPr>
            <w:tcW w:w="1217" w:type="dxa"/>
            <w:tcBorders>
              <w:top w:val="nil"/>
              <w:left w:val="single" w:sz="4" w:space="0" w:color="auto"/>
              <w:bottom w:val="nil"/>
              <w:right w:val="single" w:sz="4" w:space="0" w:color="auto"/>
            </w:tcBorders>
            <w:shd w:val="clear" w:color="auto" w:fill="auto"/>
            <w:hideMark/>
          </w:tcPr>
          <w:p w:rsidR="00D23D6A" w:rsidRPr="00D533F9" w:rsidRDefault="00D23D6A" w:rsidP="00D23D6A">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D533F9">
              <w:rPr>
                <w:rFonts w:cs="Arial"/>
                <w:b/>
                <w:bCs/>
                <w:color w:val="000000"/>
                <w:sz w:val="20"/>
                <w:lang w:val="en-US" w:eastAsia="zh-CN"/>
              </w:rPr>
              <w:t> </w:t>
            </w:r>
          </w:p>
        </w:tc>
      </w:tr>
      <w:tr w:rsidR="00D23D6A" w:rsidRPr="00D23D6A" w:rsidTr="002502E2">
        <w:trPr>
          <w:trHeight w:val="255"/>
          <w:jc w:val="center"/>
        </w:trPr>
        <w:tc>
          <w:tcPr>
            <w:tcW w:w="4920" w:type="dxa"/>
            <w:tcBorders>
              <w:top w:val="nil"/>
              <w:left w:val="single" w:sz="4" w:space="0" w:color="auto"/>
              <w:bottom w:val="nil"/>
              <w:right w:val="nil"/>
            </w:tcBorders>
            <w:shd w:val="clear" w:color="auto" w:fill="auto"/>
            <w:hideMark/>
          </w:tcPr>
          <w:p w:rsidR="00D23D6A" w:rsidRPr="00D533F9" w:rsidRDefault="00D23D6A" w:rsidP="00D23D6A">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D533F9">
              <w:rPr>
                <w:rFonts w:cs="Arial"/>
                <w:b/>
                <w:bCs/>
                <w:color w:val="000000"/>
                <w:sz w:val="20"/>
                <w:lang w:val="en-US" w:eastAsia="zh-CN"/>
              </w:rPr>
              <w:t>REVENUE</w:t>
            </w:r>
          </w:p>
        </w:tc>
        <w:tc>
          <w:tcPr>
            <w:tcW w:w="1217" w:type="dxa"/>
            <w:tcBorders>
              <w:top w:val="nil"/>
              <w:left w:val="single" w:sz="4" w:space="0" w:color="auto"/>
              <w:bottom w:val="nil"/>
              <w:right w:val="single" w:sz="4" w:space="0" w:color="auto"/>
            </w:tcBorders>
            <w:shd w:val="clear" w:color="auto" w:fill="auto"/>
            <w:hideMark/>
          </w:tcPr>
          <w:p w:rsidR="00D23D6A" w:rsidRPr="00D533F9" w:rsidRDefault="00D23D6A" w:rsidP="00D23D6A">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D533F9">
              <w:rPr>
                <w:rFonts w:cs="Arial"/>
                <w:b/>
                <w:bCs/>
                <w:color w:val="000000"/>
                <w:sz w:val="20"/>
                <w:lang w:val="en-US" w:eastAsia="zh-CN"/>
              </w:rPr>
              <w:t> </w:t>
            </w:r>
          </w:p>
        </w:tc>
      </w:tr>
      <w:tr w:rsidR="00D23D6A" w:rsidRPr="00D23D6A" w:rsidTr="002502E2">
        <w:trPr>
          <w:trHeight w:val="255"/>
          <w:jc w:val="center"/>
        </w:trPr>
        <w:tc>
          <w:tcPr>
            <w:tcW w:w="4920" w:type="dxa"/>
            <w:tcBorders>
              <w:top w:val="nil"/>
              <w:left w:val="single" w:sz="4" w:space="0" w:color="auto"/>
              <w:bottom w:val="nil"/>
              <w:right w:val="nil"/>
            </w:tcBorders>
            <w:shd w:val="clear" w:color="auto" w:fill="auto"/>
            <w:hideMark/>
          </w:tcPr>
          <w:p w:rsidR="00D23D6A" w:rsidRPr="00D533F9" w:rsidRDefault="00D23D6A" w:rsidP="00D23D6A">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D533F9">
              <w:rPr>
                <w:rFonts w:cs="Arial"/>
                <w:b/>
                <w:bCs/>
                <w:color w:val="000000"/>
                <w:sz w:val="20"/>
                <w:lang w:val="en-US" w:eastAsia="zh-CN"/>
              </w:rPr>
              <w:t> </w:t>
            </w:r>
          </w:p>
        </w:tc>
        <w:tc>
          <w:tcPr>
            <w:tcW w:w="1217" w:type="dxa"/>
            <w:tcBorders>
              <w:top w:val="nil"/>
              <w:left w:val="single" w:sz="4" w:space="0" w:color="auto"/>
              <w:bottom w:val="nil"/>
              <w:right w:val="single" w:sz="4" w:space="0" w:color="auto"/>
            </w:tcBorders>
            <w:shd w:val="clear" w:color="auto" w:fill="auto"/>
            <w:hideMark/>
          </w:tcPr>
          <w:p w:rsidR="00D23D6A" w:rsidRPr="00D533F9" w:rsidRDefault="00D23D6A" w:rsidP="00D23D6A">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D533F9">
              <w:rPr>
                <w:rFonts w:cs="Arial"/>
                <w:b/>
                <w:bCs/>
                <w:color w:val="000000"/>
                <w:sz w:val="20"/>
                <w:lang w:val="en-US" w:eastAsia="zh-CN"/>
              </w:rPr>
              <w:t> </w:t>
            </w:r>
          </w:p>
        </w:tc>
      </w:tr>
      <w:tr w:rsidR="00D23D6A" w:rsidRPr="00D23D6A" w:rsidTr="002502E2">
        <w:trPr>
          <w:trHeight w:val="255"/>
          <w:jc w:val="center"/>
        </w:trPr>
        <w:tc>
          <w:tcPr>
            <w:tcW w:w="4920" w:type="dxa"/>
            <w:tcBorders>
              <w:top w:val="nil"/>
              <w:left w:val="single" w:sz="4" w:space="0" w:color="auto"/>
              <w:bottom w:val="nil"/>
              <w:right w:val="nil"/>
            </w:tcBorders>
            <w:shd w:val="clear" w:color="auto" w:fill="auto"/>
            <w:hideMark/>
          </w:tcPr>
          <w:p w:rsidR="00D23D6A" w:rsidRPr="00D533F9" w:rsidRDefault="00D23D6A" w:rsidP="00D23D6A">
            <w:pPr>
              <w:tabs>
                <w:tab w:val="clear" w:pos="567"/>
                <w:tab w:val="clear" w:pos="1134"/>
                <w:tab w:val="clear" w:pos="1701"/>
                <w:tab w:val="clear" w:pos="2268"/>
                <w:tab w:val="clear" w:pos="2835"/>
              </w:tabs>
              <w:overflowPunct/>
              <w:autoSpaceDE/>
              <w:autoSpaceDN/>
              <w:adjustRightInd/>
              <w:spacing w:before="0"/>
              <w:textAlignment w:val="auto"/>
              <w:rPr>
                <w:rFonts w:cs="Arial"/>
                <w:sz w:val="20"/>
                <w:lang w:val="en-US" w:eastAsia="zh-CN"/>
              </w:rPr>
            </w:pPr>
            <w:r w:rsidRPr="00D533F9">
              <w:rPr>
                <w:rFonts w:cs="Arial"/>
                <w:sz w:val="20"/>
                <w:lang w:val="en-US" w:eastAsia="zh-CN"/>
              </w:rPr>
              <w:t>Operating revenue</w:t>
            </w:r>
          </w:p>
        </w:tc>
        <w:tc>
          <w:tcPr>
            <w:tcW w:w="1217" w:type="dxa"/>
            <w:tcBorders>
              <w:top w:val="nil"/>
              <w:left w:val="single" w:sz="4" w:space="0" w:color="auto"/>
              <w:bottom w:val="nil"/>
              <w:right w:val="single" w:sz="4" w:space="0" w:color="auto"/>
            </w:tcBorders>
            <w:shd w:val="clear" w:color="auto" w:fill="auto"/>
            <w:noWrap/>
            <w:vAlign w:val="bottom"/>
            <w:hideMark/>
          </w:tcPr>
          <w:p w:rsidR="00D23D6A" w:rsidRPr="00D533F9" w:rsidRDefault="00D23D6A" w:rsidP="00D23D6A">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D533F9">
              <w:rPr>
                <w:rFonts w:cs="Arial"/>
                <w:sz w:val="20"/>
                <w:lang w:val="en-US" w:eastAsia="zh-CN"/>
              </w:rPr>
              <w:t>48</w:t>
            </w:r>
          </w:p>
        </w:tc>
      </w:tr>
      <w:tr w:rsidR="00D23D6A" w:rsidRPr="00D23D6A" w:rsidTr="002502E2">
        <w:trPr>
          <w:trHeight w:val="255"/>
          <w:jc w:val="center"/>
        </w:trPr>
        <w:tc>
          <w:tcPr>
            <w:tcW w:w="4920" w:type="dxa"/>
            <w:tcBorders>
              <w:top w:val="nil"/>
              <w:left w:val="single" w:sz="4" w:space="0" w:color="auto"/>
              <w:bottom w:val="nil"/>
              <w:right w:val="nil"/>
            </w:tcBorders>
            <w:shd w:val="clear" w:color="auto" w:fill="auto"/>
            <w:hideMark/>
          </w:tcPr>
          <w:p w:rsidR="00D23D6A" w:rsidRPr="00D533F9" w:rsidRDefault="00D23D6A" w:rsidP="00D23D6A">
            <w:pPr>
              <w:tabs>
                <w:tab w:val="clear" w:pos="567"/>
                <w:tab w:val="clear" w:pos="1134"/>
                <w:tab w:val="clear" w:pos="1701"/>
                <w:tab w:val="clear" w:pos="2268"/>
                <w:tab w:val="clear" w:pos="2835"/>
              </w:tabs>
              <w:overflowPunct/>
              <w:autoSpaceDE/>
              <w:autoSpaceDN/>
              <w:adjustRightInd/>
              <w:spacing w:before="0"/>
              <w:textAlignment w:val="auto"/>
              <w:rPr>
                <w:rFonts w:cs="Arial"/>
                <w:sz w:val="20"/>
                <w:lang w:val="en-US" w:eastAsia="zh-CN"/>
              </w:rPr>
            </w:pPr>
            <w:r w:rsidRPr="00D533F9">
              <w:rPr>
                <w:rFonts w:cs="Arial"/>
                <w:sz w:val="20"/>
                <w:lang w:val="en-US" w:eastAsia="zh-CN"/>
              </w:rPr>
              <w:t> </w:t>
            </w:r>
          </w:p>
        </w:tc>
        <w:tc>
          <w:tcPr>
            <w:tcW w:w="1217" w:type="dxa"/>
            <w:tcBorders>
              <w:top w:val="nil"/>
              <w:left w:val="single" w:sz="4" w:space="0" w:color="auto"/>
              <w:bottom w:val="nil"/>
              <w:right w:val="single" w:sz="4" w:space="0" w:color="auto"/>
            </w:tcBorders>
            <w:shd w:val="clear" w:color="auto" w:fill="auto"/>
            <w:hideMark/>
          </w:tcPr>
          <w:p w:rsidR="00D23D6A" w:rsidRPr="00D533F9" w:rsidRDefault="00D23D6A" w:rsidP="00D23D6A">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D533F9">
              <w:rPr>
                <w:rFonts w:cs="Arial"/>
                <w:color w:val="000000"/>
                <w:sz w:val="20"/>
                <w:lang w:val="en-US" w:eastAsia="zh-CN"/>
              </w:rPr>
              <w:t> </w:t>
            </w:r>
          </w:p>
        </w:tc>
      </w:tr>
      <w:tr w:rsidR="00D23D6A" w:rsidRPr="00D23D6A" w:rsidTr="002502E2">
        <w:trPr>
          <w:trHeight w:val="255"/>
          <w:jc w:val="center"/>
        </w:trPr>
        <w:tc>
          <w:tcPr>
            <w:tcW w:w="4920" w:type="dxa"/>
            <w:tcBorders>
              <w:top w:val="single" w:sz="4" w:space="0" w:color="auto"/>
              <w:left w:val="single" w:sz="4" w:space="0" w:color="auto"/>
              <w:bottom w:val="single" w:sz="4" w:space="0" w:color="auto"/>
              <w:right w:val="nil"/>
            </w:tcBorders>
            <w:shd w:val="clear" w:color="auto" w:fill="CCECFF"/>
            <w:noWrap/>
            <w:vAlign w:val="center"/>
            <w:hideMark/>
          </w:tcPr>
          <w:p w:rsidR="00D23D6A" w:rsidRPr="00D533F9" w:rsidRDefault="00D23D6A" w:rsidP="003D789A">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D533F9">
              <w:rPr>
                <w:rFonts w:cs="Arial"/>
                <w:b/>
                <w:bCs/>
                <w:color w:val="000000"/>
                <w:sz w:val="20"/>
                <w:lang w:val="en-US" w:eastAsia="zh-CN"/>
              </w:rPr>
              <w:t>Total revenue</w:t>
            </w:r>
          </w:p>
        </w:tc>
        <w:tc>
          <w:tcPr>
            <w:tcW w:w="121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D23D6A" w:rsidRPr="00D533F9" w:rsidRDefault="00D23D6A" w:rsidP="003D789A">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D533F9">
              <w:rPr>
                <w:rFonts w:cs="Arial"/>
                <w:b/>
                <w:bCs/>
                <w:color w:val="000000"/>
                <w:sz w:val="20"/>
                <w:lang w:val="en-US" w:eastAsia="zh-CN"/>
              </w:rPr>
              <w:t>48</w:t>
            </w:r>
          </w:p>
        </w:tc>
      </w:tr>
      <w:tr w:rsidR="00D23D6A" w:rsidRPr="00D23D6A" w:rsidTr="002502E2">
        <w:trPr>
          <w:trHeight w:val="255"/>
          <w:jc w:val="center"/>
        </w:trPr>
        <w:tc>
          <w:tcPr>
            <w:tcW w:w="4920" w:type="dxa"/>
            <w:tcBorders>
              <w:top w:val="nil"/>
              <w:left w:val="single" w:sz="4" w:space="0" w:color="auto"/>
              <w:bottom w:val="nil"/>
              <w:right w:val="nil"/>
            </w:tcBorders>
            <w:shd w:val="clear" w:color="auto" w:fill="auto"/>
            <w:hideMark/>
          </w:tcPr>
          <w:p w:rsidR="00D23D6A" w:rsidRPr="00D533F9" w:rsidRDefault="00D23D6A" w:rsidP="00D23D6A">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D533F9">
              <w:rPr>
                <w:rFonts w:cs="Arial"/>
                <w:b/>
                <w:bCs/>
                <w:color w:val="000000"/>
                <w:sz w:val="20"/>
                <w:lang w:val="en-US" w:eastAsia="zh-CN"/>
              </w:rPr>
              <w:t> </w:t>
            </w:r>
          </w:p>
        </w:tc>
        <w:tc>
          <w:tcPr>
            <w:tcW w:w="1217" w:type="dxa"/>
            <w:tcBorders>
              <w:top w:val="nil"/>
              <w:left w:val="single" w:sz="4" w:space="0" w:color="auto"/>
              <w:bottom w:val="nil"/>
              <w:right w:val="single" w:sz="4" w:space="0" w:color="auto"/>
            </w:tcBorders>
            <w:shd w:val="clear" w:color="auto" w:fill="auto"/>
            <w:hideMark/>
          </w:tcPr>
          <w:p w:rsidR="00D23D6A" w:rsidRPr="00D533F9" w:rsidRDefault="00D23D6A" w:rsidP="00D23D6A">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D533F9">
              <w:rPr>
                <w:rFonts w:cs="Arial"/>
                <w:b/>
                <w:bCs/>
                <w:color w:val="000000"/>
                <w:sz w:val="20"/>
                <w:lang w:val="en-US" w:eastAsia="zh-CN"/>
              </w:rPr>
              <w:t> </w:t>
            </w:r>
          </w:p>
        </w:tc>
      </w:tr>
      <w:tr w:rsidR="00D23D6A" w:rsidRPr="00D23D6A" w:rsidTr="002502E2">
        <w:trPr>
          <w:trHeight w:val="315"/>
          <w:jc w:val="center"/>
        </w:trPr>
        <w:tc>
          <w:tcPr>
            <w:tcW w:w="4920" w:type="dxa"/>
            <w:tcBorders>
              <w:top w:val="nil"/>
              <w:left w:val="single" w:sz="4" w:space="0" w:color="auto"/>
              <w:bottom w:val="nil"/>
              <w:right w:val="nil"/>
            </w:tcBorders>
            <w:shd w:val="clear" w:color="auto" w:fill="auto"/>
            <w:noWrap/>
            <w:vAlign w:val="bottom"/>
            <w:hideMark/>
          </w:tcPr>
          <w:p w:rsidR="00D23D6A" w:rsidRPr="00D533F9" w:rsidRDefault="00D23D6A" w:rsidP="00D23D6A">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Cs w:val="24"/>
                <w:lang w:val="en-US" w:eastAsia="zh-CN"/>
              </w:rPr>
            </w:pPr>
            <w:r w:rsidRPr="00D533F9">
              <w:rPr>
                <w:rFonts w:cs="Arial"/>
                <w:b/>
                <w:bCs/>
                <w:color w:val="000000"/>
                <w:szCs w:val="24"/>
                <w:lang w:val="en-US" w:eastAsia="zh-CN"/>
              </w:rPr>
              <w:t>EXPENSES</w:t>
            </w:r>
          </w:p>
        </w:tc>
        <w:tc>
          <w:tcPr>
            <w:tcW w:w="1217" w:type="dxa"/>
            <w:tcBorders>
              <w:top w:val="nil"/>
              <w:left w:val="single" w:sz="4" w:space="0" w:color="auto"/>
              <w:bottom w:val="nil"/>
              <w:right w:val="single" w:sz="4" w:space="0" w:color="auto"/>
            </w:tcBorders>
            <w:shd w:val="clear" w:color="auto" w:fill="auto"/>
            <w:hideMark/>
          </w:tcPr>
          <w:p w:rsidR="00D23D6A" w:rsidRPr="00D533F9" w:rsidRDefault="00D23D6A" w:rsidP="00D23D6A">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D533F9">
              <w:rPr>
                <w:rFonts w:cs="Arial"/>
                <w:color w:val="000000"/>
                <w:sz w:val="20"/>
                <w:lang w:val="en-US" w:eastAsia="zh-CN"/>
              </w:rPr>
              <w:t> </w:t>
            </w:r>
          </w:p>
        </w:tc>
      </w:tr>
      <w:tr w:rsidR="00D23D6A" w:rsidRPr="00D23D6A" w:rsidTr="002502E2">
        <w:trPr>
          <w:trHeight w:val="255"/>
          <w:jc w:val="center"/>
        </w:trPr>
        <w:tc>
          <w:tcPr>
            <w:tcW w:w="4920" w:type="dxa"/>
            <w:tcBorders>
              <w:top w:val="nil"/>
              <w:left w:val="single" w:sz="4" w:space="0" w:color="auto"/>
              <w:bottom w:val="nil"/>
              <w:right w:val="nil"/>
            </w:tcBorders>
            <w:shd w:val="clear" w:color="auto" w:fill="auto"/>
            <w:hideMark/>
          </w:tcPr>
          <w:p w:rsidR="00D23D6A" w:rsidRPr="00D533F9" w:rsidRDefault="00D23D6A" w:rsidP="00D23D6A">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D533F9">
              <w:rPr>
                <w:rFonts w:cs="Arial"/>
                <w:b/>
                <w:bCs/>
                <w:color w:val="000000"/>
                <w:sz w:val="20"/>
                <w:lang w:val="en-US" w:eastAsia="zh-CN"/>
              </w:rPr>
              <w:t> </w:t>
            </w:r>
          </w:p>
        </w:tc>
        <w:tc>
          <w:tcPr>
            <w:tcW w:w="1217" w:type="dxa"/>
            <w:tcBorders>
              <w:top w:val="nil"/>
              <w:left w:val="single" w:sz="4" w:space="0" w:color="auto"/>
              <w:bottom w:val="nil"/>
              <w:right w:val="single" w:sz="4" w:space="0" w:color="auto"/>
            </w:tcBorders>
            <w:shd w:val="clear" w:color="auto" w:fill="auto"/>
            <w:hideMark/>
          </w:tcPr>
          <w:p w:rsidR="00D23D6A" w:rsidRPr="00D533F9" w:rsidRDefault="00D23D6A" w:rsidP="00D23D6A">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D533F9">
              <w:rPr>
                <w:rFonts w:cs="Arial"/>
                <w:color w:val="000000"/>
                <w:sz w:val="20"/>
                <w:lang w:val="en-US" w:eastAsia="zh-CN"/>
              </w:rPr>
              <w:t> </w:t>
            </w:r>
          </w:p>
        </w:tc>
      </w:tr>
      <w:tr w:rsidR="00D23D6A" w:rsidRPr="00D23D6A" w:rsidTr="002502E2">
        <w:trPr>
          <w:trHeight w:val="510"/>
          <w:jc w:val="center"/>
        </w:trPr>
        <w:tc>
          <w:tcPr>
            <w:tcW w:w="4920" w:type="dxa"/>
            <w:tcBorders>
              <w:top w:val="nil"/>
              <w:left w:val="single" w:sz="4" w:space="0" w:color="auto"/>
              <w:bottom w:val="nil"/>
              <w:right w:val="nil"/>
            </w:tcBorders>
            <w:shd w:val="clear" w:color="auto" w:fill="auto"/>
            <w:noWrap/>
            <w:vAlign w:val="bottom"/>
            <w:hideMark/>
          </w:tcPr>
          <w:p w:rsidR="00D23D6A" w:rsidRPr="00D533F9" w:rsidRDefault="00D23D6A" w:rsidP="00D23D6A">
            <w:pPr>
              <w:tabs>
                <w:tab w:val="clear" w:pos="567"/>
                <w:tab w:val="clear" w:pos="1134"/>
                <w:tab w:val="clear" w:pos="1701"/>
                <w:tab w:val="clear" w:pos="2268"/>
                <w:tab w:val="clear" w:pos="2835"/>
              </w:tabs>
              <w:overflowPunct/>
              <w:autoSpaceDE/>
              <w:autoSpaceDN/>
              <w:adjustRightInd/>
              <w:spacing w:before="0"/>
              <w:textAlignment w:val="auto"/>
              <w:rPr>
                <w:rFonts w:cs="Arial"/>
                <w:sz w:val="20"/>
                <w:lang w:val="en-US" w:eastAsia="zh-CN"/>
              </w:rPr>
            </w:pPr>
            <w:r w:rsidRPr="00D533F9">
              <w:rPr>
                <w:rFonts w:cs="Arial"/>
                <w:sz w:val="20"/>
                <w:lang w:val="en-US" w:eastAsia="zh-CN"/>
              </w:rPr>
              <w:t>Employee expenses</w:t>
            </w:r>
          </w:p>
        </w:tc>
        <w:tc>
          <w:tcPr>
            <w:tcW w:w="1217" w:type="dxa"/>
            <w:tcBorders>
              <w:top w:val="nil"/>
              <w:left w:val="single" w:sz="4" w:space="0" w:color="auto"/>
              <w:bottom w:val="nil"/>
              <w:right w:val="single" w:sz="4" w:space="0" w:color="auto"/>
            </w:tcBorders>
            <w:shd w:val="clear" w:color="auto" w:fill="auto"/>
            <w:hideMark/>
          </w:tcPr>
          <w:p w:rsidR="00D23D6A" w:rsidRPr="00D533F9" w:rsidRDefault="00D23D6A" w:rsidP="00D23D6A">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D533F9">
              <w:rPr>
                <w:rFonts w:cs="Arial"/>
                <w:color w:val="000000"/>
                <w:sz w:val="20"/>
                <w:lang w:val="en-US" w:eastAsia="zh-CN"/>
              </w:rPr>
              <w:t>18</w:t>
            </w:r>
          </w:p>
        </w:tc>
      </w:tr>
      <w:tr w:rsidR="00D23D6A" w:rsidRPr="00D23D6A" w:rsidTr="002502E2">
        <w:trPr>
          <w:trHeight w:val="255"/>
          <w:jc w:val="center"/>
        </w:trPr>
        <w:tc>
          <w:tcPr>
            <w:tcW w:w="4920" w:type="dxa"/>
            <w:tcBorders>
              <w:top w:val="nil"/>
              <w:left w:val="single" w:sz="4" w:space="0" w:color="auto"/>
              <w:bottom w:val="nil"/>
              <w:right w:val="nil"/>
            </w:tcBorders>
            <w:shd w:val="clear" w:color="auto" w:fill="auto"/>
            <w:hideMark/>
          </w:tcPr>
          <w:p w:rsidR="00D23D6A" w:rsidRPr="00D533F9" w:rsidRDefault="00D23D6A" w:rsidP="00D23D6A">
            <w:pPr>
              <w:tabs>
                <w:tab w:val="clear" w:pos="567"/>
                <w:tab w:val="clear" w:pos="1134"/>
                <w:tab w:val="clear" w:pos="1701"/>
                <w:tab w:val="clear" w:pos="2268"/>
                <w:tab w:val="clear" w:pos="2835"/>
              </w:tabs>
              <w:overflowPunct/>
              <w:autoSpaceDE/>
              <w:autoSpaceDN/>
              <w:adjustRightInd/>
              <w:spacing w:before="0"/>
              <w:textAlignment w:val="auto"/>
              <w:rPr>
                <w:rFonts w:cs="Arial"/>
                <w:sz w:val="20"/>
                <w:lang w:val="en-US" w:eastAsia="zh-CN"/>
              </w:rPr>
            </w:pPr>
            <w:r w:rsidRPr="00D533F9">
              <w:rPr>
                <w:rFonts w:cs="Arial"/>
                <w:sz w:val="20"/>
                <w:lang w:val="en-US" w:eastAsia="zh-CN"/>
              </w:rPr>
              <w:t>Mission expenses</w:t>
            </w:r>
          </w:p>
        </w:tc>
        <w:tc>
          <w:tcPr>
            <w:tcW w:w="1217" w:type="dxa"/>
            <w:tcBorders>
              <w:top w:val="nil"/>
              <w:left w:val="single" w:sz="4" w:space="0" w:color="auto"/>
              <w:bottom w:val="nil"/>
              <w:right w:val="single" w:sz="4" w:space="0" w:color="auto"/>
            </w:tcBorders>
            <w:shd w:val="clear" w:color="auto" w:fill="auto"/>
            <w:hideMark/>
          </w:tcPr>
          <w:p w:rsidR="00D23D6A" w:rsidRPr="00D533F9" w:rsidRDefault="00D23D6A" w:rsidP="00D23D6A">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D533F9">
              <w:rPr>
                <w:rFonts w:cs="Arial"/>
                <w:color w:val="000000"/>
                <w:sz w:val="20"/>
                <w:lang w:val="en-US" w:eastAsia="zh-CN"/>
              </w:rPr>
              <w:t>52</w:t>
            </w:r>
          </w:p>
        </w:tc>
      </w:tr>
      <w:tr w:rsidR="00D23D6A" w:rsidRPr="00D23D6A" w:rsidTr="002502E2">
        <w:trPr>
          <w:trHeight w:val="255"/>
          <w:jc w:val="center"/>
        </w:trPr>
        <w:tc>
          <w:tcPr>
            <w:tcW w:w="4920" w:type="dxa"/>
            <w:tcBorders>
              <w:top w:val="nil"/>
              <w:left w:val="single" w:sz="4" w:space="0" w:color="auto"/>
              <w:bottom w:val="nil"/>
              <w:right w:val="nil"/>
            </w:tcBorders>
            <w:shd w:val="clear" w:color="auto" w:fill="auto"/>
            <w:hideMark/>
          </w:tcPr>
          <w:p w:rsidR="00D23D6A" w:rsidRPr="00D533F9" w:rsidRDefault="00D23D6A" w:rsidP="00D23D6A">
            <w:pPr>
              <w:tabs>
                <w:tab w:val="clear" w:pos="567"/>
                <w:tab w:val="clear" w:pos="1134"/>
                <w:tab w:val="clear" w:pos="1701"/>
                <w:tab w:val="clear" w:pos="2268"/>
                <w:tab w:val="clear" w:pos="2835"/>
              </w:tabs>
              <w:overflowPunct/>
              <w:autoSpaceDE/>
              <w:autoSpaceDN/>
              <w:adjustRightInd/>
              <w:spacing w:before="0"/>
              <w:textAlignment w:val="auto"/>
              <w:rPr>
                <w:rFonts w:cs="Arial"/>
                <w:sz w:val="20"/>
                <w:lang w:val="en-US" w:eastAsia="zh-CN"/>
              </w:rPr>
            </w:pPr>
            <w:r w:rsidRPr="00D533F9">
              <w:rPr>
                <w:rFonts w:cs="Arial"/>
                <w:sz w:val="20"/>
                <w:lang w:val="en-US" w:eastAsia="zh-CN"/>
              </w:rPr>
              <w:t>Contractual services</w:t>
            </w:r>
          </w:p>
        </w:tc>
        <w:tc>
          <w:tcPr>
            <w:tcW w:w="1217" w:type="dxa"/>
            <w:tcBorders>
              <w:top w:val="nil"/>
              <w:left w:val="single" w:sz="4" w:space="0" w:color="auto"/>
              <w:bottom w:val="nil"/>
              <w:right w:val="single" w:sz="4" w:space="0" w:color="auto"/>
            </w:tcBorders>
            <w:shd w:val="clear" w:color="auto" w:fill="auto"/>
            <w:hideMark/>
          </w:tcPr>
          <w:p w:rsidR="00D23D6A" w:rsidRPr="00D533F9" w:rsidRDefault="00D23D6A" w:rsidP="00D23D6A">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D533F9">
              <w:rPr>
                <w:rFonts w:cs="Arial"/>
                <w:color w:val="000000"/>
                <w:sz w:val="20"/>
                <w:lang w:val="en-US" w:eastAsia="zh-CN"/>
              </w:rPr>
              <w:t>287</w:t>
            </w:r>
          </w:p>
        </w:tc>
      </w:tr>
      <w:tr w:rsidR="00D23D6A" w:rsidRPr="00D23D6A" w:rsidTr="002502E2">
        <w:trPr>
          <w:trHeight w:val="510"/>
          <w:jc w:val="center"/>
        </w:trPr>
        <w:tc>
          <w:tcPr>
            <w:tcW w:w="4920" w:type="dxa"/>
            <w:tcBorders>
              <w:top w:val="nil"/>
              <w:left w:val="single" w:sz="4" w:space="0" w:color="auto"/>
              <w:bottom w:val="nil"/>
              <w:right w:val="nil"/>
            </w:tcBorders>
            <w:shd w:val="clear" w:color="auto" w:fill="auto"/>
            <w:hideMark/>
          </w:tcPr>
          <w:p w:rsidR="00D23D6A" w:rsidRPr="00D533F9" w:rsidRDefault="00D23D6A" w:rsidP="00D23D6A">
            <w:pPr>
              <w:tabs>
                <w:tab w:val="clear" w:pos="567"/>
                <w:tab w:val="clear" w:pos="1134"/>
                <w:tab w:val="clear" w:pos="1701"/>
                <w:tab w:val="clear" w:pos="2268"/>
                <w:tab w:val="clear" w:pos="2835"/>
              </w:tabs>
              <w:overflowPunct/>
              <w:autoSpaceDE/>
              <w:autoSpaceDN/>
              <w:adjustRightInd/>
              <w:spacing w:before="0"/>
              <w:textAlignment w:val="auto"/>
              <w:rPr>
                <w:rFonts w:cs="Arial"/>
                <w:sz w:val="20"/>
                <w:lang w:val="en-US" w:eastAsia="zh-CN"/>
              </w:rPr>
            </w:pPr>
            <w:r w:rsidRPr="00D533F9">
              <w:rPr>
                <w:rFonts w:cs="Arial"/>
                <w:sz w:val="20"/>
                <w:lang w:val="en-US" w:eastAsia="zh-CN"/>
              </w:rPr>
              <w:t>Rental and maintenance of premises and equipment</w:t>
            </w:r>
          </w:p>
        </w:tc>
        <w:tc>
          <w:tcPr>
            <w:tcW w:w="1217" w:type="dxa"/>
            <w:tcBorders>
              <w:top w:val="nil"/>
              <w:left w:val="single" w:sz="4" w:space="0" w:color="auto"/>
              <w:bottom w:val="nil"/>
              <w:right w:val="single" w:sz="4" w:space="0" w:color="auto"/>
            </w:tcBorders>
            <w:shd w:val="clear" w:color="auto" w:fill="auto"/>
            <w:hideMark/>
          </w:tcPr>
          <w:p w:rsidR="00D23D6A" w:rsidRPr="00D533F9" w:rsidRDefault="00D23D6A" w:rsidP="00D23D6A">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D533F9">
              <w:rPr>
                <w:rFonts w:cs="Arial"/>
                <w:color w:val="000000"/>
                <w:sz w:val="20"/>
                <w:lang w:val="en-US" w:eastAsia="zh-CN"/>
              </w:rPr>
              <w:t>35</w:t>
            </w:r>
          </w:p>
        </w:tc>
      </w:tr>
      <w:tr w:rsidR="00D23D6A" w:rsidRPr="00D23D6A" w:rsidTr="002502E2">
        <w:trPr>
          <w:trHeight w:val="255"/>
          <w:jc w:val="center"/>
        </w:trPr>
        <w:tc>
          <w:tcPr>
            <w:tcW w:w="4920" w:type="dxa"/>
            <w:tcBorders>
              <w:top w:val="nil"/>
              <w:left w:val="single" w:sz="4" w:space="0" w:color="auto"/>
              <w:bottom w:val="nil"/>
              <w:right w:val="nil"/>
            </w:tcBorders>
            <w:shd w:val="clear" w:color="auto" w:fill="auto"/>
            <w:hideMark/>
          </w:tcPr>
          <w:p w:rsidR="00D23D6A" w:rsidRPr="00D533F9" w:rsidRDefault="00D23D6A" w:rsidP="00D23D6A">
            <w:pPr>
              <w:tabs>
                <w:tab w:val="clear" w:pos="567"/>
                <w:tab w:val="clear" w:pos="1134"/>
                <w:tab w:val="clear" w:pos="1701"/>
                <w:tab w:val="clear" w:pos="2268"/>
                <w:tab w:val="clear" w:pos="2835"/>
              </w:tabs>
              <w:overflowPunct/>
              <w:autoSpaceDE/>
              <w:autoSpaceDN/>
              <w:adjustRightInd/>
              <w:spacing w:before="0"/>
              <w:textAlignment w:val="auto"/>
              <w:rPr>
                <w:rFonts w:cs="Arial"/>
                <w:sz w:val="20"/>
                <w:lang w:val="en-US" w:eastAsia="zh-CN"/>
              </w:rPr>
            </w:pPr>
            <w:r w:rsidRPr="00D533F9">
              <w:rPr>
                <w:rFonts w:cs="Arial"/>
                <w:sz w:val="20"/>
                <w:lang w:val="en-US" w:eastAsia="zh-CN"/>
              </w:rPr>
              <w:t>Equipment and supplies</w:t>
            </w:r>
          </w:p>
        </w:tc>
        <w:tc>
          <w:tcPr>
            <w:tcW w:w="1217" w:type="dxa"/>
            <w:tcBorders>
              <w:top w:val="nil"/>
              <w:left w:val="single" w:sz="4" w:space="0" w:color="auto"/>
              <w:bottom w:val="nil"/>
              <w:right w:val="single" w:sz="4" w:space="0" w:color="auto"/>
            </w:tcBorders>
            <w:shd w:val="clear" w:color="auto" w:fill="auto"/>
            <w:hideMark/>
          </w:tcPr>
          <w:p w:rsidR="00D23D6A" w:rsidRPr="00D533F9" w:rsidRDefault="00D23D6A" w:rsidP="00D23D6A">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D533F9">
              <w:rPr>
                <w:rFonts w:cs="Arial"/>
                <w:color w:val="000000"/>
                <w:sz w:val="20"/>
                <w:lang w:val="en-US" w:eastAsia="zh-CN"/>
              </w:rPr>
              <w:t>5</w:t>
            </w:r>
          </w:p>
        </w:tc>
      </w:tr>
      <w:tr w:rsidR="00D23D6A" w:rsidRPr="00D23D6A" w:rsidTr="002502E2">
        <w:trPr>
          <w:trHeight w:val="510"/>
          <w:jc w:val="center"/>
        </w:trPr>
        <w:tc>
          <w:tcPr>
            <w:tcW w:w="4920" w:type="dxa"/>
            <w:tcBorders>
              <w:top w:val="nil"/>
              <w:left w:val="single" w:sz="4" w:space="0" w:color="auto"/>
              <w:bottom w:val="nil"/>
              <w:right w:val="nil"/>
            </w:tcBorders>
            <w:shd w:val="clear" w:color="auto" w:fill="auto"/>
            <w:hideMark/>
          </w:tcPr>
          <w:p w:rsidR="00D23D6A" w:rsidRPr="00D533F9" w:rsidRDefault="00D23D6A" w:rsidP="00D23D6A">
            <w:pPr>
              <w:tabs>
                <w:tab w:val="clear" w:pos="567"/>
                <w:tab w:val="clear" w:pos="1134"/>
                <w:tab w:val="clear" w:pos="1701"/>
                <w:tab w:val="clear" w:pos="2268"/>
                <w:tab w:val="clear" w:pos="2835"/>
              </w:tabs>
              <w:overflowPunct/>
              <w:autoSpaceDE/>
              <w:autoSpaceDN/>
              <w:adjustRightInd/>
              <w:spacing w:before="0"/>
              <w:textAlignment w:val="auto"/>
              <w:rPr>
                <w:rFonts w:cs="Arial"/>
                <w:sz w:val="20"/>
                <w:lang w:val="en-US" w:eastAsia="zh-CN"/>
              </w:rPr>
            </w:pPr>
            <w:r w:rsidRPr="00D533F9">
              <w:rPr>
                <w:rFonts w:cs="Arial"/>
                <w:sz w:val="20"/>
                <w:lang w:val="en-US" w:eastAsia="zh-CN"/>
              </w:rPr>
              <w:t>Shipping, telecommunication and service expenses</w:t>
            </w:r>
          </w:p>
        </w:tc>
        <w:tc>
          <w:tcPr>
            <w:tcW w:w="1217" w:type="dxa"/>
            <w:tcBorders>
              <w:top w:val="nil"/>
              <w:left w:val="single" w:sz="4" w:space="0" w:color="auto"/>
              <w:bottom w:val="nil"/>
              <w:right w:val="single" w:sz="4" w:space="0" w:color="auto"/>
            </w:tcBorders>
            <w:shd w:val="clear" w:color="auto" w:fill="auto"/>
            <w:hideMark/>
          </w:tcPr>
          <w:p w:rsidR="00D23D6A" w:rsidRPr="00D533F9" w:rsidRDefault="00D23D6A" w:rsidP="00D23D6A">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D533F9">
              <w:rPr>
                <w:rFonts w:cs="Arial"/>
                <w:color w:val="000000"/>
                <w:sz w:val="20"/>
                <w:lang w:val="en-US" w:eastAsia="zh-CN"/>
              </w:rPr>
              <w:t>0</w:t>
            </w:r>
          </w:p>
        </w:tc>
      </w:tr>
      <w:tr w:rsidR="00D23D6A" w:rsidRPr="00D23D6A" w:rsidTr="002502E2">
        <w:trPr>
          <w:trHeight w:val="255"/>
          <w:jc w:val="center"/>
        </w:trPr>
        <w:tc>
          <w:tcPr>
            <w:tcW w:w="4920" w:type="dxa"/>
            <w:tcBorders>
              <w:top w:val="nil"/>
              <w:left w:val="single" w:sz="4" w:space="0" w:color="auto"/>
              <w:bottom w:val="nil"/>
              <w:right w:val="nil"/>
            </w:tcBorders>
            <w:shd w:val="clear" w:color="auto" w:fill="auto"/>
            <w:hideMark/>
          </w:tcPr>
          <w:p w:rsidR="00D23D6A" w:rsidRPr="00D533F9" w:rsidRDefault="00D23D6A" w:rsidP="00D23D6A">
            <w:pPr>
              <w:tabs>
                <w:tab w:val="clear" w:pos="567"/>
                <w:tab w:val="clear" w:pos="1134"/>
                <w:tab w:val="clear" w:pos="1701"/>
                <w:tab w:val="clear" w:pos="2268"/>
                <w:tab w:val="clear" w:pos="2835"/>
              </w:tabs>
              <w:overflowPunct/>
              <w:autoSpaceDE/>
              <w:autoSpaceDN/>
              <w:adjustRightInd/>
              <w:spacing w:before="0"/>
              <w:textAlignment w:val="auto"/>
              <w:rPr>
                <w:rFonts w:cs="Arial"/>
                <w:sz w:val="20"/>
                <w:lang w:val="en-US" w:eastAsia="zh-CN"/>
              </w:rPr>
            </w:pPr>
            <w:r w:rsidRPr="00D533F9">
              <w:rPr>
                <w:rFonts w:cs="Arial"/>
                <w:sz w:val="20"/>
                <w:lang w:val="en-US" w:eastAsia="zh-CN"/>
              </w:rPr>
              <w:t>Other expenses</w:t>
            </w:r>
          </w:p>
        </w:tc>
        <w:tc>
          <w:tcPr>
            <w:tcW w:w="1217" w:type="dxa"/>
            <w:tcBorders>
              <w:top w:val="nil"/>
              <w:left w:val="single" w:sz="4" w:space="0" w:color="auto"/>
              <w:bottom w:val="nil"/>
              <w:right w:val="single" w:sz="4" w:space="0" w:color="auto"/>
            </w:tcBorders>
            <w:shd w:val="clear" w:color="auto" w:fill="auto"/>
            <w:hideMark/>
          </w:tcPr>
          <w:p w:rsidR="00D23D6A" w:rsidRPr="00D533F9" w:rsidRDefault="00D23D6A" w:rsidP="00D23D6A">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D533F9">
              <w:rPr>
                <w:rFonts w:cs="Arial"/>
                <w:color w:val="000000"/>
                <w:sz w:val="20"/>
                <w:lang w:val="en-US" w:eastAsia="zh-CN"/>
              </w:rPr>
              <w:t>320</w:t>
            </w:r>
          </w:p>
        </w:tc>
      </w:tr>
      <w:tr w:rsidR="00D23D6A" w:rsidRPr="00D23D6A" w:rsidTr="002502E2">
        <w:trPr>
          <w:trHeight w:val="255"/>
          <w:jc w:val="center"/>
        </w:trPr>
        <w:tc>
          <w:tcPr>
            <w:tcW w:w="4920" w:type="dxa"/>
            <w:tcBorders>
              <w:top w:val="nil"/>
              <w:left w:val="single" w:sz="4" w:space="0" w:color="auto"/>
              <w:bottom w:val="nil"/>
              <w:right w:val="nil"/>
            </w:tcBorders>
            <w:shd w:val="clear" w:color="auto" w:fill="auto"/>
            <w:hideMark/>
          </w:tcPr>
          <w:p w:rsidR="00D23D6A" w:rsidRPr="00D533F9" w:rsidRDefault="00D23D6A" w:rsidP="00D23D6A">
            <w:pPr>
              <w:tabs>
                <w:tab w:val="clear" w:pos="567"/>
                <w:tab w:val="clear" w:pos="1134"/>
                <w:tab w:val="clear" w:pos="1701"/>
                <w:tab w:val="clear" w:pos="2268"/>
                <w:tab w:val="clear" w:pos="2835"/>
              </w:tabs>
              <w:overflowPunct/>
              <w:autoSpaceDE/>
              <w:autoSpaceDN/>
              <w:adjustRightInd/>
              <w:spacing w:before="0"/>
              <w:textAlignment w:val="auto"/>
              <w:rPr>
                <w:rFonts w:cs="Arial"/>
                <w:sz w:val="20"/>
                <w:lang w:val="en-US" w:eastAsia="zh-CN"/>
              </w:rPr>
            </w:pPr>
            <w:r w:rsidRPr="00D533F9">
              <w:rPr>
                <w:rFonts w:cs="Arial"/>
                <w:sz w:val="20"/>
                <w:lang w:val="en-US" w:eastAsia="zh-CN"/>
              </w:rPr>
              <w:t>Finance expenses</w:t>
            </w:r>
          </w:p>
        </w:tc>
        <w:tc>
          <w:tcPr>
            <w:tcW w:w="1217" w:type="dxa"/>
            <w:tcBorders>
              <w:top w:val="nil"/>
              <w:left w:val="single" w:sz="4" w:space="0" w:color="auto"/>
              <w:bottom w:val="nil"/>
              <w:right w:val="single" w:sz="4" w:space="0" w:color="auto"/>
            </w:tcBorders>
            <w:shd w:val="clear" w:color="auto" w:fill="auto"/>
            <w:hideMark/>
          </w:tcPr>
          <w:p w:rsidR="00D23D6A" w:rsidRPr="00D533F9" w:rsidRDefault="00D23D6A" w:rsidP="00D23D6A">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D533F9">
              <w:rPr>
                <w:rFonts w:cs="Arial"/>
                <w:color w:val="000000"/>
                <w:sz w:val="20"/>
                <w:lang w:val="en-US" w:eastAsia="zh-CN"/>
              </w:rPr>
              <w:t>0</w:t>
            </w:r>
          </w:p>
        </w:tc>
      </w:tr>
      <w:tr w:rsidR="00D23D6A" w:rsidRPr="00D23D6A" w:rsidTr="002502E2">
        <w:trPr>
          <w:trHeight w:val="255"/>
          <w:jc w:val="center"/>
        </w:trPr>
        <w:tc>
          <w:tcPr>
            <w:tcW w:w="4920" w:type="dxa"/>
            <w:tcBorders>
              <w:top w:val="nil"/>
              <w:left w:val="single" w:sz="4" w:space="0" w:color="auto"/>
              <w:bottom w:val="nil"/>
              <w:right w:val="nil"/>
            </w:tcBorders>
            <w:shd w:val="clear" w:color="auto" w:fill="auto"/>
            <w:hideMark/>
          </w:tcPr>
          <w:p w:rsidR="00D23D6A" w:rsidRPr="00D533F9" w:rsidRDefault="00D23D6A" w:rsidP="00D23D6A">
            <w:pPr>
              <w:tabs>
                <w:tab w:val="clear" w:pos="567"/>
                <w:tab w:val="clear" w:pos="1134"/>
                <w:tab w:val="clear" w:pos="1701"/>
                <w:tab w:val="clear" w:pos="2268"/>
                <w:tab w:val="clear" w:pos="2835"/>
              </w:tabs>
              <w:overflowPunct/>
              <w:autoSpaceDE/>
              <w:autoSpaceDN/>
              <w:adjustRightInd/>
              <w:spacing w:before="0"/>
              <w:textAlignment w:val="auto"/>
              <w:rPr>
                <w:rFonts w:cs="Arial"/>
                <w:sz w:val="20"/>
                <w:lang w:val="en-US" w:eastAsia="zh-CN"/>
              </w:rPr>
            </w:pPr>
            <w:r w:rsidRPr="00D533F9">
              <w:rPr>
                <w:rFonts w:cs="Arial"/>
                <w:sz w:val="20"/>
                <w:lang w:val="en-US" w:eastAsia="zh-CN"/>
              </w:rPr>
              <w:t> </w:t>
            </w:r>
          </w:p>
        </w:tc>
        <w:tc>
          <w:tcPr>
            <w:tcW w:w="1217" w:type="dxa"/>
            <w:tcBorders>
              <w:top w:val="nil"/>
              <w:left w:val="single" w:sz="4" w:space="0" w:color="auto"/>
              <w:bottom w:val="nil"/>
              <w:right w:val="single" w:sz="4" w:space="0" w:color="auto"/>
            </w:tcBorders>
            <w:shd w:val="clear" w:color="auto" w:fill="auto"/>
            <w:hideMark/>
          </w:tcPr>
          <w:p w:rsidR="00D23D6A" w:rsidRPr="00D533F9" w:rsidRDefault="00D23D6A" w:rsidP="00D23D6A">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D533F9">
              <w:rPr>
                <w:rFonts w:cs="Arial"/>
                <w:color w:val="000000"/>
                <w:sz w:val="20"/>
                <w:lang w:val="en-US" w:eastAsia="zh-CN"/>
              </w:rPr>
              <w:t> </w:t>
            </w:r>
          </w:p>
        </w:tc>
      </w:tr>
      <w:tr w:rsidR="00D23D6A" w:rsidRPr="00D23D6A" w:rsidTr="002502E2">
        <w:trPr>
          <w:trHeight w:val="255"/>
          <w:jc w:val="center"/>
        </w:trPr>
        <w:tc>
          <w:tcPr>
            <w:tcW w:w="4920" w:type="dxa"/>
            <w:tcBorders>
              <w:top w:val="single" w:sz="4" w:space="0" w:color="auto"/>
              <w:left w:val="single" w:sz="4" w:space="0" w:color="auto"/>
              <w:bottom w:val="single" w:sz="4" w:space="0" w:color="auto"/>
              <w:right w:val="nil"/>
            </w:tcBorders>
            <w:shd w:val="clear" w:color="auto" w:fill="CCECFF"/>
            <w:noWrap/>
            <w:vAlign w:val="center"/>
            <w:hideMark/>
          </w:tcPr>
          <w:p w:rsidR="00D23D6A" w:rsidRPr="00D533F9" w:rsidRDefault="00D23D6A" w:rsidP="00D23D6A">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D533F9">
              <w:rPr>
                <w:rFonts w:cs="Arial"/>
                <w:b/>
                <w:bCs/>
                <w:color w:val="000000"/>
                <w:sz w:val="20"/>
                <w:lang w:val="en-US" w:eastAsia="zh-CN"/>
              </w:rPr>
              <w:t>Total expenses</w:t>
            </w:r>
          </w:p>
        </w:tc>
        <w:tc>
          <w:tcPr>
            <w:tcW w:w="121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D23D6A" w:rsidRPr="00D533F9" w:rsidRDefault="00D23D6A" w:rsidP="00D23D6A">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D533F9">
              <w:rPr>
                <w:rFonts w:cs="Arial"/>
                <w:b/>
                <w:bCs/>
                <w:color w:val="000000"/>
                <w:sz w:val="20"/>
                <w:lang w:val="en-US" w:eastAsia="zh-CN"/>
              </w:rPr>
              <w:t>718</w:t>
            </w:r>
          </w:p>
        </w:tc>
      </w:tr>
      <w:tr w:rsidR="00D23D6A" w:rsidRPr="00D23D6A" w:rsidTr="002502E2">
        <w:trPr>
          <w:trHeight w:val="255"/>
          <w:jc w:val="center"/>
        </w:trPr>
        <w:tc>
          <w:tcPr>
            <w:tcW w:w="4920" w:type="dxa"/>
            <w:tcBorders>
              <w:top w:val="nil"/>
              <w:left w:val="single" w:sz="4" w:space="0" w:color="auto"/>
              <w:bottom w:val="single" w:sz="4" w:space="0" w:color="auto"/>
              <w:right w:val="nil"/>
            </w:tcBorders>
            <w:shd w:val="clear" w:color="auto" w:fill="auto"/>
            <w:noWrap/>
            <w:vAlign w:val="center"/>
            <w:hideMark/>
          </w:tcPr>
          <w:p w:rsidR="00D23D6A" w:rsidRPr="00D533F9" w:rsidRDefault="00D23D6A" w:rsidP="00D23D6A">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D533F9">
              <w:rPr>
                <w:rFonts w:cs="Arial"/>
                <w:b/>
                <w:bCs/>
                <w:color w:val="000000"/>
                <w:sz w:val="20"/>
                <w:lang w:val="en-US" w:eastAsia="zh-CN"/>
              </w:rPr>
              <w:t>Surplus/deficit for the period</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rsidR="00D23D6A" w:rsidRPr="00D533F9" w:rsidRDefault="00D23D6A" w:rsidP="00D23D6A">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D533F9">
              <w:rPr>
                <w:rFonts w:cs="Arial"/>
                <w:b/>
                <w:bCs/>
                <w:color w:val="000000"/>
                <w:sz w:val="20"/>
                <w:lang w:val="en-US" w:eastAsia="zh-CN"/>
              </w:rPr>
              <w:t>-671</w:t>
            </w:r>
          </w:p>
        </w:tc>
      </w:tr>
    </w:tbl>
    <w:p w:rsidR="00860C6B" w:rsidRDefault="00860C6B" w:rsidP="00BE5761">
      <w:pPr>
        <w:tabs>
          <w:tab w:val="left" w:pos="851"/>
        </w:tabs>
        <w:spacing w:before="240"/>
        <w:rPr>
          <w:color w:val="000000"/>
          <w:lang w:val="en-US"/>
        </w:rPr>
      </w:pPr>
    </w:p>
    <w:tbl>
      <w:tblPr>
        <w:tblW w:w="6237" w:type="dxa"/>
        <w:jc w:val="center"/>
        <w:tblLayout w:type="fixed"/>
        <w:tblLook w:val="04A0" w:firstRow="1" w:lastRow="0" w:firstColumn="1" w:lastColumn="0" w:noHBand="0" w:noVBand="1"/>
      </w:tblPr>
      <w:tblGrid>
        <w:gridCol w:w="4962"/>
        <w:gridCol w:w="1275"/>
      </w:tblGrid>
      <w:tr w:rsidR="006506F5" w:rsidRPr="003D789A" w:rsidTr="005058E8">
        <w:trPr>
          <w:trHeight w:val="255"/>
          <w:jc w:val="center"/>
        </w:trPr>
        <w:tc>
          <w:tcPr>
            <w:tcW w:w="623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506F5" w:rsidRPr="004D3687" w:rsidRDefault="006506F5" w:rsidP="006506F5">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0"/>
                <w:lang w:val="en-US" w:eastAsia="zh-CN"/>
              </w:rPr>
            </w:pPr>
            <w:r w:rsidRPr="009E79DA">
              <w:rPr>
                <w:rFonts w:cs="Calibri"/>
                <w:b/>
                <w:bCs/>
                <w:sz w:val="18"/>
                <w:szCs w:val="18"/>
                <w:lang w:val="en-US"/>
              </w:rPr>
              <w:t>Statement of financial situation at 31 December 201</w:t>
            </w:r>
            <w:r>
              <w:rPr>
                <w:rFonts w:cs="Calibri"/>
                <w:b/>
                <w:bCs/>
                <w:sz w:val="18"/>
                <w:szCs w:val="18"/>
                <w:lang w:val="en-US"/>
              </w:rPr>
              <w:t>7</w:t>
            </w:r>
          </w:p>
        </w:tc>
      </w:tr>
      <w:tr w:rsidR="003D789A" w:rsidRPr="003D789A" w:rsidTr="003D789A">
        <w:trPr>
          <w:trHeight w:val="255"/>
          <w:jc w:val="center"/>
        </w:trPr>
        <w:tc>
          <w:tcPr>
            <w:tcW w:w="4962" w:type="dxa"/>
            <w:tcBorders>
              <w:top w:val="single" w:sz="4" w:space="0" w:color="auto"/>
              <w:left w:val="single" w:sz="4" w:space="0" w:color="auto"/>
              <w:bottom w:val="single" w:sz="4" w:space="0" w:color="auto"/>
              <w:right w:val="nil"/>
            </w:tcBorders>
            <w:shd w:val="clear" w:color="auto" w:fill="auto"/>
            <w:noWrap/>
            <w:vAlign w:val="bottom"/>
            <w:hideMark/>
          </w:tcPr>
          <w:p w:rsidR="003D789A" w:rsidRPr="004D3687" w:rsidRDefault="003D789A" w:rsidP="003D789A">
            <w:pPr>
              <w:tabs>
                <w:tab w:val="clear" w:pos="567"/>
                <w:tab w:val="clear" w:pos="1134"/>
                <w:tab w:val="clear" w:pos="1701"/>
                <w:tab w:val="clear" w:pos="2268"/>
                <w:tab w:val="clear" w:pos="2835"/>
              </w:tabs>
              <w:overflowPunct/>
              <w:autoSpaceDE/>
              <w:autoSpaceDN/>
              <w:adjustRightInd/>
              <w:spacing w:before="0"/>
              <w:textAlignment w:val="auto"/>
              <w:rPr>
                <w:rFonts w:cs="Arial"/>
                <w:sz w:val="20"/>
                <w:lang w:val="en-US" w:eastAsia="zh-CN"/>
              </w:rPr>
            </w:pPr>
            <w:r w:rsidRPr="004D3687">
              <w:rPr>
                <w:rFonts w:cs="Arial"/>
                <w:sz w:val="20"/>
                <w:lang w:val="en-US" w:eastAsia="zh-CN"/>
              </w:rPr>
              <w:t>(in thousands of CHF)</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D789A" w:rsidRPr="004D3687" w:rsidRDefault="003D789A" w:rsidP="003D789A">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4D3687">
              <w:rPr>
                <w:rFonts w:cs="Arial"/>
                <w:b/>
                <w:bCs/>
                <w:color w:val="000000"/>
                <w:sz w:val="20"/>
                <w:lang w:val="en-US" w:eastAsia="zh-CN"/>
              </w:rPr>
              <w:t>31/12/2017</w:t>
            </w:r>
          </w:p>
        </w:tc>
      </w:tr>
      <w:tr w:rsidR="003D789A" w:rsidRPr="003D789A" w:rsidTr="003D789A">
        <w:trPr>
          <w:trHeight w:val="255"/>
          <w:jc w:val="center"/>
        </w:trPr>
        <w:tc>
          <w:tcPr>
            <w:tcW w:w="4962" w:type="dxa"/>
            <w:tcBorders>
              <w:top w:val="nil"/>
              <w:left w:val="single" w:sz="4" w:space="0" w:color="auto"/>
              <w:bottom w:val="nil"/>
              <w:right w:val="nil"/>
            </w:tcBorders>
            <w:shd w:val="clear" w:color="auto" w:fill="auto"/>
            <w:hideMark/>
          </w:tcPr>
          <w:p w:rsidR="003D789A" w:rsidRPr="004D3687" w:rsidRDefault="003D789A" w:rsidP="003D789A">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p>
          <w:p w:rsidR="003D789A" w:rsidRPr="004D3687" w:rsidRDefault="003D789A" w:rsidP="003D789A">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4D3687">
              <w:rPr>
                <w:rFonts w:cs="Arial"/>
                <w:b/>
                <w:bCs/>
                <w:color w:val="000000"/>
                <w:sz w:val="20"/>
                <w:lang w:val="en-US" w:eastAsia="zh-CN"/>
              </w:rPr>
              <w:t>ASSETS</w:t>
            </w:r>
          </w:p>
        </w:tc>
        <w:tc>
          <w:tcPr>
            <w:tcW w:w="1275" w:type="dxa"/>
            <w:tcBorders>
              <w:top w:val="nil"/>
              <w:left w:val="single" w:sz="4" w:space="0" w:color="auto"/>
              <w:bottom w:val="nil"/>
              <w:right w:val="single" w:sz="4" w:space="0" w:color="auto"/>
            </w:tcBorders>
            <w:shd w:val="clear" w:color="auto" w:fill="auto"/>
            <w:hideMark/>
          </w:tcPr>
          <w:p w:rsidR="003D789A" w:rsidRPr="004D3687" w:rsidRDefault="003D789A" w:rsidP="003D789A">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4D3687">
              <w:rPr>
                <w:rFonts w:cs="Arial"/>
                <w:b/>
                <w:bCs/>
                <w:color w:val="000000"/>
                <w:sz w:val="20"/>
                <w:lang w:val="en-US" w:eastAsia="zh-CN"/>
              </w:rPr>
              <w:t> </w:t>
            </w:r>
          </w:p>
        </w:tc>
      </w:tr>
      <w:tr w:rsidR="003D789A" w:rsidRPr="003D789A" w:rsidTr="003D789A">
        <w:trPr>
          <w:trHeight w:val="255"/>
          <w:jc w:val="center"/>
        </w:trPr>
        <w:tc>
          <w:tcPr>
            <w:tcW w:w="4962" w:type="dxa"/>
            <w:tcBorders>
              <w:top w:val="nil"/>
              <w:left w:val="single" w:sz="4" w:space="0" w:color="auto"/>
              <w:bottom w:val="nil"/>
              <w:right w:val="nil"/>
            </w:tcBorders>
            <w:shd w:val="clear" w:color="auto" w:fill="auto"/>
            <w:hideMark/>
          </w:tcPr>
          <w:p w:rsidR="003D789A" w:rsidRPr="004D3687" w:rsidRDefault="003D789A" w:rsidP="003D789A">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4D3687">
              <w:rPr>
                <w:rFonts w:cs="Arial"/>
                <w:b/>
                <w:bCs/>
                <w:color w:val="000000"/>
                <w:sz w:val="20"/>
                <w:lang w:val="en-US" w:eastAsia="zh-CN"/>
              </w:rPr>
              <w:t> </w:t>
            </w:r>
          </w:p>
        </w:tc>
        <w:tc>
          <w:tcPr>
            <w:tcW w:w="1275" w:type="dxa"/>
            <w:tcBorders>
              <w:top w:val="nil"/>
              <w:left w:val="single" w:sz="4" w:space="0" w:color="auto"/>
              <w:bottom w:val="nil"/>
              <w:right w:val="single" w:sz="4" w:space="0" w:color="auto"/>
            </w:tcBorders>
            <w:shd w:val="clear" w:color="auto" w:fill="auto"/>
            <w:hideMark/>
          </w:tcPr>
          <w:p w:rsidR="003D789A" w:rsidRPr="004D3687" w:rsidRDefault="003D789A" w:rsidP="003D789A">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4D3687">
              <w:rPr>
                <w:rFonts w:cs="Arial"/>
                <w:color w:val="000000"/>
                <w:sz w:val="20"/>
                <w:lang w:val="en-US" w:eastAsia="zh-CN"/>
              </w:rPr>
              <w:t> </w:t>
            </w:r>
          </w:p>
        </w:tc>
      </w:tr>
      <w:tr w:rsidR="003D789A" w:rsidRPr="003D789A" w:rsidTr="003D789A">
        <w:trPr>
          <w:trHeight w:val="255"/>
          <w:jc w:val="center"/>
        </w:trPr>
        <w:tc>
          <w:tcPr>
            <w:tcW w:w="4962" w:type="dxa"/>
            <w:tcBorders>
              <w:top w:val="nil"/>
              <w:left w:val="single" w:sz="4" w:space="0" w:color="auto"/>
              <w:bottom w:val="nil"/>
              <w:right w:val="nil"/>
            </w:tcBorders>
            <w:shd w:val="clear" w:color="auto" w:fill="auto"/>
            <w:hideMark/>
          </w:tcPr>
          <w:p w:rsidR="003D789A" w:rsidRPr="004D3687" w:rsidRDefault="003D789A" w:rsidP="003D789A">
            <w:pPr>
              <w:tabs>
                <w:tab w:val="clear" w:pos="567"/>
                <w:tab w:val="clear" w:pos="1134"/>
                <w:tab w:val="clear" w:pos="1701"/>
                <w:tab w:val="clear" w:pos="2268"/>
                <w:tab w:val="clear" w:pos="2835"/>
              </w:tabs>
              <w:overflowPunct/>
              <w:autoSpaceDE/>
              <w:autoSpaceDN/>
              <w:adjustRightInd/>
              <w:spacing w:before="0"/>
              <w:textAlignment w:val="auto"/>
              <w:rPr>
                <w:rFonts w:cs="Arial"/>
                <w:sz w:val="20"/>
                <w:lang w:val="en-US" w:eastAsia="zh-CN"/>
              </w:rPr>
            </w:pPr>
            <w:r w:rsidRPr="004D3687">
              <w:rPr>
                <w:rFonts w:cs="Arial"/>
                <w:sz w:val="20"/>
                <w:lang w:val="en-US" w:eastAsia="zh-CN"/>
              </w:rPr>
              <w:t>Cash and cash equivalents</w:t>
            </w:r>
          </w:p>
        </w:tc>
        <w:tc>
          <w:tcPr>
            <w:tcW w:w="1275" w:type="dxa"/>
            <w:tcBorders>
              <w:top w:val="nil"/>
              <w:left w:val="single" w:sz="4" w:space="0" w:color="auto"/>
              <w:bottom w:val="nil"/>
              <w:right w:val="single" w:sz="4" w:space="0" w:color="auto"/>
            </w:tcBorders>
            <w:shd w:val="clear" w:color="auto" w:fill="auto"/>
            <w:hideMark/>
          </w:tcPr>
          <w:p w:rsidR="003D789A" w:rsidRPr="004D3687" w:rsidRDefault="003D789A" w:rsidP="003D789A">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4D3687">
              <w:rPr>
                <w:rFonts w:cs="Arial"/>
                <w:sz w:val="20"/>
                <w:lang w:val="en-US" w:eastAsia="zh-CN"/>
              </w:rPr>
              <w:t xml:space="preserve">          407 </w:t>
            </w:r>
          </w:p>
        </w:tc>
      </w:tr>
      <w:tr w:rsidR="003D789A" w:rsidRPr="003D789A" w:rsidTr="003D789A">
        <w:trPr>
          <w:trHeight w:val="255"/>
          <w:jc w:val="center"/>
        </w:trPr>
        <w:tc>
          <w:tcPr>
            <w:tcW w:w="4962" w:type="dxa"/>
            <w:tcBorders>
              <w:top w:val="nil"/>
              <w:left w:val="single" w:sz="4" w:space="0" w:color="auto"/>
              <w:bottom w:val="nil"/>
              <w:right w:val="nil"/>
            </w:tcBorders>
            <w:shd w:val="clear" w:color="auto" w:fill="auto"/>
            <w:hideMark/>
          </w:tcPr>
          <w:p w:rsidR="003D789A" w:rsidRPr="004D3687" w:rsidRDefault="003D789A" w:rsidP="003D789A">
            <w:pPr>
              <w:tabs>
                <w:tab w:val="clear" w:pos="567"/>
                <w:tab w:val="clear" w:pos="1134"/>
                <w:tab w:val="clear" w:pos="1701"/>
                <w:tab w:val="clear" w:pos="2268"/>
                <w:tab w:val="clear" w:pos="2835"/>
              </w:tabs>
              <w:overflowPunct/>
              <w:autoSpaceDE/>
              <w:autoSpaceDN/>
              <w:adjustRightInd/>
              <w:spacing w:before="0"/>
              <w:textAlignment w:val="auto"/>
              <w:rPr>
                <w:rFonts w:cs="Arial"/>
                <w:sz w:val="20"/>
                <w:lang w:val="en-US" w:eastAsia="zh-CN"/>
              </w:rPr>
            </w:pPr>
            <w:r w:rsidRPr="004D3687">
              <w:rPr>
                <w:rFonts w:cs="Arial"/>
                <w:sz w:val="20"/>
                <w:lang w:val="en-US" w:eastAsia="zh-CN"/>
              </w:rPr>
              <w:t>Investments</w:t>
            </w:r>
          </w:p>
        </w:tc>
        <w:tc>
          <w:tcPr>
            <w:tcW w:w="1275" w:type="dxa"/>
            <w:tcBorders>
              <w:top w:val="nil"/>
              <w:left w:val="single" w:sz="4" w:space="0" w:color="auto"/>
              <w:bottom w:val="nil"/>
              <w:right w:val="single" w:sz="4" w:space="0" w:color="auto"/>
            </w:tcBorders>
            <w:shd w:val="clear" w:color="auto" w:fill="auto"/>
            <w:hideMark/>
          </w:tcPr>
          <w:p w:rsidR="003D789A" w:rsidRPr="004D3687" w:rsidRDefault="003D789A" w:rsidP="003D789A">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4D3687">
              <w:rPr>
                <w:rFonts w:cs="Arial"/>
                <w:sz w:val="20"/>
                <w:lang w:val="en-US" w:eastAsia="zh-CN"/>
              </w:rPr>
              <w:t xml:space="preserve">            -   </w:t>
            </w:r>
          </w:p>
        </w:tc>
      </w:tr>
      <w:tr w:rsidR="003D789A" w:rsidRPr="003D789A" w:rsidTr="003D789A">
        <w:trPr>
          <w:trHeight w:val="255"/>
          <w:jc w:val="center"/>
        </w:trPr>
        <w:tc>
          <w:tcPr>
            <w:tcW w:w="4962" w:type="dxa"/>
            <w:tcBorders>
              <w:top w:val="nil"/>
              <w:left w:val="single" w:sz="4" w:space="0" w:color="auto"/>
              <w:bottom w:val="nil"/>
              <w:right w:val="nil"/>
            </w:tcBorders>
            <w:shd w:val="clear" w:color="auto" w:fill="auto"/>
            <w:hideMark/>
          </w:tcPr>
          <w:p w:rsidR="003D789A" w:rsidRPr="004D3687" w:rsidRDefault="003D789A" w:rsidP="003D789A">
            <w:pPr>
              <w:tabs>
                <w:tab w:val="clear" w:pos="567"/>
                <w:tab w:val="clear" w:pos="1134"/>
                <w:tab w:val="clear" w:pos="1701"/>
                <w:tab w:val="clear" w:pos="2268"/>
                <w:tab w:val="clear" w:pos="2835"/>
              </w:tabs>
              <w:overflowPunct/>
              <w:autoSpaceDE/>
              <w:autoSpaceDN/>
              <w:adjustRightInd/>
              <w:spacing w:before="0"/>
              <w:textAlignment w:val="auto"/>
              <w:rPr>
                <w:rFonts w:cs="Arial"/>
                <w:sz w:val="20"/>
                <w:lang w:val="en-US" w:eastAsia="zh-CN"/>
              </w:rPr>
            </w:pPr>
            <w:r w:rsidRPr="004D3687">
              <w:rPr>
                <w:rFonts w:cs="Arial"/>
                <w:sz w:val="20"/>
                <w:lang w:val="en-US" w:eastAsia="zh-CN"/>
              </w:rPr>
              <w:t xml:space="preserve">Receivables </w:t>
            </w:r>
          </w:p>
        </w:tc>
        <w:tc>
          <w:tcPr>
            <w:tcW w:w="1275" w:type="dxa"/>
            <w:tcBorders>
              <w:top w:val="nil"/>
              <w:left w:val="single" w:sz="4" w:space="0" w:color="auto"/>
              <w:bottom w:val="nil"/>
              <w:right w:val="single" w:sz="4" w:space="0" w:color="auto"/>
            </w:tcBorders>
            <w:shd w:val="clear" w:color="auto" w:fill="auto"/>
            <w:hideMark/>
          </w:tcPr>
          <w:p w:rsidR="003D789A" w:rsidRPr="004D3687" w:rsidRDefault="003D789A" w:rsidP="003D789A">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4D3687">
              <w:rPr>
                <w:rFonts w:cs="Arial"/>
                <w:sz w:val="20"/>
                <w:lang w:val="en-US" w:eastAsia="zh-CN"/>
              </w:rPr>
              <w:t xml:space="preserve">            -   </w:t>
            </w:r>
          </w:p>
        </w:tc>
      </w:tr>
      <w:tr w:rsidR="003D789A" w:rsidRPr="003D789A" w:rsidTr="003D789A">
        <w:trPr>
          <w:trHeight w:val="255"/>
          <w:jc w:val="center"/>
        </w:trPr>
        <w:tc>
          <w:tcPr>
            <w:tcW w:w="4962" w:type="dxa"/>
            <w:tcBorders>
              <w:top w:val="nil"/>
              <w:left w:val="single" w:sz="4" w:space="0" w:color="auto"/>
              <w:bottom w:val="nil"/>
              <w:right w:val="nil"/>
            </w:tcBorders>
            <w:shd w:val="clear" w:color="auto" w:fill="auto"/>
            <w:hideMark/>
          </w:tcPr>
          <w:p w:rsidR="003D789A" w:rsidRPr="004D3687" w:rsidRDefault="003D789A" w:rsidP="003D789A">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4D3687">
              <w:rPr>
                <w:rFonts w:cs="Arial"/>
                <w:b/>
                <w:bCs/>
                <w:color w:val="000000"/>
                <w:sz w:val="20"/>
                <w:lang w:val="en-US" w:eastAsia="zh-CN"/>
              </w:rPr>
              <w:t> </w:t>
            </w:r>
          </w:p>
        </w:tc>
        <w:tc>
          <w:tcPr>
            <w:tcW w:w="1275" w:type="dxa"/>
            <w:tcBorders>
              <w:top w:val="nil"/>
              <w:left w:val="single" w:sz="4" w:space="0" w:color="auto"/>
              <w:bottom w:val="nil"/>
              <w:right w:val="single" w:sz="4" w:space="0" w:color="auto"/>
            </w:tcBorders>
            <w:shd w:val="clear" w:color="auto" w:fill="auto"/>
            <w:hideMark/>
          </w:tcPr>
          <w:p w:rsidR="003D789A" w:rsidRPr="004D3687" w:rsidRDefault="003D789A" w:rsidP="003D789A">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4D3687">
              <w:rPr>
                <w:rFonts w:cs="Arial"/>
                <w:b/>
                <w:bCs/>
                <w:color w:val="000000"/>
                <w:sz w:val="20"/>
                <w:lang w:val="en-US" w:eastAsia="zh-CN"/>
              </w:rPr>
              <w:t> </w:t>
            </w:r>
          </w:p>
        </w:tc>
      </w:tr>
      <w:tr w:rsidR="003D789A" w:rsidRPr="003D789A" w:rsidTr="003D789A">
        <w:trPr>
          <w:trHeight w:val="255"/>
          <w:jc w:val="center"/>
        </w:trPr>
        <w:tc>
          <w:tcPr>
            <w:tcW w:w="4962" w:type="dxa"/>
            <w:tcBorders>
              <w:top w:val="single" w:sz="4" w:space="0" w:color="auto"/>
              <w:left w:val="single" w:sz="4" w:space="0" w:color="auto"/>
              <w:bottom w:val="single" w:sz="4" w:space="0" w:color="auto"/>
              <w:right w:val="nil"/>
            </w:tcBorders>
            <w:shd w:val="clear" w:color="auto" w:fill="CCECFF"/>
            <w:noWrap/>
            <w:vAlign w:val="center"/>
            <w:hideMark/>
          </w:tcPr>
          <w:p w:rsidR="003D789A" w:rsidRPr="004D3687" w:rsidRDefault="003D789A" w:rsidP="003D789A">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4D3687">
              <w:rPr>
                <w:rFonts w:cs="Arial"/>
                <w:b/>
                <w:bCs/>
                <w:color w:val="000000"/>
                <w:sz w:val="20"/>
                <w:lang w:val="en-US" w:eastAsia="zh-CN"/>
              </w:rPr>
              <w:t>Total ASSETS</w:t>
            </w:r>
          </w:p>
        </w:tc>
        <w:tc>
          <w:tcPr>
            <w:tcW w:w="1275"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3D789A" w:rsidRPr="004D3687" w:rsidRDefault="003D789A" w:rsidP="003D789A">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4D3687">
              <w:rPr>
                <w:rFonts w:cs="Arial"/>
                <w:b/>
                <w:bCs/>
                <w:color w:val="000000"/>
                <w:sz w:val="20"/>
                <w:lang w:val="en-US" w:eastAsia="zh-CN"/>
              </w:rPr>
              <w:t xml:space="preserve">          407 </w:t>
            </w:r>
          </w:p>
        </w:tc>
      </w:tr>
      <w:tr w:rsidR="003D789A" w:rsidRPr="003D789A" w:rsidTr="003D789A">
        <w:trPr>
          <w:trHeight w:val="255"/>
          <w:jc w:val="center"/>
        </w:trPr>
        <w:tc>
          <w:tcPr>
            <w:tcW w:w="4962" w:type="dxa"/>
            <w:tcBorders>
              <w:top w:val="nil"/>
              <w:left w:val="single" w:sz="4" w:space="0" w:color="auto"/>
              <w:bottom w:val="nil"/>
              <w:right w:val="nil"/>
            </w:tcBorders>
            <w:shd w:val="clear" w:color="auto" w:fill="auto"/>
            <w:hideMark/>
          </w:tcPr>
          <w:p w:rsidR="003D789A" w:rsidRPr="004D3687" w:rsidRDefault="003D789A" w:rsidP="003D789A">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p>
          <w:p w:rsidR="003D789A" w:rsidRPr="004D3687" w:rsidRDefault="003D789A" w:rsidP="003D789A">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4D3687">
              <w:rPr>
                <w:rFonts w:cs="Arial"/>
                <w:b/>
                <w:bCs/>
                <w:color w:val="000000"/>
                <w:sz w:val="20"/>
                <w:lang w:val="en-US" w:eastAsia="zh-CN"/>
              </w:rPr>
              <w:t>LIABILITIES</w:t>
            </w:r>
          </w:p>
        </w:tc>
        <w:tc>
          <w:tcPr>
            <w:tcW w:w="1275" w:type="dxa"/>
            <w:tcBorders>
              <w:top w:val="nil"/>
              <w:left w:val="single" w:sz="4" w:space="0" w:color="auto"/>
              <w:bottom w:val="nil"/>
              <w:right w:val="single" w:sz="4" w:space="0" w:color="auto"/>
            </w:tcBorders>
            <w:shd w:val="clear" w:color="auto" w:fill="auto"/>
            <w:hideMark/>
          </w:tcPr>
          <w:p w:rsidR="003D789A" w:rsidRPr="004D3687" w:rsidRDefault="003D789A" w:rsidP="003D789A">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4D3687">
              <w:rPr>
                <w:rFonts w:cs="Arial"/>
                <w:color w:val="000000"/>
                <w:sz w:val="20"/>
                <w:lang w:val="en-US" w:eastAsia="zh-CN"/>
              </w:rPr>
              <w:t> </w:t>
            </w:r>
          </w:p>
        </w:tc>
      </w:tr>
      <w:tr w:rsidR="003D789A" w:rsidRPr="003D789A" w:rsidTr="003D789A">
        <w:trPr>
          <w:trHeight w:val="255"/>
          <w:jc w:val="center"/>
        </w:trPr>
        <w:tc>
          <w:tcPr>
            <w:tcW w:w="4962" w:type="dxa"/>
            <w:tcBorders>
              <w:top w:val="nil"/>
              <w:left w:val="single" w:sz="4" w:space="0" w:color="auto"/>
              <w:bottom w:val="nil"/>
              <w:right w:val="nil"/>
            </w:tcBorders>
            <w:shd w:val="clear" w:color="auto" w:fill="auto"/>
            <w:hideMark/>
          </w:tcPr>
          <w:p w:rsidR="003D789A" w:rsidRPr="004D3687" w:rsidRDefault="003D789A" w:rsidP="003D789A">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4D3687">
              <w:rPr>
                <w:rFonts w:cs="Arial"/>
                <w:b/>
                <w:bCs/>
                <w:color w:val="000000"/>
                <w:sz w:val="20"/>
                <w:lang w:val="en-US" w:eastAsia="zh-CN"/>
              </w:rPr>
              <w:t> </w:t>
            </w:r>
          </w:p>
        </w:tc>
        <w:tc>
          <w:tcPr>
            <w:tcW w:w="1275" w:type="dxa"/>
            <w:tcBorders>
              <w:top w:val="nil"/>
              <w:left w:val="single" w:sz="4" w:space="0" w:color="auto"/>
              <w:bottom w:val="nil"/>
              <w:right w:val="single" w:sz="4" w:space="0" w:color="auto"/>
            </w:tcBorders>
            <w:shd w:val="clear" w:color="auto" w:fill="auto"/>
            <w:hideMark/>
          </w:tcPr>
          <w:p w:rsidR="003D789A" w:rsidRPr="004D3687" w:rsidRDefault="003D789A" w:rsidP="003D789A">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4D3687">
              <w:rPr>
                <w:rFonts w:cs="Arial"/>
                <w:color w:val="000000"/>
                <w:sz w:val="20"/>
                <w:lang w:val="en-US" w:eastAsia="zh-CN"/>
              </w:rPr>
              <w:t> </w:t>
            </w:r>
          </w:p>
        </w:tc>
      </w:tr>
      <w:tr w:rsidR="003D789A" w:rsidRPr="003D789A" w:rsidTr="003D789A">
        <w:trPr>
          <w:trHeight w:val="255"/>
          <w:jc w:val="center"/>
        </w:trPr>
        <w:tc>
          <w:tcPr>
            <w:tcW w:w="4962" w:type="dxa"/>
            <w:tcBorders>
              <w:top w:val="nil"/>
              <w:left w:val="single" w:sz="4" w:space="0" w:color="auto"/>
              <w:bottom w:val="nil"/>
              <w:right w:val="nil"/>
            </w:tcBorders>
            <w:shd w:val="clear" w:color="auto" w:fill="auto"/>
            <w:hideMark/>
          </w:tcPr>
          <w:p w:rsidR="003D789A" w:rsidRPr="004D3687" w:rsidRDefault="003D789A" w:rsidP="003D789A">
            <w:pPr>
              <w:tabs>
                <w:tab w:val="clear" w:pos="567"/>
                <w:tab w:val="clear" w:pos="1134"/>
                <w:tab w:val="clear" w:pos="1701"/>
                <w:tab w:val="clear" w:pos="2268"/>
                <w:tab w:val="clear" w:pos="2835"/>
              </w:tabs>
              <w:overflowPunct/>
              <w:autoSpaceDE/>
              <w:autoSpaceDN/>
              <w:adjustRightInd/>
              <w:spacing w:before="0"/>
              <w:textAlignment w:val="auto"/>
              <w:rPr>
                <w:rFonts w:cs="Arial"/>
                <w:sz w:val="20"/>
                <w:lang w:val="en-US" w:eastAsia="zh-CN"/>
              </w:rPr>
            </w:pPr>
            <w:r w:rsidRPr="004D3687">
              <w:rPr>
                <w:rFonts w:cs="Arial"/>
                <w:sz w:val="20"/>
                <w:lang w:val="en-US" w:eastAsia="zh-CN"/>
              </w:rPr>
              <w:t>Suppliers and other creditors</w:t>
            </w:r>
          </w:p>
        </w:tc>
        <w:tc>
          <w:tcPr>
            <w:tcW w:w="1275" w:type="dxa"/>
            <w:tcBorders>
              <w:top w:val="nil"/>
              <w:left w:val="single" w:sz="4" w:space="0" w:color="auto"/>
              <w:bottom w:val="nil"/>
              <w:right w:val="single" w:sz="4" w:space="0" w:color="auto"/>
            </w:tcBorders>
            <w:shd w:val="clear" w:color="auto" w:fill="auto"/>
            <w:hideMark/>
          </w:tcPr>
          <w:p w:rsidR="003D789A" w:rsidRPr="004D3687" w:rsidRDefault="003D789A" w:rsidP="003D789A">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4D3687">
              <w:rPr>
                <w:rFonts w:cs="Arial"/>
                <w:sz w:val="20"/>
                <w:lang w:val="en-US" w:eastAsia="zh-CN"/>
              </w:rPr>
              <w:t xml:space="preserve">          358 </w:t>
            </w:r>
          </w:p>
        </w:tc>
      </w:tr>
      <w:tr w:rsidR="003D789A" w:rsidRPr="003D789A" w:rsidTr="003D789A">
        <w:trPr>
          <w:trHeight w:val="255"/>
          <w:jc w:val="center"/>
        </w:trPr>
        <w:tc>
          <w:tcPr>
            <w:tcW w:w="4962" w:type="dxa"/>
            <w:tcBorders>
              <w:top w:val="nil"/>
              <w:left w:val="single" w:sz="4" w:space="0" w:color="auto"/>
              <w:bottom w:val="nil"/>
              <w:right w:val="nil"/>
            </w:tcBorders>
            <w:shd w:val="clear" w:color="auto" w:fill="auto"/>
            <w:hideMark/>
          </w:tcPr>
          <w:p w:rsidR="003D789A" w:rsidRPr="004D3687" w:rsidRDefault="003D789A" w:rsidP="003D789A">
            <w:pPr>
              <w:tabs>
                <w:tab w:val="clear" w:pos="567"/>
                <w:tab w:val="clear" w:pos="1134"/>
                <w:tab w:val="clear" w:pos="1701"/>
                <w:tab w:val="clear" w:pos="2268"/>
                <w:tab w:val="clear" w:pos="2835"/>
              </w:tabs>
              <w:overflowPunct/>
              <w:autoSpaceDE/>
              <w:autoSpaceDN/>
              <w:adjustRightInd/>
              <w:spacing w:before="0"/>
              <w:textAlignment w:val="auto"/>
              <w:rPr>
                <w:rFonts w:cs="Arial"/>
                <w:sz w:val="20"/>
                <w:lang w:val="en-US" w:eastAsia="zh-CN"/>
              </w:rPr>
            </w:pPr>
            <w:r w:rsidRPr="004D3687">
              <w:rPr>
                <w:rFonts w:cs="Arial"/>
                <w:sz w:val="20"/>
                <w:lang w:val="en-US" w:eastAsia="zh-CN"/>
              </w:rPr>
              <w:t>Borrowings and financial debts</w:t>
            </w:r>
          </w:p>
        </w:tc>
        <w:tc>
          <w:tcPr>
            <w:tcW w:w="1275" w:type="dxa"/>
            <w:tcBorders>
              <w:top w:val="nil"/>
              <w:left w:val="single" w:sz="4" w:space="0" w:color="auto"/>
              <w:bottom w:val="nil"/>
              <w:right w:val="single" w:sz="4" w:space="0" w:color="auto"/>
            </w:tcBorders>
            <w:shd w:val="clear" w:color="auto" w:fill="auto"/>
            <w:hideMark/>
          </w:tcPr>
          <w:p w:rsidR="003D789A" w:rsidRPr="004D3687" w:rsidRDefault="003D789A" w:rsidP="003D789A">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4D3687">
              <w:rPr>
                <w:rFonts w:cs="Arial"/>
                <w:sz w:val="20"/>
                <w:lang w:val="en-US" w:eastAsia="zh-CN"/>
              </w:rPr>
              <w:t xml:space="preserve">          720 </w:t>
            </w:r>
          </w:p>
        </w:tc>
      </w:tr>
      <w:tr w:rsidR="003D789A" w:rsidRPr="003D789A" w:rsidTr="003D789A">
        <w:trPr>
          <w:trHeight w:val="255"/>
          <w:jc w:val="center"/>
        </w:trPr>
        <w:tc>
          <w:tcPr>
            <w:tcW w:w="4962" w:type="dxa"/>
            <w:tcBorders>
              <w:top w:val="nil"/>
              <w:left w:val="single" w:sz="4" w:space="0" w:color="auto"/>
              <w:bottom w:val="nil"/>
              <w:right w:val="nil"/>
            </w:tcBorders>
            <w:shd w:val="clear" w:color="auto" w:fill="auto"/>
            <w:hideMark/>
          </w:tcPr>
          <w:p w:rsidR="003D789A" w:rsidRPr="004D3687" w:rsidRDefault="003D789A" w:rsidP="003D789A">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4D3687">
              <w:rPr>
                <w:rFonts w:cs="Arial"/>
                <w:color w:val="000000"/>
                <w:sz w:val="20"/>
                <w:lang w:val="en-US" w:eastAsia="zh-CN"/>
              </w:rPr>
              <w:t>Own fund allocated</w:t>
            </w:r>
          </w:p>
        </w:tc>
        <w:tc>
          <w:tcPr>
            <w:tcW w:w="1275" w:type="dxa"/>
            <w:tcBorders>
              <w:top w:val="nil"/>
              <w:left w:val="single" w:sz="4" w:space="0" w:color="auto"/>
              <w:bottom w:val="nil"/>
              <w:right w:val="single" w:sz="4" w:space="0" w:color="auto"/>
            </w:tcBorders>
            <w:shd w:val="clear" w:color="auto" w:fill="auto"/>
            <w:hideMark/>
          </w:tcPr>
          <w:p w:rsidR="003D789A" w:rsidRPr="004D3687" w:rsidRDefault="003D789A" w:rsidP="003D789A">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4D3687">
              <w:rPr>
                <w:rFonts w:cs="Arial"/>
                <w:b/>
                <w:bCs/>
                <w:color w:val="000000"/>
                <w:sz w:val="20"/>
                <w:lang w:val="en-US" w:eastAsia="zh-CN"/>
              </w:rPr>
              <w:t xml:space="preserve">         </w:t>
            </w:r>
            <w:r w:rsidRPr="004D3687">
              <w:rPr>
                <w:rFonts w:cs="Arial"/>
                <w:color w:val="000000"/>
                <w:sz w:val="20"/>
                <w:lang w:val="en-US" w:eastAsia="zh-CN"/>
              </w:rPr>
              <w:t xml:space="preserve">-671 </w:t>
            </w:r>
          </w:p>
        </w:tc>
      </w:tr>
      <w:tr w:rsidR="003D789A" w:rsidRPr="003D789A" w:rsidTr="003D789A">
        <w:trPr>
          <w:trHeight w:val="255"/>
          <w:jc w:val="center"/>
        </w:trPr>
        <w:tc>
          <w:tcPr>
            <w:tcW w:w="4962" w:type="dxa"/>
            <w:tcBorders>
              <w:top w:val="nil"/>
              <w:left w:val="single" w:sz="4" w:space="0" w:color="auto"/>
              <w:bottom w:val="nil"/>
              <w:right w:val="nil"/>
            </w:tcBorders>
            <w:shd w:val="clear" w:color="auto" w:fill="auto"/>
            <w:hideMark/>
          </w:tcPr>
          <w:p w:rsidR="003D789A" w:rsidRPr="004D3687" w:rsidRDefault="003D789A" w:rsidP="003D789A">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4D3687">
              <w:rPr>
                <w:rFonts w:cs="Arial"/>
                <w:b/>
                <w:bCs/>
                <w:color w:val="000000"/>
                <w:sz w:val="20"/>
                <w:lang w:val="en-US" w:eastAsia="zh-CN"/>
              </w:rPr>
              <w:t> </w:t>
            </w:r>
          </w:p>
        </w:tc>
        <w:tc>
          <w:tcPr>
            <w:tcW w:w="1275" w:type="dxa"/>
            <w:tcBorders>
              <w:top w:val="nil"/>
              <w:left w:val="single" w:sz="4" w:space="0" w:color="auto"/>
              <w:bottom w:val="nil"/>
              <w:right w:val="single" w:sz="4" w:space="0" w:color="auto"/>
            </w:tcBorders>
            <w:shd w:val="clear" w:color="auto" w:fill="auto"/>
            <w:hideMark/>
          </w:tcPr>
          <w:p w:rsidR="003D789A" w:rsidRPr="004D3687" w:rsidRDefault="003D789A" w:rsidP="003D789A">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4D3687">
              <w:rPr>
                <w:rFonts w:cs="Arial"/>
                <w:b/>
                <w:bCs/>
                <w:color w:val="000000"/>
                <w:sz w:val="20"/>
                <w:lang w:val="en-US" w:eastAsia="zh-CN"/>
              </w:rPr>
              <w:t> </w:t>
            </w:r>
          </w:p>
        </w:tc>
      </w:tr>
      <w:tr w:rsidR="003D789A" w:rsidRPr="003D789A" w:rsidTr="003D789A">
        <w:trPr>
          <w:trHeight w:val="255"/>
          <w:jc w:val="center"/>
        </w:trPr>
        <w:tc>
          <w:tcPr>
            <w:tcW w:w="4962" w:type="dxa"/>
            <w:tcBorders>
              <w:top w:val="single" w:sz="4" w:space="0" w:color="auto"/>
              <w:left w:val="single" w:sz="4" w:space="0" w:color="auto"/>
              <w:bottom w:val="single" w:sz="4" w:space="0" w:color="auto"/>
              <w:right w:val="nil"/>
            </w:tcBorders>
            <w:shd w:val="clear" w:color="auto" w:fill="CCECFF"/>
            <w:noWrap/>
            <w:vAlign w:val="center"/>
            <w:hideMark/>
          </w:tcPr>
          <w:p w:rsidR="003D789A" w:rsidRPr="004D3687" w:rsidRDefault="003D789A" w:rsidP="003D789A">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4D3687">
              <w:rPr>
                <w:rFonts w:cs="Arial"/>
                <w:b/>
                <w:bCs/>
                <w:color w:val="000000"/>
                <w:sz w:val="20"/>
                <w:lang w:val="en-US" w:eastAsia="zh-CN"/>
              </w:rPr>
              <w:t>TOTAL LIABILITIES</w:t>
            </w:r>
          </w:p>
        </w:tc>
        <w:tc>
          <w:tcPr>
            <w:tcW w:w="1275"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3D789A" w:rsidRPr="004D3687" w:rsidRDefault="003D789A" w:rsidP="003D789A">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4D3687">
              <w:rPr>
                <w:rFonts w:cs="Arial"/>
                <w:b/>
                <w:bCs/>
                <w:color w:val="000000"/>
                <w:sz w:val="20"/>
                <w:lang w:val="en-US" w:eastAsia="zh-CN"/>
              </w:rPr>
              <w:t xml:space="preserve">          407 </w:t>
            </w:r>
          </w:p>
        </w:tc>
      </w:tr>
    </w:tbl>
    <w:p w:rsidR="003D789A" w:rsidRDefault="003D789A" w:rsidP="00BE5761">
      <w:pPr>
        <w:tabs>
          <w:tab w:val="left" w:pos="851"/>
        </w:tabs>
        <w:spacing w:before="240"/>
        <w:rPr>
          <w:color w:val="000000"/>
          <w:lang w:val="en-US"/>
        </w:rPr>
      </w:pPr>
    </w:p>
    <w:p w:rsidR="003D789A" w:rsidRDefault="003D789A" w:rsidP="00BE5761">
      <w:pPr>
        <w:tabs>
          <w:tab w:val="left" w:pos="851"/>
        </w:tabs>
        <w:spacing w:before="240"/>
        <w:rPr>
          <w:color w:val="000000"/>
          <w:lang w:val="en-US"/>
        </w:rPr>
      </w:pPr>
    </w:p>
    <w:p w:rsidR="003D789A" w:rsidRDefault="003D789A" w:rsidP="00BE5761">
      <w:pPr>
        <w:tabs>
          <w:tab w:val="left" w:pos="851"/>
        </w:tabs>
        <w:spacing w:before="240"/>
        <w:rPr>
          <w:color w:val="000000"/>
          <w:lang w:val="en-US"/>
        </w:rPr>
      </w:pPr>
    </w:p>
    <w:p w:rsidR="002502E2" w:rsidRDefault="002502E2">
      <w:pPr>
        <w:tabs>
          <w:tab w:val="clear" w:pos="567"/>
          <w:tab w:val="clear" w:pos="1134"/>
          <w:tab w:val="clear" w:pos="1701"/>
          <w:tab w:val="clear" w:pos="2268"/>
          <w:tab w:val="clear" w:pos="2835"/>
        </w:tabs>
        <w:overflowPunct/>
        <w:autoSpaceDE/>
        <w:autoSpaceDN/>
        <w:adjustRightInd/>
        <w:spacing w:before="0"/>
        <w:textAlignment w:val="auto"/>
        <w:rPr>
          <w:color w:val="000000"/>
          <w:lang w:val="en-US"/>
        </w:rPr>
      </w:pPr>
      <w:r>
        <w:rPr>
          <w:color w:val="000000"/>
          <w:lang w:val="en-US"/>
        </w:rPr>
        <w:br w:type="page"/>
      </w:r>
    </w:p>
    <w:p w:rsidR="0022373A" w:rsidRPr="001C2A98" w:rsidRDefault="003E338B" w:rsidP="004D6371">
      <w:pPr>
        <w:pStyle w:val="Heading9"/>
        <w:snapToGrid w:val="0"/>
        <w:spacing w:before="0"/>
        <w:jc w:val="center"/>
        <w:rPr>
          <w:b w:val="0"/>
          <w:bCs/>
          <w:w w:val="105"/>
          <w:sz w:val="28"/>
          <w:szCs w:val="28"/>
          <w:lang w:val="en-US"/>
        </w:rPr>
      </w:pPr>
      <w:bookmarkStart w:id="147" w:name="_Toc357006007"/>
      <w:r w:rsidRPr="004D6371">
        <w:rPr>
          <w:b w:val="0"/>
          <w:bCs/>
          <w:w w:val="105"/>
          <w:sz w:val="28"/>
          <w:szCs w:val="28"/>
          <w:lang w:val="en-US"/>
        </w:rPr>
        <w:t>A</w:t>
      </w:r>
      <w:r w:rsidR="00EA524F" w:rsidRPr="004D6371">
        <w:rPr>
          <w:b w:val="0"/>
          <w:bCs/>
          <w:w w:val="105"/>
          <w:sz w:val="28"/>
          <w:szCs w:val="28"/>
          <w:lang w:val="en-US"/>
        </w:rPr>
        <w:t xml:space="preserve">NNEX </w:t>
      </w:r>
      <w:r w:rsidR="004D6371">
        <w:rPr>
          <w:b w:val="0"/>
          <w:bCs/>
          <w:w w:val="105"/>
          <w:sz w:val="28"/>
          <w:szCs w:val="28"/>
          <w:lang w:val="en-US"/>
        </w:rPr>
        <w:t>A</w:t>
      </w:r>
      <w:bookmarkEnd w:id="147"/>
      <w:r w:rsidR="003D789A" w:rsidRPr="004D6371">
        <w:rPr>
          <w:b w:val="0"/>
          <w:bCs/>
          <w:w w:val="105"/>
          <w:sz w:val="28"/>
          <w:szCs w:val="28"/>
          <w:lang w:val="en-US"/>
        </w:rPr>
        <w:t>3</w:t>
      </w:r>
    </w:p>
    <w:p w:rsidR="00BC69AA" w:rsidRDefault="00BC69AA" w:rsidP="0089730A">
      <w:pPr>
        <w:pStyle w:val="Headingb"/>
        <w:snapToGrid w:val="0"/>
        <w:spacing w:before="0"/>
        <w:jc w:val="center"/>
        <w:rPr>
          <w:sz w:val="22"/>
          <w:szCs w:val="22"/>
          <w:lang w:val="en-US"/>
        </w:rPr>
      </w:pPr>
    </w:p>
    <w:p w:rsidR="0022373A" w:rsidRPr="002502E2" w:rsidRDefault="0022373A" w:rsidP="002502E2">
      <w:pPr>
        <w:pStyle w:val="Headingb"/>
        <w:snapToGrid w:val="0"/>
        <w:spacing w:before="0"/>
        <w:jc w:val="center"/>
        <w:rPr>
          <w:sz w:val="28"/>
          <w:szCs w:val="28"/>
          <w:lang w:val="en-US"/>
        </w:rPr>
      </w:pPr>
      <w:r w:rsidRPr="002502E2">
        <w:rPr>
          <w:sz w:val="28"/>
          <w:szCs w:val="28"/>
          <w:lang w:val="en-US"/>
        </w:rPr>
        <w:t>S</w:t>
      </w:r>
      <w:r w:rsidR="002502E2">
        <w:rPr>
          <w:sz w:val="28"/>
          <w:szCs w:val="28"/>
          <w:lang w:val="en-US"/>
        </w:rPr>
        <w:t xml:space="preserve">taff Superannuation and Benevolent Funds - </w:t>
      </w:r>
      <w:r w:rsidR="00834D1F" w:rsidRPr="002502E2">
        <w:rPr>
          <w:sz w:val="28"/>
          <w:szCs w:val="28"/>
          <w:lang w:val="en-US"/>
        </w:rPr>
        <w:t xml:space="preserve">See Note </w:t>
      </w:r>
      <w:r w:rsidR="0089730A" w:rsidRPr="002502E2">
        <w:rPr>
          <w:sz w:val="28"/>
          <w:szCs w:val="28"/>
          <w:lang w:val="en-US"/>
        </w:rPr>
        <w:t>2</w:t>
      </w:r>
    </w:p>
    <w:tbl>
      <w:tblPr>
        <w:tblW w:w="5150" w:type="pct"/>
        <w:tblInd w:w="-147" w:type="dxa"/>
        <w:tblLook w:val="04A0" w:firstRow="1" w:lastRow="0" w:firstColumn="1" w:lastColumn="0" w:noHBand="0" w:noVBand="1"/>
      </w:tblPr>
      <w:tblGrid>
        <w:gridCol w:w="5138"/>
        <w:gridCol w:w="1357"/>
        <w:gridCol w:w="1113"/>
        <w:gridCol w:w="1077"/>
        <w:gridCol w:w="1379"/>
      </w:tblGrid>
      <w:tr w:rsidR="00DC3DFD" w:rsidRPr="003D789A" w:rsidTr="004206B9">
        <w:trPr>
          <w:trHeight w:val="405"/>
        </w:trPr>
        <w:tc>
          <w:tcPr>
            <w:tcW w:w="5000" w:type="pct"/>
            <w:gridSpan w:val="5"/>
            <w:tcBorders>
              <w:top w:val="single" w:sz="4" w:space="0" w:color="auto"/>
              <w:left w:val="single" w:sz="4" w:space="0" w:color="auto"/>
              <w:bottom w:val="nil"/>
              <w:right w:val="single" w:sz="4" w:space="0" w:color="000000"/>
            </w:tcBorders>
            <w:shd w:val="clear" w:color="auto" w:fill="auto"/>
            <w:noWrap/>
            <w:vAlign w:val="center"/>
            <w:hideMark/>
          </w:tcPr>
          <w:p w:rsidR="00DC3DFD" w:rsidRPr="003D789A" w:rsidRDefault="003D789A" w:rsidP="003D789A">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r>
              <w:rPr>
                <w:rFonts w:cs="Calibri"/>
                <w:b/>
                <w:bCs/>
                <w:sz w:val="20"/>
                <w:lang w:val="en-US"/>
              </w:rPr>
              <w:t>Statement of financial performance for the 2017 period with 2016 comparative figures</w:t>
            </w:r>
          </w:p>
        </w:tc>
      </w:tr>
      <w:tr w:rsidR="003D789A" w:rsidRPr="00DC3DFD" w:rsidTr="003D789A">
        <w:trPr>
          <w:trHeight w:val="615"/>
        </w:trPr>
        <w:tc>
          <w:tcPr>
            <w:tcW w:w="2553" w:type="pct"/>
            <w:tcBorders>
              <w:top w:val="single" w:sz="4" w:space="0" w:color="auto"/>
              <w:left w:val="single" w:sz="4" w:space="0" w:color="auto"/>
              <w:bottom w:val="nil"/>
              <w:right w:val="nil"/>
            </w:tcBorders>
            <w:shd w:val="clear" w:color="auto" w:fill="auto"/>
            <w:noWrap/>
            <w:vAlign w:val="center"/>
            <w:hideMark/>
          </w:tcPr>
          <w:p w:rsidR="003D789A" w:rsidRPr="003D789A" w:rsidRDefault="003D789A" w:rsidP="003D789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3D789A">
              <w:rPr>
                <w:rFonts w:asciiTheme="minorHAnsi" w:hAnsiTheme="minorHAnsi"/>
                <w:sz w:val="22"/>
                <w:szCs w:val="22"/>
                <w:lang w:val="en-US" w:eastAsia="zh-CN"/>
              </w:rPr>
              <w:t> </w:t>
            </w:r>
          </w:p>
        </w:tc>
        <w:tc>
          <w:tcPr>
            <w:tcW w:w="1227" w:type="pct"/>
            <w:gridSpan w:val="2"/>
            <w:tcBorders>
              <w:top w:val="single" w:sz="4" w:space="0" w:color="auto"/>
              <w:left w:val="single" w:sz="4" w:space="0" w:color="auto"/>
              <w:bottom w:val="nil"/>
              <w:right w:val="single" w:sz="4" w:space="0" w:color="000000"/>
            </w:tcBorders>
            <w:shd w:val="clear" w:color="auto" w:fill="auto"/>
            <w:vAlign w:val="bottom"/>
            <w:hideMark/>
          </w:tcPr>
          <w:p w:rsidR="003D789A" w:rsidRPr="003D789A" w:rsidRDefault="003D789A" w:rsidP="003D789A">
            <w:pPr>
              <w:jc w:val="center"/>
              <w:rPr>
                <w:rFonts w:cs="Calibri"/>
                <w:b/>
                <w:bCs/>
                <w:sz w:val="18"/>
                <w:szCs w:val="18"/>
                <w:lang w:val="fr-FR"/>
              </w:rPr>
            </w:pPr>
            <w:r w:rsidRPr="003D789A">
              <w:rPr>
                <w:rFonts w:cs="Calibri"/>
                <w:b/>
                <w:bCs/>
                <w:sz w:val="18"/>
                <w:szCs w:val="18"/>
                <w:lang w:val="fr-FR"/>
              </w:rPr>
              <w:t xml:space="preserve">Reserve and </w:t>
            </w:r>
            <w:proofErr w:type="spellStart"/>
            <w:r w:rsidRPr="003D789A">
              <w:rPr>
                <w:rFonts w:cs="Calibri"/>
                <w:b/>
                <w:bCs/>
                <w:sz w:val="18"/>
                <w:szCs w:val="18"/>
                <w:lang w:val="fr-FR"/>
              </w:rPr>
              <w:t>Complement</w:t>
            </w:r>
            <w:proofErr w:type="spellEnd"/>
            <w:r w:rsidRPr="003D789A">
              <w:rPr>
                <w:rFonts w:cs="Calibri"/>
                <w:b/>
                <w:bCs/>
                <w:sz w:val="18"/>
                <w:szCs w:val="18"/>
                <w:lang w:val="fr-FR"/>
              </w:rPr>
              <w:t xml:space="preserve"> </w:t>
            </w:r>
            <w:proofErr w:type="spellStart"/>
            <w:r w:rsidRPr="003D789A">
              <w:rPr>
                <w:rFonts w:cs="Calibri"/>
                <w:b/>
                <w:bCs/>
                <w:sz w:val="18"/>
                <w:szCs w:val="18"/>
                <w:lang w:val="fr-FR"/>
              </w:rPr>
              <w:t>fund</w:t>
            </w:r>
            <w:proofErr w:type="spellEnd"/>
          </w:p>
        </w:tc>
        <w:tc>
          <w:tcPr>
            <w:tcW w:w="1221" w:type="pct"/>
            <w:gridSpan w:val="2"/>
            <w:tcBorders>
              <w:top w:val="single" w:sz="4" w:space="0" w:color="auto"/>
              <w:left w:val="nil"/>
              <w:bottom w:val="nil"/>
              <w:right w:val="single" w:sz="4" w:space="0" w:color="000000"/>
            </w:tcBorders>
            <w:shd w:val="clear" w:color="auto" w:fill="auto"/>
            <w:noWrap/>
            <w:vAlign w:val="center"/>
            <w:hideMark/>
          </w:tcPr>
          <w:p w:rsidR="003D789A" w:rsidRPr="00DC3DFD" w:rsidRDefault="003D789A" w:rsidP="003D789A">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8"/>
                <w:szCs w:val="18"/>
                <w:lang w:val="fr-CH" w:eastAsia="zh-CN"/>
              </w:rPr>
            </w:pPr>
            <w:r>
              <w:rPr>
                <w:rFonts w:cs="Calibri"/>
                <w:b/>
                <w:bCs/>
                <w:sz w:val="20"/>
              </w:rPr>
              <w:t>Assistance fund</w:t>
            </w:r>
          </w:p>
        </w:tc>
      </w:tr>
      <w:tr w:rsidR="003D789A" w:rsidRPr="00DC3DFD" w:rsidTr="003D789A">
        <w:trPr>
          <w:trHeight w:val="300"/>
        </w:trPr>
        <w:tc>
          <w:tcPr>
            <w:tcW w:w="2553" w:type="pct"/>
            <w:tcBorders>
              <w:top w:val="nil"/>
              <w:left w:val="single" w:sz="4" w:space="0" w:color="auto"/>
              <w:bottom w:val="single" w:sz="4" w:space="0" w:color="auto"/>
              <w:right w:val="nil"/>
            </w:tcBorders>
            <w:shd w:val="clear" w:color="auto" w:fill="auto"/>
            <w:noWrap/>
            <w:vAlign w:val="center"/>
            <w:hideMark/>
          </w:tcPr>
          <w:p w:rsidR="003D789A" w:rsidRPr="00DC3DFD" w:rsidRDefault="003D789A" w:rsidP="003D789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DC3DFD">
              <w:rPr>
                <w:rFonts w:asciiTheme="minorHAnsi" w:hAnsiTheme="minorHAnsi"/>
                <w:sz w:val="22"/>
                <w:szCs w:val="22"/>
                <w:lang w:val="en-US" w:eastAsia="zh-CN"/>
              </w:rPr>
              <w:t> </w:t>
            </w:r>
          </w:p>
        </w:tc>
        <w:tc>
          <w:tcPr>
            <w:tcW w:w="1227" w:type="pct"/>
            <w:gridSpan w:val="2"/>
            <w:tcBorders>
              <w:top w:val="nil"/>
              <w:left w:val="single" w:sz="4" w:space="0" w:color="auto"/>
              <w:bottom w:val="single" w:sz="4" w:space="0" w:color="auto"/>
              <w:right w:val="nil"/>
            </w:tcBorders>
            <w:shd w:val="clear" w:color="auto" w:fill="auto"/>
            <w:noWrap/>
            <w:vAlign w:val="center"/>
            <w:hideMark/>
          </w:tcPr>
          <w:p w:rsidR="003D789A" w:rsidRPr="003D789A" w:rsidRDefault="003D789A" w:rsidP="003D789A">
            <w:pPr>
              <w:jc w:val="center"/>
              <w:rPr>
                <w:rFonts w:cs="Calibri"/>
                <w:sz w:val="18"/>
                <w:szCs w:val="18"/>
              </w:rPr>
            </w:pPr>
            <w:r w:rsidRPr="003D789A">
              <w:rPr>
                <w:rFonts w:cs="Calibri"/>
                <w:sz w:val="18"/>
                <w:szCs w:val="18"/>
              </w:rPr>
              <w:t>CHF</w:t>
            </w:r>
          </w:p>
        </w:tc>
        <w:tc>
          <w:tcPr>
            <w:tcW w:w="1221" w:type="pct"/>
            <w:gridSpan w:val="2"/>
            <w:tcBorders>
              <w:top w:val="nil"/>
              <w:left w:val="single" w:sz="4" w:space="0" w:color="auto"/>
              <w:bottom w:val="single" w:sz="4" w:space="0" w:color="auto"/>
              <w:right w:val="single" w:sz="4" w:space="0" w:color="000000"/>
            </w:tcBorders>
            <w:shd w:val="clear" w:color="auto" w:fill="auto"/>
            <w:noWrap/>
            <w:vAlign w:val="center"/>
            <w:hideMark/>
          </w:tcPr>
          <w:p w:rsidR="003D789A" w:rsidRPr="00DC3DFD" w:rsidRDefault="003D789A" w:rsidP="003D789A">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r w:rsidRPr="00DC3DFD">
              <w:rPr>
                <w:rFonts w:asciiTheme="minorHAnsi" w:hAnsiTheme="minorHAnsi"/>
                <w:sz w:val="20"/>
                <w:lang w:val="en-US" w:eastAsia="zh-CN"/>
              </w:rPr>
              <w:t>CHF</w:t>
            </w:r>
          </w:p>
        </w:tc>
      </w:tr>
      <w:tr w:rsidR="004206B9" w:rsidRPr="00DC3DFD" w:rsidTr="003D789A">
        <w:trPr>
          <w:trHeight w:val="300"/>
        </w:trPr>
        <w:tc>
          <w:tcPr>
            <w:tcW w:w="2553" w:type="pct"/>
            <w:tcBorders>
              <w:top w:val="nil"/>
              <w:left w:val="single" w:sz="4" w:space="0" w:color="auto"/>
              <w:bottom w:val="nil"/>
              <w:right w:val="single" w:sz="4" w:space="0" w:color="auto"/>
            </w:tcBorders>
            <w:shd w:val="clear" w:color="auto" w:fill="auto"/>
            <w:noWrap/>
            <w:vAlign w:val="center"/>
            <w:hideMark/>
          </w:tcPr>
          <w:p w:rsidR="00DC3DFD" w:rsidRPr="00DC3DFD" w:rsidRDefault="00DC3DFD" w:rsidP="00DC3DF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c>
          <w:tcPr>
            <w:tcW w:w="674" w:type="pct"/>
            <w:tcBorders>
              <w:top w:val="nil"/>
              <w:left w:val="nil"/>
              <w:bottom w:val="nil"/>
              <w:right w:val="single" w:sz="4" w:space="0" w:color="auto"/>
            </w:tcBorders>
            <w:shd w:val="clear" w:color="auto" w:fill="auto"/>
            <w:noWrap/>
            <w:vAlign w:val="center"/>
            <w:hideMark/>
          </w:tcPr>
          <w:p w:rsidR="00DC3DFD" w:rsidRPr="00DC3DFD" w:rsidRDefault="00DC3DFD" w:rsidP="00DC3DFD">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2017</w:t>
            </w:r>
          </w:p>
        </w:tc>
        <w:tc>
          <w:tcPr>
            <w:tcW w:w="553" w:type="pct"/>
            <w:tcBorders>
              <w:top w:val="nil"/>
              <w:left w:val="nil"/>
              <w:bottom w:val="nil"/>
              <w:right w:val="single" w:sz="4" w:space="0" w:color="auto"/>
            </w:tcBorders>
            <w:shd w:val="clear" w:color="auto" w:fill="auto"/>
            <w:noWrap/>
            <w:vAlign w:val="center"/>
            <w:hideMark/>
          </w:tcPr>
          <w:p w:rsidR="00DC3DFD" w:rsidRPr="00DC3DFD" w:rsidRDefault="00DC3DFD" w:rsidP="00DC3DFD">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2016</w:t>
            </w:r>
          </w:p>
        </w:tc>
        <w:tc>
          <w:tcPr>
            <w:tcW w:w="535" w:type="pct"/>
            <w:tcBorders>
              <w:top w:val="nil"/>
              <w:left w:val="nil"/>
              <w:bottom w:val="nil"/>
              <w:right w:val="single" w:sz="4" w:space="0" w:color="auto"/>
            </w:tcBorders>
            <w:shd w:val="clear" w:color="auto" w:fill="auto"/>
            <w:noWrap/>
            <w:vAlign w:val="center"/>
            <w:hideMark/>
          </w:tcPr>
          <w:p w:rsidR="00DC3DFD" w:rsidRPr="00DC3DFD" w:rsidRDefault="00DC3DFD" w:rsidP="00DC3DFD">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2017</w:t>
            </w:r>
          </w:p>
        </w:tc>
        <w:tc>
          <w:tcPr>
            <w:tcW w:w="686" w:type="pct"/>
            <w:tcBorders>
              <w:top w:val="nil"/>
              <w:left w:val="nil"/>
              <w:bottom w:val="nil"/>
              <w:right w:val="single" w:sz="4" w:space="0" w:color="auto"/>
            </w:tcBorders>
            <w:shd w:val="clear" w:color="auto" w:fill="auto"/>
            <w:noWrap/>
            <w:vAlign w:val="center"/>
            <w:hideMark/>
          </w:tcPr>
          <w:p w:rsidR="00DC3DFD" w:rsidRPr="00DC3DFD" w:rsidRDefault="00DC3DFD" w:rsidP="00DC3DFD">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2016</w:t>
            </w:r>
          </w:p>
        </w:tc>
      </w:tr>
      <w:tr w:rsidR="004206B9" w:rsidRPr="00DC3DFD" w:rsidTr="003D789A">
        <w:trPr>
          <w:trHeight w:val="300"/>
        </w:trPr>
        <w:tc>
          <w:tcPr>
            <w:tcW w:w="2553" w:type="pct"/>
            <w:tcBorders>
              <w:top w:val="nil"/>
              <w:left w:val="single" w:sz="4" w:space="0" w:color="auto"/>
              <w:bottom w:val="nil"/>
              <w:right w:val="single" w:sz="4" w:space="0" w:color="auto"/>
            </w:tcBorders>
            <w:shd w:val="clear" w:color="auto" w:fill="auto"/>
            <w:noWrap/>
            <w:vAlign w:val="center"/>
            <w:hideMark/>
          </w:tcPr>
          <w:p w:rsidR="00DC3DFD" w:rsidRPr="00DC3DFD" w:rsidRDefault="003D789A" w:rsidP="003D789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u w:val="single"/>
                <w:lang w:val="en-US" w:eastAsia="zh-CN"/>
              </w:rPr>
            </w:pPr>
            <w:r>
              <w:rPr>
                <w:rFonts w:asciiTheme="minorHAnsi" w:hAnsiTheme="minorHAnsi"/>
                <w:sz w:val="18"/>
                <w:szCs w:val="18"/>
                <w:u w:val="single"/>
                <w:lang w:val="en-US" w:eastAsia="zh-CN"/>
              </w:rPr>
              <w:t>EXPENSES</w:t>
            </w:r>
          </w:p>
        </w:tc>
        <w:tc>
          <w:tcPr>
            <w:tcW w:w="674" w:type="pct"/>
            <w:tcBorders>
              <w:top w:val="nil"/>
              <w:left w:val="nil"/>
              <w:bottom w:val="nil"/>
              <w:right w:val="nil"/>
            </w:tcBorders>
            <w:shd w:val="clear" w:color="auto" w:fill="auto"/>
            <w:noWrap/>
            <w:vAlign w:val="center"/>
            <w:hideMark/>
          </w:tcPr>
          <w:p w:rsidR="00DC3DFD" w:rsidRPr="00DC3DFD" w:rsidRDefault="00DC3DFD" w:rsidP="00DC3DF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u w:val="single"/>
                <w:lang w:val="en-US" w:eastAsia="zh-CN"/>
              </w:rPr>
            </w:pPr>
          </w:p>
        </w:tc>
        <w:tc>
          <w:tcPr>
            <w:tcW w:w="553" w:type="pct"/>
            <w:tcBorders>
              <w:top w:val="nil"/>
              <w:left w:val="single" w:sz="4" w:space="0" w:color="auto"/>
              <w:bottom w:val="nil"/>
              <w:right w:val="single" w:sz="4" w:space="0" w:color="auto"/>
            </w:tcBorders>
            <w:shd w:val="clear" w:color="auto" w:fill="auto"/>
            <w:noWrap/>
            <w:vAlign w:val="center"/>
            <w:hideMark/>
          </w:tcPr>
          <w:p w:rsidR="00DC3DFD" w:rsidRPr="00DC3DFD" w:rsidRDefault="00DC3DFD" w:rsidP="00DC3DF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c>
          <w:tcPr>
            <w:tcW w:w="535" w:type="pct"/>
            <w:tcBorders>
              <w:top w:val="nil"/>
              <w:left w:val="nil"/>
              <w:bottom w:val="nil"/>
              <w:right w:val="single" w:sz="4" w:space="0" w:color="auto"/>
            </w:tcBorders>
            <w:shd w:val="clear" w:color="auto" w:fill="auto"/>
            <w:noWrap/>
            <w:vAlign w:val="center"/>
            <w:hideMark/>
          </w:tcPr>
          <w:p w:rsidR="00DC3DFD" w:rsidRPr="00DC3DFD" w:rsidRDefault="00DC3DFD" w:rsidP="00DC3DF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c>
          <w:tcPr>
            <w:tcW w:w="686" w:type="pct"/>
            <w:tcBorders>
              <w:top w:val="nil"/>
              <w:left w:val="nil"/>
              <w:bottom w:val="nil"/>
              <w:right w:val="single" w:sz="4" w:space="0" w:color="auto"/>
            </w:tcBorders>
            <w:shd w:val="clear" w:color="auto" w:fill="auto"/>
            <w:noWrap/>
            <w:vAlign w:val="center"/>
            <w:hideMark/>
          </w:tcPr>
          <w:p w:rsidR="00DC3DFD" w:rsidRPr="00DC3DFD" w:rsidRDefault="00DC3DFD" w:rsidP="00DC3DF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r>
      <w:tr w:rsidR="004206B9" w:rsidRPr="00DC3DFD" w:rsidTr="003D789A">
        <w:trPr>
          <w:trHeight w:val="300"/>
        </w:trPr>
        <w:tc>
          <w:tcPr>
            <w:tcW w:w="2553" w:type="pct"/>
            <w:tcBorders>
              <w:top w:val="nil"/>
              <w:left w:val="single" w:sz="4" w:space="0" w:color="auto"/>
              <w:bottom w:val="nil"/>
              <w:right w:val="single" w:sz="4" w:space="0" w:color="auto"/>
            </w:tcBorders>
            <w:shd w:val="clear" w:color="auto" w:fill="auto"/>
            <w:noWrap/>
            <w:vAlign w:val="center"/>
            <w:hideMark/>
          </w:tcPr>
          <w:p w:rsidR="00DC3DFD" w:rsidRPr="00DC3DFD" w:rsidRDefault="00DC3DFD" w:rsidP="00DC3DF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DC3DFD">
              <w:rPr>
                <w:rFonts w:asciiTheme="minorHAnsi" w:hAnsiTheme="minorHAnsi"/>
                <w:sz w:val="22"/>
                <w:szCs w:val="22"/>
                <w:lang w:val="en-US" w:eastAsia="zh-CN"/>
              </w:rPr>
              <w:t> </w:t>
            </w:r>
          </w:p>
        </w:tc>
        <w:tc>
          <w:tcPr>
            <w:tcW w:w="674" w:type="pct"/>
            <w:tcBorders>
              <w:top w:val="nil"/>
              <w:left w:val="nil"/>
              <w:bottom w:val="nil"/>
              <w:right w:val="nil"/>
            </w:tcBorders>
            <w:shd w:val="clear" w:color="auto" w:fill="auto"/>
            <w:noWrap/>
            <w:vAlign w:val="center"/>
            <w:hideMark/>
          </w:tcPr>
          <w:p w:rsidR="00DC3DFD" w:rsidRPr="00DC3DFD" w:rsidRDefault="00DC3DFD" w:rsidP="00DC3DF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p>
        </w:tc>
        <w:tc>
          <w:tcPr>
            <w:tcW w:w="553" w:type="pct"/>
            <w:tcBorders>
              <w:top w:val="nil"/>
              <w:left w:val="single" w:sz="4" w:space="0" w:color="auto"/>
              <w:bottom w:val="nil"/>
              <w:right w:val="single" w:sz="4" w:space="0" w:color="auto"/>
            </w:tcBorders>
            <w:shd w:val="clear" w:color="auto" w:fill="auto"/>
            <w:noWrap/>
            <w:vAlign w:val="center"/>
            <w:hideMark/>
          </w:tcPr>
          <w:p w:rsidR="00DC3DFD" w:rsidRPr="00DC3DFD" w:rsidRDefault="00DC3DFD" w:rsidP="00DC3DF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DC3DFD">
              <w:rPr>
                <w:rFonts w:asciiTheme="minorHAnsi" w:hAnsiTheme="minorHAnsi"/>
                <w:sz w:val="22"/>
                <w:szCs w:val="22"/>
                <w:lang w:val="en-US" w:eastAsia="zh-CN"/>
              </w:rPr>
              <w:t> </w:t>
            </w:r>
          </w:p>
        </w:tc>
        <w:tc>
          <w:tcPr>
            <w:tcW w:w="535" w:type="pct"/>
            <w:tcBorders>
              <w:top w:val="nil"/>
              <w:left w:val="nil"/>
              <w:bottom w:val="nil"/>
              <w:right w:val="single" w:sz="4" w:space="0" w:color="auto"/>
            </w:tcBorders>
            <w:shd w:val="clear" w:color="auto" w:fill="auto"/>
            <w:noWrap/>
            <w:vAlign w:val="center"/>
            <w:hideMark/>
          </w:tcPr>
          <w:p w:rsidR="00DC3DFD" w:rsidRPr="00DC3DFD" w:rsidRDefault="00DC3DFD" w:rsidP="00DC3DF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DC3DFD">
              <w:rPr>
                <w:rFonts w:asciiTheme="minorHAnsi" w:hAnsiTheme="minorHAnsi"/>
                <w:sz w:val="22"/>
                <w:szCs w:val="22"/>
                <w:lang w:val="en-US" w:eastAsia="zh-CN"/>
              </w:rPr>
              <w:t> </w:t>
            </w:r>
          </w:p>
        </w:tc>
        <w:tc>
          <w:tcPr>
            <w:tcW w:w="686" w:type="pct"/>
            <w:tcBorders>
              <w:top w:val="nil"/>
              <w:left w:val="nil"/>
              <w:bottom w:val="nil"/>
              <w:right w:val="single" w:sz="4" w:space="0" w:color="auto"/>
            </w:tcBorders>
            <w:shd w:val="clear" w:color="auto" w:fill="auto"/>
            <w:noWrap/>
            <w:vAlign w:val="center"/>
            <w:hideMark/>
          </w:tcPr>
          <w:p w:rsidR="00DC3DFD" w:rsidRPr="00DC3DFD" w:rsidRDefault="00DC3DFD" w:rsidP="00DC3DF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DC3DFD">
              <w:rPr>
                <w:rFonts w:asciiTheme="minorHAnsi" w:hAnsiTheme="minorHAnsi"/>
                <w:sz w:val="22"/>
                <w:szCs w:val="22"/>
                <w:lang w:val="en-US" w:eastAsia="zh-CN"/>
              </w:rPr>
              <w:t> </w:t>
            </w:r>
          </w:p>
        </w:tc>
      </w:tr>
      <w:tr w:rsidR="004206B9" w:rsidRPr="00DC3DFD" w:rsidTr="003D789A">
        <w:trPr>
          <w:trHeight w:val="300"/>
        </w:trPr>
        <w:tc>
          <w:tcPr>
            <w:tcW w:w="2553" w:type="pct"/>
            <w:tcBorders>
              <w:top w:val="nil"/>
              <w:left w:val="single" w:sz="4" w:space="0" w:color="auto"/>
              <w:bottom w:val="nil"/>
              <w:right w:val="single" w:sz="4" w:space="0" w:color="auto"/>
            </w:tcBorders>
            <w:shd w:val="clear" w:color="auto" w:fill="auto"/>
            <w:noWrap/>
            <w:vAlign w:val="center"/>
            <w:hideMark/>
          </w:tcPr>
          <w:p w:rsidR="00DC3DFD" w:rsidRPr="003D2130" w:rsidRDefault="003D789A" w:rsidP="00DC3DF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3D2130">
              <w:rPr>
                <w:rFonts w:asciiTheme="minorHAnsi" w:hAnsiTheme="minorHAnsi"/>
                <w:sz w:val="18"/>
                <w:szCs w:val="18"/>
                <w:lang w:val="en-US" w:eastAsia="zh-CN"/>
              </w:rPr>
              <w:t>Pensions</w:t>
            </w:r>
          </w:p>
        </w:tc>
        <w:tc>
          <w:tcPr>
            <w:tcW w:w="674" w:type="pct"/>
            <w:tcBorders>
              <w:top w:val="nil"/>
              <w:left w:val="nil"/>
              <w:bottom w:val="nil"/>
              <w:right w:val="nil"/>
            </w:tcBorders>
            <w:shd w:val="clear" w:color="auto" w:fill="auto"/>
            <w:noWrap/>
            <w:vAlign w:val="center"/>
            <w:hideMark/>
          </w:tcPr>
          <w:p w:rsidR="00DC3DFD" w:rsidRPr="003D2130" w:rsidRDefault="00DC3DFD" w:rsidP="004206B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3D2130">
              <w:rPr>
                <w:rFonts w:asciiTheme="minorHAnsi" w:hAnsiTheme="minorHAnsi"/>
                <w:sz w:val="18"/>
                <w:szCs w:val="18"/>
                <w:lang w:val="en-US" w:eastAsia="zh-CN"/>
              </w:rPr>
              <w:t xml:space="preserve">      21,862.80 </w:t>
            </w:r>
          </w:p>
        </w:tc>
        <w:tc>
          <w:tcPr>
            <w:tcW w:w="553" w:type="pct"/>
            <w:tcBorders>
              <w:top w:val="nil"/>
              <w:left w:val="single" w:sz="4" w:space="0" w:color="auto"/>
              <w:bottom w:val="nil"/>
              <w:right w:val="nil"/>
            </w:tcBorders>
            <w:shd w:val="clear" w:color="auto" w:fill="auto"/>
            <w:noWrap/>
            <w:vAlign w:val="center"/>
            <w:hideMark/>
          </w:tcPr>
          <w:p w:rsidR="00DC3DFD" w:rsidRPr="003D2130" w:rsidRDefault="00DC3DFD" w:rsidP="004206B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3D2130">
              <w:rPr>
                <w:rFonts w:asciiTheme="minorHAnsi" w:hAnsiTheme="minorHAnsi"/>
                <w:sz w:val="18"/>
                <w:szCs w:val="18"/>
                <w:lang w:val="en-US" w:eastAsia="zh-CN"/>
              </w:rPr>
              <w:t xml:space="preserve">    21,862.80 </w:t>
            </w:r>
          </w:p>
        </w:tc>
        <w:tc>
          <w:tcPr>
            <w:tcW w:w="535" w:type="pct"/>
            <w:tcBorders>
              <w:top w:val="nil"/>
              <w:left w:val="single" w:sz="4" w:space="0" w:color="auto"/>
              <w:bottom w:val="nil"/>
              <w:right w:val="single" w:sz="4" w:space="0" w:color="auto"/>
            </w:tcBorders>
            <w:shd w:val="clear" w:color="auto" w:fill="auto"/>
            <w:noWrap/>
            <w:vAlign w:val="center"/>
            <w:hideMark/>
          </w:tcPr>
          <w:p w:rsidR="00DC3DFD" w:rsidRPr="00DC3DFD" w:rsidRDefault="00DC3DFD" w:rsidP="004206B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xml:space="preserve">                 -   </w:t>
            </w:r>
          </w:p>
        </w:tc>
        <w:tc>
          <w:tcPr>
            <w:tcW w:w="686" w:type="pct"/>
            <w:tcBorders>
              <w:top w:val="nil"/>
              <w:left w:val="nil"/>
              <w:bottom w:val="nil"/>
              <w:right w:val="single" w:sz="4" w:space="0" w:color="auto"/>
            </w:tcBorders>
            <w:shd w:val="clear" w:color="auto" w:fill="auto"/>
            <w:noWrap/>
            <w:vAlign w:val="center"/>
            <w:hideMark/>
          </w:tcPr>
          <w:p w:rsidR="00DC3DFD" w:rsidRPr="00DC3DFD" w:rsidRDefault="00DC3DFD" w:rsidP="004206B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xml:space="preserve">                -   </w:t>
            </w:r>
          </w:p>
        </w:tc>
      </w:tr>
      <w:tr w:rsidR="004206B9" w:rsidRPr="00DC3DFD" w:rsidTr="003D789A">
        <w:trPr>
          <w:trHeight w:val="300"/>
        </w:trPr>
        <w:tc>
          <w:tcPr>
            <w:tcW w:w="2553" w:type="pct"/>
            <w:tcBorders>
              <w:top w:val="nil"/>
              <w:left w:val="single" w:sz="4" w:space="0" w:color="auto"/>
              <w:bottom w:val="nil"/>
              <w:right w:val="single" w:sz="4" w:space="0" w:color="auto"/>
            </w:tcBorders>
            <w:shd w:val="clear" w:color="auto" w:fill="auto"/>
            <w:noWrap/>
            <w:vAlign w:val="center"/>
            <w:hideMark/>
          </w:tcPr>
          <w:p w:rsidR="00DC3DFD" w:rsidRPr="00DC3DFD" w:rsidRDefault="00DC3DFD" w:rsidP="00DC3DF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Don</w:t>
            </w:r>
            <w:r w:rsidR="003D789A">
              <w:rPr>
                <w:rFonts w:asciiTheme="minorHAnsi" w:hAnsiTheme="minorHAnsi"/>
                <w:sz w:val="18"/>
                <w:szCs w:val="18"/>
                <w:lang w:val="en-US" w:eastAsia="zh-CN"/>
              </w:rPr>
              <w:t>ation</w:t>
            </w:r>
            <w:r w:rsidRPr="00DC3DFD">
              <w:rPr>
                <w:rFonts w:asciiTheme="minorHAnsi" w:hAnsiTheme="minorHAnsi"/>
                <w:sz w:val="18"/>
                <w:szCs w:val="18"/>
                <w:lang w:val="en-US" w:eastAsia="zh-CN"/>
              </w:rPr>
              <w:t>s</w:t>
            </w:r>
          </w:p>
        </w:tc>
        <w:tc>
          <w:tcPr>
            <w:tcW w:w="674" w:type="pct"/>
            <w:tcBorders>
              <w:top w:val="nil"/>
              <w:left w:val="nil"/>
              <w:bottom w:val="nil"/>
              <w:right w:val="single" w:sz="4" w:space="0" w:color="auto"/>
            </w:tcBorders>
            <w:shd w:val="clear" w:color="auto" w:fill="auto"/>
            <w:noWrap/>
            <w:vAlign w:val="center"/>
            <w:hideMark/>
          </w:tcPr>
          <w:p w:rsidR="00DC3DFD" w:rsidRPr="00DC3DFD" w:rsidRDefault="00DC3DFD" w:rsidP="004206B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c>
          <w:tcPr>
            <w:tcW w:w="553" w:type="pct"/>
            <w:tcBorders>
              <w:top w:val="nil"/>
              <w:left w:val="nil"/>
              <w:bottom w:val="nil"/>
              <w:right w:val="single" w:sz="4" w:space="0" w:color="auto"/>
            </w:tcBorders>
            <w:shd w:val="clear" w:color="auto" w:fill="auto"/>
            <w:noWrap/>
            <w:vAlign w:val="center"/>
            <w:hideMark/>
          </w:tcPr>
          <w:p w:rsidR="00DC3DFD" w:rsidRPr="00DC3DFD" w:rsidRDefault="00DC3DFD" w:rsidP="004206B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c>
          <w:tcPr>
            <w:tcW w:w="535" w:type="pct"/>
            <w:tcBorders>
              <w:top w:val="nil"/>
              <w:left w:val="nil"/>
              <w:bottom w:val="nil"/>
              <w:right w:val="single" w:sz="4" w:space="0" w:color="auto"/>
            </w:tcBorders>
            <w:shd w:val="clear" w:color="auto" w:fill="auto"/>
            <w:noWrap/>
            <w:vAlign w:val="center"/>
            <w:hideMark/>
          </w:tcPr>
          <w:p w:rsidR="00DC3DFD" w:rsidRPr="00DC3DFD" w:rsidRDefault="00DC3DFD" w:rsidP="004206B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c>
          <w:tcPr>
            <w:tcW w:w="686" w:type="pct"/>
            <w:tcBorders>
              <w:top w:val="nil"/>
              <w:left w:val="nil"/>
              <w:bottom w:val="nil"/>
              <w:right w:val="single" w:sz="4" w:space="0" w:color="auto"/>
            </w:tcBorders>
            <w:shd w:val="clear" w:color="auto" w:fill="auto"/>
            <w:noWrap/>
            <w:vAlign w:val="center"/>
            <w:hideMark/>
          </w:tcPr>
          <w:p w:rsidR="00DC3DFD" w:rsidRPr="00DC3DFD" w:rsidRDefault="00DC3DFD" w:rsidP="004206B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r>
      <w:tr w:rsidR="004206B9" w:rsidRPr="00DC3DFD" w:rsidTr="003D789A">
        <w:trPr>
          <w:trHeight w:val="300"/>
        </w:trPr>
        <w:tc>
          <w:tcPr>
            <w:tcW w:w="2553" w:type="pct"/>
            <w:tcBorders>
              <w:top w:val="nil"/>
              <w:left w:val="single" w:sz="4" w:space="0" w:color="auto"/>
              <w:bottom w:val="nil"/>
              <w:right w:val="single" w:sz="4" w:space="0" w:color="auto"/>
            </w:tcBorders>
            <w:shd w:val="clear" w:color="auto" w:fill="auto"/>
            <w:noWrap/>
            <w:vAlign w:val="center"/>
            <w:hideMark/>
          </w:tcPr>
          <w:p w:rsidR="00DC3DFD" w:rsidRPr="00DC3DFD" w:rsidRDefault="003D789A" w:rsidP="003D789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Pr>
                <w:rFonts w:asciiTheme="minorHAnsi" w:hAnsiTheme="minorHAnsi"/>
                <w:sz w:val="18"/>
                <w:szCs w:val="18"/>
                <w:lang w:val="en-US" w:eastAsia="zh-CN"/>
              </w:rPr>
              <w:t>Other expenses</w:t>
            </w:r>
          </w:p>
        </w:tc>
        <w:tc>
          <w:tcPr>
            <w:tcW w:w="674" w:type="pct"/>
            <w:tcBorders>
              <w:top w:val="nil"/>
              <w:left w:val="nil"/>
              <w:bottom w:val="nil"/>
              <w:right w:val="nil"/>
            </w:tcBorders>
            <w:shd w:val="clear" w:color="auto" w:fill="auto"/>
            <w:noWrap/>
            <w:vAlign w:val="center"/>
            <w:hideMark/>
          </w:tcPr>
          <w:p w:rsidR="00DC3DFD" w:rsidRPr="00DC3DFD" w:rsidRDefault="00DC3DFD" w:rsidP="004206B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c>
          <w:tcPr>
            <w:tcW w:w="553" w:type="pct"/>
            <w:tcBorders>
              <w:top w:val="nil"/>
              <w:left w:val="single" w:sz="4" w:space="0" w:color="auto"/>
              <w:bottom w:val="nil"/>
              <w:right w:val="nil"/>
            </w:tcBorders>
            <w:shd w:val="clear" w:color="auto" w:fill="auto"/>
            <w:noWrap/>
            <w:vAlign w:val="center"/>
            <w:hideMark/>
          </w:tcPr>
          <w:p w:rsidR="00DC3DFD" w:rsidRPr="00DC3DFD" w:rsidRDefault="00DC3DFD" w:rsidP="004206B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xml:space="preserve">           25.00 </w:t>
            </w:r>
          </w:p>
        </w:tc>
        <w:tc>
          <w:tcPr>
            <w:tcW w:w="535" w:type="pct"/>
            <w:tcBorders>
              <w:top w:val="nil"/>
              <w:left w:val="single" w:sz="4" w:space="0" w:color="auto"/>
              <w:bottom w:val="nil"/>
              <w:right w:val="single" w:sz="4" w:space="0" w:color="auto"/>
            </w:tcBorders>
            <w:shd w:val="clear" w:color="auto" w:fill="auto"/>
            <w:noWrap/>
            <w:vAlign w:val="center"/>
            <w:hideMark/>
          </w:tcPr>
          <w:p w:rsidR="00DC3DFD" w:rsidRPr="00DC3DFD" w:rsidRDefault="00DC3DFD" w:rsidP="004206B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xml:space="preserve">                 -   </w:t>
            </w:r>
          </w:p>
        </w:tc>
        <w:tc>
          <w:tcPr>
            <w:tcW w:w="686" w:type="pct"/>
            <w:tcBorders>
              <w:top w:val="nil"/>
              <w:left w:val="nil"/>
              <w:bottom w:val="nil"/>
              <w:right w:val="single" w:sz="4" w:space="0" w:color="auto"/>
            </w:tcBorders>
            <w:shd w:val="clear" w:color="auto" w:fill="auto"/>
            <w:noWrap/>
            <w:vAlign w:val="center"/>
            <w:hideMark/>
          </w:tcPr>
          <w:p w:rsidR="00DC3DFD" w:rsidRPr="00DC3DFD" w:rsidRDefault="00DC3DFD" w:rsidP="004206B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xml:space="preserve">           25.00 </w:t>
            </w:r>
          </w:p>
        </w:tc>
      </w:tr>
      <w:tr w:rsidR="004206B9" w:rsidRPr="00DC3DFD" w:rsidTr="003D789A">
        <w:trPr>
          <w:trHeight w:val="300"/>
        </w:trPr>
        <w:tc>
          <w:tcPr>
            <w:tcW w:w="2553" w:type="pct"/>
            <w:tcBorders>
              <w:top w:val="nil"/>
              <w:left w:val="single" w:sz="4" w:space="0" w:color="auto"/>
              <w:bottom w:val="nil"/>
              <w:right w:val="single" w:sz="4" w:space="0" w:color="auto"/>
            </w:tcBorders>
            <w:shd w:val="clear" w:color="auto" w:fill="auto"/>
            <w:noWrap/>
            <w:vAlign w:val="center"/>
            <w:hideMark/>
          </w:tcPr>
          <w:p w:rsidR="00DC3DFD" w:rsidRPr="00DC3DFD" w:rsidRDefault="00DC3DFD" w:rsidP="003D789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xml:space="preserve">Total </w:t>
            </w:r>
            <w:r w:rsidR="003D789A">
              <w:rPr>
                <w:rFonts w:asciiTheme="minorHAnsi" w:hAnsiTheme="minorHAnsi"/>
                <w:sz w:val="18"/>
                <w:szCs w:val="18"/>
                <w:lang w:val="en-US" w:eastAsia="zh-CN"/>
              </w:rPr>
              <w:t>expenses</w:t>
            </w:r>
          </w:p>
        </w:tc>
        <w:tc>
          <w:tcPr>
            <w:tcW w:w="674" w:type="pct"/>
            <w:tcBorders>
              <w:top w:val="nil"/>
              <w:left w:val="nil"/>
              <w:bottom w:val="nil"/>
              <w:right w:val="nil"/>
            </w:tcBorders>
            <w:shd w:val="clear" w:color="auto" w:fill="auto"/>
            <w:noWrap/>
            <w:vAlign w:val="center"/>
            <w:hideMark/>
          </w:tcPr>
          <w:p w:rsidR="00DC3DFD" w:rsidRPr="00DC3DFD" w:rsidRDefault="00DC3DFD" w:rsidP="004206B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xml:space="preserve">      21,862.80 </w:t>
            </w:r>
          </w:p>
        </w:tc>
        <w:tc>
          <w:tcPr>
            <w:tcW w:w="553" w:type="pct"/>
            <w:tcBorders>
              <w:top w:val="nil"/>
              <w:left w:val="single" w:sz="4" w:space="0" w:color="auto"/>
              <w:bottom w:val="nil"/>
              <w:right w:val="nil"/>
            </w:tcBorders>
            <w:shd w:val="clear" w:color="auto" w:fill="auto"/>
            <w:noWrap/>
            <w:vAlign w:val="center"/>
            <w:hideMark/>
          </w:tcPr>
          <w:p w:rsidR="00DC3DFD" w:rsidRPr="00DC3DFD" w:rsidRDefault="00DC3DFD" w:rsidP="004206B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xml:space="preserve">    21,887.80 </w:t>
            </w:r>
          </w:p>
        </w:tc>
        <w:tc>
          <w:tcPr>
            <w:tcW w:w="535" w:type="pct"/>
            <w:tcBorders>
              <w:top w:val="nil"/>
              <w:left w:val="single" w:sz="4" w:space="0" w:color="auto"/>
              <w:bottom w:val="nil"/>
              <w:right w:val="single" w:sz="4" w:space="0" w:color="auto"/>
            </w:tcBorders>
            <w:shd w:val="clear" w:color="auto" w:fill="auto"/>
            <w:noWrap/>
            <w:vAlign w:val="center"/>
            <w:hideMark/>
          </w:tcPr>
          <w:p w:rsidR="00DC3DFD" w:rsidRPr="00DC3DFD" w:rsidRDefault="00DC3DFD" w:rsidP="004206B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xml:space="preserve">                 -   </w:t>
            </w:r>
          </w:p>
        </w:tc>
        <w:tc>
          <w:tcPr>
            <w:tcW w:w="686" w:type="pct"/>
            <w:tcBorders>
              <w:top w:val="nil"/>
              <w:left w:val="nil"/>
              <w:bottom w:val="nil"/>
              <w:right w:val="single" w:sz="4" w:space="0" w:color="auto"/>
            </w:tcBorders>
            <w:shd w:val="clear" w:color="auto" w:fill="auto"/>
            <w:noWrap/>
            <w:vAlign w:val="center"/>
            <w:hideMark/>
          </w:tcPr>
          <w:p w:rsidR="00DC3DFD" w:rsidRPr="00DC3DFD" w:rsidRDefault="00DC3DFD" w:rsidP="004206B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xml:space="preserve">           25.00 </w:t>
            </w:r>
          </w:p>
        </w:tc>
      </w:tr>
      <w:tr w:rsidR="004206B9" w:rsidRPr="00DC3DFD" w:rsidTr="003D789A">
        <w:trPr>
          <w:trHeight w:val="300"/>
        </w:trPr>
        <w:tc>
          <w:tcPr>
            <w:tcW w:w="2553" w:type="pct"/>
            <w:tcBorders>
              <w:top w:val="nil"/>
              <w:left w:val="single" w:sz="4" w:space="0" w:color="auto"/>
              <w:bottom w:val="nil"/>
              <w:right w:val="single" w:sz="4" w:space="0" w:color="auto"/>
            </w:tcBorders>
            <w:shd w:val="clear" w:color="auto" w:fill="auto"/>
            <w:noWrap/>
            <w:vAlign w:val="center"/>
            <w:hideMark/>
          </w:tcPr>
          <w:p w:rsidR="00DC3DFD" w:rsidRPr="00DC3DFD" w:rsidRDefault="003D789A" w:rsidP="003D789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Pr>
                <w:rFonts w:asciiTheme="minorHAnsi" w:hAnsiTheme="minorHAnsi"/>
                <w:sz w:val="18"/>
                <w:szCs w:val="18"/>
                <w:lang w:val="en-US" w:eastAsia="zh-CN"/>
              </w:rPr>
              <w:t>Surplus of the year</w:t>
            </w:r>
          </w:p>
        </w:tc>
        <w:tc>
          <w:tcPr>
            <w:tcW w:w="674" w:type="pct"/>
            <w:tcBorders>
              <w:top w:val="nil"/>
              <w:left w:val="nil"/>
              <w:bottom w:val="single" w:sz="4" w:space="0" w:color="auto"/>
              <w:right w:val="single" w:sz="4" w:space="0" w:color="auto"/>
            </w:tcBorders>
            <w:shd w:val="clear" w:color="auto" w:fill="auto"/>
            <w:noWrap/>
            <w:vAlign w:val="center"/>
            <w:hideMark/>
          </w:tcPr>
          <w:p w:rsidR="00DC3DFD" w:rsidRPr="00DC3DFD" w:rsidRDefault="00DC3DFD" w:rsidP="004206B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c>
          <w:tcPr>
            <w:tcW w:w="553" w:type="pct"/>
            <w:tcBorders>
              <w:top w:val="nil"/>
              <w:left w:val="nil"/>
              <w:bottom w:val="single" w:sz="4" w:space="0" w:color="auto"/>
              <w:right w:val="nil"/>
            </w:tcBorders>
            <w:shd w:val="clear" w:color="auto" w:fill="auto"/>
            <w:noWrap/>
            <w:vAlign w:val="center"/>
            <w:hideMark/>
          </w:tcPr>
          <w:p w:rsidR="00DC3DFD" w:rsidRPr="00DC3DFD" w:rsidRDefault="00DC3DFD" w:rsidP="004206B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c>
          <w:tcPr>
            <w:tcW w:w="535" w:type="pct"/>
            <w:tcBorders>
              <w:top w:val="nil"/>
              <w:left w:val="single" w:sz="4" w:space="0" w:color="auto"/>
              <w:bottom w:val="single" w:sz="4" w:space="0" w:color="auto"/>
              <w:right w:val="single" w:sz="4" w:space="0" w:color="auto"/>
            </w:tcBorders>
            <w:shd w:val="clear" w:color="auto" w:fill="auto"/>
            <w:noWrap/>
            <w:vAlign w:val="center"/>
            <w:hideMark/>
          </w:tcPr>
          <w:p w:rsidR="00DC3DFD" w:rsidRPr="00DC3DFD" w:rsidRDefault="00DC3DFD" w:rsidP="004206B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xml:space="preserve">           34.35 </w:t>
            </w:r>
          </w:p>
        </w:tc>
        <w:tc>
          <w:tcPr>
            <w:tcW w:w="686" w:type="pct"/>
            <w:tcBorders>
              <w:top w:val="nil"/>
              <w:left w:val="nil"/>
              <w:bottom w:val="single" w:sz="4" w:space="0" w:color="auto"/>
              <w:right w:val="single" w:sz="4" w:space="0" w:color="auto"/>
            </w:tcBorders>
            <w:shd w:val="clear" w:color="auto" w:fill="auto"/>
            <w:noWrap/>
            <w:vAlign w:val="center"/>
            <w:hideMark/>
          </w:tcPr>
          <w:p w:rsidR="00DC3DFD" w:rsidRPr="00DC3DFD" w:rsidRDefault="00DC3DFD" w:rsidP="004206B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xml:space="preserve">           92.91 </w:t>
            </w:r>
          </w:p>
        </w:tc>
      </w:tr>
      <w:tr w:rsidR="004206B9" w:rsidRPr="00DC3DFD" w:rsidTr="003D789A">
        <w:trPr>
          <w:trHeight w:val="300"/>
        </w:trPr>
        <w:tc>
          <w:tcPr>
            <w:tcW w:w="2553" w:type="pct"/>
            <w:tcBorders>
              <w:top w:val="nil"/>
              <w:left w:val="single" w:sz="4" w:space="0" w:color="auto"/>
              <w:bottom w:val="nil"/>
              <w:right w:val="single" w:sz="4" w:space="0" w:color="auto"/>
            </w:tcBorders>
            <w:shd w:val="clear" w:color="auto" w:fill="auto"/>
            <w:noWrap/>
            <w:vAlign w:val="center"/>
            <w:hideMark/>
          </w:tcPr>
          <w:p w:rsidR="00DC3DFD" w:rsidRPr="00DC3DFD" w:rsidRDefault="00DC3DFD" w:rsidP="00DC3DF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18"/>
                <w:szCs w:val="18"/>
                <w:lang w:val="en-US" w:eastAsia="zh-CN"/>
              </w:rPr>
            </w:pPr>
            <w:r w:rsidRPr="00DC3DFD">
              <w:rPr>
                <w:rFonts w:asciiTheme="minorHAnsi" w:hAnsiTheme="minorHAnsi"/>
                <w:b/>
                <w:bCs/>
                <w:sz w:val="18"/>
                <w:szCs w:val="18"/>
                <w:lang w:val="en-US" w:eastAsia="zh-CN"/>
              </w:rPr>
              <w:t>TOTAL</w:t>
            </w:r>
          </w:p>
        </w:tc>
        <w:tc>
          <w:tcPr>
            <w:tcW w:w="674" w:type="pct"/>
            <w:tcBorders>
              <w:top w:val="nil"/>
              <w:left w:val="nil"/>
              <w:bottom w:val="nil"/>
              <w:right w:val="single" w:sz="4" w:space="0" w:color="auto"/>
            </w:tcBorders>
            <w:shd w:val="clear" w:color="auto" w:fill="auto"/>
            <w:noWrap/>
            <w:vAlign w:val="center"/>
            <w:hideMark/>
          </w:tcPr>
          <w:p w:rsidR="00DC3DFD" w:rsidRPr="00DC3DFD" w:rsidRDefault="00DC3DFD" w:rsidP="004206B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18"/>
                <w:szCs w:val="18"/>
                <w:lang w:val="en-US" w:eastAsia="zh-CN"/>
              </w:rPr>
            </w:pPr>
            <w:r w:rsidRPr="00DC3DFD">
              <w:rPr>
                <w:rFonts w:asciiTheme="minorHAnsi" w:hAnsiTheme="minorHAnsi"/>
                <w:b/>
                <w:bCs/>
                <w:sz w:val="18"/>
                <w:szCs w:val="18"/>
                <w:lang w:val="en-US" w:eastAsia="zh-CN"/>
              </w:rPr>
              <w:t xml:space="preserve">      21,862.80 </w:t>
            </w:r>
          </w:p>
        </w:tc>
        <w:tc>
          <w:tcPr>
            <w:tcW w:w="553" w:type="pct"/>
            <w:tcBorders>
              <w:top w:val="single" w:sz="4" w:space="0" w:color="auto"/>
              <w:left w:val="nil"/>
              <w:bottom w:val="nil"/>
              <w:right w:val="single" w:sz="4" w:space="0" w:color="auto"/>
            </w:tcBorders>
            <w:shd w:val="clear" w:color="auto" w:fill="auto"/>
            <w:noWrap/>
            <w:vAlign w:val="center"/>
            <w:hideMark/>
          </w:tcPr>
          <w:p w:rsidR="00DC3DFD" w:rsidRPr="00DC3DFD" w:rsidRDefault="00DC3DFD" w:rsidP="004206B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18"/>
                <w:szCs w:val="18"/>
                <w:lang w:val="en-US" w:eastAsia="zh-CN"/>
              </w:rPr>
            </w:pPr>
            <w:r w:rsidRPr="00DC3DFD">
              <w:rPr>
                <w:rFonts w:asciiTheme="minorHAnsi" w:hAnsiTheme="minorHAnsi"/>
                <w:b/>
                <w:bCs/>
                <w:sz w:val="18"/>
                <w:szCs w:val="18"/>
                <w:lang w:val="en-US" w:eastAsia="zh-CN"/>
              </w:rPr>
              <w:t xml:space="preserve">    21,887.80 </w:t>
            </w:r>
          </w:p>
        </w:tc>
        <w:tc>
          <w:tcPr>
            <w:tcW w:w="535" w:type="pct"/>
            <w:tcBorders>
              <w:top w:val="nil"/>
              <w:left w:val="nil"/>
              <w:bottom w:val="nil"/>
              <w:right w:val="single" w:sz="4" w:space="0" w:color="auto"/>
            </w:tcBorders>
            <w:shd w:val="clear" w:color="auto" w:fill="auto"/>
            <w:noWrap/>
            <w:vAlign w:val="center"/>
            <w:hideMark/>
          </w:tcPr>
          <w:p w:rsidR="00DC3DFD" w:rsidRPr="00DC3DFD" w:rsidRDefault="00DC3DFD" w:rsidP="004206B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18"/>
                <w:szCs w:val="18"/>
                <w:lang w:val="en-US" w:eastAsia="zh-CN"/>
              </w:rPr>
            </w:pPr>
            <w:r w:rsidRPr="00DC3DFD">
              <w:rPr>
                <w:rFonts w:asciiTheme="minorHAnsi" w:hAnsiTheme="minorHAnsi"/>
                <w:b/>
                <w:bCs/>
                <w:sz w:val="18"/>
                <w:szCs w:val="18"/>
                <w:lang w:val="en-US" w:eastAsia="zh-CN"/>
              </w:rPr>
              <w:t xml:space="preserve">           34.35 </w:t>
            </w:r>
          </w:p>
        </w:tc>
        <w:tc>
          <w:tcPr>
            <w:tcW w:w="686" w:type="pct"/>
            <w:tcBorders>
              <w:top w:val="nil"/>
              <w:left w:val="nil"/>
              <w:bottom w:val="nil"/>
              <w:right w:val="single" w:sz="4" w:space="0" w:color="auto"/>
            </w:tcBorders>
            <w:shd w:val="clear" w:color="auto" w:fill="auto"/>
            <w:noWrap/>
            <w:vAlign w:val="center"/>
            <w:hideMark/>
          </w:tcPr>
          <w:p w:rsidR="00DC3DFD" w:rsidRPr="00DC3DFD" w:rsidRDefault="00DC3DFD" w:rsidP="004206B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18"/>
                <w:szCs w:val="18"/>
                <w:lang w:val="en-US" w:eastAsia="zh-CN"/>
              </w:rPr>
            </w:pPr>
            <w:r w:rsidRPr="00DC3DFD">
              <w:rPr>
                <w:rFonts w:asciiTheme="minorHAnsi" w:hAnsiTheme="minorHAnsi"/>
                <w:b/>
                <w:bCs/>
                <w:sz w:val="18"/>
                <w:szCs w:val="18"/>
                <w:lang w:val="en-US" w:eastAsia="zh-CN"/>
              </w:rPr>
              <w:t xml:space="preserve">         117.91 </w:t>
            </w:r>
          </w:p>
        </w:tc>
      </w:tr>
      <w:tr w:rsidR="004206B9" w:rsidRPr="00DC3DFD" w:rsidTr="003D789A">
        <w:trPr>
          <w:trHeight w:val="300"/>
        </w:trPr>
        <w:tc>
          <w:tcPr>
            <w:tcW w:w="2553" w:type="pct"/>
            <w:tcBorders>
              <w:top w:val="nil"/>
              <w:left w:val="single" w:sz="4" w:space="0" w:color="auto"/>
              <w:bottom w:val="nil"/>
              <w:right w:val="single" w:sz="4" w:space="0" w:color="auto"/>
            </w:tcBorders>
            <w:shd w:val="clear" w:color="auto" w:fill="auto"/>
            <w:noWrap/>
            <w:vAlign w:val="center"/>
            <w:hideMark/>
          </w:tcPr>
          <w:p w:rsidR="00DC3DFD" w:rsidRPr="00DC3DFD" w:rsidRDefault="00DC3DFD" w:rsidP="00DC3DF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c>
          <w:tcPr>
            <w:tcW w:w="674" w:type="pct"/>
            <w:tcBorders>
              <w:top w:val="nil"/>
              <w:left w:val="nil"/>
              <w:bottom w:val="nil"/>
              <w:right w:val="single" w:sz="4" w:space="0" w:color="auto"/>
            </w:tcBorders>
            <w:shd w:val="clear" w:color="auto" w:fill="auto"/>
            <w:noWrap/>
            <w:vAlign w:val="center"/>
            <w:hideMark/>
          </w:tcPr>
          <w:p w:rsidR="00DC3DFD" w:rsidRPr="00DC3DFD" w:rsidRDefault="00DC3DFD" w:rsidP="004206B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c>
          <w:tcPr>
            <w:tcW w:w="553" w:type="pct"/>
            <w:tcBorders>
              <w:top w:val="nil"/>
              <w:left w:val="nil"/>
              <w:bottom w:val="nil"/>
              <w:right w:val="single" w:sz="4" w:space="0" w:color="auto"/>
            </w:tcBorders>
            <w:shd w:val="clear" w:color="auto" w:fill="auto"/>
            <w:noWrap/>
            <w:vAlign w:val="center"/>
            <w:hideMark/>
          </w:tcPr>
          <w:p w:rsidR="00DC3DFD" w:rsidRPr="00DC3DFD" w:rsidRDefault="00DC3DFD" w:rsidP="004206B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c>
          <w:tcPr>
            <w:tcW w:w="535" w:type="pct"/>
            <w:tcBorders>
              <w:top w:val="nil"/>
              <w:left w:val="nil"/>
              <w:bottom w:val="nil"/>
              <w:right w:val="single" w:sz="4" w:space="0" w:color="auto"/>
            </w:tcBorders>
            <w:shd w:val="clear" w:color="auto" w:fill="auto"/>
            <w:noWrap/>
            <w:vAlign w:val="center"/>
            <w:hideMark/>
          </w:tcPr>
          <w:p w:rsidR="00DC3DFD" w:rsidRPr="00DC3DFD" w:rsidRDefault="00DC3DFD" w:rsidP="004206B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c>
          <w:tcPr>
            <w:tcW w:w="686" w:type="pct"/>
            <w:tcBorders>
              <w:top w:val="nil"/>
              <w:left w:val="nil"/>
              <w:bottom w:val="nil"/>
              <w:right w:val="single" w:sz="4" w:space="0" w:color="auto"/>
            </w:tcBorders>
            <w:shd w:val="clear" w:color="auto" w:fill="auto"/>
            <w:noWrap/>
            <w:vAlign w:val="center"/>
            <w:hideMark/>
          </w:tcPr>
          <w:p w:rsidR="00DC3DFD" w:rsidRPr="00DC3DFD" w:rsidRDefault="00DC3DFD" w:rsidP="004206B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r>
      <w:tr w:rsidR="004206B9" w:rsidRPr="00DC3DFD" w:rsidTr="003D789A">
        <w:trPr>
          <w:trHeight w:val="300"/>
        </w:trPr>
        <w:tc>
          <w:tcPr>
            <w:tcW w:w="2553" w:type="pct"/>
            <w:tcBorders>
              <w:top w:val="nil"/>
              <w:left w:val="single" w:sz="4" w:space="0" w:color="auto"/>
              <w:bottom w:val="nil"/>
              <w:right w:val="single" w:sz="4" w:space="0" w:color="auto"/>
            </w:tcBorders>
            <w:shd w:val="clear" w:color="auto" w:fill="auto"/>
            <w:noWrap/>
            <w:vAlign w:val="center"/>
            <w:hideMark/>
          </w:tcPr>
          <w:p w:rsidR="00DC3DFD" w:rsidRPr="00DC3DFD" w:rsidRDefault="00DC3DFD" w:rsidP="003D789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u w:val="single"/>
                <w:lang w:val="en-US" w:eastAsia="zh-CN"/>
              </w:rPr>
            </w:pPr>
            <w:r w:rsidRPr="00DC3DFD">
              <w:rPr>
                <w:rFonts w:asciiTheme="minorHAnsi" w:hAnsiTheme="minorHAnsi"/>
                <w:sz w:val="18"/>
                <w:szCs w:val="18"/>
                <w:u w:val="single"/>
                <w:lang w:val="en-US" w:eastAsia="zh-CN"/>
              </w:rPr>
              <w:t>R</w:t>
            </w:r>
            <w:r w:rsidR="003D789A">
              <w:rPr>
                <w:rFonts w:asciiTheme="minorHAnsi" w:hAnsiTheme="minorHAnsi"/>
                <w:sz w:val="18"/>
                <w:szCs w:val="18"/>
                <w:u w:val="single"/>
                <w:lang w:val="en-US" w:eastAsia="zh-CN"/>
              </w:rPr>
              <w:t>EVENUE</w:t>
            </w:r>
          </w:p>
        </w:tc>
        <w:tc>
          <w:tcPr>
            <w:tcW w:w="674" w:type="pct"/>
            <w:tcBorders>
              <w:top w:val="nil"/>
              <w:left w:val="nil"/>
              <w:bottom w:val="nil"/>
              <w:right w:val="single" w:sz="4" w:space="0" w:color="auto"/>
            </w:tcBorders>
            <w:shd w:val="clear" w:color="auto" w:fill="auto"/>
            <w:noWrap/>
            <w:vAlign w:val="center"/>
            <w:hideMark/>
          </w:tcPr>
          <w:p w:rsidR="00DC3DFD" w:rsidRPr="00DC3DFD" w:rsidRDefault="00DC3DFD" w:rsidP="004206B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c>
          <w:tcPr>
            <w:tcW w:w="553" w:type="pct"/>
            <w:tcBorders>
              <w:top w:val="nil"/>
              <w:left w:val="nil"/>
              <w:bottom w:val="nil"/>
              <w:right w:val="single" w:sz="4" w:space="0" w:color="auto"/>
            </w:tcBorders>
            <w:shd w:val="clear" w:color="auto" w:fill="auto"/>
            <w:noWrap/>
            <w:vAlign w:val="center"/>
            <w:hideMark/>
          </w:tcPr>
          <w:p w:rsidR="00DC3DFD" w:rsidRPr="00DC3DFD" w:rsidRDefault="00DC3DFD" w:rsidP="004206B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c>
          <w:tcPr>
            <w:tcW w:w="535" w:type="pct"/>
            <w:tcBorders>
              <w:top w:val="nil"/>
              <w:left w:val="nil"/>
              <w:bottom w:val="nil"/>
              <w:right w:val="single" w:sz="4" w:space="0" w:color="auto"/>
            </w:tcBorders>
            <w:shd w:val="clear" w:color="auto" w:fill="auto"/>
            <w:noWrap/>
            <w:vAlign w:val="center"/>
            <w:hideMark/>
          </w:tcPr>
          <w:p w:rsidR="00DC3DFD" w:rsidRPr="00DC3DFD" w:rsidRDefault="00DC3DFD" w:rsidP="004206B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c>
          <w:tcPr>
            <w:tcW w:w="686" w:type="pct"/>
            <w:tcBorders>
              <w:top w:val="nil"/>
              <w:left w:val="nil"/>
              <w:bottom w:val="nil"/>
              <w:right w:val="single" w:sz="4" w:space="0" w:color="auto"/>
            </w:tcBorders>
            <w:shd w:val="clear" w:color="auto" w:fill="auto"/>
            <w:noWrap/>
            <w:vAlign w:val="center"/>
            <w:hideMark/>
          </w:tcPr>
          <w:p w:rsidR="00DC3DFD" w:rsidRPr="00DC3DFD" w:rsidRDefault="00DC3DFD" w:rsidP="004206B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r>
      <w:tr w:rsidR="004206B9" w:rsidRPr="00DC3DFD" w:rsidTr="003D789A">
        <w:trPr>
          <w:trHeight w:val="300"/>
        </w:trPr>
        <w:tc>
          <w:tcPr>
            <w:tcW w:w="2553" w:type="pct"/>
            <w:tcBorders>
              <w:top w:val="nil"/>
              <w:left w:val="single" w:sz="4" w:space="0" w:color="auto"/>
              <w:bottom w:val="nil"/>
              <w:right w:val="single" w:sz="4" w:space="0" w:color="auto"/>
            </w:tcBorders>
            <w:shd w:val="clear" w:color="auto" w:fill="auto"/>
            <w:noWrap/>
            <w:vAlign w:val="center"/>
            <w:hideMark/>
          </w:tcPr>
          <w:p w:rsidR="00DC3DFD" w:rsidRPr="00DC3DFD" w:rsidRDefault="00DC3DFD" w:rsidP="00DC3DF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c>
          <w:tcPr>
            <w:tcW w:w="674" w:type="pct"/>
            <w:tcBorders>
              <w:top w:val="nil"/>
              <w:left w:val="nil"/>
              <w:bottom w:val="nil"/>
              <w:right w:val="single" w:sz="4" w:space="0" w:color="auto"/>
            </w:tcBorders>
            <w:shd w:val="clear" w:color="auto" w:fill="auto"/>
            <w:noWrap/>
            <w:vAlign w:val="center"/>
            <w:hideMark/>
          </w:tcPr>
          <w:p w:rsidR="00DC3DFD" w:rsidRPr="00DC3DFD" w:rsidRDefault="00DC3DFD" w:rsidP="004206B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c>
          <w:tcPr>
            <w:tcW w:w="553" w:type="pct"/>
            <w:tcBorders>
              <w:top w:val="nil"/>
              <w:left w:val="nil"/>
              <w:bottom w:val="nil"/>
              <w:right w:val="single" w:sz="4" w:space="0" w:color="auto"/>
            </w:tcBorders>
            <w:shd w:val="clear" w:color="auto" w:fill="auto"/>
            <w:noWrap/>
            <w:vAlign w:val="center"/>
            <w:hideMark/>
          </w:tcPr>
          <w:p w:rsidR="00DC3DFD" w:rsidRPr="00DC3DFD" w:rsidRDefault="00DC3DFD" w:rsidP="004206B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c>
          <w:tcPr>
            <w:tcW w:w="535" w:type="pct"/>
            <w:tcBorders>
              <w:top w:val="nil"/>
              <w:left w:val="nil"/>
              <w:bottom w:val="nil"/>
              <w:right w:val="single" w:sz="4" w:space="0" w:color="auto"/>
            </w:tcBorders>
            <w:shd w:val="clear" w:color="auto" w:fill="auto"/>
            <w:noWrap/>
            <w:vAlign w:val="center"/>
            <w:hideMark/>
          </w:tcPr>
          <w:p w:rsidR="00DC3DFD" w:rsidRPr="00DC3DFD" w:rsidRDefault="00DC3DFD" w:rsidP="004206B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c>
          <w:tcPr>
            <w:tcW w:w="686" w:type="pct"/>
            <w:tcBorders>
              <w:top w:val="nil"/>
              <w:left w:val="nil"/>
              <w:bottom w:val="nil"/>
              <w:right w:val="single" w:sz="4" w:space="0" w:color="auto"/>
            </w:tcBorders>
            <w:shd w:val="clear" w:color="auto" w:fill="auto"/>
            <w:noWrap/>
            <w:vAlign w:val="center"/>
            <w:hideMark/>
          </w:tcPr>
          <w:p w:rsidR="00DC3DFD" w:rsidRPr="00DC3DFD" w:rsidRDefault="00DC3DFD" w:rsidP="004206B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r>
      <w:tr w:rsidR="004206B9" w:rsidRPr="00DC3DFD" w:rsidTr="003D789A">
        <w:trPr>
          <w:trHeight w:val="300"/>
        </w:trPr>
        <w:tc>
          <w:tcPr>
            <w:tcW w:w="2553" w:type="pct"/>
            <w:tcBorders>
              <w:top w:val="nil"/>
              <w:left w:val="single" w:sz="4" w:space="0" w:color="auto"/>
              <w:bottom w:val="nil"/>
              <w:right w:val="single" w:sz="4" w:space="0" w:color="auto"/>
            </w:tcBorders>
            <w:shd w:val="clear" w:color="auto" w:fill="auto"/>
            <w:noWrap/>
            <w:vAlign w:val="center"/>
            <w:hideMark/>
          </w:tcPr>
          <w:p w:rsidR="00DC3DFD" w:rsidRPr="00DC3DFD" w:rsidRDefault="003D789A" w:rsidP="003D789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Pr>
                <w:rFonts w:asciiTheme="minorHAnsi" w:hAnsiTheme="minorHAnsi"/>
                <w:sz w:val="18"/>
                <w:szCs w:val="18"/>
                <w:lang w:val="en-US" w:eastAsia="zh-CN"/>
              </w:rPr>
              <w:t>Investment interests</w:t>
            </w:r>
          </w:p>
        </w:tc>
        <w:tc>
          <w:tcPr>
            <w:tcW w:w="674" w:type="pct"/>
            <w:tcBorders>
              <w:top w:val="nil"/>
              <w:left w:val="nil"/>
              <w:bottom w:val="nil"/>
              <w:right w:val="single" w:sz="4" w:space="0" w:color="auto"/>
            </w:tcBorders>
            <w:shd w:val="clear" w:color="auto" w:fill="auto"/>
            <w:noWrap/>
            <w:vAlign w:val="center"/>
            <w:hideMark/>
          </w:tcPr>
          <w:p w:rsidR="00DC3DFD" w:rsidRPr="00DC3DFD" w:rsidRDefault="00DC3DFD" w:rsidP="004206B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784.65</w:t>
            </w:r>
          </w:p>
        </w:tc>
        <w:tc>
          <w:tcPr>
            <w:tcW w:w="553" w:type="pct"/>
            <w:tcBorders>
              <w:top w:val="nil"/>
              <w:left w:val="nil"/>
              <w:bottom w:val="nil"/>
              <w:right w:val="single" w:sz="4" w:space="0" w:color="auto"/>
            </w:tcBorders>
            <w:shd w:val="clear" w:color="auto" w:fill="auto"/>
            <w:noWrap/>
            <w:vAlign w:val="center"/>
            <w:hideMark/>
          </w:tcPr>
          <w:p w:rsidR="00DC3DFD" w:rsidRPr="00DC3DFD" w:rsidRDefault="00DC3DFD" w:rsidP="004206B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767.90</w:t>
            </w:r>
          </w:p>
        </w:tc>
        <w:tc>
          <w:tcPr>
            <w:tcW w:w="535" w:type="pct"/>
            <w:tcBorders>
              <w:top w:val="nil"/>
              <w:left w:val="nil"/>
              <w:bottom w:val="nil"/>
              <w:right w:val="single" w:sz="4" w:space="0" w:color="auto"/>
            </w:tcBorders>
            <w:shd w:val="clear" w:color="auto" w:fill="auto"/>
            <w:noWrap/>
            <w:vAlign w:val="center"/>
            <w:hideMark/>
          </w:tcPr>
          <w:p w:rsidR="00DC3DFD" w:rsidRPr="00DC3DFD" w:rsidRDefault="00DC3DFD" w:rsidP="004206B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34.35</w:t>
            </w:r>
          </w:p>
        </w:tc>
        <w:tc>
          <w:tcPr>
            <w:tcW w:w="686" w:type="pct"/>
            <w:tcBorders>
              <w:top w:val="nil"/>
              <w:left w:val="nil"/>
              <w:bottom w:val="nil"/>
              <w:right w:val="single" w:sz="4" w:space="0" w:color="auto"/>
            </w:tcBorders>
            <w:shd w:val="clear" w:color="auto" w:fill="auto"/>
            <w:noWrap/>
            <w:vAlign w:val="center"/>
            <w:hideMark/>
          </w:tcPr>
          <w:p w:rsidR="00DC3DFD" w:rsidRPr="00DC3DFD" w:rsidRDefault="00DC3DFD" w:rsidP="004206B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117.91</w:t>
            </w:r>
          </w:p>
        </w:tc>
      </w:tr>
      <w:tr w:rsidR="004206B9" w:rsidRPr="00DC3DFD" w:rsidTr="003D789A">
        <w:trPr>
          <w:trHeight w:val="300"/>
        </w:trPr>
        <w:tc>
          <w:tcPr>
            <w:tcW w:w="2553" w:type="pct"/>
            <w:tcBorders>
              <w:top w:val="nil"/>
              <w:left w:val="single" w:sz="4" w:space="0" w:color="auto"/>
              <w:bottom w:val="nil"/>
              <w:right w:val="single" w:sz="4" w:space="0" w:color="auto"/>
            </w:tcBorders>
            <w:shd w:val="clear" w:color="auto" w:fill="auto"/>
            <w:noWrap/>
            <w:vAlign w:val="center"/>
            <w:hideMark/>
          </w:tcPr>
          <w:p w:rsidR="00DC3DFD" w:rsidRPr="00DC3DFD" w:rsidRDefault="00DC3DFD" w:rsidP="003D789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xml:space="preserve">Total  </w:t>
            </w:r>
            <w:r w:rsidR="003D789A">
              <w:rPr>
                <w:rFonts w:asciiTheme="minorHAnsi" w:hAnsiTheme="minorHAnsi"/>
                <w:sz w:val="18"/>
                <w:szCs w:val="18"/>
                <w:lang w:val="en-US" w:eastAsia="zh-CN"/>
              </w:rPr>
              <w:t>revenue</w:t>
            </w:r>
          </w:p>
        </w:tc>
        <w:tc>
          <w:tcPr>
            <w:tcW w:w="674" w:type="pct"/>
            <w:tcBorders>
              <w:top w:val="nil"/>
              <w:left w:val="nil"/>
              <w:bottom w:val="nil"/>
              <w:right w:val="single" w:sz="4" w:space="0" w:color="auto"/>
            </w:tcBorders>
            <w:shd w:val="clear" w:color="auto" w:fill="auto"/>
            <w:noWrap/>
            <w:vAlign w:val="center"/>
            <w:hideMark/>
          </w:tcPr>
          <w:p w:rsidR="00DC3DFD" w:rsidRPr="00DC3DFD" w:rsidRDefault="00DC3DFD" w:rsidP="004206B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784.65</w:t>
            </w:r>
          </w:p>
        </w:tc>
        <w:tc>
          <w:tcPr>
            <w:tcW w:w="553" w:type="pct"/>
            <w:tcBorders>
              <w:top w:val="nil"/>
              <w:left w:val="nil"/>
              <w:bottom w:val="nil"/>
              <w:right w:val="single" w:sz="4" w:space="0" w:color="auto"/>
            </w:tcBorders>
            <w:shd w:val="clear" w:color="auto" w:fill="auto"/>
            <w:noWrap/>
            <w:vAlign w:val="center"/>
            <w:hideMark/>
          </w:tcPr>
          <w:p w:rsidR="00DC3DFD" w:rsidRPr="00DC3DFD" w:rsidRDefault="00DC3DFD" w:rsidP="004206B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767.90</w:t>
            </w:r>
          </w:p>
        </w:tc>
        <w:tc>
          <w:tcPr>
            <w:tcW w:w="535" w:type="pct"/>
            <w:tcBorders>
              <w:top w:val="nil"/>
              <w:left w:val="nil"/>
              <w:bottom w:val="nil"/>
              <w:right w:val="single" w:sz="4" w:space="0" w:color="auto"/>
            </w:tcBorders>
            <w:shd w:val="clear" w:color="auto" w:fill="auto"/>
            <w:noWrap/>
            <w:vAlign w:val="center"/>
            <w:hideMark/>
          </w:tcPr>
          <w:p w:rsidR="00DC3DFD" w:rsidRPr="00DC3DFD" w:rsidRDefault="00DC3DFD" w:rsidP="004206B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34.35</w:t>
            </w:r>
          </w:p>
        </w:tc>
        <w:tc>
          <w:tcPr>
            <w:tcW w:w="686" w:type="pct"/>
            <w:tcBorders>
              <w:top w:val="nil"/>
              <w:left w:val="nil"/>
              <w:bottom w:val="nil"/>
              <w:right w:val="single" w:sz="4" w:space="0" w:color="auto"/>
            </w:tcBorders>
            <w:shd w:val="clear" w:color="auto" w:fill="auto"/>
            <w:noWrap/>
            <w:vAlign w:val="center"/>
            <w:hideMark/>
          </w:tcPr>
          <w:p w:rsidR="00DC3DFD" w:rsidRPr="00DC3DFD" w:rsidRDefault="00DC3DFD" w:rsidP="004206B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117.91</w:t>
            </w:r>
          </w:p>
        </w:tc>
      </w:tr>
      <w:tr w:rsidR="004206B9" w:rsidRPr="00DC3DFD" w:rsidTr="003D789A">
        <w:trPr>
          <w:trHeight w:val="300"/>
        </w:trPr>
        <w:tc>
          <w:tcPr>
            <w:tcW w:w="2553" w:type="pct"/>
            <w:tcBorders>
              <w:top w:val="nil"/>
              <w:left w:val="single" w:sz="4" w:space="0" w:color="auto"/>
              <w:bottom w:val="nil"/>
              <w:right w:val="single" w:sz="4" w:space="0" w:color="auto"/>
            </w:tcBorders>
            <w:shd w:val="clear" w:color="auto" w:fill="auto"/>
            <w:noWrap/>
            <w:vAlign w:val="center"/>
            <w:hideMark/>
          </w:tcPr>
          <w:p w:rsidR="00DC3DFD" w:rsidRPr="00DC3DFD" w:rsidRDefault="003D789A" w:rsidP="003D789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Pr>
                <w:rFonts w:asciiTheme="minorHAnsi" w:hAnsiTheme="minorHAnsi"/>
                <w:sz w:val="18"/>
                <w:szCs w:val="18"/>
                <w:lang w:val="en-US" w:eastAsia="zh-CN"/>
              </w:rPr>
              <w:t>Deficit of the year</w:t>
            </w:r>
          </w:p>
        </w:tc>
        <w:tc>
          <w:tcPr>
            <w:tcW w:w="674" w:type="pct"/>
            <w:tcBorders>
              <w:top w:val="nil"/>
              <w:left w:val="nil"/>
              <w:bottom w:val="single" w:sz="4" w:space="0" w:color="auto"/>
              <w:right w:val="single" w:sz="4" w:space="0" w:color="auto"/>
            </w:tcBorders>
            <w:shd w:val="clear" w:color="auto" w:fill="auto"/>
            <w:noWrap/>
            <w:vAlign w:val="center"/>
            <w:hideMark/>
          </w:tcPr>
          <w:p w:rsidR="00DC3DFD" w:rsidRPr="00DC3DFD" w:rsidRDefault="00DC3DFD" w:rsidP="004206B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21,078.15</w:t>
            </w:r>
          </w:p>
        </w:tc>
        <w:tc>
          <w:tcPr>
            <w:tcW w:w="553" w:type="pct"/>
            <w:tcBorders>
              <w:top w:val="nil"/>
              <w:left w:val="nil"/>
              <w:bottom w:val="single" w:sz="4" w:space="0" w:color="auto"/>
              <w:right w:val="single" w:sz="4" w:space="0" w:color="auto"/>
            </w:tcBorders>
            <w:shd w:val="clear" w:color="auto" w:fill="auto"/>
            <w:noWrap/>
            <w:vAlign w:val="center"/>
            <w:hideMark/>
          </w:tcPr>
          <w:p w:rsidR="00DC3DFD" w:rsidRPr="00DC3DFD" w:rsidRDefault="00DC3DFD" w:rsidP="004206B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21,119.90</w:t>
            </w:r>
          </w:p>
        </w:tc>
        <w:tc>
          <w:tcPr>
            <w:tcW w:w="535" w:type="pct"/>
            <w:tcBorders>
              <w:top w:val="nil"/>
              <w:left w:val="nil"/>
              <w:bottom w:val="single" w:sz="4" w:space="0" w:color="auto"/>
              <w:right w:val="single" w:sz="4" w:space="0" w:color="auto"/>
            </w:tcBorders>
            <w:shd w:val="clear" w:color="auto" w:fill="auto"/>
            <w:noWrap/>
            <w:vAlign w:val="center"/>
            <w:hideMark/>
          </w:tcPr>
          <w:p w:rsidR="00DC3DFD" w:rsidRPr="00DC3DFD" w:rsidRDefault="00DC3DFD" w:rsidP="004206B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c>
          <w:tcPr>
            <w:tcW w:w="686" w:type="pct"/>
            <w:tcBorders>
              <w:top w:val="nil"/>
              <w:left w:val="nil"/>
              <w:bottom w:val="single" w:sz="4" w:space="0" w:color="auto"/>
              <w:right w:val="single" w:sz="4" w:space="0" w:color="auto"/>
            </w:tcBorders>
            <w:shd w:val="clear" w:color="auto" w:fill="auto"/>
            <w:noWrap/>
            <w:vAlign w:val="center"/>
            <w:hideMark/>
          </w:tcPr>
          <w:p w:rsidR="00DC3DFD" w:rsidRPr="00DC3DFD" w:rsidRDefault="00DC3DFD" w:rsidP="004206B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r>
      <w:tr w:rsidR="004206B9" w:rsidRPr="00DC3DFD" w:rsidTr="003D789A">
        <w:trPr>
          <w:trHeight w:val="255"/>
        </w:trPr>
        <w:tc>
          <w:tcPr>
            <w:tcW w:w="2553" w:type="pct"/>
            <w:tcBorders>
              <w:top w:val="nil"/>
              <w:left w:val="single" w:sz="4" w:space="0" w:color="auto"/>
              <w:right w:val="single" w:sz="4" w:space="0" w:color="auto"/>
            </w:tcBorders>
            <w:shd w:val="clear" w:color="auto" w:fill="auto"/>
            <w:noWrap/>
            <w:vAlign w:val="center"/>
            <w:hideMark/>
          </w:tcPr>
          <w:p w:rsidR="00DC3DFD" w:rsidRPr="00DC3DFD" w:rsidRDefault="00DC3DFD" w:rsidP="00DC3DF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c>
          <w:tcPr>
            <w:tcW w:w="674" w:type="pct"/>
            <w:tcBorders>
              <w:top w:val="nil"/>
              <w:left w:val="nil"/>
              <w:right w:val="single" w:sz="4" w:space="0" w:color="auto"/>
            </w:tcBorders>
            <w:shd w:val="clear" w:color="auto" w:fill="auto"/>
            <w:noWrap/>
            <w:vAlign w:val="center"/>
            <w:hideMark/>
          </w:tcPr>
          <w:p w:rsidR="00DC3DFD" w:rsidRPr="00DC3DFD" w:rsidRDefault="00DC3DFD" w:rsidP="004206B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c>
          <w:tcPr>
            <w:tcW w:w="553" w:type="pct"/>
            <w:tcBorders>
              <w:top w:val="nil"/>
              <w:left w:val="nil"/>
              <w:right w:val="single" w:sz="4" w:space="0" w:color="auto"/>
            </w:tcBorders>
            <w:shd w:val="clear" w:color="auto" w:fill="auto"/>
            <w:noWrap/>
            <w:vAlign w:val="center"/>
            <w:hideMark/>
          </w:tcPr>
          <w:p w:rsidR="00DC3DFD" w:rsidRPr="00DC3DFD" w:rsidRDefault="00DC3DFD" w:rsidP="004206B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c>
          <w:tcPr>
            <w:tcW w:w="535" w:type="pct"/>
            <w:tcBorders>
              <w:top w:val="nil"/>
              <w:left w:val="nil"/>
              <w:right w:val="single" w:sz="4" w:space="0" w:color="auto"/>
            </w:tcBorders>
            <w:shd w:val="clear" w:color="auto" w:fill="auto"/>
            <w:noWrap/>
            <w:vAlign w:val="center"/>
            <w:hideMark/>
          </w:tcPr>
          <w:p w:rsidR="00DC3DFD" w:rsidRPr="00DC3DFD" w:rsidRDefault="00DC3DFD" w:rsidP="004206B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c>
          <w:tcPr>
            <w:tcW w:w="686" w:type="pct"/>
            <w:tcBorders>
              <w:top w:val="nil"/>
              <w:left w:val="nil"/>
              <w:right w:val="single" w:sz="4" w:space="0" w:color="auto"/>
            </w:tcBorders>
            <w:shd w:val="clear" w:color="auto" w:fill="auto"/>
            <w:noWrap/>
            <w:vAlign w:val="center"/>
            <w:hideMark/>
          </w:tcPr>
          <w:p w:rsidR="00DC3DFD" w:rsidRPr="00DC3DFD" w:rsidRDefault="00DC3DFD" w:rsidP="004206B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r>
      <w:tr w:rsidR="004206B9" w:rsidRPr="00DC3DFD" w:rsidTr="003D789A">
        <w:trPr>
          <w:trHeight w:val="300"/>
        </w:trPr>
        <w:tc>
          <w:tcPr>
            <w:tcW w:w="2553" w:type="pct"/>
            <w:tcBorders>
              <w:top w:val="nil"/>
              <w:left w:val="single" w:sz="4" w:space="0" w:color="auto"/>
              <w:bottom w:val="single" w:sz="4" w:space="0" w:color="auto"/>
              <w:right w:val="single" w:sz="4" w:space="0" w:color="auto"/>
            </w:tcBorders>
            <w:shd w:val="clear" w:color="auto" w:fill="auto"/>
            <w:noWrap/>
            <w:vAlign w:val="center"/>
            <w:hideMark/>
          </w:tcPr>
          <w:p w:rsidR="00DC3DFD" w:rsidRPr="00DC3DFD" w:rsidRDefault="00DC3DFD" w:rsidP="00DC3DF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18"/>
                <w:szCs w:val="18"/>
                <w:lang w:val="en-US" w:eastAsia="zh-CN"/>
              </w:rPr>
            </w:pPr>
            <w:r w:rsidRPr="00DC3DFD">
              <w:rPr>
                <w:rFonts w:asciiTheme="minorHAnsi" w:hAnsiTheme="minorHAnsi"/>
                <w:b/>
                <w:bCs/>
                <w:sz w:val="18"/>
                <w:szCs w:val="18"/>
                <w:lang w:val="en-US" w:eastAsia="zh-CN"/>
              </w:rPr>
              <w:t>TOTAL</w:t>
            </w:r>
          </w:p>
        </w:tc>
        <w:tc>
          <w:tcPr>
            <w:tcW w:w="674" w:type="pct"/>
            <w:tcBorders>
              <w:top w:val="nil"/>
              <w:left w:val="nil"/>
              <w:bottom w:val="single" w:sz="4" w:space="0" w:color="auto"/>
              <w:right w:val="single" w:sz="4" w:space="0" w:color="auto"/>
            </w:tcBorders>
            <w:shd w:val="clear" w:color="auto" w:fill="auto"/>
            <w:noWrap/>
            <w:vAlign w:val="center"/>
            <w:hideMark/>
          </w:tcPr>
          <w:p w:rsidR="00DC3DFD" w:rsidRPr="00DC3DFD" w:rsidRDefault="00DC3DFD" w:rsidP="004206B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18"/>
                <w:szCs w:val="18"/>
                <w:lang w:val="en-US" w:eastAsia="zh-CN"/>
              </w:rPr>
            </w:pPr>
            <w:r w:rsidRPr="00DC3DFD">
              <w:rPr>
                <w:rFonts w:asciiTheme="minorHAnsi" w:hAnsiTheme="minorHAnsi"/>
                <w:b/>
                <w:bCs/>
                <w:sz w:val="18"/>
                <w:szCs w:val="18"/>
                <w:lang w:val="en-US" w:eastAsia="zh-CN"/>
              </w:rPr>
              <w:t>21,862.80</w:t>
            </w:r>
          </w:p>
        </w:tc>
        <w:tc>
          <w:tcPr>
            <w:tcW w:w="553" w:type="pct"/>
            <w:tcBorders>
              <w:top w:val="nil"/>
              <w:left w:val="nil"/>
              <w:bottom w:val="single" w:sz="4" w:space="0" w:color="auto"/>
              <w:right w:val="single" w:sz="4" w:space="0" w:color="auto"/>
            </w:tcBorders>
            <w:shd w:val="clear" w:color="auto" w:fill="auto"/>
            <w:noWrap/>
            <w:vAlign w:val="center"/>
            <w:hideMark/>
          </w:tcPr>
          <w:p w:rsidR="00DC3DFD" w:rsidRPr="00DC3DFD" w:rsidRDefault="00DC3DFD" w:rsidP="004206B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18"/>
                <w:szCs w:val="18"/>
                <w:lang w:val="en-US" w:eastAsia="zh-CN"/>
              </w:rPr>
            </w:pPr>
            <w:r w:rsidRPr="00DC3DFD">
              <w:rPr>
                <w:rFonts w:asciiTheme="minorHAnsi" w:hAnsiTheme="minorHAnsi"/>
                <w:b/>
                <w:bCs/>
                <w:sz w:val="18"/>
                <w:szCs w:val="18"/>
                <w:lang w:val="en-US" w:eastAsia="zh-CN"/>
              </w:rPr>
              <w:t>21,887.80</w:t>
            </w:r>
          </w:p>
        </w:tc>
        <w:tc>
          <w:tcPr>
            <w:tcW w:w="535" w:type="pct"/>
            <w:tcBorders>
              <w:top w:val="nil"/>
              <w:left w:val="nil"/>
              <w:bottom w:val="single" w:sz="4" w:space="0" w:color="auto"/>
              <w:right w:val="single" w:sz="4" w:space="0" w:color="auto"/>
            </w:tcBorders>
            <w:shd w:val="clear" w:color="auto" w:fill="auto"/>
            <w:noWrap/>
            <w:vAlign w:val="center"/>
            <w:hideMark/>
          </w:tcPr>
          <w:p w:rsidR="00DC3DFD" w:rsidRPr="00DC3DFD" w:rsidRDefault="00DC3DFD" w:rsidP="004206B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18"/>
                <w:szCs w:val="18"/>
                <w:lang w:val="en-US" w:eastAsia="zh-CN"/>
              </w:rPr>
            </w:pPr>
            <w:r w:rsidRPr="00DC3DFD">
              <w:rPr>
                <w:rFonts w:asciiTheme="minorHAnsi" w:hAnsiTheme="minorHAnsi"/>
                <w:b/>
                <w:bCs/>
                <w:sz w:val="18"/>
                <w:szCs w:val="18"/>
                <w:lang w:val="en-US" w:eastAsia="zh-CN"/>
              </w:rPr>
              <w:t>34.35</w:t>
            </w:r>
          </w:p>
        </w:tc>
        <w:tc>
          <w:tcPr>
            <w:tcW w:w="686" w:type="pct"/>
            <w:tcBorders>
              <w:top w:val="nil"/>
              <w:left w:val="nil"/>
              <w:bottom w:val="single" w:sz="4" w:space="0" w:color="auto"/>
              <w:right w:val="single" w:sz="4" w:space="0" w:color="auto"/>
            </w:tcBorders>
            <w:shd w:val="clear" w:color="auto" w:fill="auto"/>
            <w:noWrap/>
            <w:vAlign w:val="center"/>
            <w:hideMark/>
          </w:tcPr>
          <w:p w:rsidR="00DC3DFD" w:rsidRPr="00DC3DFD" w:rsidRDefault="00DC3DFD" w:rsidP="004206B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18"/>
                <w:szCs w:val="18"/>
                <w:lang w:val="en-US" w:eastAsia="zh-CN"/>
              </w:rPr>
            </w:pPr>
            <w:r w:rsidRPr="00DC3DFD">
              <w:rPr>
                <w:rFonts w:asciiTheme="minorHAnsi" w:hAnsiTheme="minorHAnsi"/>
                <w:b/>
                <w:bCs/>
                <w:sz w:val="18"/>
                <w:szCs w:val="18"/>
                <w:lang w:val="en-US" w:eastAsia="zh-CN"/>
              </w:rPr>
              <w:t>117.91</w:t>
            </w:r>
          </w:p>
        </w:tc>
      </w:tr>
    </w:tbl>
    <w:p w:rsidR="00DC3DFD" w:rsidRPr="004206B9" w:rsidRDefault="00DC3DFD" w:rsidP="00F11A39">
      <w:pPr>
        <w:rPr>
          <w:sz w:val="22"/>
          <w:szCs w:val="18"/>
          <w:lang w:val="en-US"/>
        </w:rPr>
      </w:pPr>
    </w:p>
    <w:tbl>
      <w:tblPr>
        <w:tblW w:w="5000" w:type="pct"/>
        <w:tblLook w:val="04A0" w:firstRow="1" w:lastRow="0" w:firstColumn="1" w:lastColumn="0" w:noHBand="0" w:noVBand="1"/>
      </w:tblPr>
      <w:tblGrid>
        <w:gridCol w:w="4227"/>
        <w:gridCol w:w="1475"/>
        <w:gridCol w:w="1477"/>
        <w:gridCol w:w="1296"/>
        <w:gridCol w:w="1296"/>
      </w:tblGrid>
      <w:tr w:rsidR="004206B9" w:rsidRPr="003D789A" w:rsidTr="004206B9">
        <w:trPr>
          <w:trHeight w:val="300"/>
        </w:trPr>
        <w:tc>
          <w:tcPr>
            <w:tcW w:w="5000" w:type="pct"/>
            <w:gridSpan w:val="5"/>
            <w:tcBorders>
              <w:top w:val="single" w:sz="4" w:space="0" w:color="auto"/>
              <w:left w:val="single" w:sz="4" w:space="0" w:color="auto"/>
              <w:bottom w:val="nil"/>
              <w:right w:val="single" w:sz="4" w:space="0" w:color="000000"/>
            </w:tcBorders>
            <w:shd w:val="clear" w:color="auto" w:fill="auto"/>
            <w:noWrap/>
            <w:vAlign w:val="center"/>
            <w:hideMark/>
          </w:tcPr>
          <w:p w:rsidR="004206B9" w:rsidRPr="003D789A" w:rsidRDefault="003D789A" w:rsidP="003D789A">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bookmarkStart w:id="148" w:name="_Toc357006008"/>
            <w:r w:rsidRPr="009E79DA">
              <w:rPr>
                <w:rFonts w:cs="Calibri"/>
                <w:b/>
                <w:bCs/>
                <w:sz w:val="18"/>
                <w:szCs w:val="18"/>
                <w:lang w:val="en-US"/>
              </w:rPr>
              <w:t>Statement of financial situation at 31 December 201</w:t>
            </w:r>
            <w:r>
              <w:rPr>
                <w:rFonts w:cs="Calibri"/>
                <w:b/>
                <w:bCs/>
                <w:sz w:val="18"/>
                <w:szCs w:val="18"/>
                <w:lang w:val="en-US"/>
              </w:rPr>
              <w:t>7</w:t>
            </w:r>
            <w:r w:rsidRPr="009E79DA">
              <w:rPr>
                <w:rFonts w:cs="Calibri"/>
                <w:b/>
                <w:bCs/>
                <w:sz w:val="18"/>
                <w:szCs w:val="18"/>
                <w:lang w:val="en-US"/>
              </w:rPr>
              <w:t xml:space="preserve"> with 31 December 201</w:t>
            </w:r>
            <w:r>
              <w:rPr>
                <w:rFonts w:cs="Calibri"/>
                <w:b/>
                <w:bCs/>
                <w:sz w:val="18"/>
                <w:szCs w:val="18"/>
                <w:lang w:val="en-US"/>
              </w:rPr>
              <w:t>6</w:t>
            </w:r>
            <w:r w:rsidRPr="009E79DA">
              <w:rPr>
                <w:rFonts w:cs="Calibri"/>
                <w:b/>
                <w:bCs/>
                <w:sz w:val="18"/>
                <w:szCs w:val="18"/>
                <w:lang w:val="en-US"/>
              </w:rPr>
              <w:t xml:space="preserve"> comparative figures</w:t>
            </w:r>
          </w:p>
        </w:tc>
      </w:tr>
      <w:tr w:rsidR="003D789A" w:rsidRPr="004206B9" w:rsidTr="004206B9">
        <w:trPr>
          <w:trHeight w:val="615"/>
        </w:trPr>
        <w:tc>
          <w:tcPr>
            <w:tcW w:w="2163" w:type="pct"/>
            <w:tcBorders>
              <w:top w:val="single" w:sz="4" w:space="0" w:color="auto"/>
              <w:left w:val="single" w:sz="4" w:space="0" w:color="auto"/>
              <w:bottom w:val="nil"/>
              <w:right w:val="single" w:sz="4" w:space="0" w:color="auto"/>
            </w:tcBorders>
            <w:shd w:val="clear" w:color="auto" w:fill="auto"/>
            <w:noWrap/>
            <w:vAlign w:val="center"/>
            <w:hideMark/>
          </w:tcPr>
          <w:p w:rsidR="003D789A" w:rsidRPr="003D789A" w:rsidRDefault="003D789A" w:rsidP="003D789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Cs w:val="24"/>
                <w:lang w:val="en-US" w:eastAsia="zh-CN"/>
              </w:rPr>
            </w:pPr>
            <w:r w:rsidRPr="003D789A">
              <w:rPr>
                <w:rFonts w:asciiTheme="minorHAnsi" w:hAnsiTheme="minorHAnsi"/>
                <w:szCs w:val="24"/>
                <w:lang w:val="en-US" w:eastAsia="zh-CN"/>
              </w:rPr>
              <w:t> </w:t>
            </w:r>
          </w:p>
        </w:tc>
        <w:tc>
          <w:tcPr>
            <w:tcW w:w="1511" w:type="pct"/>
            <w:gridSpan w:val="2"/>
            <w:tcBorders>
              <w:top w:val="single" w:sz="4" w:space="0" w:color="auto"/>
              <w:left w:val="nil"/>
              <w:bottom w:val="nil"/>
              <w:right w:val="single" w:sz="4" w:space="0" w:color="000000"/>
            </w:tcBorders>
            <w:shd w:val="clear" w:color="auto" w:fill="auto"/>
            <w:vAlign w:val="bottom"/>
            <w:hideMark/>
          </w:tcPr>
          <w:p w:rsidR="003D789A" w:rsidRPr="003D789A" w:rsidRDefault="003D789A" w:rsidP="003D789A">
            <w:pPr>
              <w:jc w:val="center"/>
              <w:rPr>
                <w:rFonts w:cs="Calibri"/>
                <w:b/>
                <w:bCs/>
                <w:sz w:val="18"/>
                <w:szCs w:val="18"/>
                <w:lang w:val="fr-FR"/>
              </w:rPr>
            </w:pPr>
            <w:r w:rsidRPr="003D789A">
              <w:rPr>
                <w:rFonts w:cs="Calibri"/>
                <w:b/>
                <w:bCs/>
                <w:sz w:val="18"/>
                <w:szCs w:val="18"/>
                <w:lang w:val="fr-FR"/>
              </w:rPr>
              <w:t xml:space="preserve">Reserve and </w:t>
            </w:r>
            <w:proofErr w:type="spellStart"/>
            <w:r w:rsidRPr="003D789A">
              <w:rPr>
                <w:rFonts w:cs="Calibri"/>
                <w:b/>
                <w:bCs/>
                <w:sz w:val="18"/>
                <w:szCs w:val="18"/>
                <w:lang w:val="fr-FR"/>
              </w:rPr>
              <w:t>Complement</w:t>
            </w:r>
            <w:proofErr w:type="spellEnd"/>
            <w:r w:rsidRPr="003D789A">
              <w:rPr>
                <w:rFonts w:cs="Calibri"/>
                <w:b/>
                <w:bCs/>
                <w:sz w:val="18"/>
                <w:szCs w:val="18"/>
                <w:lang w:val="fr-FR"/>
              </w:rPr>
              <w:t xml:space="preserve"> </w:t>
            </w:r>
            <w:proofErr w:type="spellStart"/>
            <w:r w:rsidRPr="003D789A">
              <w:rPr>
                <w:rFonts w:cs="Calibri"/>
                <w:b/>
                <w:bCs/>
                <w:sz w:val="18"/>
                <w:szCs w:val="18"/>
                <w:lang w:val="fr-FR"/>
              </w:rPr>
              <w:t>fund</w:t>
            </w:r>
            <w:proofErr w:type="spellEnd"/>
          </w:p>
        </w:tc>
        <w:tc>
          <w:tcPr>
            <w:tcW w:w="1326" w:type="pct"/>
            <w:gridSpan w:val="2"/>
            <w:tcBorders>
              <w:top w:val="single" w:sz="4" w:space="0" w:color="auto"/>
              <w:left w:val="nil"/>
              <w:bottom w:val="nil"/>
              <w:right w:val="single" w:sz="4" w:space="0" w:color="000000"/>
            </w:tcBorders>
            <w:shd w:val="clear" w:color="auto" w:fill="auto"/>
            <w:noWrap/>
            <w:vAlign w:val="center"/>
            <w:hideMark/>
          </w:tcPr>
          <w:p w:rsidR="003D789A" w:rsidRPr="00DC3DFD" w:rsidRDefault="003D789A" w:rsidP="003D789A">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8"/>
                <w:szCs w:val="18"/>
                <w:lang w:val="fr-CH" w:eastAsia="zh-CN"/>
              </w:rPr>
            </w:pPr>
            <w:r>
              <w:rPr>
                <w:rFonts w:cs="Calibri"/>
                <w:b/>
                <w:bCs/>
                <w:sz w:val="20"/>
              </w:rPr>
              <w:t>Assistance fund</w:t>
            </w:r>
          </w:p>
        </w:tc>
      </w:tr>
      <w:tr w:rsidR="003D789A" w:rsidRPr="004206B9" w:rsidTr="004206B9">
        <w:trPr>
          <w:trHeight w:val="300"/>
        </w:trPr>
        <w:tc>
          <w:tcPr>
            <w:tcW w:w="2163" w:type="pct"/>
            <w:tcBorders>
              <w:top w:val="nil"/>
              <w:left w:val="single" w:sz="4" w:space="0" w:color="auto"/>
              <w:bottom w:val="nil"/>
              <w:right w:val="single" w:sz="4" w:space="0" w:color="auto"/>
            </w:tcBorders>
            <w:shd w:val="clear" w:color="auto" w:fill="auto"/>
            <w:noWrap/>
            <w:vAlign w:val="center"/>
            <w:hideMark/>
          </w:tcPr>
          <w:p w:rsidR="003D789A" w:rsidRPr="004206B9" w:rsidRDefault="003D789A" w:rsidP="003D789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Cs w:val="24"/>
                <w:lang w:val="en-US" w:eastAsia="zh-CN"/>
              </w:rPr>
            </w:pPr>
            <w:r w:rsidRPr="004206B9">
              <w:rPr>
                <w:rFonts w:asciiTheme="minorHAnsi" w:hAnsiTheme="minorHAnsi"/>
                <w:szCs w:val="24"/>
                <w:lang w:val="en-US" w:eastAsia="zh-CN"/>
              </w:rPr>
              <w:t> </w:t>
            </w:r>
          </w:p>
        </w:tc>
        <w:tc>
          <w:tcPr>
            <w:tcW w:w="1511" w:type="pct"/>
            <w:gridSpan w:val="2"/>
            <w:tcBorders>
              <w:top w:val="nil"/>
              <w:left w:val="nil"/>
              <w:bottom w:val="single" w:sz="4" w:space="0" w:color="auto"/>
              <w:right w:val="nil"/>
            </w:tcBorders>
            <w:shd w:val="clear" w:color="auto" w:fill="auto"/>
            <w:noWrap/>
            <w:vAlign w:val="center"/>
            <w:hideMark/>
          </w:tcPr>
          <w:p w:rsidR="003D789A" w:rsidRPr="003D789A" w:rsidRDefault="003D789A" w:rsidP="003D789A">
            <w:pPr>
              <w:jc w:val="center"/>
              <w:rPr>
                <w:rFonts w:cs="Calibri"/>
                <w:sz w:val="18"/>
                <w:szCs w:val="18"/>
              </w:rPr>
            </w:pPr>
            <w:r w:rsidRPr="003D789A">
              <w:rPr>
                <w:rFonts w:cs="Calibri"/>
                <w:sz w:val="18"/>
                <w:szCs w:val="18"/>
              </w:rPr>
              <w:t>CHF</w:t>
            </w:r>
          </w:p>
        </w:tc>
        <w:tc>
          <w:tcPr>
            <w:tcW w:w="1326" w:type="pct"/>
            <w:gridSpan w:val="2"/>
            <w:tcBorders>
              <w:top w:val="nil"/>
              <w:left w:val="single" w:sz="4" w:space="0" w:color="auto"/>
              <w:bottom w:val="single" w:sz="4" w:space="0" w:color="auto"/>
              <w:right w:val="single" w:sz="4" w:space="0" w:color="000000"/>
            </w:tcBorders>
            <w:shd w:val="clear" w:color="auto" w:fill="auto"/>
            <w:noWrap/>
            <w:vAlign w:val="center"/>
            <w:hideMark/>
          </w:tcPr>
          <w:p w:rsidR="003D789A" w:rsidRPr="00DC3DFD" w:rsidRDefault="003D789A" w:rsidP="003D789A">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r w:rsidRPr="00DC3DFD">
              <w:rPr>
                <w:rFonts w:asciiTheme="minorHAnsi" w:hAnsiTheme="minorHAnsi"/>
                <w:sz w:val="20"/>
                <w:lang w:val="en-US" w:eastAsia="zh-CN"/>
              </w:rPr>
              <w:t>CHF</w:t>
            </w:r>
          </w:p>
        </w:tc>
      </w:tr>
      <w:tr w:rsidR="004206B9" w:rsidRPr="004206B9" w:rsidTr="004206B9">
        <w:trPr>
          <w:trHeight w:val="300"/>
        </w:trPr>
        <w:tc>
          <w:tcPr>
            <w:tcW w:w="2163" w:type="pct"/>
            <w:tcBorders>
              <w:top w:val="nil"/>
              <w:left w:val="single" w:sz="4" w:space="0" w:color="auto"/>
              <w:bottom w:val="nil"/>
              <w:right w:val="single" w:sz="4" w:space="0" w:color="auto"/>
            </w:tcBorders>
            <w:shd w:val="clear" w:color="auto" w:fill="auto"/>
            <w:noWrap/>
            <w:vAlign w:val="center"/>
            <w:hideMark/>
          </w:tcPr>
          <w:p w:rsidR="004206B9" w:rsidRPr="004206B9" w:rsidRDefault="004206B9" w:rsidP="004206B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c>
          <w:tcPr>
            <w:tcW w:w="755" w:type="pct"/>
            <w:tcBorders>
              <w:top w:val="nil"/>
              <w:left w:val="nil"/>
              <w:bottom w:val="nil"/>
              <w:right w:val="single" w:sz="4" w:space="0" w:color="auto"/>
            </w:tcBorders>
            <w:shd w:val="clear" w:color="auto" w:fill="auto"/>
            <w:noWrap/>
            <w:vAlign w:val="center"/>
            <w:hideMark/>
          </w:tcPr>
          <w:p w:rsidR="004206B9" w:rsidRPr="004206B9" w:rsidRDefault="004206B9" w:rsidP="004206B9">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2017</w:t>
            </w:r>
          </w:p>
        </w:tc>
        <w:tc>
          <w:tcPr>
            <w:tcW w:w="756" w:type="pct"/>
            <w:tcBorders>
              <w:top w:val="nil"/>
              <w:left w:val="nil"/>
              <w:bottom w:val="nil"/>
              <w:right w:val="single" w:sz="4" w:space="0" w:color="auto"/>
            </w:tcBorders>
            <w:shd w:val="clear" w:color="auto" w:fill="auto"/>
            <w:noWrap/>
            <w:vAlign w:val="center"/>
            <w:hideMark/>
          </w:tcPr>
          <w:p w:rsidR="004206B9" w:rsidRPr="004206B9" w:rsidRDefault="004206B9" w:rsidP="004206B9">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2016</w:t>
            </w:r>
          </w:p>
        </w:tc>
        <w:tc>
          <w:tcPr>
            <w:tcW w:w="663" w:type="pct"/>
            <w:tcBorders>
              <w:top w:val="nil"/>
              <w:left w:val="nil"/>
              <w:bottom w:val="nil"/>
              <w:right w:val="single" w:sz="4" w:space="0" w:color="auto"/>
            </w:tcBorders>
            <w:shd w:val="clear" w:color="auto" w:fill="auto"/>
            <w:noWrap/>
            <w:vAlign w:val="center"/>
            <w:hideMark/>
          </w:tcPr>
          <w:p w:rsidR="004206B9" w:rsidRPr="004206B9" w:rsidRDefault="004206B9" w:rsidP="004206B9">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2017</w:t>
            </w:r>
          </w:p>
        </w:tc>
        <w:tc>
          <w:tcPr>
            <w:tcW w:w="663" w:type="pct"/>
            <w:tcBorders>
              <w:top w:val="nil"/>
              <w:left w:val="nil"/>
              <w:bottom w:val="nil"/>
              <w:right w:val="single" w:sz="4" w:space="0" w:color="auto"/>
            </w:tcBorders>
            <w:shd w:val="clear" w:color="auto" w:fill="auto"/>
            <w:noWrap/>
            <w:vAlign w:val="center"/>
            <w:hideMark/>
          </w:tcPr>
          <w:p w:rsidR="004206B9" w:rsidRPr="004206B9" w:rsidRDefault="004206B9" w:rsidP="004206B9">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2016</w:t>
            </w:r>
          </w:p>
        </w:tc>
      </w:tr>
      <w:tr w:rsidR="004206B9" w:rsidRPr="004206B9" w:rsidTr="004206B9">
        <w:trPr>
          <w:trHeight w:val="300"/>
        </w:trPr>
        <w:tc>
          <w:tcPr>
            <w:tcW w:w="2163" w:type="pct"/>
            <w:tcBorders>
              <w:top w:val="nil"/>
              <w:left w:val="single" w:sz="4" w:space="0" w:color="auto"/>
              <w:bottom w:val="nil"/>
              <w:right w:val="single" w:sz="4" w:space="0" w:color="auto"/>
            </w:tcBorders>
            <w:shd w:val="clear" w:color="auto" w:fill="auto"/>
            <w:noWrap/>
            <w:vAlign w:val="center"/>
            <w:hideMark/>
          </w:tcPr>
          <w:p w:rsidR="004206B9" w:rsidRPr="004206B9" w:rsidRDefault="004206B9" w:rsidP="003D789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u w:val="single"/>
                <w:lang w:val="en-US" w:eastAsia="zh-CN"/>
              </w:rPr>
            </w:pPr>
            <w:r w:rsidRPr="004206B9">
              <w:rPr>
                <w:rFonts w:asciiTheme="minorHAnsi" w:hAnsiTheme="minorHAnsi"/>
                <w:sz w:val="18"/>
                <w:szCs w:val="18"/>
                <w:u w:val="single"/>
                <w:lang w:val="en-US" w:eastAsia="zh-CN"/>
              </w:rPr>
              <w:t>A</w:t>
            </w:r>
            <w:r w:rsidR="003D789A">
              <w:rPr>
                <w:rFonts w:asciiTheme="minorHAnsi" w:hAnsiTheme="minorHAnsi"/>
                <w:sz w:val="18"/>
                <w:szCs w:val="18"/>
                <w:u w:val="single"/>
                <w:lang w:val="en-US" w:eastAsia="zh-CN"/>
              </w:rPr>
              <w:t>SSETS</w:t>
            </w:r>
          </w:p>
        </w:tc>
        <w:tc>
          <w:tcPr>
            <w:tcW w:w="755" w:type="pct"/>
            <w:tcBorders>
              <w:top w:val="nil"/>
              <w:left w:val="nil"/>
              <w:bottom w:val="nil"/>
              <w:right w:val="single" w:sz="4" w:space="0" w:color="auto"/>
            </w:tcBorders>
            <w:shd w:val="clear" w:color="auto" w:fill="auto"/>
            <w:noWrap/>
            <w:vAlign w:val="center"/>
            <w:hideMark/>
          </w:tcPr>
          <w:p w:rsidR="004206B9" w:rsidRPr="004206B9" w:rsidRDefault="004206B9" w:rsidP="004206B9">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c>
          <w:tcPr>
            <w:tcW w:w="756" w:type="pct"/>
            <w:tcBorders>
              <w:top w:val="nil"/>
              <w:left w:val="nil"/>
              <w:bottom w:val="nil"/>
              <w:right w:val="single" w:sz="4" w:space="0" w:color="auto"/>
            </w:tcBorders>
            <w:shd w:val="clear" w:color="auto" w:fill="auto"/>
            <w:noWrap/>
            <w:vAlign w:val="center"/>
            <w:hideMark/>
          </w:tcPr>
          <w:p w:rsidR="004206B9" w:rsidRPr="004206B9" w:rsidRDefault="004206B9" w:rsidP="004206B9">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c>
          <w:tcPr>
            <w:tcW w:w="663" w:type="pct"/>
            <w:tcBorders>
              <w:top w:val="nil"/>
              <w:left w:val="nil"/>
              <w:bottom w:val="nil"/>
              <w:right w:val="single" w:sz="4" w:space="0" w:color="auto"/>
            </w:tcBorders>
            <w:shd w:val="clear" w:color="auto" w:fill="auto"/>
            <w:noWrap/>
            <w:vAlign w:val="center"/>
            <w:hideMark/>
          </w:tcPr>
          <w:p w:rsidR="004206B9" w:rsidRPr="004206B9" w:rsidRDefault="004206B9" w:rsidP="004206B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c>
          <w:tcPr>
            <w:tcW w:w="663" w:type="pct"/>
            <w:tcBorders>
              <w:top w:val="nil"/>
              <w:left w:val="nil"/>
              <w:bottom w:val="nil"/>
              <w:right w:val="single" w:sz="4" w:space="0" w:color="auto"/>
            </w:tcBorders>
            <w:shd w:val="clear" w:color="auto" w:fill="auto"/>
            <w:noWrap/>
            <w:vAlign w:val="center"/>
            <w:hideMark/>
          </w:tcPr>
          <w:p w:rsidR="004206B9" w:rsidRPr="004206B9" w:rsidRDefault="004206B9" w:rsidP="004206B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r>
      <w:tr w:rsidR="004206B9" w:rsidRPr="004206B9" w:rsidTr="004206B9">
        <w:trPr>
          <w:trHeight w:val="300"/>
        </w:trPr>
        <w:tc>
          <w:tcPr>
            <w:tcW w:w="2163" w:type="pct"/>
            <w:tcBorders>
              <w:top w:val="nil"/>
              <w:left w:val="single" w:sz="4" w:space="0" w:color="auto"/>
              <w:bottom w:val="nil"/>
              <w:right w:val="single" w:sz="4" w:space="0" w:color="auto"/>
            </w:tcBorders>
            <w:shd w:val="clear" w:color="auto" w:fill="auto"/>
            <w:noWrap/>
            <w:vAlign w:val="center"/>
            <w:hideMark/>
          </w:tcPr>
          <w:p w:rsidR="004206B9" w:rsidRPr="004206B9" w:rsidRDefault="004206B9" w:rsidP="004206B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c>
          <w:tcPr>
            <w:tcW w:w="755" w:type="pct"/>
            <w:tcBorders>
              <w:top w:val="nil"/>
              <w:left w:val="nil"/>
              <w:bottom w:val="nil"/>
              <w:right w:val="single" w:sz="4" w:space="0" w:color="auto"/>
            </w:tcBorders>
            <w:shd w:val="clear" w:color="auto" w:fill="auto"/>
            <w:noWrap/>
            <w:vAlign w:val="center"/>
            <w:hideMark/>
          </w:tcPr>
          <w:p w:rsidR="004206B9" w:rsidRPr="004206B9" w:rsidRDefault="004206B9" w:rsidP="004206B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c>
          <w:tcPr>
            <w:tcW w:w="756" w:type="pct"/>
            <w:tcBorders>
              <w:top w:val="nil"/>
              <w:left w:val="nil"/>
              <w:bottom w:val="nil"/>
              <w:right w:val="single" w:sz="4" w:space="0" w:color="auto"/>
            </w:tcBorders>
            <w:shd w:val="clear" w:color="auto" w:fill="auto"/>
            <w:noWrap/>
            <w:vAlign w:val="center"/>
            <w:hideMark/>
          </w:tcPr>
          <w:p w:rsidR="004206B9" w:rsidRPr="004206B9" w:rsidRDefault="004206B9" w:rsidP="004206B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c>
          <w:tcPr>
            <w:tcW w:w="663" w:type="pct"/>
            <w:tcBorders>
              <w:top w:val="nil"/>
              <w:left w:val="nil"/>
              <w:bottom w:val="nil"/>
              <w:right w:val="single" w:sz="4" w:space="0" w:color="auto"/>
            </w:tcBorders>
            <w:shd w:val="clear" w:color="auto" w:fill="auto"/>
            <w:noWrap/>
            <w:vAlign w:val="center"/>
            <w:hideMark/>
          </w:tcPr>
          <w:p w:rsidR="004206B9" w:rsidRPr="004206B9" w:rsidRDefault="004206B9" w:rsidP="004206B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c>
          <w:tcPr>
            <w:tcW w:w="663" w:type="pct"/>
            <w:tcBorders>
              <w:top w:val="nil"/>
              <w:left w:val="nil"/>
              <w:bottom w:val="nil"/>
              <w:right w:val="single" w:sz="4" w:space="0" w:color="auto"/>
            </w:tcBorders>
            <w:shd w:val="clear" w:color="auto" w:fill="auto"/>
            <w:noWrap/>
            <w:vAlign w:val="center"/>
            <w:hideMark/>
          </w:tcPr>
          <w:p w:rsidR="004206B9" w:rsidRPr="004206B9" w:rsidRDefault="004206B9" w:rsidP="004206B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r>
      <w:tr w:rsidR="004206B9" w:rsidRPr="004206B9" w:rsidTr="004206B9">
        <w:trPr>
          <w:trHeight w:val="300"/>
        </w:trPr>
        <w:tc>
          <w:tcPr>
            <w:tcW w:w="2163" w:type="pct"/>
            <w:tcBorders>
              <w:top w:val="nil"/>
              <w:left w:val="single" w:sz="4" w:space="0" w:color="auto"/>
              <w:bottom w:val="nil"/>
              <w:right w:val="single" w:sz="4" w:space="0" w:color="auto"/>
            </w:tcBorders>
            <w:shd w:val="clear" w:color="auto" w:fill="auto"/>
            <w:noWrap/>
            <w:vAlign w:val="center"/>
            <w:hideMark/>
          </w:tcPr>
          <w:p w:rsidR="004206B9" w:rsidRPr="004206B9" w:rsidRDefault="003D789A" w:rsidP="003D789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Pr>
                <w:rFonts w:asciiTheme="minorHAnsi" w:hAnsiTheme="minorHAnsi"/>
                <w:sz w:val="18"/>
                <w:szCs w:val="18"/>
                <w:lang w:val="en-US" w:eastAsia="zh-CN"/>
              </w:rPr>
              <w:t>Cash and cash equivalent</w:t>
            </w:r>
          </w:p>
        </w:tc>
        <w:tc>
          <w:tcPr>
            <w:tcW w:w="755" w:type="pct"/>
            <w:tcBorders>
              <w:top w:val="nil"/>
              <w:left w:val="nil"/>
              <w:bottom w:val="nil"/>
              <w:right w:val="single" w:sz="4" w:space="0" w:color="auto"/>
            </w:tcBorders>
            <w:shd w:val="clear" w:color="auto" w:fill="auto"/>
            <w:noWrap/>
            <w:vAlign w:val="center"/>
            <w:hideMark/>
          </w:tcPr>
          <w:p w:rsidR="004206B9" w:rsidRPr="004206B9" w:rsidRDefault="004206B9" w:rsidP="004206B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6,256,231.20</w:t>
            </w:r>
          </w:p>
        </w:tc>
        <w:tc>
          <w:tcPr>
            <w:tcW w:w="756" w:type="pct"/>
            <w:tcBorders>
              <w:top w:val="nil"/>
              <w:left w:val="nil"/>
              <w:bottom w:val="nil"/>
              <w:right w:val="single" w:sz="4" w:space="0" w:color="auto"/>
            </w:tcBorders>
            <w:shd w:val="clear" w:color="auto" w:fill="auto"/>
            <w:noWrap/>
            <w:vAlign w:val="center"/>
            <w:hideMark/>
          </w:tcPr>
          <w:p w:rsidR="004206B9" w:rsidRPr="004206B9" w:rsidRDefault="004206B9" w:rsidP="004206B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6,276,541.45</w:t>
            </w:r>
          </w:p>
        </w:tc>
        <w:tc>
          <w:tcPr>
            <w:tcW w:w="663" w:type="pct"/>
            <w:tcBorders>
              <w:top w:val="nil"/>
              <w:left w:val="nil"/>
              <w:bottom w:val="nil"/>
              <w:right w:val="single" w:sz="4" w:space="0" w:color="auto"/>
            </w:tcBorders>
            <w:shd w:val="clear" w:color="auto" w:fill="auto"/>
            <w:noWrap/>
            <w:vAlign w:val="center"/>
            <w:hideMark/>
          </w:tcPr>
          <w:p w:rsidR="004206B9" w:rsidRPr="004206B9" w:rsidRDefault="004206B9" w:rsidP="004206B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277,441.84</w:t>
            </w:r>
          </w:p>
        </w:tc>
        <w:tc>
          <w:tcPr>
            <w:tcW w:w="663" w:type="pct"/>
            <w:tcBorders>
              <w:top w:val="nil"/>
              <w:left w:val="nil"/>
              <w:bottom w:val="nil"/>
              <w:right w:val="single" w:sz="4" w:space="0" w:color="auto"/>
            </w:tcBorders>
            <w:shd w:val="clear" w:color="auto" w:fill="auto"/>
            <w:noWrap/>
            <w:vAlign w:val="center"/>
            <w:hideMark/>
          </w:tcPr>
          <w:p w:rsidR="004206B9" w:rsidRPr="004206B9" w:rsidRDefault="004206B9" w:rsidP="004206B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274,930.58</w:t>
            </w:r>
          </w:p>
        </w:tc>
      </w:tr>
      <w:tr w:rsidR="004206B9" w:rsidRPr="004206B9" w:rsidTr="004206B9">
        <w:trPr>
          <w:trHeight w:val="300"/>
        </w:trPr>
        <w:tc>
          <w:tcPr>
            <w:tcW w:w="2163" w:type="pct"/>
            <w:tcBorders>
              <w:top w:val="nil"/>
              <w:left w:val="single" w:sz="4" w:space="0" w:color="auto"/>
              <w:bottom w:val="nil"/>
              <w:right w:val="single" w:sz="4" w:space="0" w:color="auto"/>
            </w:tcBorders>
            <w:shd w:val="clear" w:color="auto" w:fill="auto"/>
            <w:noWrap/>
            <w:vAlign w:val="center"/>
            <w:hideMark/>
          </w:tcPr>
          <w:p w:rsidR="004206B9" w:rsidRPr="004206B9" w:rsidRDefault="00753089" w:rsidP="007530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Pr>
                <w:rFonts w:asciiTheme="minorHAnsi" w:hAnsiTheme="minorHAnsi"/>
                <w:sz w:val="18"/>
                <w:szCs w:val="18"/>
                <w:lang w:val="en-US" w:eastAsia="zh-CN"/>
              </w:rPr>
              <w:t>Funds to receive</w:t>
            </w:r>
          </w:p>
        </w:tc>
        <w:tc>
          <w:tcPr>
            <w:tcW w:w="755" w:type="pct"/>
            <w:tcBorders>
              <w:top w:val="nil"/>
              <w:left w:val="nil"/>
              <w:bottom w:val="nil"/>
              <w:right w:val="single" w:sz="4" w:space="0" w:color="auto"/>
            </w:tcBorders>
            <w:shd w:val="clear" w:color="auto" w:fill="auto"/>
            <w:noWrap/>
            <w:vAlign w:val="center"/>
            <w:hideMark/>
          </w:tcPr>
          <w:p w:rsidR="004206B9" w:rsidRPr="004206B9" w:rsidRDefault="004206B9" w:rsidP="004206B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c>
          <w:tcPr>
            <w:tcW w:w="756" w:type="pct"/>
            <w:tcBorders>
              <w:top w:val="nil"/>
              <w:left w:val="nil"/>
              <w:bottom w:val="nil"/>
              <w:right w:val="single" w:sz="4" w:space="0" w:color="auto"/>
            </w:tcBorders>
            <w:shd w:val="clear" w:color="auto" w:fill="auto"/>
            <w:noWrap/>
            <w:vAlign w:val="center"/>
            <w:hideMark/>
          </w:tcPr>
          <w:p w:rsidR="004206B9" w:rsidRPr="004206B9" w:rsidRDefault="004206B9" w:rsidP="004206B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767.90</w:t>
            </w:r>
          </w:p>
        </w:tc>
        <w:tc>
          <w:tcPr>
            <w:tcW w:w="663" w:type="pct"/>
            <w:tcBorders>
              <w:top w:val="nil"/>
              <w:left w:val="nil"/>
              <w:bottom w:val="nil"/>
              <w:right w:val="single" w:sz="4" w:space="0" w:color="auto"/>
            </w:tcBorders>
            <w:shd w:val="clear" w:color="auto" w:fill="auto"/>
            <w:noWrap/>
            <w:vAlign w:val="center"/>
            <w:hideMark/>
          </w:tcPr>
          <w:p w:rsidR="004206B9" w:rsidRPr="004206B9" w:rsidRDefault="004206B9" w:rsidP="004206B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c>
          <w:tcPr>
            <w:tcW w:w="663" w:type="pct"/>
            <w:tcBorders>
              <w:top w:val="nil"/>
              <w:left w:val="nil"/>
              <w:bottom w:val="nil"/>
              <w:right w:val="single" w:sz="4" w:space="0" w:color="auto"/>
            </w:tcBorders>
            <w:shd w:val="clear" w:color="auto" w:fill="auto"/>
            <w:noWrap/>
            <w:vAlign w:val="center"/>
            <w:hideMark/>
          </w:tcPr>
          <w:p w:rsidR="004206B9" w:rsidRPr="004206B9" w:rsidRDefault="004206B9" w:rsidP="004206B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117.91</w:t>
            </w:r>
          </w:p>
        </w:tc>
      </w:tr>
      <w:tr w:rsidR="004206B9" w:rsidRPr="004206B9" w:rsidTr="004206B9">
        <w:trPr>
          <w:trHeight w:val="300"/>
        </w:trPr>
        <w:tc>
          <w:tcPr>
            <w:tcW w:w="2163" w:type="pct"/>
            <w:tcBorders>
              <w:top w:val="nil"/>
              <w:left w:val="single" w:sz="4" w:space="0" w:color="auto"/>
              <w:bottom w:val="nil"/>
              <w:right w:val="single" w:sz="4" w:space="0" w:color="auto"/>
            </w:tcBorders>
            <w:shd w:val="clear" w:color="auto" w:fill="auto"/>
            <w:noWrap/>
            <w:vAlign w:val="center"/>
            <w:hideMark/>
          </w:tcPr>
          <w:p w:rsidR="004206B9" w:rsidRPr="004206B9" w:rsidRDefault="00753089" w:rsidP="007530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Pr>
                <w:rFonts w:asciiTheme="minorHAnsi" w:hAnsiTheme="minorHAnsi"/>
                <w:sz w:val="18"/>
                <w:szCs w:val="18"/>
                <w:lang w:val="en-US" w:eastAsia="zh-CN"/>
              </w:rPr>
              <w:t>Debtors</w:t>
            </w:r>
          </w:p>
        </w:tc>
        <w:tc>
          <w:tcPr>
            <w:tcW w:w="755" w:type="pct"/>
            <w:tcBorders>
              <w:top w:val="nil"/>
              <w:left w:val="nil"/>
              <w:bottom w:val="nil"/>
              <w:right w:val="single" w:sz="4" w:space="0" w:color="auto"/>
            </w:tcBorders>
            <w:shd w:val="clear" w:color="auto" w:fill="auto"/>
            <w:noWrap/>
            <w:vAlign w:val="center"/>
            <w:hideMark/>
          </w:tcPr>
          <w:p w:rsidR="004206B9" w:rsidRPr="004206B9" w:rsidRDefault="004206B9" w:rsidP="004206B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c>
          <w:tcPr>
            <w:tcW w:w="756" w:type="pct"/>
            <w:tcBorders>
              <w:top w:val="nil"/>
              <w:left w:val="nil"/>
              <w:bottom w:val="nil"/>
              <w:right w:val="single" w:sz="4" w:space="0" w:color="auto"/>
            </w:tcBorders>
            <w:shd w:val="clear" w:color="auto" w:fill="auto"/>
            <w:noWrap/>
            <w:vAlign w:val="center"/>
            <w:hideMark/>
          </w:tcPr>
          <w:p w:rsidR="004206B9" w:rsidRPr="004206B9" w:rsidRDefault="004206B9" w:rsidP="004206B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c>
          <w:tcPr>
            <w:tcW w:w="663" w:type="pct"/>
            <w:tcBorders>
              <w:top w:val="nil"/>
              <w:left w:val="nil"/>
              <w:bottom w:val="nil"/>
              <w:right w:val="single" w:sz="4" w:space="0" w:color="auto"/>
            </w:tcBorders>
            <w:shd w:val="clear" w:color="auto" w:fill="auto"/>
            <w:noWrap/>
            <w:vAlign w:val="center"/>
            <w:hideMark/>
          </w:tcPr>
          <w:p w:rsidR="004206B9" w:rsidRPr="004206B9" w:rsidRDefault="004206B9" w:rsidP="004206B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c>
          <w:tcPr>
            <w:tcW w:w="663" w:type="pct"/>
            <w:tcBorders>
              <w:top w:val="nil"/>
              <w:left w:val="nil"/>
              <w:bottom w:val="nil"/>
              <w:right w:val="single" w:sz="4" w:space="0" w:color="auto"/>
            </w:tcBorders>
            <w:shd w:val="clear" w:color="auto" w:fill="auto"/>
            <w:noWrap/>
            <w:vAlign w:val="center"/>
            <w:hideMark/>
          </w:tcPr>
          <w:p w:rsidR="004206B9" w:rsidRPr="004206B9" w:rsidRDefault="004206B9" w:rsidP="004206B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2,359.00</w:t>
            </w:r>
          </w:p>
        </w:tc>
      </w:tr>
      <w:tr w:rsidR="004206B9" w:rsidRPr="004206B9" w:rsidTr="004206B9">
        <w:trPr>
          <w:trHeight w:val="300"/>
        </w:trPr>
        <w:tc>
          <w:tcPr>
            <w:tcW w:w="2163" w:type="pct"/>
            <w:tcBorders>
              <w:top w:val="nil"/>
              <w:left w:val="single" w:sz="4" w:space="0" w:color="auto"/>
              <w:bottom w:val="nil"/>
              <w:right w:val="single" w:sz="4" w:space="0" w:color="auto"/>
            </w:tcBorders>
            <w:shd w:val="clear" w:color="auto" w:fill="auto"/>
            <w:noWrap/>
            <w:vAlign w:val="center"/>
            <w:hideMark/>
          </w:tcPr>
          <w:p w:rsidR="004206B9" w:rsidRPr="004206B9" w:rsidRDefault="00753089" w:rsidP="004206B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Pr>
                <w:rFonts w:asciiTheme="minorHAnsi" w:hAnsiTheme="minorHAnsi"/>
                <w:sz w:val="18"/>
                <w:szCs w:val="18"/>
                <w:lang w:val="en-US" w:eastAsia="zh-CN"/>
              </w:rPr>
              <w:t>Transitory Assets</w:t>
            </w:r>
          </w:p>
        </w:tc>
        <w:tc>
          <w:tcPr>
            <w:tcW w:w="755" w:type="pct"/>
            <w:tcBorders>
              <w:top w:val="nil"/>
              <w:left w:val="nil"/>
              <w:bottom w:val="nil"/>
              <w:right w:val="single" w:sz="4" w:space="0" w:color="auto"/>
            </w:tcBorders>
            <w:shd w:val="clear" w:color="auto" w:fill="auto"/>
            <w:noWrap/>
            <w:vAlign w:val="center"/>
            <w:hideMark/>
          </w:tcPr>
          <w:p w:rsidR="004206B9" w:rsidRPr="004206B9" w:rsidRDefault="004206B9" w:rsidP="004206B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c>
          <w:tcPr>
            <w:tcW w:w="756" w:type="pct"/>
            <w:tcBorders>
              <w:top w:val="nil"/>
              <w:left w:val="nil"/>
              <w:bottom w:val="nil"/>
              <w:right w:val="single" w:sz="4" w:space="0" w:color="auto"/>
            </w:tcBorders>
            <w:shd w:val="clear" w:color="auto" w:fill="auto"/>
            <w:noWrap/>
            <w:vAlign w:val="center"/>
            <w:hideMark/>
          </w:tcPr>
          <w:p w:rsidR="004206B9" w:rsidRPr="004206B9" w:rsidRDefault="004206B9" w:rsidP="004206B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c>
          <w:tcPr>
            <w:tcW w:w="663" w:type="pct"/>
            <w:tcBorders>
              <w:top w:val="nil"/>
              <w:left w:val="nil"/>
              <w:bottom w:val="nil"/>
              <w:right w:val="single" w:sz="4" w:space="0" w:color="auto"/>
            </w:tcBorders>
            <w:shd w:val="clear" w:color="auto" w:fill="auto"/>
            <w:noWrap/>
            <w:vAlign w:val="center"/>
            <w:hideMark/>
          </w:tcPr>
          <w:p w:rsidR="004206B9" w:rsidRPr="004206B9" w:rsidRDefault="004206B9" w:rsidP="004206B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139.00</w:t>
            </w:r>
          </w:p>
        </w:tc>
        <w:tc>
          <w:tcPr>
            <w:tcW w:w="663" w:type="pct"/>
            <w:tcBorders>
              <w:top w:val="nil"/>
              <w:left w:val="nil"/>
              <w:bottom w:val="nil"/>
              <w:right w:val="single" w:sz="4" w:space="0" w:color="auto"/>
            </w:tcBorders>
            <w:shd w:val="clear" w:color="auto" w:fill="auto"/>
            <w:noWrap/>
            <w:vAlign w:val="center"/>
            <w:hideMark/>
          </w:tcPr>
          <w:p w:rsidR="004206B9" w:rsidRPr="004206B9" w:rsidRDefault="004206B9" w:rsidP="004206B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139.00</w:t>
            </w:r>
          </w:p>
        </w:tc>
      </w:tr>
      <w:tr w:rsidR="004206B9" w:rsidRPr="004206B9" w:rsidTr="004206B9">
        <w:trPr>
          <w:trHeight w:val="300"/>
        </w:trPr>
        <w:tc>
          <w:tcPr>
            <w:tcW w:w="2163" w:type="pct"/>
            <w:tcBorders>
              <w:top w:val="nil"/>
              <w:left w:val="single" w:sz="4" w:space="0" w:color="auto"/>
              <w:bottom w:val="nil"/>
              <w:right w:val="single" w:sz="4" w:space="0" w:color="auto"/>
            </w:tcBorders>
            <w:shd w:val="clear" w:color="auto" w:fill="auto"/>
            <w:noWrap/>
            <w:vAlign w:val="center"/>
            <w:hideMark/>
          </w:tcPr>
          <w:p w:rsidR="004206B9" w:rsidRPr="004206B9" w:rsidRDefault="004206B9" w:rsidP="004206B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18"/>
                <w:szCs w:val="18"/>
                <w:lang w:val="en-US" w:eastAsia="zh-CN"/>
              </w:rPr>
            </w:pPr>
            <w:r w:rsidRPr="004206B9">
              <w:rPr>
                <w:rFonts w:asciiTheme="minorHAnsi" w:hAnsiTheme="minorHAnsi"/>
                <w:b/>
                <w:bCs/>
                <w:sz w:val="18"/>
                <w:szCs w:val="18"/>
                <w:lang w:val="en-US" w:eastAsia="zh-CN"/>
              </w:rPr>
              <w:t>TOTAL</w:t>
            </w:r>
          </w:p>
        </w:tc>
        <w:tc>
          <w:tcPr>
            <w:tcW w:w="755" w:type="pct"/>
            <w:tcBorders>
              <w:top w:val="nil"/>
              <w:left w:val="nil"/>
              <w:bottom w:val="nil"/>
              <w:right w:val="single" w:sz="4" w:space="0" w:color="auto"/>
            </w:tcBorders>
            <w:shd w:val="clear" w:color="auto" w:fill="auto"/>
            <w:noWrap/>
            <w:vAlign w:val="center"/>
            <w:hideMark/>
          </w:tcPr>
          <w:p w:rsidR="004206B9" w:rsidRPr="004206B9" w:rsidRDefault="004206B9" w:rsidP="004206B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18"/>
                <w:szCs w:val="18"/>
                <w:lang w:val="en-US" w:eastAsia="zh-CN"/>
              </w:rPr>
            </w:pPr>
            <w:r w:rsidRPr="004206B9">
              <w:rPr>
                <w:rFonts w:asciiTheme="minorHAnsi" w:hAnsiTheme="minorHAnsi"/>
                <w:b/>
                <w:bCs/>
                <w:sz w:val="18"/>
                <w:szCs w:val="18"/>
                <w:lang w:val="en-US" w:eastAsia="zh-CN"/>
              </w:rPr>
              <w:t>6,256,231.20</w:t>
            </w:r>
          </w:p>
        </w:tc>
        <w:tc>
          <w:tcPr>
            <w:tcW w:w="756" w:type="pct"/>
            <w:tcBorders>
              <w:top w:val="nil"/>
              <w:left w:val="nil"/>
              <w:bottom w:val="nil"/>
              <w:right w:val="single" w:sz="4" w:space="0" w:color="auto"/>
            </w:tcBorders>
            <w:shd w:val="clear" w:color="auto" w:fill="auto"/>
            <w:noWrap/>
            <w:vAlign w:val="center"/>
            <w:hideMark/>
          </w:tcPr>
          <w:p w:rsidR="004206B9" w:rsidRPr="004206B9" w:rsidRDefault="004206B9" w:rsidP="004206B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18"/>
                <w:szCs w:val="18"/>
                <w:lang w:val="en-US" w:eastAsia="zh-CN"/>
              </w:rPr>
            </w:pPr>
            <w:r w:rsidRPr="004206B9">
              <w:rPr>
                <w:rFonts w:asciiTheme="minorHAnsi" w:hAnsiTheme="minorHAnsi"/>
                <w:b/>
                <w:bCs/>
                <w:sz w:val="18"/>
                <w:szCs w:val="18"/>
                <w:lang w:val="en-US" w:eastAsia="zh-CN"/>
              </w:rPr>
              <w:t>6,277,309.35</w:t>
            </w:r>
          </w:p>
        </w:tc>
        <w:tc>
          <w:tcPr>
            <w:tcW w:w="663" w:type="pct"/>
            <w:tcBorders>
              <w:top w:val="nil"/>
              <w:left w:val="nil"/>
              <w:bottom w:val="nil"/>
              <w:right w:val="single" w:sz="4" w:space="0" w:color="auto"/>
            </w:tcBorders>
            <w:shd w:val="clear" w:color="auto" w:fill="auto"/>
            <w:noWrap/>
            <w:vAlign w:val="center"/>
            <w:hideMark/>
          </w:tcPr>
          <w:p w:rsidR="004206B9" w:rsidRPr="004206B9" w:rsidRDefault="004206B9" w:rsidP="004206B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18"/>
                <w:szCs w:val="18"/>
                <w:lang w:val="en-US" w:eastAsia="zh-CN"/>
              </w:rPr>
            </w:pPr>
            <w:r w:rsidRPr="004206B9">
              <w:rPr>
                <w:rFonts w:asciiTheme="minorHAnsi" w:hAnsiTheme="minorHAnsi"/>
                <w:b/>
                <w:bCs/>
                <w:sz w:val="18"/>
                <w:szCs w:val="18"/>
                <w:lang w:val="en-US" w:eastAsia="zh-CN"/>
              </w:rPr>
              <w:t>277,580.84</w:t>
            </w:r>
          </w:p>
        </w:tc>
        <w:tc>
          <w:tcPr>
            <w:tcW w:w="663" w:type="pct"/>
            <w:tcBorders>
              <w:top w:val="nil"/>
              <w:left w:val="nil"/>
              <w:bottom w:val="nil"/>
              <w:right w:val="single" w:sz="4" w:space="0" w:color="auto"/>
            </w:tcBorders>
            <w:shd w:val="clear" w:color="auto" w:fill="auto"/>
            <w:noWrap/>
            <w:vAlign w:val="center"/>
            <w:hideMark/>
          </w:tcPr>
          <w:p w:rsidR="004206B9" w:rsidRPr="004206B9" w:rsidRDefault="004206B9" w:rsidP="004206B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18"/>
                <w:szCs w:val="18"/>
                <w:lang w:val="en-US" w:eastAsia="zh-CN"/>
              </w:rPr>
            </w:pPr>
            <w:r w:rsidRPr="004206B9">
              <w:rPr>
                <w:rFonts w:asciiTheme="minorHAnsi" w:hAnsiTheme="minorHAnsi"/>
                <w:b/>
                <w:bCs/>
                <w:sz w:val="18"/>
                <w:szCs w:val="18"/>
                <w:lang w:val="en-US" w:eastAsia="zh-CN"/>
              </w:rPr>
              <w:t>277,546.49</w:t>
            </w:r>
          </w:p>
        </w:tc>
      </w:tr>
      <w:tr w:rsidR="004206B9" w:rsidRPr="004206B9" w:rsidTr="004206B9">
        <w:trPr>
          <w:trHeight w:val="300"/>
        </w:trPr>
        <w:tc>
          <w:tcPr>
            <w:tcW w:w="2163" w:type="pct"/>
            <w:tcBorders>
              <w:top w:val="nil"/>
              <w:left w:val="single" w:sz="4" w:space="0" w:color="auto"/>
              <w:bottom w:val="nil"/>
              <w:right w:val="single" w:sz="4" w:space="0" w:color="auto"/>
            </w:tcBorders>
            <w:shd w:val="clear" w:color="auto" w:fill="auto"/>
            <w:noWrap/>
            <w:vAlign w:val="center"/>
            <w:hideMark/>
          </w:tcPr>
          <w:p w:rsidR="004206B9" w:rsidRPr="004206B9" w:rsidRDefault="00753089" w:rsidP="004206B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u w:val="single"/>
                <w:lang w:val="en-US" w:eastAsia="zh-CN"/>
              </w:rPr>
            </w:pPr>
            <w:r>
              <w:rPr>
                <w:rFonts w:asciiTheme="minorHAnsi" w:hAnsiTheme="minorHAnsi"/>
                <w:sz w:val="18"/>
                <w:szCs w:val="18"/>
                <w:u w:val="single"/>
                <w:lang w:val="en-US" w:eastAsia="zh-CN"/>
              </w:rPr>
              <w:t>LIABILITIES</w:t>
            </w:r>
          </w:p>
        </w:tc>
        <w:tc>
          <w:tcPr>
            <w:tcW w:w="755" w:type="pct"/>
            <w:tcBorders>
              <w:top w:val="nil"/>
              <w:left w:val="nil"/>
              <w:bottom w:val="nil"/>
              <w:right w:val="single" w:sz="4" w:space="0" w:color="auto"/>
            </w:tcBorders>
            <w:shd w:val="clear" w:color="auto" w:fill="auto"/>
            <w:noWrap/>
            <w:vAlign w:val="center"/>
            <w:hideMark/>
          </w:tcPr>
          <w:p w:rsidR="004206B9" w:rsidRPr="004206B9" w:rsidRDefault="004206B9" w:rsidP="004206B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c>
          <w:tcPr>
            <w:tcW w:w="756" w:type="pct"/>
            <w:tcBorders>
              <w:top w:val="nil"/>
              <w:left w:val="nil"/>
              <w:bottom w:val="nil"/>
              <w:right w:val="single" w:sz="4" w:space="0" w:color="auto"/>
            </w:tcBorders>
            <w:shd w:val="clear" w:color="auto" w:fill="auto"/>
            <w:noWrap/>
            <w:vAlign w:val="center"/>
            <w:hideMark/>
          </w:tcPr>
          <w:p w:rsidR="004206B9" w:rsidRPr="004206B9" w:rsidRDefault="004206B9" w:rsidP="004206B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c>
          <w:tcPr>
            <w:tcW w:w="663" w:type="pct"/>
            <w:tcBorders>
              <w:top w:val="nil"/>
              <w:left w:val="nil"/>
              <w:bottom w:val="nil"/>
              <w:right w:val="single" w:sz="4" w:space="0" w:color="auto"/>
            </w:tcBorders>
            <w:shd w:val="clear" w:color="auto" w:fill="auto"/>
            <w:noWrap/>
            <w:vAlign w:val="center"/>
            <w:hideMark/>
          </w:tcPr>
          <w:p w:rsidR="004206B9" w:rsidRPr="004206B9" w:rsidRDefault="004206B9" w:rsidP="004206B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c>
          <w:tcPr>
            <w:tcW w:w="663" w:type="pct"/>
            <w:tcBorders>
              <w:top w:val="nil"/>
              <w:left w:val="nil"/>
              <w:bottom w:val="nil"/>
              <w:right w:val="single" w:sz="4" w:space="0" w:color="auto"/>
            </w:tcBorders>
            <w:shd w:val="clear" w:color="auto" w:fill="auto"/>
            <w:noWrap/>
            <w:vAlign w:val="center"/>
            <w:hideMark/>
          </w:tcPr>
          <w:p w:rsidR="004206B9" w:rsidRPr="004206B9" w:rsidRDefault="004206B9" w:rsidP="004206B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r>
      <w:tr w:rsidR="004206B9" w:rsidRPr="004206B9" w:rsidTr="004206B9">
        <w:trPr>
          <w:trHeight w:val="300"/>
        </w:trPr>
        <w:tc>
          <w:tcPr>
            <w:tcW w:w="2163" w:type="pct"/>
            <w:tcBorders>
              <w:top w:val="nil"/>
              <w:left w:val="single" w:sz="4" w:space="0" w:color="auto"/>
              <w:bottom w:val="nil"/>
              <w:right w:val="single" w:sz="4" w:space="0" w:color="auto"/>
            </w:tcBorders>
            <w:shd w:val="clear" w:color="auto" w:fill="auto"/>
            <w:noWrap/>
            <w:vAlign w:val="center"/>
            <w:hideMark/>
          </w:tcPr>
          <w:p w:rsidR="004206B9" w:rsidRPr="004206B9" w:rsidRDefault="004206B9" w:rsidP="004206B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c>
          <w:tcPr>
            <w:tcW w:w="755" w:type="pct"/>
            <w:tcBorders>
              <w:top w:val="nil"/>
              <w:left w:val="nil"/>
              <w:bottom w:val="nil"/>
              <w:right w:val="single" w:sz="4" w:space="0" w:color="auto"/>
            </w:tcBorders>
            <w:shd w:val="clear" w:color="auto" w:fill="auto"/>
            <w:noWrap/>
            <w:vAlign w:val="center"/>
            <w:hideMark/>
          </w:tcPr>
          <w:p w:rsidR="004206B9" w:rsidRPr="004206B9" w:rsidRDefault="004206B9" w:rsidP="004206B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c>
          <w:tcPr>
            <w:tcW w:w="756" w:type="pct"/>
            <w:tcBorders>
              <w:top w:val="nil"/>
              <w:left w:val="nil"/>
              <w:bottom w:val="nil"/>
              <w:right w:val="single" w:sz="4" w:space="0" w:color="auto"/>
            </w:tcBorders>
            <w:shd w:val="clear" w:color="auto" w:fill="auto"/>
            <w:noWrap/>
            <w:vAlign w:val="center"/>
            <w:hideMark/>
          </w:tcPr>
          <w:p w:rsidR="004206B9" w:rsidRPr="004206B9" w:rsidRDefault="004206B9" w:rsidP="004206B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c>
          <w:tcPr>
            <w:tcW w:w="663" w:type="pct"/>
            <w:tcBorders>
              <w:top w:val="nil"/>
              <w:left w:val="nil"/>
              <w:bottom w:val="nil"/>
              <w:right w:val="single" w:sz="4" w:space="0" w:color="auto"/>
            </w:tcBorders>
            <w:shd w:val="clear" w:color="auto" w:fill="auto"/>
            <w:noWrap/>
            <w:vAlign w:val="center"/>
            <w:hideMark/>
          </w:tcPr>
          <w:p w:rsidR="004206B9" w:rsidRPr="004206B9" w:rsidRDefault="004206B9" w:rsidP="004206B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c>
          <w:tcPr>
            <w:tcW w:w="663" w:type="pct"/>
            <w:tcBorders>
              <w:top w:val="nil"/>
              <w:left w:val="nil"/>
              <w:bottom w:val="nil"/>
              <w:right w:val="single" w:sz="4" w:space="0" w:color="auto"/>
            </w:tcBorders>
            <w:shd w:val="clear" w:color="auto" w:fill="auto"/>
            <w:noWrap/>
            <w:vAlign w:val="center"/>
            <w:hideMark/>
          </w:tcPr>
          <w:p w:rsidR="004206B9" w:rsidRPr="004206B9" w:rsidRDefault="004206B9" w:rsidP="004206B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r>
      <w:tr w:rsidR="004206B9" w:rsidRPr="004206B9" w:rsidTr="004206B9">
        <w:trPr>
          <w:trHeight w:val="300"/>
        </w:trPr>
        <w:tc>
          <w:tcPr>
            <w:tcW w:w="2163" w:type="pct"/>
            <w:tcBorders>
              <w:top w:val="nil"/>
              <w:left w:val="single" w:sz="4" w:space="0" w:color="auto"/>
              <w:bottom w:val="nil"/>
              <w:right w:val="single" w:sz="4" w:space="0" w:color="auto"/>
            </w:tcBorders>
            <w:shd w:val="clear" w:color="auto" w:fill="auto"/>
            <w:noWrap/>
            <w:vAlign w:val="center"/>
            <w:hideMark/>
          </w:tcPr>
          <w:p w:rsidR="004206B9" w:rsidRPr="003D2130" w:rsidRDefault="00753089" w:rsidP="004206B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3D2130">
              <w:rPr>
                <w:rFonts w:asciiTheme="minorHAnsi" w:hAnsiTheme="minorHAnsi"/>
                <w:sz w:val="18"/>
                <w:szCs w:val="18"/>
                <w:lang w:val="en-US" w:eastAsia="zh-CN"/>
              </w:rPr>
              <w:t>Employee benefits</w:t>
            </w:r>
          </w:p>
        </w:tc>
        <w:tc>
          <w:tcPr>
            <w:tcW w:w="755" w:type="pct"/>
            <w:tcBorders>
              <w:top w:val="nil"/>
              <w:left w:val="nil"/>
              <w:bottom w:val="nil"/>
              <w:right w:val="single" w:sz="4" w:space="0" w:color="auto"/>
            </w:tcBorders>
            <w:shd w:val="clear" w:color="auto" w:fill="auto"/>
            <w:noWrap/>
            <w:vAlign w:val="center"/>
            <w:hideMark/>
          </w:tcPr>
          <w:p w:rsidR="004206B9" w:rsidRPr="003D2130" w:rsidRDefault="004206B9" w:rsidP="004206B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3D2130">
              <w:rPr>
                <w:rFonts w:asciiTheme="minorHAnsi" w:hAnsiTheme="minorHAnsi"/>
                <w:sz w:val="18"/>
                <w:szCs w:val="18"/>
                <w:lang w:val="en-US" w:eastAsia="zh-CN"/>
              </w:rPr>
              <w:t>54,000.00</w:t>
            </w:r>
          </w:p>
        </w:tc>
        <w:tc>
          <w:tcPr>
            <w:tcW w:w="756" w:type="pct"/>
            <w:tcBorders>
              <w:top w:val="nil"/>
              <w:left w:val="nil"/>
              <w:bottom w:val="nil"/>
              <w:right w:val="single" w:sz="4" w:space="0" w:color="auto"/>
            </w:tcBorders>
            <w:shd w:val="clear" w:color="auto" w:fill="auto"/>
            <w:noWrap/>
            <w:vAlign w:val="center"/>
            <w:hideMark/>
          </w:tcPr>
          <w:p w:rsidR="004206B9" w:rsidRPr="003D2130" w:rsidRDefault="004206B9" w:rsidP="004206B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3D2130">
              <w:rPr>
                <w:rFonts w:asciiTheme="minorHAnsi" w:hAnsiTheme="minorHAnsi"/>
                <w:sz w:val="18"/>
                <w:szCs w:val="18"/>
                <w:lang w:val="en-US" w:eastAsia="zh-CN"/>
              </w:rPr>
              <w:t>54,000.00</w:t>
            </w:r>
          </w:p>
        </w:tc>
        <w:tc>
          <w:tcPr>
            <w:tcW w:w="663" w:type="pct"/>
            <w:tcBorders>
              <w:top w:val="nil"/>
              <w:left w:val="nil"/>
              <w:bottom w:val="nil"/>
              <w:right w:val="single" w:sz="4" w:space="0" w:color="auto"/>
            </w:tcBorders>
            <w:shd w:val="clear" w:color="auto" w:fill="auto"/>
            <w:noWrap/>
            <w:vAlign w:val="center"/>
            <w:hideMark/>
          </w:tcPr>
          <w:p w:rsidR="004206B9" w:rsidRPr="004206B9" w:rsidRDefault="004206B9" w:rsidP="004206B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c>
          <w:tcPr>
            <w:tcW w:w="663" w:type="pct"/>
            <w:tcBorders>
              <w:top w:val="nil"/>
              <w:left w:val="nil"/>
              <w:bottom w:val="nil"/>
              <w:right w:val="single" w:sz="4" w:space="0" w:color="auto"/>
            </w:tcBorders>
            <w:shd w:val="clear" w:color="auto" w:fill="auto"/>
            <w:noWrap/>
            <w:vAlign w:val="center"/>
            <w:hideMark/>
          </w:tcPr>
          <w:p w:rsidR="004206B9" w:rsidRPr="004206B9" w:rsidRDefault="004206B9" w:rsidP="004206B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r>
      <w:tr w:rsidR="004206B9" w:rsidRPr="004206B9" w:rsidTr="004206B9">
        <w:trPr>
          <w:trHeight w:val="300"/>
        </w:trPr>
        <w:tc>
          <w:tcPr>
            <w:tcW w:w="2163" w:type="pct"/>
            <w:tcBorders>
              <w:top w:val="nil"/>
              <w:left w:val="single" w:sz="4" w:space="0" w:color="auto"/>
              <w:bottom w:val="nil"/>
              <w:right w:val="single" w:sz="4" w:space="0" w:color="auto"/>
            </w:tcBorders>
            <w:shd w:val="clear" w:color="auto" w:fill="auto"/>
            <w:noWrap/>
            <w:vAlign w:val="center"/>
            <w:hideMark/>
          </w:tcPr>
          <w:p w:rsidR="004206B9" w:rsidRPr="004206B9" w:rsidRDefault="00753089" w:rsidP="004206B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Pr>
                <w:rFonts w:asciiTheme="minorHAnsi" w:hAnsiTheme="minorHAnsi"/>
                <w:sz w:val="18"/>
                <w:szCs w:val="18"/>
                <w:lang w:val="en-US" w:eastAsia="zh-CN"/>
              </w:rPr>
              <w:t>Own fund allocated</w:t>
            </w:r>
          </w:p>
        </w:tc>
        <w:tc>
          <w:tcPr>
            <w:tcW w:w="755" w:type="pct"/>
            <w:tcBorders>
              <w:top w:val="nil"/>
              <w:left w:val="nil"/>
              <w:bottom w:val="nil"/>
              <w:right w:val="single" w:sz="4" w:space="0" w:color="auto"/>
            </w:tcBorders>
            <w:shd w:val="clear" w:color="auto" w:fill="auto"/>
            <w:noWrap/>
            <w:vAlign w:val="center"/>
            <w:hideMark/>
          </w:tcPr>
          <w:p w:rsidR="004206B9" w:rsidRPr="004206B9" w:rsidRDefault="004206B9" w:rsidP="004206B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6,202,231.20</w:t>
            </w:r>
          </w:p>
        </w:tc>
        <w:tc>
          <w:tcPr>
            <w:tcW w:w="756" w:type="pct"/>
            <w:tcBorders>
              <w:top w:val="nil"/>
              <w:left w:val="nil"/>
              <w:bottom w:val="nil"/>
              <w:right w:val="single" w:sz="4" w:space="0" w:color="auto"/>
            </w:tcBorders>
            <w:shd w:val="clear" w:color="auto" w:fill="auto"/>
            <w:noWrap/>
            <w:vAlign w:val="center"/>
            <w:hideMark/>
          </w:tcPr>
          <w:p w:rsidR="004206B9" w:rsidRPr="004206B9" w:rsidRDefault="004206B9" w:rsidP="004206B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6,223,309.35</w:t>
            </w:r>
          </w:p>
        </w:tc>
        <w:tc>
          <w:tcPr>
            <w:tcW w:w="663" w:type="pct"/>
            <w:tcBorders>
              <w:top w:val="nil"/>
              <w:left w:val="nil"/>
              <w:bottom w:val="nil"/>
              <w:right w:val="single" w:sz="4" w:space="0" w:color="auto"/>
            </w:tcBorders>
            <w:shd w:val="clear" w:color="auto" w:fill="auto"/>
            <w:noWrap/>
            <w:vAlign w:val="center"/>
            <w:hideMark/>
          </w:tcPr>
          <w:p w:rsidR="004206B9" w:rsidRPr="004206B9" w:rsidRDefault="004206B9" w:rsidP="004206B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277,580.84</w:t>
            </w:r>
          </w:p>
        </w:tc>
        <w:tc>
          <w:tcPr>
            <w:tcW w:w="663" w:type="pct"/>
            <w:tcBorders>
              <w:top w:val="nil"/>
              <w:left w:val="nil"/>
              <w:bottom w:val="nil"/>
              <w:right w:val="single" w:sz="4" w:space="0" w:color="auto"/>
            </w:tcBorders>
            <w:shd w:val="clear" w:color="auto" w:fill="auto"/>
            <w:noWrap/>
            <w:vAlign w:val="center"/>
            <w:hideMark/>
          </w:tcPr>
          <w:p w:rsidR="004206B9" w:rsidRPr="004206B9" w:rsidRDefault="004206B9" w:rsidP="004206B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277,546.49</w:t>
            </w:r>
          </w:p>
        </w:tc>
      </w:tr>
      <w:tr w:rsidR="004206B9" w:rsidRPr="004206B9" w:rsidTr="004206B9">
        <w:trPr>
          <w:trHeight w:val="300"/>
        </w:trPr>
        <w:tc>
          <w:tcPr>
            <w:tcW w:w="2163" w:type="pct"/>
            <w:tcBorders>
              <w:top w:val="nil"/>
              <w:left w:val="single" w:sz="4" w:space="0" w:color="auto"/>
              <w:bottom w:val="nil"/>
              <w:right w:val="single" w:sz="4" w:space="0" w:color="auto"/>
            </w:tcBorders>
            <w:shd w:val="clear" w:color="auto" w:fill="auto"/>
            <w:noWrap/>
            <w:vAlign w:val="center"/>
            <w:hideMark/>
          </w:tcPr>
          <w:p w:rsidR="004206B9" w:rsidRPr="004206B9" w:rsidRDefault="004206B9" w:rsidP="004206B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c>
          <w:tcPr>
            <w:tcW w:w="755" w:type="pct"/>
            <w:tcBorders>
              <w:top w:val="nil"/>
              <w:left w:val="nil"/>
              <w:bottom w:val="single" w:sz="4" w:space="0" w:color="auto"/>
              <w:right w:val="single" w:sz="4" w:space="0" w:color="auto"/>
            </w:tcBorders>
            <w:shd w:val="clear" w:color="auto" w:fill="auto"/>
            <w:noWrap/>
            <w:vAlign w:val="center"/>
            <w:hideMark/>
          </w:tcPr>
          <w:p w:rsidR="004206B9" w:rsidRPr="004206B9" w:rsidRDefault="004206B9" w:rsidP="004206B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c>
          <w:tcPr>
            <w:tcW w:w="756" w:type="pct"/>
            <w:tcBorders>
              <w:top w:val="nil"/>
              <w:left w:val="nil"/>
              <w:bottom w:val="single" w:sz="4" w:space="0" w:color="auto"/>
              <w:right w:val="single" w:sz="4" w:space="0" w:color="auto"/>
            </w:tcBorders>
            <w:shd w:val="clear" w:color="auto" w:fill="auto"/>
            <w:noWrap/>
            <w:vAlign w:val="center"/>
            <w:hideMark/>
          </w:tcPr>
          <w:p w:rsidR="004206B9" w:rsidRPr="004206B9" w:rsidRDefault="004206B9" w:rsidP="004206B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c>
          <w:tcPr>
            <w:tcW w:w="663" w:type="pct"/>
            <w:tcBorders>
              <w:top w:val="nil"/>
              <w:left w:val="nil"/>
              <w:bottom w:val="single" w:sz="4" w:space="0" w:color="auto"/>
              <w:right w:val="single" w:sz="4" w:space="0" w:color="auto"/>
            </w:tcBorders>
            <w:shd w:val="clear" w:color="auto" w:fill="auto"/>
            <w:noWrap/>
            <w:vAlign w:val="center"/>
            <w:hideMark/>
          </w:tcPr>
          <w:p w:rsidR="004206B9" w:rsidRPr="004206B9" w:rsidRDefault="004206B9" w:rsidP="004206B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c>
          <w:tcPr>
            <w:tcW w:w="663" w:type="pct"/>
            <w:tcBorders>
              <w:top w:val="nil"/>
              <w:left w:val="nil"/>
              <w:bottom w:val="single" w:sz="4" w:space="0" w:color="auto"/>
              <w:right w:val="single" w:sz="4" w:space="0" w:color="auto"/>
            </w:tcBorders>
            <w:shd w:val="clear" w:color="auto" w:fill="auto"/>
            <w:noWrap/>
            <w:vAlign w:val="center"/>
            <w:hideMark/>
          </w:tcPr>
          <w:p w:rsidR="004206B9" w:rsidRPr="004206B9" w:rsidRDefault="004206B9" w:rsidP="004206B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r>
      <w:tr w:rsidR="004206B9" w:rsidRPr="004206B9" w:rsidTr="004206B9">
        <w:trPr>
          <w:trHeight w:val="300"/>
        </w:trPr>
        <w:tc>
          <w:tcPr>
            <w:tcW w:w="2163" w:type="pct"/>
            <w:tcBorders>
              <w:top w:val="nil"/>
              <w:left w:val="single" w:sz="4" w:space="0" w:color="auto"/>
              <w:bottom w:val="nil"/>
              <w:right w:val="single" w:sz="4" w:space="0" w:color="auto"/>
            </w:tcBorders>
            <w:shd w:val="clear" w:color="auto" w:fill="auto"/>
            <w:noWrap/>
            <w:vAlign w:val="center"/>
            <w:hideMark/>
          </w:tcPr>
          <w:p w:rsidR="004206B9" w:rsidRPr="004206B9" w:rsidRDefault="004206B9" w:rsidP="004206B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c>
          <w:tcPr>
            <w:tcW w:w="755" w:type="pct"/>
            <w:tcBorders>
              <w:top w:val="nil"/>
              <w:left w:val="nil"/>
              <w:bottom w:val="nil"/>
              <w:right w:val="single" w:sz="4" w:space="0" w:color="auto"/>
            </w:tcBorders>
            <w:shd w:val="clear" w:color="auto" w:fill="auto"/>
            <w:noWrap/>
            <w:vAlign w:val="center"/>
            <w:hideMark/>
          </w:tcPr>
          <w:p w:rsidR="004206B9" w:rsidRPr="004206B9" w:rsidRDefault="004206B9" w:rsidP="004206B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c>
          <w:tcPr>
            <w:tcW w:w="756" w:type="pct"/>
            <w:tcBorders>
              <w:top w:val="nil"/>
              <w:left w:val="nil"/>
              <w:bottom w:val="nil"/>
              <w:right w:val="single" w:sz="4" w:space="0" w:color="auto"/>
            </w:tcBorders>
            <w:shd w:val="clear" w:color="auto" w:fill="auto"/>
            <w:noWrap/>
            <w:vAlign w:val="center"/>
            <w:hideMark/>
          </w:tcPr>
          <w:p w:rsidR="004206B9" w:rsidRPr="004206B9" w:rsidRDefault="004206B9" w:rsidP="004206B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c>
          <w:tcPr>
            <w:tcW w:w="663" w:type="pct"/>
            <w:tcBorders>
              <w:top w:val="nil"/>
              <w:left w:val="nil"/>
              <w:bottom w:val="nil"/>
              <w:right w:val="nil"/>
            </w:tcBorders>
            <w:shd w:val="clear" w:color="auto" w:fill="auto"/>
            <w:noWrap/>
            <w:vAlign w:val="center"/>
            <w:hideMark/>
          </w:tcPr>
          <w:p w:rsidR="004206B9" w:rsidRPr="004206B9" w:rsidRDefault="004206B9" w:rsidP="004206B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p>
        </w:tc>
        <w:tc>
          <w:tcPr>
            <w:tcW w:w="663" w:type="pct"/>
            <w:tcBorders>
              <w:top w:val="nil"/>
              <w:left w:val="single" w:sz="4" w:space="0" w:color="auto"/>
              <w:bottom w:val="nil"/>
              <w:right w:val="single" w:sz="4" w:space="0" w:color="auto"/>
            </w:tcBorders>
            <w:shd w:val="clear" w:color="auto" w:fill="auto"/>
            <w:noWrap/>
            <w:vAlign w:val="center"/>
            <w:hideMark/>
          </w:tcPr>
          <w:p w:rsidR="004206B9" w:rsidRPr="004206B9" w:rsidRDefault="004206B9" w:rsidP="004206B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r>
      <w:tr w:rsidR="004206B9" w:rsidRPr="004206B9" w:rsidTr="004206B9">
        <w:trPr>
          <w:trHeight w:val="300"/>
        </w:trPr>
        <w:tc>
          <w:tcPr>
            <w:tcW w:w="2163" w:type="pct"/>
            <w:tcBorders>
              <w:top w:val="nil"/>
              <w:left w:val="single" w:sz="4" w:space="0" w:color="auto"/>
              <w:bottom w:val="nil"/>
              <w:right w:val="single" w:sz="4" w:space="0" w:color="auto"/>
            </w:tcBorders>
            <w:shd w:val="clear" w:color="auto" w:fill="auto"/>
            <w:noWrap/>
            <w:vAlign w:val="center"/>
            <w:hideMark/>
          </w:tcPr>
          <w:p w:rsidR="004206B9" w:rsidRPr="004206B9" w:rsidRDefault="004206B9" w:rsidP="004206B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18"/>
                <w:szCs w:val="18"/>
                <w:lang w:val="en-US" w:eastAsia="zh-CN"/>
              </w:rPr>
            </w:pPr>
            <w:r w:rsidRPr="004206B9">
              <w:rPr>
                <w:rFonts w:asciiTheme="minorHAnsi" w:hAnsiTheme="minorHAnsi"/>
                <w:b/>
                <w:bCs/>
                <w:sz w:val="18"/>
                <w:szCs w:val="18"/>
                <w:lang w:val="en-US" w:eastAsia="zh-CN"/>
              </w:rPr>
              <w:t>TOTAL</w:t>
            </w:r>
          </w:p>
        </w:tc>
        <w:tc>
          <w:tcPr>
            <w:tcW w:w="755" w:type="pct"/>
            <w:tcBorders>
              <w:top w:val="nil"/>
              <w:left w:val="nil"/>
              <w:bottom w:val="nil"/>
              <w:right w:val="single" w:sz="4" w:space="0" w:color="auto"/>
            </w:tcBorders>
            <w:shd w:val="clear" w:color="auto" w:fill="auto"/>
            <w:noWrap/>
            <w:vAlign w:val="center"/>
            <w:hideMark/>
          </w:tcPr>
          <w:p w:rsidR="004206B9" w:rsidRPr="004206B9" w:rsidRDefault="004206B9" w:rsidP="004206B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18"/>
                <w:szCs w:val="18"/>
                <w:lang w:val="en-US" w:eastAsia="zh-CN"/>
              </w:rPr>
            </w:pPr>
            <w:r w:rsidRPr="004206B9">
              <w:rPr>
                <w:rFonts w:asciiTheme="minorHAnsi" w:hAnsiTheme="minorHAnsi"/>
                <w:b/>
                <w:bCs/>
                <w:sz w:val="18"/>
                <w:szCs w:val="18"/>
                <w:lang w:val="en-US" w:eastAsia="zh-CN"/>
              </w:rPr>
              <w:t>6,256,231.20</w:t>
            </w:r>
          </w:p>
        </w:tc>
        <w:tc>
          <w:tcPr>
            <w:tcW w:w="756" w:type="pct"/>
            <w:tcBorders>
              <w:top w:val="nil"/>
              <w:left w:val="nil"/>
              <w:bottom w:val="nil"/>
              <w:right w:val="single" w:sz="4" w:space="0" w:color="auto"/>
            </w:tcBorders>
            <w:shd w:val="clear" w:color="auto" w:fill="auto"/>
            <w:noWrap/>
            <w:vAlign w:val="center"/>
            <w:hideMark/>
          </w:tcPr>
          <w:p w:rsidR="004206B9" w:rsidRPr="004206B9" w:rsidRDefault="004206B9" w:rsidP="004206B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18"/>
                <w:szCs w:val="18"/>
                <w:lang w:val="en-US" w:eastAsia="zh-CN"/>
              </w:rPr>
            </w:pPr>
            <w:r w:rsidRPr="004206B9">
              <w:rPr>
                <w:rFonts w:asciiTheme="minorHAnsi" w:hAnsiTheme="minorHAnsi"/>
                <w:b/>
                <w:bCs/>
                <w:sz w:val="18"/>
                <w:szCs w:val="18"/>
                <w:lang w:val="en-US" w:eastAsia="zh-CN"/>
              </w:rPr>
              <w:t>6,277,309.35</w:t>
            </w:r>
          </w:p>
        </w:tc>
        <w:tc>
          <w:tcPr>
            <w:tcW w:w="663" w:type="pct"/>
            <w:tcBorders>
              <w:top w:val="nil"/>
              <w:left w:val="nil"/>
              <w:bottom w:val="nil"/>
              <w:right w:val="single" w:sz="4" w:space="0" w:color="auto"/>
            </w:tcBorders>
            <w:shd w:val="clear" w:color="auto" w:fill="auto"/>
            <w:noWrap/>
            <w:vAlign w:val="center"/>
            <w:hideMark/>
          </w:tcPr>
          <w:p w:rsidR="004206B9" w:rsidRPr="004206B9" w:rsidRDefault="004206B9" w:rsidP="004206B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18"/>
                <w:szCs w:val="18"/>
                <w:lang w:val="en-US" w:eastAsia="zh-CN"/>
              </w:rPr>
            </w:pPr>
            <w:r w:rsidRPr="004206B9">
              <w:rPr>
                <w:rFonts w:asciiTheme="minorHAnsi" w:hAnsiTheme="minorHAnsi"/>
                <w:b/>
                <w:bCs/>
                <w:sz w:val="18"/>
                <w:szCs w:val="18"/>
                <w:lang w:val="en-US" w:eastAsia="zh-CN"/>
              </w:rPr>
              <w:t>277,580.84</w:t>
            </w:r>
          </w:p>
        </w:tc>
        <w:tc>
          <w:tcPr>
            <w:tcW w:w="663" w:type="pct"/>
            <w:tcBorders>
              <w:top w:val="nil"/>
              <w:left w:val="nil"/>
              <w:bottom w:val="nil"/>
              <w:right w:val="single" w:sz="4" w:space="0" w:color="auto"/>
            </w:tcBorders>
            <w:shd w:val="clear" w:color="auto" w:fill="auto"/>
            <w:noWrap/>
            <w:vAlign w:val="center"/>
            <w:hideMark/>
          </w:tcPr>
          <w:p w:rsidR="004206B9" w:rsidRPr="004206B9" w:rsidRDefault="004206B9" w:rsidP="004206B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18"/>
                <w:szCs w:val="18"/>
                <w:lang w:val="en-US" w:eastAsia="zh-CN"/>
              </w:rPr>
            </w:pPr>
            <w:r w:rsidRPr="004206B9">
              <w:rPr>
                <w:rFonts w:asciiTheme="minorHAnsi" w:hAnsiTheme="minorHAnsi"/>
                <w:b/>
                <w:bCs/>
                <w:sz w:val="18"/>
                <w:szCs w:val="18"/>
                <w:lang w:val="en-US" w:eastAsia="zh-CN"/>
              </w:rPr>
              <w:t>277,546.49</w:t>
            </w:r>
          </w:p>
        </w:tc>
      </w:tr>
      <w:tr w:rsidR="004206B9" w:rsidRPr="004206B9" w:rsidTr="004206B9">
        <w:trPr>
          <w:trHeight w:val="300"/>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rsidR="004206B9" w:rsidRPr="004206B9" w:rsidRDefault="004206B9" w:rsidP="004206B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Cs w:val="24"/>
                <w:lang w:val="en-US" w:eastAsia="zh-CN"/>
              </w:rPr>
            </w:pPr>
            <w:r w:rsidRPr="004206B9">
              <w:rPr>
                <w:rFonts w:asciiTheme="minorHAnsi" w:hAnsiTheme="minorHAnsi"/>
                <w:szCs w:val="24"/>
                <w:lang w:val="en-US" w:eastAsia="zh-CN"/>
              </w:rPr>
              <w:t> </w:t>
            </w:r>
          </w:p>
        </w:tc>
        <w:tc>
          <w:tcPr>
            <w:tcW w:w="755" w:type="pct"/>
            <w:tcBorders>
              <w:top w:val="nil"/>
              <w:left w:val="nil"/>
              <w:bottom w:val="single" w:sz="4" w:space="0" w:color="auto"/>
              <w:right w:val="single" w:sz="4" w:space="0" w:color="auto"/>
            </w:tcBorders>
            <w:shd w:val="clear" w:color="auto" w:fill="auto"/>
            <w:noWrap/>
            <w:vAlign w:val="center"/>
            <w:hideMark/>
          </w:tcPr>
          <w:p w:rsidR="004206B9" w:rsidRPr="004206B9" w:rsidRDefault="004206B9" w:rsidP="004206B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Cs w:val="24"/>
                <w:lang w:val="en-US" w:eastAsia="zh-CN"/>
              </w:rPr>
            </w:pPr>
            <w:r w:rsidRPr="004206B9">
              <w:rPr>
                <w:rFonts w:asciiTheme="minorHAnsi" w:hAnsiTheme="minorHAnsi"/>
                <w:szCs w:val="24"/>
                <w:lang w:val="en-US" w:eastAsia="zh-CN"/>
              </w:rPr>
              <w:t> </w:t>
            </w:r>
          </w:p>
        </w:tc>
        <w:tc>
          <w:tcPr>
            <w:tcW w:w="756" w:type="pct"/>
            <w:tcBorders>
              <w:top w:val="nil"/>
              <w:left w:val="nil"/>
              <w:bottom w:val="single" w:sz="4" w:space="0" w:color="auto"/>
              <w:right w:val="single" w:sz="4" w:space="0" w:color="auto"/>
            </w:tcBorders>
            <w:shd w:val="clear" w:color="auto" w:fill="auto"/>
            <w:noWrap/>
            <w:vAlign w:val="center"/>
            <w:hideMark/>
          </w:tcPr>
          <w:p w:rsidR="004206B9" w:rsidRPr="004206B9" w:rsidRDefault="004206B9" w:rsidP="004206B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Cs w:val="24"/>
                <w:lang w:val="en-US" w:eastAsia="zh-CN"/>
              </w:rPr>
            </w:pPr>
            <w:r w:rsidRPr="004206B9">
              <w:rPr>
                <w:rFonts w:asciiTheme="minorHAnsi" w:hAnsiTheme="minorHAnsi"/>
                <w:szCs w:val="24"/>
                <w:lang w:val="en-US" w:eastAsia="zh-CN"/>
              </w:rPr>
              <w:t> </w:t>
            </w:r>
          </w:p>
        </w:tc>
        <w:tc>
          <w:tcPr>
            <w:tcW w:w="663" w:type="pct"/>
            <w:tcBorders>
              <w:top w:val="nil"/>
              <w:left w:val="nil"/>
              <w:bottom w:val="single" w:sz="4" w:space="0" w:color="auto"/>
              <w:right w:val="single" w:sz="4" w:space="0" w:color="auto"/>
            </w:tcBorders>
            <w:shd w:val="clear" w:color="auto" w:fill="auto"/>
            <w:noWrap/>
            <w:vAlign w:val="center"/>
            <w:hideMark/>
          </w:tcPr>
          <w:p w:rsidR="004206B9" w:rsidRPr="004206B9" w:rsidRDefault="004206B9" w:rsidP="004206B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Cs w:val="24"/>
                <w:lang w:val="en-US" w:eastAsia="zh-CN"/>
              </w:rPr>
            </w:pPr>
            <w:r w:rsidRPr="004206B9">
              <w:rPr>
                <w:rFonts w:asciiTheme="minorHAnsi" w:hAnsiTheme="minorHAnsi"/>
                <w:szCs w:val="24"/>
                <w:lang w:val="en-US" w:eastAsia="zh-CN"/>
              </w:rPr>
              <w:t> </w:t>
            </w:r>
          </w:p>
        </w:tc>
        <w:tc>
          <w:tcPr>
            <w:tcW w:w="663" w:type="pct"/>
            <w:tcBorders>
              <w:top w:val="nil"/>
              <w:left w:val="nil"/>
              <w:bottom w:val="single" w:sz="4" w:space="0" w:color="auto"/>
              <w:right w:val="single" w:sz="4" w:space="0" w:color="auto"/>
            </w:tcBorders>
            <w:shd w:val="clear" w:color="auto" w:fill="auto"/>
            <w:noWrap/>
            <w:vAlign w:val="center"/>
            <w:hideMark/>
          </w:tcPr>
          <w:p w:rsidR="004206B9" w:rsidRPr="004206B9" w:rsidRDefault="004206B9" w:rsidP="004206B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Cs w:val="24"/>
                <w:lang w:val="en-US" w:eastAsia="zh-CN"/>
              </w:rPr>
            </w:pPr>
            <w:r w:rsidRPr="004206B9">
              <w:rPr>
                <w:rFonts w:asciiTheme="minorHAnsi" w:hAnsiTheme="minorHAnsi"/>
                <w:szCs w:val="24"/>
                <w:lang w:val="en-US" w:eastAsia="zh-CN"/>
              </w:rPr>
              <w:t> </w:t>
            </w:r>
          </w:p>
        </w:tc>
      </w:tr>
    </w:tbl>
    <w:p w:rsidR="004206B9" w:rsidRDefault="004206B9" w:rsidP="0089730A">
      <w:pPr>
        <w:pStyle w:val="Heading9"/>
        <w:jc w:val="center"/>
        <w:rPr>
          <w:b w:val="0"/>
          <w:bCs/>
          <w:w w:val="105"/>
          <w:sz w:val="28"/>
          <w:szCs w:val="28"/>
          <w:lang w:val="en-US"/>
        </w:rPr>
      </w:pPr>
    </w:p>
    <w:p w:rsidR="0022373A" w:rsidRPr="001C2A98" w:rsidRDefault="00EA524F" w:rsidP="004D6371">
      <w:pPr>
        <w:pStyle w:val="Heading9"/>
        <w:jc w:val="center"/>
        <w:rPr>
          <w:b w:val="0"/>
          <w:bCs/>
          <w:w w:val="105"/>
          <w:sz w:val="28"/>
          <w:szCs w:val="28"/>
          <w:lang w:val="en-US"/>
        </w:rPr>
      </w:pPr>
      <w:r>
        <w:rPr>
          <w:b w:val="0"/>
          <w:bCs/>
          <w:w w:val="105"/>
          <w:sz w:val="28"/>
          <w:szCs w:val="28"/>
          <w:lang w:val="en-US"/>
        </w:rPr>
        <w:t xml:space="preserve">ANNEX </w:t>
      </w:r>
      <w:r w:rsidR="004D6371">
        <w:rPr>
          <w:b w:val="0"/>
          <w:bCs/>
          <w:w w:val="105"/>
          <w:sz w:val="28"/>
          <w:szCs w:val="28"/>
          <w:lang w:val="en-US"/>
        </w:rPr>
        <w:t>A4</w:t>
      </w:r>
      <w:bookmarkEnd w:id="148"/>
    </w:p>
    <w:p w:rsidR="0022373A" w:rsidRPr="00A53968" w:rsidRDefault="0022373A" w:rsidP="00721974">
      <w:pPr>
        <w:pStyle w:val="Headingb"/>
        <w:spacing w:before="240" w:after="120"/>
        <w:jc w:val="center"/>
        <w:rPr>
          <w:sz w:val="28"/>
          <w:szCs w:val="28"/>
          <w:lang w:val="en-US"/>
        </w:rPr>
      </w:pPr>
      <w:r w:rsidRPr="00A53968">
        <w:rPr>
          <w:sz w:val="28"/>
          <w:szCs w:val="28"/>
          <w:lang w:val="en-US"/>
        </w:rPr>
        <w:t xml:space="preserve">UNDP </w:t>
      </w:r>
      <w:r w:rsidR="00721974">
        <w:rPr>
          <w:sz w:val="28"/>
          <w:szCs w:val="28"/>
          <w:lang w:val="en-US"/>
        </w:rPr>
        <w:t>p</w:t>
      </w:r>
      <w:r w:rsidR="00A53EFC">
        <w:rPr>
          <w:sz w:val="28"/>
          <w:szCs w:val="28"/>
          <w:lang w:val="en-US"/>
        </w:rPr>
        <w:t xml:space="preserve">rojects </w:t>
      </w:r>
      <w:r w:rsidRPr="00A53968">
        <w:rPr>
          <w:sz w:val="28"/>
          <w:szCs w:val="28"/>
          <w:lang w:val="en-US"/>
        </w:rPr>
        <w:t>(in US dollars)</w:t>
      </w:r>
      <w:r w:rsidR="00834D1F" w:rsidRPr="00A53968">
        <w:rPr>
          <w:sz w:val="28"/>
          <w:szCs w:val="28"/>
          <w:lang w:val="en-US"/>
        </w:rPr>
        <w:t xml:space="preserve"> </w:t>
      </w:r>
      <w:r w:rsidR="00A53968">
        <w:rPr>
          <w:sz w:val="28"/>
          <w:szCs w:val="28"/>
          <w:lang w:val="en-US"/>
        </w:rPr>
        <w:t>- S</w:t>
      </w:r>
      <w:r w:rsidR="00834D1F" w:rsidRPr="00A53968">
        <w:rPr>
          <w:sz w:val="28"/>
          <w:szCs w:val="28"/>
          <w:lang w:val="en-US"/>
        </w:rPr>
        <w:t xml:space="preserve">ee Note </w:t>
      </w:r>
      <w:r w:rsidR="004D6371" w:rsidRPr="00A53968">
        <w:rPr>
          <w:sz w:val="28"/>
          <w:szCs w:val="28"/>
          <w:lang w:val="en-US"/>
        </w:rPr>
        <w:t>20</w:t>
      </w:r>
    </w:p>
    <w:tbl>
      <w:tblPr>
        <w:tblW w:w="5005" w:type="pct"/>
        <w:tblInd w:w="-5" w:type="dxa"/>
        <w:tblLayout w:type="fixed"/>
        <w:tblLook w:val="04A0" w:firstRow="1" w:lastRow="0" w:firstColumn="1" w:lastColumn="0" w:noHBand="0" w:noVBand="1"/>
      </w:tblPr>
      <w:tblGrid>
        <w:gridCol w:w="1418"/>
        <w:gridCol w:w="1461"/>
        <w:gridCol w:w="1761"/>
        <w:gridCol w:w="1884"/>
        <w:gridCol w:w="1686"/>
        <w:gridCol w:w="1571"/>
      </w:tblGrid>
      <w:tr w:rsidR="00C34FA0" w:rsidRPr="00C34FA0" w:rsidTr="00446B7A">
        <w:trPr>
          <w:trHeight w:val="300"/>
        </w:trPr>
        <w:tc>
          <w:tcPr>
            <w:tcW w:w="72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34FA0" w:rsidRPr="00C34FA0" w:rsidRDefault="00C34FA0" w:rsidP="00C34FA0">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C34FA0">
              <w:rPr>
                <w:color w:val="000000"/>
                <w:sz w:val="22"/>
                <w:szCs w:val="22"/>
                <w:lang w:val="en-US" w:eastAsia="zh-CN"/>
              </w:rPr>
              <w:t>Projects</w:t>
            </w:r>
          </w:p>
        </w:tc>
        <w:tc>
          <w:tcPr>
            <w:tcW w:w="747"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C34FA0" w:rsidRPr="00C34FA0" w:rsidRDefault="00C34FA0" w:rsidP="00C34FA0">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C34FA0">
              <w:rPr>
                <w:color w:val="000000"/>
                <w:sz w:val="22"/>
                <w:szCs w:val="22"/>
                <w:lang w:val="en-US" w:eastAsia="zh-CN"/>
              </w:rPr>
              <w:t>Balance at 31.12.2016</w:t>
            </w:r>
          </w:p>
        </w:tc>
        <w:tc>
          <w:tcPr>
            <w:tcW w:w="900" w:type="pct"/>
            <w:tcBorders>
              <w:top w:val="single" w:sz="4" w:space="0" w:color="auto"/>
              <w:left w:val="nil"/>
              <w:bottom w:val="single" w:sz="4" w:space="0" w:color="auto"/>
              <w:right w:val="single" w:sz="4" w:space="0" w:color="auto"/>
            </w:tcBorders>
            <w:shd w:val="clear" w:color="auto" w:fill="auto"/>
            <w:noWrap/>
            <w:vAlign w:val="bottom"/>
            <w:hideMark/>
          </w:tcPr>
          <w:p w:rsidR="00C34FA0" w:rsidRPr="00C34FA0" w:rsidRDefault="00C34FA0" w:rsidP="00C34FA0">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C34FA0">
              <w:rPr>
                <w:color w:val="000000"/>
                <w:sz w:val="22"/>
                <w:szCs w:val="22"/>
                <w:lang w:val="en-US" w:eastAsia="zh-CN"/>
              </w:rPr>
              <w:t>Revenue</w:t>
            </w:r>
          </w:p>
        </w:tc>
        <w:tc>
          <w:tcPr>
            <w:tcW w:w="1825" w:type="pct"/>
            <w:gridSpan w:val="2"/>
            <w:tcBorders>
              <w:top w:val="single" w:sz="4" w:space="0" w:color="auto"/>
              <w:left w:val="nil"/>
              <w:bottom w:val="single" w:sz="4" w:space="0" w:color="auto"/>
              <w:right w:val="single" w:sz="4" w:space="0" w:color="000000"/>
            </w:tcBorders>
            <w:shd w:val="clear" w:color="auto" w:fill="auto"/>
            <w:noWrap/>
            <w:vAlign w:val="bottom"/>
            <w:hideMark/>
          </w:tcPr>
          <w:p w:rsidR="00C34FA0" w:rsidRPr="00C34FA0" w:rsidRDefault="00C34FA0" w:rsidP="00C34FA0">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C34FA0">
              <w:rPr>
                <w:color w:val="000000"/>
                <w:sz w:val="22"/>
                <w:szCs w:val="22"/>
                <w:lang w:val="en-US" w:eastAsia="zh-CN"/>
              </w:rPr>
              <w:t>Expenses</w:t>
            </w:r>
          </w:p>
        </w:tc>
        <w:tc>
          <w:tcPr>
            <w:tcW w:w="803"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C34FA0" w:rsidRPr="00C34FA0" w:rsidRDefault="00C34FA0" w:rsidP="00C34FA0">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C34FA0">
              <w:rPr>
                <w:color w:val="000000"/>
                <w:sz w:val="22"/>
                <w:szCs w:val="22"/>
                <w:lang w:val="en-US" w:eastAsia="zh-CN"/>
              </w:rPr>
              <w:t>Balance at 31.12.2017</w:t>
            </w:r>
          </w:p>
        </w:tc>
      </w:tr>
      <w:tr w:rsidR="00C34FA0" w:rsidRPr="00C34FA0" w:rsidTr="00446B7A">
        <w:trPr>
          <w:trHeight w:val="600"/>
        </w:trPr>
        <w:tc>
          <w:tcPr>
            <w:tcW w:w="725" w:type="pct"/>
            <w:vMerge/>
            <w:tcBorders>
              <w:top w:val="single" w:sz="4" w:space="0" w:color="auto"/>
              <w:left w:val="single" w:sz="4" w:space="0" w:color="auto"/>
              <w:bottom w:val="single" w:sz="4" w:space="0" w:color="000000"/>
              <w:right w:val="single" w:sz="4" w:space="0" w:color="auto"/>
            </w:tcBorders>
            <w:vAlign w:val="center"/>
            <w:hideMark/>
          </w:tcPr>
          <w:p w:rsidR="00C34FA0" w:rsidRPr="00C34FA0" w:rsidRDefault="00C34FA0" w:rsidP="00C34FA0">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747" w:type="pct"/>
            <w:vMerge/>
            <w:tcBorders>
              <w:top w:val="single" w:sz="4" w:space="0" w:color="auto"/>
              <w:left w:val="single" w:sz="4" w:space="0" w:color="auto"/>
              <w:bottom w:val="single" w:sz="4" w:space="0" w:color="000000"/>
              <w:right w:val="single" w:sz="4" w:space="0" w:color="auto"/>
            </w:tcBorders>
            <w:vAlign w:val="center"/>
            <w:hideMark/>
          </w:tcPr>
          <w:p w:rsidR="00C34FA0" w:rsidRPr="00C34FA0" w:rsidRDefault="00C34FA0" w:rsidP="00C34FA0">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900" w:type="pct"/>
            <w:tcBorders>
              <w:top w:val="nil"/>
              <w:left w:val="nil"/>
              <w:bottom w:val="single" w:sz="4" w:space="0" w:color="auto"/>
              <w:right w:val="single" w:sz="4" w:space="0" w:color="auto"/>
            </w:tcBorders>
            <w:shd w:val="clear" w:color="auto" w:fill="auto"/>
            <w:vAlign w:val="bottom"/>
            <w:hideMark/>
          </w:tcPr>
          <w:p w:rsidR="00C34FA0" w:rsidRPr="00C34FA0" w:rsidRDefault="00C34FA0" w:rsidP="00C34FA0">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C34FA0">
              <w:rPr>
                <w:color w:val="000000"/>
                <w:sz w:val="22"/>
                <w:szCs w:val="22"/>
                <w:lang w:val="en-US" w:eastAsia="zh-CN"/>
              </w:rPr>
              <w:t>Funds Received in 2017</w:t>
            </w:r>
          </w:p>
        </w:tc>
        <w:tc>
          <w:tcPr>
            <w:tcW w:w="963" w:type="pct"/>
            <w:tcBorders>
              <w:top w:val="nil"/>
              <w:left w:val="nil"/>
              <w:bottom w:val="single" w:sz="4" w:space="0" w:color="auto"/>
              <w:right w:val="single" w:sz="4" w:space="0" w:color="auto"/>
            </w:tcBorders>
            <w:shd w:val="clear" w:color="auto" w:fill="auto"/>
            <w:vAlign w:val="center"/>
            <w:hideMark/>
          </w:tcPr>
          <w:p w:rsidR="00C34FA0" w:rsidRPr="00C34FA0" w:rsidRDefault="00C34FA0" w:rsidP="00C34FA0">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C34FA0">
              <w:rPr>
                <w:color w:val="000000"/>
                <w:sz w:val="22"/>
                <w:szCs w:val="22"/>
                <w:lang w:val="en-US" w:eastAsia="zh-CN"/>
              </w:rPr>
              <w:t>Project Expenses</w:t>
            </w:r>
          </w:p>
        </w:tc>
        <w:tc>
          <w:tcPr>
            <w:tcW w:w="862" w:type="pct"/>
            <w:tcBorders>
              <w:top w:val="nil"/>
              <w:left w:val="nil"/>
              <w:bottom w:val="single" w:sz="4" w:space="0" w:color="auto"/>
              <w:right w:val="single" w:sz="4" w:space="0" w:color="auto"/>
            </w:tcBorders>
            <w:shd w:val="clear" w:color="auto" w:fill="auto"/>
            <w:vAlign w:val="center"/>
            <w:hideMark/>
          </w:tcPr>
          <w:p w:rsidR="00C34FA0" w:rsidRPr="00C34FA0" w:rsidRDefault="00C34FA0" w:rsidP="00C34FA0">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C34FA0">
              <w:rPr>
                <w:color w:val="000000"/>
                <w:sz w:val="22"/>
                <w:szCs w:val="22"/>
                <w:lang w:val="en-US" w:eastAsia="zh-CN"/>
              </w:rPr>
              <w:t>Support Costs</w:t>
            </w:r>
          </w:p>
        </w:tc>
        <w:tc>
          <w:tcPr>
            <w:tcW w:w="803" w:type="pct"/>
            <w:vMerge/>
            <w:tcBorders>
              <w:top w:val="single" w:sz="4" w:space="0" w:color="auto"/>
              <w:left w:val="single" w:sz="4" w:space="0" w:color="auto"/>
              <w:bottom w:val="single" w:sz="4" w:space="0" w:color="000000"/>
              <w:right w:val="single" w:sz="4" w:space="0" w:color="auto"/>
            </w:tcBorders>
            <w:vAlign w:val="center"/>
            <w:hideMark/>
          </w:tcPr>
          <w:p w:rsidR="00C34FA0" w:rsidRPr="00C34FA0" w:rsidRDefault="00C34FA0" w:rsidP="00C34FA0">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p>
        </w:tc>
      </w:tr>
      <w:tr w:rsidR="00C34FA0" w:rsidRPr="00C34FA0" w:rsidTr="00446B7A">
        <w:trPr>
          <w:trHeight w:val="300"/>
        </w:trPr>
        <w:tc>
          <w:tcPr>
            <w:tcW w:w="725" w:type="pct"/>
            <w:tcBorders>
              <w:top w:val="nil"/>
              <w:left w:val="nil"/>
              <w:bottom w:val="nil"/>
              <w:right w:val="nil"/>
            </w:tcBorders>
            <w:shd w:val="clear" w:color="auto" w:fill="auto"/>
            <w:noWrap/>
            <w:vAlign w:val="bottom"/>
            <w:hideMark/>
          </w:tcPr>
          <w:p w:rsidR="00C34FA0" w:rsidRPr="00C34FA0" w:rsidRDefault="00C34FA0" w:rsidP="00C34FA0">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747" w:type="pct"/>
            <w:tcBorders>
              <w:top w:val="nil"/>
              <w:left w:val="nil"/>
              <w:bottom w:val="nil"/>
              <w:right w:val="nil"/>
            </w:tcBorders>
            <w:shd w:val="clear" w:color="auto" w:fill="auto"/>
            <w:noWrap/>
            <w:vAlign w:val="bottom"/>
            <w:hideMark/>
          </w:tcPr>
          <w:p w:rsidR="00C34FA0" w:rsidRPr="00C34FA0" w:rsidRDefault="00C34FA0" w:rsidP="00C34FA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900" w:type="pct"/>
            <w:tcBorders>
              <w:top w:val="nil"/>
              <w:left w:val="nil"/>
              <w:bottom w:val="nil"/>
              <w:right w:val="nil"/>
            </w:tcBorders>
            <w:shd w:val="clear" w:color="auto" w:fill="auto"/>
            <w:noWrap/>
            <w:vAlign w:val="bottom"/>
            <w:hideMark/>
          </w:tcPr>
          <w:p w:rsidR="00C34FA0" w:rsidRPr="00C34FA0" w:rsidRDefault="00C34FA0" w:rsidP="00C34FA0">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963" w:type="pct"/>
            <w:tcBorders>
              <w:top w:val="nil"/>
              <w:left w:val="nil"/>
              <w:bottom w:val="nil"/>
              <w:right w:val="nil"/>
            </w:tcBorders>
            <w:shd w:val="clear" w:color="auto" w:fill="auto"/>
            <w:noWrap/>
            <w:vAlign w:val="bottom"/>
            <w:hideMark/>
          </w:tcPr>
          <w:p w:rsidR="00C34FA0" w:rsidRPr="00C34FA0" w:rsidRDefault="00C34FA0" w:rsidP="00C34FA0">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862" w:type="pct"/>
            <w:tcBorders>
              <w:top w:val="nil"/>
              <w:left w:val="nil"/>
              <w:bottom w:val="nil"/>
              <w:right w:val="nil"/>
            </w:tcBorders>
            <w:shd w:val="clear" w:color="auto" w:fill="auto"/>
            <w:noWrap/>
            <w:vAlign w:val="bottom"/>
            <w:hideMark/>
          </w:tcPr>
          <w:p w:rsidR="00C34FA0" w:rsidRPr="00C34FA0" w:rsidRDefault="00C34FA0" w:rsidP="00C34FA0">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803" w:type="pct"/>
            <w:tcBorders>
              <w:top w:val="nil"/>
              <w:left w:val="nil"/>
              <w:bottom w:val="nil"/>
              <w:right w:val="nil"/>
            </w:tcBorders>
            <w:shd w:val="clear" w:color="auto" w:fill="auto"/>
            <w:noWrap/>
            <w:vAlign w:val="bottom"/>
            <w:hideMark/>
          </w:tcPr>
          <w:p w:rsidR="00C34FA0" w:rsidRPr="00C34FA0" w:rsidRDefault="00C34FA0" w:rsidP="00C34FA0">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r>
      <w:tr w:rsidR="00C34FA0" w:rsidRPr="00C34FA0" w:rsidTr="00446B7A">
        <w:trPr>
          <w:trHeight w:val="600"/>
        </w:trPr>
        <w:tc>
          <w:tcPr>
            <w:tcW w:w="7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4FA0" w:rsidRPr="00C34FA0" w:rsidRDefault="00C34FA0" w:rsidP="00C34FA0">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C34FA0">
              <w:rPr>
                <w:color w:val="000000"/>
                <w:sz w:val="22"/>
                <w:szCs w:val="22"/>
                <w:lang w:val="en-US" w:eastAsia="zh-CN"/>
              </w:rPr>
              <w:t>P.40552.1.01</w:t>
            </w:r>
          </w:p>
        </w:tc>
        <w:tc>
          <w:tcPr>
            <w:tcW w:w="747" w:type="pct"/>
            <w:tcBorders>
              <w:top w:val="single" w:sz="4" w:space="0" w:color="auto"/>
              <w:left w:val="nil"/>
              <w:bottom w:val="single" w:sz="4" w:space="0" w:color="auto"/>
              <w:right w:val="single" w:sz="4" w:space="0" w:color="auto"/>
            </w:tcBorders>
            <w:shd w:val="clear" w:color="auto" w:fill="auto"/>
            <w:noWrap/>
            <w:vAlign w:val="bottom"/>
            <w:hideMark/>
          </w:tcPr>
          <w:p w:rsidR="00C34FA0" w:rsidRPr="00C34FA0" w:rsidRDefault="00C34FA0" w:rsidP="00C34FA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C34FA0">
              <w:rPr>
                <w:color w:val="000000"/>
                <w:sz w:val="22"/>
                <w:szCs w:val="22"/>
                <w:lang w:val="en-US" w:eastAsia="zh-CN"/>
              </w:rPr>
              <w:t xml:space="preserve">         213,139.60 </w:t>
            </w:r>
          </w:p>
        </w:tc>
        <w:tc>
          <w:tcPr>
            <w:tcW w:w="900" w:type="pct"/>
            <w:tcBorders>
              <w:top w:val="single" w:sz="4" w:space="0" w:color="auto"/>
              <w:left w:val="nil"/>
              <w:bottom w:val="single" w:sz="4" w:space="0" w:color="auto"/>
              <w:right w:val="single" w:sz="4" w:space="0" w:color="auto"/>
            </w:tcBorders>
            <w:shd w:val="clear" w:color="auto" w:fill="auto"/>
            <w:noWrap/>
            <w:vAlign w:val="bottom"/>
            <w:hideMark/>
          </w:tcPr>
          <w:p w:rsidR="00C34FA0" w:rsidRPr="00C34FA0" w:rsidRDefault="00C34FA0" w:rsidP="00C34FA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C34FA0">
              <w:rPr>
                <w:color w:val="000000"/>
                <w:sz w:val="22"/>
                <w:szCs w:val="22"/>
                <w:lang w:val="en-US" w:eastAsia="zh-CN"/>
              </w:rPr>
              <w:t xml:space="preserve">                                -   </w:t>
            </w:r>
          </w:p>
        </w:tc>
        <w:tc>
          <w:tcPr>
            <w:tcW w:w="963" w:type="pct"/>
            <w:tcBorders>
              <w:top w:val="single" w:sz="4" w:space="0" w:color="auto"/>
              <w:left w:val="nil"/>
              <w:bottom w:val="single" w:sz="4" w:space="0" w:color="auto"/>
              <w:right w:val="single" w:sz="4" w:space="0" w:color="auto"/>
            </w:tcBorders>
            <w:shd w:val="clear" w:color="auto" w:fill="auto"/>
            <w:noWrap/>
            <w:vAlign w:val="bottom"/>
            <w:hideMark/>
          </w:tcPr>
          <w:p w:rsidR="00C34FA0" w:rsidRPr="00C34FA0" w:rsidRDefault="00C34FA0" w:rsidP="00C34FA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C34FA0">
              <w:rPr>
                <w:color w:val="000000"/>
                <w:sz w:val="22"/>
                <w:szCs w:val="22"/>
                <w:lang w:val="en-US" w:eastAsia="zh-CN"/>
              </w:rPr>
              <w:t xml:space="preserve">                  23,347.06 </w:t>
            </w:r>
          </w:p>
        </w:tc>
        <w:tc>
          <w:tcPr>
            <w:tcW w:w="862" w:type="pct"/>
            <w:tcBorders>
              <w:top w:val="single" w:sz="4" w:space="0" w:color="auto"/>
              <w:left w:val="nil"/>
              <w:bottom w:val="single" w:sz="4" w:space="0" w:color="auto"/>
              <w:right w:val="single" w:sz="4" w:space="0" w:color="auto"/>
            </w:tcBorders>
            <w:shd w:val="clear" w:color="auto" w:fill="auto"/>
            <w:noWrap/>
            <w:vAlign w:val="bottom"/>
            <w:hideMark/>
          </w:tcPr>
          <w:p w:rsidR="00C34FA0" w:rsidRPr="00C34FA0" w:rsidRDefault="00C34FA0" w:rsidP="00C34FA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C34FA0">
              <w:rPr>
                <w:color w:val="000000"/>
                <w:sz w:val="22"/>
                <w:szCs w:val="22"/>
                <w:lang w:val="en-US" w:eastAsia="zh-CN"/>
              </w:rPr>
              <w:t xml:space="preserve">                2,335.00 </w:t>
            </w:r>
          </w:p>
        </w:tc>
        <w:tc>
          <w:tcPr>
            <w:tcW w:w="803" w:type="pct"/>
            <w:tcBorders>
              <w:top w:val="single" w:sz="4" w:space="0" w:color="auto"/>
              <w:left w:val="nil"/>
              <w:bottom w:val="single" w:sz="4" w:space="0" w:color="auto"/>
              <w:right w:val="single" w:sz="4" w:space="0" w:color="auto"/>
            </w:tcBorders>
            <w:shd w:val="clear" w:color="auto" w:fill="auto"/>
            <w:noWrap/>
            <w:vAlign w:val="bottom"/>
            <w:hideMark/>
          </w:tcPr>
          <w:p w:rsidR="00C34FA0" w:rsidRPr="00C34FA0" w:rsidRDefault="00C34FA0" w:rsidP="00C34FA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C34FA0">
              <w:rPr>
                <w:color w:val="000000"/>
                <w:sz w:val="22"/>
                <w:szCs w:val="22"/>
                <w:lang w:val="en-US" w:eastAsia="zh-CN"/>
              </w:rPr>
              <w:t xml:space="preserve">         187,457.54 </w:t>
            </w:r>
          </w:p>
        </w:tc>
      </w:tr>
      <w:tr w:rsidR="00C34FA0" w:rsidRPr="00C34FA0" w:rsidTr="00446B7A">
        <w:trPr>
          <w:trHeight w:val="525"/>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C34FA0" w:rsidRPr="00C34FA0" w:rsidRDefault="00C34FA0" w:rsidP="00C34FA0">
            <w:pPr>
              <w:tabs>
                <w:tab w:val="clear" w:pos="567"/>
                <w:tab w:val="clear" w:pos="1134"/>
                <w:tab w:val="clear" w:pos="1701"/>
                <w:tab w:val="clear" w:pos="2268"/>
                <w:tab w:val="clear" w:pos="2835"/>
              </w:tabs>
              <w:overflowPunct/>
              <w:autoSpaceDE/>
              <w:autoSpaceDN/>
              <w:adjustRightInd/>
              <w:spacing w:before="0"/>
              <w:textAlignment w:val="auto"/>
              <w:rPr>
                <w:b/>
                <w:bCs/>
                <w:color w:val="000000"/>
                <w:sz w:val="22"/>
                <w:szCs w:val="22"/>
                <w:lang w:val="en-US" w:eastAsia="zh-CN"/>
              </w:rPr>
            </w:pPr>
            <w:r w:rsidRPr="00C34FA0">
              <w:rPr>
                <w:b/>
                <w:bCs/>
                <w:color w:val="000000"/>
                <w:sz w:val="22"/>
                <w:szCs w:val="22"/>
                <w:lang w:val="en-US" w:eastAsia="zh-CN"/>
              </w:rPr>
              <w:t>Total</w:t>
            </w:r>
          </w:p>
        </w:tc>
        <w:tc>
          <w:tcPr>
            <w:tcW w:w="747" w:type="pct"/>
            <w:tcBorders>
              <w:top w:val="nil"/>
              <w:left w:val="nil"/>
              <w:bottom w:val="single" w:sz="4" w:space="0" w:color="auto"/>
              <w:right w:val="single" w:sz="4" w:space="0" w:color="auto"/>
            </w:tcBorders>
            <w:shd w:val="clear" w:color="auto" w:fill="auto"/>
            <w:noWrap/>
            <w:vAlign w:val="bottom"/>
            <w:hideMark/>
          </w:tcPr>
          <w:p w:rsidR="00C34FA0" w:rsidRPr="00C34FA0" w:rsidRDefault="00C34FA0" w:rsidP="00C34FA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2"/>
                <w:szCs w:val="22"/>
                <w:lang w:val="en-US" w:eastAsia="zh-CN"/>
              </w:rPr>
            </w:pPr>
            <w:r w:rsidRPr="00C34FA0">
              <w:rPr>
                <w:b/>
                <w:bCs/>
                <w:color w:val="000000"/>
                <w:sz w:val="22"/>
                <w:szCs w:val="22"/>
                <w:lang w:val="en-US" w:eastAsia="zh-CN"/>
              </w:rPr>
              <w:t xml:space="preserve">         213,139.60 </w:t>
            </w:r>
          </w:p>
        </w:tc>
        <w:tc>
          <w:tcPr>
            <w:tcW w:w="900" w:type="pct"/>
            <w:tcBorders>
              <w:top w:val="nil"/>
              <w:left w:val="nil"/>
              <w:bottom w:val="single" w:sz="4" w:space="0" w:color="auto"/>
              <w:right w:val="single" w:sz="4" w:space="0" w:color="auto"/>
            </w:tcBorders>
            <w:shd w:val="clear" w:color="auto" w:fill="auto"/>
            <w:noWrap/>
            <w:vAlign w:val="bottom"/>
            <w:hideMark/>
          </w:tcPr>
          <w:p w:rsidR="00C34FA0" w:rsidRPr="00C34FA0" w:rsidRDefault="00C34FA0" w:rsidP="00C34FA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2"/>
                <w:szCs w:val="22"/>
                <w:lang w:val="en-US" w:eastAsia="zh-CN"/>
              </w:rPr>
            </w:pPr>
            <w:r w:rsidRPr="00C34FA0">
              <w:rPr>
                <w:b/>
                <w:bCs/>
                <w:color w:val="000000"/>
                <w:sz w:val="22"/>
                <w:szCs w:val="22"/>
                <w:lang w:val="en-US" w:eastAsia="zh-CN"/>
              </w:rPr>
              <w:t xml:space="preserve">                                -   </w:t>
            </w:r>
          </w:p>
        </w:tc>
        <w:tc>
          <w:tcPr>
            <w:tcW w:w="963" w:type="pct"/>
            <w:tcBorders>
              <w:top w:val="nil"/>
              <w:left w:val="nil"/>
              <w:bottom w:val="single" w:sz="4" w:space="0" w:color="auto"/>
              <w:right w:val="single" w:sz="4" w:space="0" w:color="auto"/>
            </w:tcBorders>
            <w:shd w:val="clear" w:color="auto" w:fill="auto"/>
            <w:noWrap/>
            <w:vAlign w:val="bottom"/>
            <w:hideMark/>
          </w:tcPr>
          <w:p w:rsidR="00C34FA0" w:rsidRPr="00C34FA0" w:rsidRDefault="00C34FA0" w:rsidP="00C34FA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2"/>
                <w:szCs w:val="22"/>
                <w:lang w:val="en-US" w:eastAsia="zh-CN"/>
              </w:rPr>
            </w:pPr>
            <w:r w:rsidRPr="00C34FA0">
              <w:rPr>
                <w:b/>
                <w:bCs/>
                <w:color w:val="000000"/>
                <w:sz w:val="22"/>
                <w:szCs w:val="22"/>
                <w:lang w:val="en-US" w:eastAsia="zh-CN"/>
              </w:rPr>
              <w:t xml:space="preserve">                  23,347.06 </w:t>
            </w:r>
          </w:p>
        </w:tc>
        <w:tc>
          <w:tcPr>
            <w:tcW w:w="862" w:type="pct"/>
            <w:tcBorders>
              <w:top w:val="nil"/>
              <w:left w:val="nil"/>
              <w:bottom w:val="single" w:sz="4" w:space="0" w:color="auto"/>
              <w:right w:val="single" w:sz="4" w:space="0" w:color="auto"/>
            </w:tcBorders>
            <w:shd w:val="clear" w:color="auto" w:fill="auto"/>
            <w:noWrap/>
            <w:vAlign w:val="bottom"/>
            <w:hideMark/>
          </w:tcPr>
          <w:p w:rsidR="00C34FA0" w:rsidRPr="00C34FA0" w:rsidRDefault="00C34FA0" w:rsidP="00C34FA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2"/>
                <w:szCs w:val="22"/>
                <w:lang w:val="en-US" w:eastAsia="zh-CN"/>
              </w:rPr>
            </w:pPr>
            <w:r w:rsidRPr="00C34FA0">
              <w:rPr>
                <w:b/>
                <w:bCs/>
                <w:color w:val="000000"/>
                <w:sz w:val="22"/>
                <w:szCs w:val="22"/>
                <w:lang w:val="en-US" w:eastAsia="zh-CN"/>
              </w:rPr>
              <w:t xml:space="preserve">                2,335.00 </w:t>
            </w:r>
          </w:p>
        </w:tc>
        <w:tc>
          <w:tcPr>
            <w:tcW w:w="803" w:type="pct"/>
            <w:tcBorders>
              <w:top w:val="nil"/>
              <w:left w:val="nil"/>
              <w:bottom w:val="single" w:sz="4" w:space="0" w:color="auto"/>
              <w:right w:val="single" w:sz="4" w:space="0" w:color="auto"/>
            </w:tcBorders>
            <w:shd w:val="clear" w:color="auto" w:fill="auto"/>
            <w:noWrap/>
            <w:vAlign w:val="bottom"/>
            <w:hideMark/>
          </w:tcPr>
          <w:p w:rsidR="00C34FA0" w:rsidRPr="00C34FA0" w:rsidRDefault="00C34FA0" w:rsidP="00C34FA0">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2"/>
                <w:szCs w:val="22"/>
                <w:lang w:val="en-US" w:eastAsia="zh-CN"/>
              </w:rPr>
            </w:pPr>
            <w:r w:rsidRPr="00C34FA0">
              <w:rPr>
                <w:b/>
                <w:bCs/>
                <w:color w:val="000000"/>
                <w:sz w:val="22"/>
                <w:szCs w:val="22"/>
                <w:lang w:val="en-US" w:eastAsia="zh-CN"/>
              </w:rPr>
              <w:t xml:space="preserve">         187,457.54 </w:t>
            </w:r>
          </w:p>
        </w:tc>
      </w:tr>
    </w:tbl>
    <w:p w:rsidR="00C34FA0" w:rsidRPr="001C2A98" w:rsidRDefault="00C34FA0" w:rsidP="005D3458">
      <w:pPr>
        <w:rPr>
          <w:lang w:val="en-US"/>
        </w:rPr>
        <w:sectPr w:rsidR="00C34FA0" w:rsidRPr="001C2A98" w:rsidSect="00B7047B">
          <w:footerReference w:type="first" r:id="rId44"/>
          <w:pgSz w:w="11907" w:h="16834"/>
          <w:pgMar w:top="1134" w:right="992" w:bottom="851" w:left="1134" w:header="720" w:footer="720" w:gutter="0"/>
          <w:paperSrc w:first="15" w:other="15"/>
          <w:cols w:space="720"/>
          <w:docGrid w:linePitch="326"/>
        </w:sectPr>
      </w:pPr>
    </w:p>
    <w:p w:rsidR="0022373A" w:rsidRPr="00CB6F00" w:rsidRDefault="00EA524F" w:rsidP="006B69B1">
      <w:pPr>
        <w:pStyle w:val="Heading9"/>
        <w:spacing w:before="0"/>
        <w:jc w:val="center"/>
        <w:rPr>
          <w:b w:val="0"/>
          <w:bCs/>
          <w:w w:val="105"/>
          <w:szCs w:val="24"/>
          <w:lang w:val="en-US"/>
        </w:rPr>
      </w:pPr>
      <w:bookmarkStart w:id="149" w:name="_Toc357006009"/>
      <w:r w:rsidRPr="00CB6F00">
        <w:rPr>
          <w:b w:val="0"/>
          <w:bCs/>
          <w:w w:val="105"/>
          <w:szCs w:val="24"/>
          <w:lang w:val="en-US"/>
        </w:rPr>
        <w:t xml:space="preserve">ANNEX </w:t>
      </w:r>
      <w:r w:rsidR="004D6371" w:rsidRPr="00CB6F00">
        <w:rPr>
          <w:b w:val="0"/>
          <w:bCs/>
          <w:w w:val="105"/>
          <w:szCs w:val="24"/>
          <w:lang w:val="en-US"/>
        </w:rPr>
        <w:t>A</w:t>
      </w:r>
      <w:r w:rsidR="006B69B1">
        <w:rPr>
          <w:b w:val="0"/>
          <w:bCs/>
          <w:w w:val="105"/>
          <w:szCs w:val="24"/>
          <w:lang w:val="en-US"/>
        </w:rPr>
        <w:t>5</w:t>
      </w:r>
      <w:bookmarkEnd w:id="149"/>
    </w:p>
    <w:p w:rsidR="00817F70" w:rsidRPr="00A53968" w:rsidRDefault="0022373A" w:rsidP="00721974">
      <w:pPr>
        <w:pStyle w:val="Annextitle"/>
        <w:spacing w:before="0" w:after="0"/>
        <w:rPr>
          <w:noProof/>
          <w:szCs w:val="28"/>
          <w:lang w:val="en-US" w:eastAsia="zh-CN"/>
        </w:rPr>
      </w:pPr>
      <w:r w:rsidRPr="00A53968">
        <w:rPr>
          <w:szCs w:val="28"/>
          <w:lang w:val="en-US"/>
        </w:rPr>
        <w:t>T</w:t>
      </w:r>
      <w:r w:rsidR="00721974">
        <w:rPr>
          <w:szCs w:val="28"/>
          <w:lang w:val="en-US"/>
        </w:rPr>
        <w:t xml:space="preserve">rust Funds (unused appropriations) </w:t>
      </w:r>
      <w:bookmarkStart w:id="150" w:name="_MON_1402910630"/>
      <w:bookmarkEnd w:id="150"/>
      <w:r w:rsidR="00834D1F" w:rsidRPr="00A53968">
        <w:rPr>
          <w:szCs w:val="28"/>
          <w:lang w:val="en-US"/>
        </w:rPr>
        <w:t xml:space="preserve">– See note </w:t>
      </w:r>
      <w:r w:rsidR="004D6371" w:rsidRPr="00A53968">
        <w:rPr>
          <w:szCs w:val="28"/>
          <w:lang w:val="en-US"/>
        </w:rPr>
        <w:t>20</w:t>
      </w:r>
    </w:p>
    <w:p w:rsidR="005669A0" w:rsidRDefault="008235A8" w:rsidP="008235A8">
      <w:pPr>
        <w:pStyle w:val="Annextitle"/>
        <w:spacing w:before="0" w:after="0"/>
        <w:ind w:left="142"/>
        <w:rPr>
          <w:lang w:val="en-US"/>
        </w:rPr>
      </w:pPr>
      <w:r w:rsidRPr="008235A8">
        <w:rPr>
          <w:noProof/>
          <w:lang w:val="en-US" w:eastAsia="zh-CN"/>
        </w:rPr>
        <w:drawing>
          <wp:inline distT="0" distB="0" distL="0" distR="0" wp14:anchorId="02AE1C25" wp14:editId="6C7A5CE7">
            <wp:extent cx="9249410" cy="6158758"/>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249410" cy="6158758"/>
                    </a:xfrm>
                    <a:prstGeom prst="rect">
                      <a:avLst/>
                    </a:prstGeom>
                    <a:noFill/>
                    <a:ln>
                      <a:noFill/>
                    </a:ln>
                  </pic:spPr>
                </pic:pic>
              </a:graphicData>
            </a:graphic>
          </wp:inline>
        </w:drawing>
      </w:r>
    </w:p>
    <w:p w:rsidR="00427FE8" w:rsidRPr="00A53968" w:rsidRDefault="00427FE8" w:rsidP="00721974">
      <w:pPr>
        <w:pStyle w:val="Annextitle"/>
        <w:spacing w:after="120"/>
        <w:ind w:left="-851"/>
        <w:rPr>
          <w:szCs w:val="28"/>
          <w:lang w:val="en-US"/>
        </w:rPr>
      </w:pPr>
      <w:r>
        <w:rPr>
          <w:lang w:val="en-US"/>
        </w:rPr>
        <w:br w:type="page"/>
      </w:r>
      <w:r w:rsidR="00721974" w:rsidRPr="00A53968">
        <w:rPr>
          <w:szCs w:val="28"/>
          <w:lang w:val="en-US"/>
        </w:rPr>
        <w:t>T</w:t>
      </w:r>
      <w:r w:rsidR="00721974">
        <w:rPr>
          <w:szCs w:val="28"/>
          <w:lang w:val="en-US"/>
        </w:rPr>
        <w:t>rust Funds (unused appropriations)</w:t>
      </w:r>
      <w:r w:rsidR="00F26FB1" w:rsidRPr="00A53968">
        <w:rPr>
          <w:szCs w:val="28"/>
          <w:lang w:val="en-US"/>
        </w:rPr>
        <w:t xml:space="preserve"> (</w:t>
      </w:r>
      <w:r w:rsidR="00F26FB1" w:rsidRPr="00A53968">
        <w:rPr>
          <w:i/>
          <w:iCs/>
          <w:szCs w:val="28"/>
          <w:lang w:val="en-US"/>
        </w:rPr>
        <w:t>cont</w:t>
      </w:r>
      <w:r w:rsidR="007A552E" w:rsidRPr="00A53968">
        <w:rPr>
          <w:i/>
          <w:iCs/>
          <w:szCs w:val="28"/>
          <w:lang w:val="en-US"/>
        </w:rPr>
        <w:t>’</w:t>
      </w:r>
      <w:r w:rsidR="00F26FB1" w:rsidRPr="00A53968">
        <w:rPr>
          <w:i/>
          <w:iCs/>
          <w:szCs w:val="28"/>
          <w:lang w:val="en-US"/>
        </w:rPr>
        <w:t>d</w:t>
      </w:r>
      <w:r w:rsidR="00F26FB1" w:rsidRPr="00A53968">
        <w:rPr>
          <w:szCs w:val="28"/>
          <w:lang w:val="en-US"/>
        </w:rPr>
        <w:t>)</w:t>
      </w:r>
    </w:p>
    <w:p w:rsidR="006D1819" w:rsidRDefault="006D1819" w:rsidP="006D1819">
      <w:pPr>
        <w:rPr>
          <w:lang w:val="en-US"/>
        </w:rPr>
      </w:pPr>
      <w:r w:rsidRPr="006D1819">
        <w:rPr>
          <w:noProof/>
          <w:lang w:val="en-US" w:eastAsia="zh-CN"/>
        </w:rPr>
        <w:drawing>
          <wp:inline distT="0" distB="0" distL="0" distR="0" wp14:anchorId="3F871DB4" wp14:editId="264C623E">
            <wp:extent cx="9249410" cy="2468233"/>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249410" cy="2468233"/>
                    </a:xfrm>
                    <a:prstGeom prst="rect">
                      <a:avLst/>
                    </a:prstGeom>
                    <a:noFill/>
                    <a:ln>
                      <a:noFill/>
                    </a:ln>
                  </pic:spPr>
                </pic:pic>
              </a:graphicData>
            </a:graphic>
          </wp:inline>
        </w:drawing>
      </w:r>
    </w:p>
    <w:p w:rsidR="006D1819" w:rsidRDefault="006D1819" w:rsidP="006D1819">
      <w:pPr>
        <w:rPr>
          <w:lang w:val="en-US"/>
        </w:rPr>
      </w:pPr>
    </w:p>
    <w:p w:rsidR="006D1819" w:rsidRDefault="006D1819" w:rsidP="006D1819">
      <w:pPr>
        <w:rPr>
          <w:lang w:val="en-US"/>
        </w:rPr>
      </w:pPr>
    </w:p>
    <w:p w:rsidR="006D1819" w:rsidRDefault="006D1819" w:rsidP="006D1819">
      <w:pPr>
        <w:rPr>
          <w:lang w:val="en-US"/>
        </w:rPr>
      </w:pPr>
    </w:p>
    <w:p w:rsidR="006D1819" w:rsidRDefault="006D1819" w:rsidP="006D1819">
      <w:pPr>
        <w:rPr>
          <w:lang w:val="en-US"/>
        </w:rPr>
      </w:pPr>
    </w:p>
    <w:p w:rsidR="006D1819" w:rsidRDefault="006D1819" w:rsidP="006D1819">
      <w:pPr>
        <w:rPr>
          <w:lang w:val="en-US"/>
        </w:rPr>
      </w:pPr>
    </w:p>
    <w:p w:rsidR="006D1819" w:rsidRDefault="006D1819" w:rsidP="006D1819">
      <w:pPr>
        <w:rPr>
          <w:lang w:val="en-US"/>
        </w:rPr>
      </w:pPr>
    </w:p>
    <w:p w:rsidR="006D1819" w:rsidRDefault="006D1819" w:rsidP="006D1819">
      <w:pPr>
        <w:rPr>
          <w:lang w:val="en-US"/>
        </w:rPr>
      </w:pPr>
    </w:p>
    <w:p w:rsidR="006D1819" w:rsidRDefault="006D1819" w:rsidP="006D1819">
      <w:pPr>
        <w:rPr>
          <w:lang w:val="en-US"/>
        </w:rPr>
      </w:pPr>
    </w:p>
    <w:p w:rsidR="006D1819" w:rsidRDefault="006D1819" w:rsidP="006D1819">
      <w:pPr>
        <w:rPr>
          <w:lang w:val="en-US"/>
        </w:rPr>
      </w:pPr>
    </w:p>
    <w:p w:rsidR="006D1819" w:rsidRDefault="006D1819" w:rsidP="006D1819">
      <w:pPr>
        <w:rPr>
          <w:lang w:val="en-US"/>
        </w:rPr>
      </w:pPr>
    </w:p>
    <w:p w:rsidR="006D1819" w:rsidRDefault="006D1819" w:rsidP="006D1819">
      <w:pPr>
        <w:rPr>
          <w:lang w:val="en-US"/>
        </w:rPr>
      </w:pPr>
    </w:p>
    <w:p w:rsidR="006D1819" w:rsidRDefault="006D1819" w:rsidP="006D1819">
      <w:pPr>
        <w:rPr>
          <w:lang w:val="en-US"/>
        </w:rPr>
      </w:pPr>
    </w:p>
    <w:p w:rsidR="006D1819" w:rsidRDefault="006D1819" w:rsidP="006D1819">
      <w:pPr>
        <w:rPr>
          <w:lang w:val="en-US"/>
        </w:rPr>
      </w:pPr>
    </w:p>
    <w:p w:rsidR="006D1819" w:rsidRDefault="006D1819" w:rsidP="006D1819">
      <w:pPr>
        <w:rPr>
          <w:lang w:val="en-US"/>
        </w:rPr>
      </w:pPr>
    </w:p>
    <w:p w:rsidR="006D1819" w:rsidRDefault="006D1819" w:rsidP="006D1819">
      <w:pPr>
        <w:rPr>
          <w:lang w:val="en-US"/>
        </w:rPr>
      </w:pPr>
    </w:p>
    <w:p w:rsidR="006D1819" w:rsidRPr="00A53968" w:rsidRDefault="00721974" w:rsidP="00A53968">
      <w:pPr>
        <w:pStyle w:val="Annextitle"/>
        <w:snapToGrid w:val="0"/>
        <w:spacing w:after="120"/>
        <w:ind w:left="-851"/>
        <w:rPr>
          <w:szCs w:val="28"/>
          <w:lang w:val="en-US"/>
        </w:rPr>
      </w:pPr>
      <w:r w:rsidRPr="00A53968">
        <w:rPr>
          <w:szCs w:val="28"/>
          <w:lang w:val="en-US"/>
        </w:rPr>
        <w:t>T</w:t>
      </w:r>
      <w:r>
        <w:rPr>
          <w:szCs w:val="28"/>
          <w:lang w:val="en-US"/>
        </w:rPr>
        <w:t>rust Funds (unused appropriations)</w:t>
      </w:r>
      <w:r w:rsidR="006D1819" w:rsidRPr="00A53968">
        <w:rPr>
          <w:szCs w:val="28"/>
          <w:lang w:val="en-US"/>
        </w:rPr>
        <w:t xml:space="preserve"> (</w:t>
      </w:r>
      <w:r w:rsidR="006D1819" w:rsidRPr="00721974">
        <w:rPr>
          <w:i/>
          <w:iCs/>
          <w:szCs w:val="28"/>
          <w:lang w:val="en-US"/>
        </w:rPr>
        <w:t>cont’d</w:t>
      </w:r>
      <w:r w:rsidR="006D1819" w:rsidRPr="00A53968">
        <w:rPr>
          <w:szCs w:val="28"/>
          <w:lang w:val="en-US"/>
        </w:rPr>
        <w:t>)</w:t>
      </w:r>
    </w:p>
    <w:p w:rsidR="008235A8" w:rsidRDefault="008235A8" w:rsidP="008235A8">
      <w:pPr>
        <w:rPr>
          <w:lang w:val="en-US"/>
        </w:rPr>
      </w:pPr>
      <w:r w:rsidRPr="008235A8">
        <w:rPr>
          <w:noProof/>
          <w:lang w:val="en-US" w:eastAsia="zh-CN"/>
        </w:rPr>
        <w:drawing>
          <wp:inline distT="0" distB="0" distL="0" distR="0" wp14:anchorId="2D4B033B" wp14:editId="31C7BBD6">
            <wp:extent cx="9249410" cy="4922498"/>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249410" cy="4922498"/>
                    </a:xfrm>
                    <a:prstGeom prst="rect">
                      <a:avLst/>
                    </a:prstGeom>
                    <a:noFill/>
                    <a:ln>
                      <a:noFill/>
                    </a:ln>
                  </pic:spPr>
                </pic:pic>
              </a:graphicData>
            </a:graphic>
          </wp:inline>
        </w:drawing>
      </w:r>
    </w:p>
    <w:p w:rsidR="008235A8" w:rsidRDefault="008235A8" w:rsidP="008235A8">
      <w:pPr>
        <w:rPr>
          <w:lang w:val="en-US"/>
        </w:rPr>
      </w:pPr>
    </w:p>
    <w:p w:rsidR="008235A8" w:rsidRDefault="008235A8" w:rsidP="008235A8">
      <w:pPr>
        <w:rPr>
          <w:lang w:val="en-US"/>
        </w:rPr>
      </w:pPr>
    </w:p>
    <w:p w:rsidR="008235A8" w:rsidRDefault="008235A8" w:rsidP="008235A8">
      <w:pPr>
        <w:rPr>
          <w:lang w:val="en-US"/>
        </w:rPr>
      </w:pPr>
    </w:p>
    <w:p w:rsidR="002A45D1" w:rsidRPr="00A53968" w:rsidRDefault="00721974" w:rsidP="00A53968">
      <w:pPr>
        <w:pStyle w:val="Annextitle"/>
        <w:spacing w:after="120"/>
        <w:ind w:left="-851"/>
        <w:rPr>
          <w:szCs w:val="28"/>
          <w:lang w:val="en-US"/>
        </w:rPr>
      </w:pPr>
      <w:bookmarkStart w:id="151" w:name="_MON_1402854367"/>
      <w:bookmarkEnd w:id="151"/>
      <w:r w:rsidRPr="00A53968">
        <w:rPr>
          <w:szCs w:val="28"/>
          <w:lang w:val="en-US"/>
        </w:rPr>
        <w:t>T</w:t>
      </w:r>
      <w:r>
        <w:rPr>
          <w:szCs w:val="28"/>
          <w:lang w:val="en-US"/>
        </w:rPr>
        <w:t>rust Funds (unused appropriations)</w:t>
      </w:r>
      <w:r w:rsidRPr="00A53968">
        <w:rPr>
          <w:szCs w:val="28"/>
          <w:lang w:val="en-US"/>
        </w:rPr>
        <w:t xml:space="preserve"> </w:t>
      </w:r>
      <w:r w:rsidR="002A45D1" w:rsidRPr="00A53968">
        <w:rPr>
          <w:szCs w:val="28"/>
          <w:lang w:val="en-US"/>
        </w:rPr>
        <w:t>(</w:t>
      </w:r>
      <w:r w:rsidR="002A45D1" w:rsidRPr="00A53968">
        <w:rPr>
          <w:i/>
          <w:iCs/>
          <w:szCs w:val="28"/>
          <w:lang w:val="en-US"/>
        </w:rPr>
        <w:t>cont’d</w:t>
      </w:r>
      <w:r w:rsidR="002A45D1" w:rsidRPr="00A53968">
        <w:rPr>
          <w:szCs w:val="28"/>
          <w:lang w:val="en-US"/>
        </w:rPr>
        <w:t>)</w:t>
      </w:r>
    </w:p>
    <w:p w:rsidR="008235A8" w:rsidRPr="008235A8" w:rsidRDefault="008235A8" w:rsidP="008235A8">
      <w:pPr>
        <w:rPr>
          <w:lang w:val="en-US"/>
        </w:rPr>
      </w:pPr>
      <w:r w:rsidRPr="008235A8">
        <w:rPr>
          <w:noProof/>
          <w:lang w:val="en-US" w:eastAsia="zh-CN"/>
        </w:rPr>
        <w:drawing>
          <wp:inline distT="0" distB="0" distL="0" distR="0" wp14:anchorId="567DCC92" wp14:editId="331DCFFC">
            <wp:extent cx="9249410" cy="6236640"/>
            <wp:effectExtent l="0" t="0" r="889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249410" cy="6236640"/>
                    </a:xfrm>
                    <a:prstGeom prst="rect">
                      <a:avLst/>
                    </a:prstGeom>
                    <a:noFill/>
                    <a:ln>
                      <a:noFill/>
                    </a:ln>
                  </pic:spPr>
                </pic:pic>
              </a:graphicData>
            </a:graphic>
          </wp:inline>
        </w:drawing>
      </w:r>
    </w:p>
    <w:p w:rsidR="005669A0" w:rsidRPr="00CB6F00" w:rsidRDefault="005669A0" w:rsidP="005669A0">
      <w:pPr>
        <w:tabs>
          <w:tab w:val="clear" w:pos="567"/>
          <w:tab w:val="clear" w:pos="1134"/>
          <w:tab w:val="clear" w:pos="1701"/>
          <w:tab w:val="clear" w:pos="2268"/>
          <w:tab w:val="clear" w:pos="2835"/>
        </w:tabs>
        <w:overflowPunct/>
        <w:autoSpaceDE/>
        <w:autoSpaceDN/>
        <w:adjustRightInd/>
        <w:spacing w:before="0"/>
        <w:jc w:val="center"/>
        <w:textAlignment w:val="auto"/>
        <w:rPr>
          <w:lang w:val="en-US"/>
        </w:rPr>
      </w:pPr>
    </w:p>
    <w:p w:rsidR="00A852C9" w:rsidRPr="00721974" w:rsidRDefault="00721974" w:rsidP="00A852C9">
      <w:pPr>
        <w:tabs>
          <w:tab w:val="clear" w:pos="567"/>
          <w:tab w:val="clear" w:pos="1134"/>
          <w:tab w:val="clear" w:pos="1701"/>
          <w:tab w:val="clear" w:pos="2268"/>
          <w:tab w:val="clear" w:pos="2835"/>
        </w:tabs>
        <w:overflowPunct/>
        <w:autoSpaceDE/>
        <w:autoSpaceDN/>
        <w:adjustRightInd/>
        <w:spacing w:before="0"/>
        <w:jc w:val="center"/>
        <w:textAlignment w:val="auto"/>
        <w:rPr>
          <w:b/>
          <w:bCs/>
          <w:sz w:val="28"/>
          <w:szCs w:val="28"/>
          <w:lang w:val="en-US"/>
        </w:rPr>
      </w:pPr>
      <w:bookmarkStart w:id="152" w:name="_MON_1402854952"/>
      <w:bookmarkEnd w:id="152"/>
      <w:r w:rsidRPr="00721974">
        <w:rPr>
          <w:b/>
          <w:bCs/>
          <w:sz w:val="28"/>
          <w:szCs w:val="28"/>
          <w:lang w:val="en-US"/>
        </w:rPr>
        <w:t>Trust Funds (unused appropriations)</w:t>
      </w:r>
      <w:r w:rsidR="00F26FB1" w:rsidRPr="00721974">
        <w:rPr>
          <w:b/>
          <w:bCs/>
          <w:sz w:val="28"/>
          <w:szCs w:val="28"/>
          <w:lang w:val="en-US"/>
        </w:rPr>
        <w:t xml:space="preserve"> (</w:t>
      </w:r>
      <w:r w:rsidR="00F26FB1" w:rsidRPr="00721974">
        <w:rPr>
          <w:b/>
          <w:bCs/>
          <w:i/>
          <w:iCs/>
          <w:sz w:val="28"/>
          <w:szCs w:val="28"/>
          <w:lang w:val="en-US"/>
        </w:rPr>
        <w:t>cont</w:t>
      </w:r>
      <w:r w:rsidR="007A552E" w:rsidRPr="00721974">
        <w:rPr>
          <w:b/>
          <w:bCs/>
          <w:i/>
          <w:iCs/>
          <w:sz w:val="28"/>
          <w:szCs w:val="28"/>
          <w:lang w:val="en-US"/>
        </w:rPr>
        <w:t>’</w:t>
      </w:r>
      <w:r w:rsidR="00F26FB1" w:rsidRPr="00721974">
        <w:rPr>
          <w:b/>
          <w:bCs/>
          <w:i/>
          <w:iCs/>
          <w:sz w:val="28"/>
          <w:szCs w:val="28"/>
          <w:lang w:val="en-US"/>
        </w:rPr>
        <w:t>d</w:t>
      </w:r>
      <w:r w:rsidR="00F26FB1" w:rsidRPr="00721974">
        <w:rPr>
          <w:b/>
          <w:bCs/>
          <w:sz w:val="28"/>
          <w:szCs w:val="28"/>
          <w:lang w:val="en-US"/>
        </w:rPr>
        <w:t>)</w:t>
      </w:r>
    </w:p>
    <w:p w:rsidR="008235A8" w:rsidRPr="002A45D1" w:rsidRDefault="008235A8" w:rsidP="00A852C9">
      <w:pPr>
        <w:tabs>
          <w:tab w:val="clear" w:pos="567"/>
          <w:tab w:val="clear" w:pos="1134"/>
          <w:tab w:val="clear" w:pos="1701"/>
          <w:tab w:val="clear" w:pos="2268"/>
          <w:tab w:val="clear" w:pos="2835"/>
        </w:tabs>
        <w:overflowPunct/>
        <w:autoSpaceDE/>
        <w:autoSpaceDN/>
        <w:adjustRightInd/>
        <w:spacing w:before="0"/>
        <w:jc w:val="center"/>
        <w:textAlignment w:val="auto"/>
        <w:rPr>
          <w:b/>
          <w:bCs/>
          <w:lang w:val="en-US"/>
        </w:rPr>
      </w:pPr>
      <w:r w:rsidRPr="008235A8">
        <w:rPr>
          <w:noProof/>
          <w:lang w:val="en-US" w:eastAsia="zh-CN"/>
        </w:rPr>
        <w:drawing>
          <wp:inline distT="0" distB="0" distL="0" distR="0" wp14:anchorId="19C0D350" wp14:editId="15775299">
            <wp:extent cx="9249410" cy="5056126"/>
            <wp:effectExtent l="0" t="0" r="889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249410" cy="5056126"/>
                    </a:xfrm>
                    <a:prstGeom prst="rect">
                      <a:avLst/>
                    </a:prstGeom>
                    <a:noFill/>
                    <a:ln>
                      <a:noFill/>
                    </a:ln>
                  </pic:spPr>
                </pic:pic>
              </a:graphicData>
            </a:graphic>
          </wp:inline>
        </w:drawing>
      </w:r>
    </w:p>
    <w:p w:rsidR="0056715E" w:rsidRDefault="0056715E" w:rsidP="00A852C9">
      <w:pPr>
        <w:tabs>
          <w:tab w:val="clear" w:pos="567"/>
          <w:tab w:val="clear" w:pos="1134"/>
          <w:tab w:val="clear" w:pos="1701"/>
          <w:tab w:val="clear" w:pos="2268"/>
          <w:tab w:val="clear" w:pos="2835"/>
        </w:tabs>
        <w:overflowPunct/>
        <w:autoSpaceDE/>
        <w:autoSpaceDN/>
        <w:adjustRightInd/>
        <w:spacing w:before="0"/>
        <w:jc w:val="center"/>
        <w:textAlignment w:val="auto"/>
        <w:rPr>
          <w:lang w:val="en-US"/>
        </w:rPr>
      </w:pPr>
    </w:p>
    <w:p w:rsidR="000E373D" w:rsidRDefault="000E373D">
      <w:pPr>
        <w:tabs>
          <w:tab w:val="clear" w:pos="567"/>
          <w:tab w:val="clear" w:pos="1134"/>
          <w:tab w:val="clear" w:pos="1701"/>
          <w:tab w:val="clear" w:pos="2268"/>
          <w:tab w:val="clear" w:pos="2835"/>
        </w:tabs>
        <w:overflowPunct/>
        <w:autoSpaceDE/>
        <w:autoSpaceDN/>
        <w:adjustRightInd/>
        <w:spacing w:before="0"/>
        <w:textAlignment w:val="auto"/>
        <w:rPr>
          <w:lang w:val="en-US"/>
        </w:rPr>
      </w:pPr>
      <w:r>
        <w:rPr>
          <w:lang w:val="en-US"/>
        </w:rPr>
        <w:br w:type="page"/>
      </w:r>
    </w:p>
    <w:p w:rsidR="00403835" w:rsidRPr="00721974" w:rsidRDefault="00721974" w:rsidP="00A53968">
      <w:pPr>
        <w:tabs>
          <w:tab w:val="clear" w:pos="567"/>
          <w:tab w:val="clear" w:pos="1134"/>
          <w:tab w:val="clear" w:pos="1701"/>
          <w:tab w:val="clear" w:pos="2268"/>
          <w:tab w:val="clear" w:pos="2835"/>
        </w:tabs>
        <w:overflowPunct/>
        <w:autoSpaceDE/>
        <w:autoSpaceDN/>
        <w:adjustRightInd/>
        <w:spacing w:before="0" w:after="120"/>
        <w:jc w:val="center"/>
        <w:textAlignment w:val="auto"/>
        <w:rPr>
          <w:b/>
          <w:bCs/>
          <w:sz w:val="28"/>
          <w:szCs w:val="28"/>
          <w:lang w:val="en-US"/>
        </w:rPr>
      </w:pPr>
      <w:r w:rsidRPr="00721974">
        <w:rPr>
          <w:b/>
          <w:bCs/>
          <w:sz w:val="28"/>
          <w:szCs w:val="28"/>
          <w:lang w:val="en-US"/>
        </w:rPr>
        <w:t>Trust Funds (unused appropriations)</w:t>
      </w:r>
      <w:r w:rsidR="00403835" w:rsidRPr="00721974">
        <w:rPr>
          <w:b/>
          <w:bCs/>
          <w:sz w:val="28"/>
          <w:szCs w:val="28"/>
          <w:lang w:val="en-US"/>
        </w:rPr>
        <w:t xml:space="preserve"> (</w:t>
      </w:r>
      <w:r w:rsidR="00403835" w:rsidRPr="00721974">
        <w:rPr>
          <w:b/>
          <w:bCs/>
          <w:i/>
          <w:iCs/>
          <w:sz w:val="28"/>
          <w:szCs w:val="28"/>
          <w:lang w:val="en-US"/>
        </w:rPr>
        <w:t>end</w:t>
      </w:r>
      <w:r w:rsidR="00403835" w:rsidRPr="00721974">
        <w:rPr>
          <w:b/>
          <w:bCs/>
          <w:sz w:val="28"/>
          <w:szCs w:val="28"/>
          <w:lang w:val="en-US"/>
        </w:rPr>
        <w:t>)</w:t>
      </w:r>
    </w:p>
    <w:p w:rsidR="008235A8" w:rsidRDefault="008235A8" w:rsidP="00815974">
      <w:pPr>
        <w:tabs>
          <w:tab w:val="clear" w:pos="567"/>
          <w:tab w:val="clear" w:pos="1134"/>
          <w:tab w:val="clear" w:pos="1701"/>
          <w:tab w:val="clear" w:pos="2268"/>
          <w:tab w:val="clear" w:pos="2835"/>
        </w:tabs>
        <w:overflowPunct/>
        <w:autoSpaceDE/>
        <w:autoSpaceDN/>
        <w:adjustRightInd/>
        <w:spacing w:before="0"/>
        <w:jc w:val="center"/>
        <w:textAlignment w:val="auto"/>
        <w:rPr>
          <w:lang w:val="en-US"/>
        </w:rPr>
      </w:pPr>
      <w:r w:rsidRPr="008235A8">
        <w:rPr>
          <w:noProof/>
          <w:lang w:val="en-US" w:eastAsia="zh-CN"/>
        </w:rPr>
        <w:drawing>
          <wp:inline distT="0" distB="0" distL="0" distR="0" wp14:anchorId="1DA86358" wp14:editId="5FF7DD71">
            <wp:extent cx="9249410" cy="3998172"/>
            <wp:effectExtent l="0" t="0" r="8890" b="254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249410" cy="3998172"/>
                    </a:xfrm>
                    <a:prstGeom prst="rect">
                      <a:avLst/>
                    </a:prstGeom>
                    <a:noFill/>
                    <a:ln>
                      <a:noFill/>
                    </a:ln>
                  </pic:spPr>
                </pic:pic>
              </a:graphicData>
            </a:graphic>
          </wp:inline>
        </w:drawing>
      </w:r>
    </w:p>
    <w:p w:rsidR="0056715E" w:rsidRDefault="0056715E" w:rsidP="0056715E">
      <w:pPr>
        <w:jc w:val="center"/>
        <w:rPr>
          <w:lang w:val="en-US"/>
        </w:rPr>
      </w:pPr>
    </w:p>
    <w:p w:rsidR="00A852C9" w:rsidRDefault="00A852C9" w:rsidP="00471355">
      <w:pPr>
        <w:rPr>
          <w:lang w:val="en-US"/>
        </w:rPr>
      </w:pPr>
    </w:p>
    <w:p w:rsidR="00C82EA0" w:rsidRDefault="00C82EA0">
      <w:pPr>
        <w:tabs>
          <w:tab w:val="clear" w:pos="567"/>
          <w:tab w:val="clear" w:pos="1134"/>
          <w:tab w:val="clear" w:pos="1701"/>
          <w:tab w:val="clear" w:pos="2268"/>
          <w:tab w:val="clear" w:pos="2835"/>
        </w:tabs>
        <w:overflowPunct/>
        <w:autoSpaceDE/>
        <w:autoSpaceDN/>
        <w:adjustRightInd/>
        <w:spacing w:before="0"/>
        <w:textAlignment w:val="auto"/>
        <w:rPr>
          <w:lang w:val="en-US"/>
        </w:rPr>
      </w:pPr>
      <w:r>
        <w:rPr>
          <w:lang w:val="en-US"/>
        </w:rPr>
        <w:br w:type="page"/>
      </w:r>
    </w:p>
    <w:p w:rsidR="004E5B3B" w:rsidRPr="00A53968" w:rsidRDefault="00403835" w:rsidP="006B69B1">
      <w:pPr>
        <w:pStyle w:val="Heading9"/>
        <w:tabs>
          <w:tab w:val="clear" w:pos="1701"/>
          <w:tab w:val="left" w:pos="0"/>
        </w:tabs>
        <w:snapToGrid w:val="0"/>
        <w:spacing w:before="0"/>
        <w:ind w:left="284" w:firstLine="0"/>
        <w:jc w:val="center"/>
        <w:rPr>
          <w:b w:val="0"/>
          <w:bCs/>
          <w:w w:val="105"/>
          <w:sz w:val="28"/>
          <w:szCs w:val="28"/>
          <w:lang w:val="en-US"/>
        </w:rPr>
      </w:pPr>
      <w:bookmarkStart w:id="153" w:name="_MON_1402856415"/>
      <w:bookmarkStart w:id="154" w:name="_MON_1402930663"/>
      <w:bookmarkStart w:id="155" w:name="_MON_1402933351"/>
      <w:bookmarkStart w:id="156" w:name="_MON_1402856792"/>
      <w:bookmarkStart w:id="157" w:name="_Toc357006010"/>
      <w:bookmarkEnd w:id="153"/>
      <w:bookmarkEnd w:id="154"/>
      <w:bookmarkEnd w:id="155"/>
      <w:bookmarkEnd w:id="156"/>
      <w:r w:rsidRPr="00A53968">
        <w:rPr>
          <w:b w:val="0"/>
          <w:bCs/>
          <w:w w:val="105"/>
          <w:sz w:val="28"/>
          <w:szCs w:val="28"/>
          <w:lang w:val="en-US"/>
        </w:rPr>
        <w:t>A</w:t>
      </w:r>
      <w:r w:rsidR="00EA524F" w:rsidRPr="00A53968">
        <w:rPr>
          <w:b w:val="0"/>
          <w:bCs/>
          <w:w w:val="105"/>
          <w:sz w:val="28"/>
          <w:szCs w:val="28"/>
          <w:lang w:val="en-US"/>
        </w:rPr>
        <w:t xml:space="preserve">NNEX </w:t>
      </w:r>
      <w:r w:rsidR="004D6371" w:rsidRPr="00A53968">
        <w:rPr>
          <w:b w:val="0"/>
          <w:bCs/>
          <w:w w:val="105"/>
          <w:sz w:val="28"/>
          <w:szCs w:val="28"/>
          <w:lang w:val="en-US"/>
        </w:rPr>
        <w:t>A</w:t>
      </w:r>
      <w:r w:rsidR="006B69B1" w:rsidRPr="00A53968">
        <w:rPr>
          <w:b w:val="0"/>
          <w:bCs/>
          <w:w w:val="105"/>
          <w:sz w:val="28"/>
          <w:szCs w:val="28"/>
          <w:lang w:val="en-US"/>
        </w:rPr>
        <w:t>6</w:t>
      </w:r>
      <w:bookmarkEnd w:id="157"/>
    </w:p>
    <w:p w:rsidR="000B14FE" w:rsidRPr="00A53968" w:rsidRDefault="00284487" w:rsidP="00721974">
      <w:pPr>
        <w:pStyle w:val="Heading9"/>
        <w:tabs>
          <w:tab w:val="clear" w:pos="1701"/>
          <w:tab w:val="left" w:pos="0"/>
        </w:tabs>
        <w:snapToGrid w:val="0"/>
        <w:spacing w:before="0" w:after="120"/>
        <w:ind w:left="284" w:firstLine="0"/>
        <w:jc w:val="center"/>
        <w:rPr>
          <w:bCs/>
          <w:sz w:val="28"/>
          <w:szCs w:val="28"/>
          <w:lang w:val="en-US"/>
        </w:rPr>
      </w:pPr>
      <w:r w:rsidRPr="00A53968">
        <w:rPr>
          <w:bCs/>
          <w:sz w:val="28"/>
          <w:szCs w:val="28"/>
          <w:lang w:val="en-US"/>
        </w:rPr>
        <w:t>V</w:t>
      </w:r>
      <w:r w:rsidR="00721974">
        <w:rPr>
          <w:bCs/>
          <w:sz w:val="28"/>
          <w:szCs w:val="28"/>
          <w:lang w:val="en-US"/>
        </w:rPr>
        <w:t xml:space="preserve">oluntary contributions </w:t>
      </w:r>
      <w:r w:rsidRPr="00A53968">
        <w:rPr>
          <w:bCs/>
          <w:sz w:val="28"/>
          <w:szCs w:val="28"/>
          <w:lang w:val="en-US"/>
        </w:rPr>
        <w:t>– in Swiss francs</w:t>
      </w:r>
      <w:r w:rsidR="00834D1F" w:rsidRPr="00A53968">
        <w:rPr>
          <w:bCs/>
          <w:sz w:val="28"/>
          <w:szCs w:val="28"/>
          <w:lang w:val="en-US"/>
        </w:rPr>
        <w:t xml:space="preserve"> – See Note </w:t>
      </w:r>
      <w:r w:rsidR="009116EB" w:rsidRPr="00A53968">
        <w:rPr>
          <w:bCs/>
          <w:sz w:val="28"/>
          <w:szCs w:val="28"/>
          <w:lang w:val="en-US"/>
        </w:rPr>
        <w:t>20</w:t>
      </w:r>
    </w:p>
    <w:p w:rsidR="0056715E" w:rsidRDefault="00B904A7" w:rsidP="0056715E">
      <w:pPr>
        <w:jc w:val="center"/>
        <w:rPr>
          <w:lang w:val="en-US"/>
        </w:rPr>
      </w:pPr>
      <w:r w:rsidRPr="00B904A7">
        <w:rPr>
          <w:noProof/>
          <w:lang w:val="en-US" w:eastAsia="zh-CN"/>
        </w:rPr>
        <w:drawing>
          <wp:inline distT="0" distB="0" distL="0" distR="0" wp14:anchorId="42F713EA" wp14:editId="1BC3C603">
            <wp:extent cx="9249410" cy="558415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249410" cy="5584155"/>
                    </a:xfrm>
                    <a:prstGeom prst="rect">
                      <a:avLst/>
                    </a:prstGeom>
                    <a:noFill/>
                    <a:ln>
                      <a:noFill/>
                    </a:ln>
                  </pic:spPr>
                </pic:pic>
              </a:graphicData>
            </a:graphic>
          </wp:inline>
        </w:drawing>
      </w:r>
    </w:p>
    <w:p w:rsidR="00C83BA5" w:rsidRDefault="00C83BA5" w:rsidP="00C83BA5">
      <w:pPr>
        <w:spacing w:before="0"/>
        <w:jc w:val="center"/>
        <w:rPr>
          <w:b/>
          <w:bCs/>
          <w:sz w:val="22"/>
          <w:szCs w:val="22"/>
          <w:lang w:val="en-US"/>
        </w:rPr>
      </w:pPr>
    </w:p>
    <w:p w:rsidR="00C83BA5" w:rsidRDefault="00C83BA5" w:rsidP="00C83BA5">
      <w:pPr>
        <w:spacing w:before="0"/>
        <w:jc w:val="center"/>
        <w:rPr>
          <w:b/>
          <w:bCs/>
          <w:sz w:val="22"/>
          <w:szCs w:val="22"/>
          <w:lang w:val="en-US"/>
        </w:rPr>
      </w:pPr>
    </w:p>
    <w:p w:rsidR="00A53968" w:rsidRDefault="00A53968" w:rsidP="00C83BA5">
      <w:pPr>
        <w:spacing w:before="0"/>
        <w:jc w:val="center"/>
        <w:rPr>
          <w:b/>
          <w:bCs/>
          <w:sz w:val="22"/>
          <w:szCs w:val="22"/>
          <w:lang w:val="en-US"/>
        </w:rPr>
      </w:pPr>
    </w:p>
    <w:p w:rsidR="00A53968" w:rsidRPr="00A53968" w:rsidRDefault="00A53968" w:rsidP="00F9552B">
      <w:pPr>
        <w:spacing w:before="0"/>
        <w:jc w:val="center"/>
        <w:rPr>
          <w:b/>
          <w:sz w:val="22"/>
          <w:szCs w:val="22"/>
          <w:lang w:val="en-US"/>
        </w:rPr>
      </w:pPr>
      <w:r w:rsidRPr="00A53968">
        <w:rPr>
          <w:b/>
          <w:sz w:val="28"/>
          <w:szCs w:val="28"/>
          <w:lang w:val="en-US"/>
        </w:rPr>
        <w:t>V</w:t>
      </w:r>
      <w:r w:rsidR="00F9552B">
        <w:rPr>
          <w:b/>
          <w:sz w:val="28"/>
          <w:szCs w:val="28"/>
          <w:lang w:val="en-US"/>
        </w:rPr>
        <w:t xml:space="preserve">oluntary contributions </w:t>
      </w:r>
      <w:r w:rsidRPr="00A53968">
        <w:rPr>
          <w:b/>
          <w:sz w:val="28"/>
          <w:szCs w:val="28"/>
          <w:lang w:val="en-US"/>
        </w:rPr>
        <w:t>(</w:t>
      </w:r>
      <w:r w:rsidRPr="00A53968">
        <w:rPr>
          <w:b/>
          <w:i/>
          <w:iCs/>
          <w:sz w:val="28"/>
          <w:szCs w:val="28"/>
          <w:lang w:val="en-US"/>
        </w:rPr>
        <w:t>cont’d</w:t>
      </w:r>
      <w:r w:rsidRPr="00A53968">
        <w:rPr>
          <w:b/>
          <w:sz w:val="28"/>
          <w:szCs w:val="28"/>
          <w:lang w:val="en-US"/>
        </w:rPr>
        <w:t>)</w:t>
      </w:r>
    </w:p>
    <w:p w:rsidR="00C83BA5" w:rsidRDefault="00B904A7" w:rsidP="00C83BA5">
      <w:pPr>
        <w:spacing w:before="0"/>
        <w:jc w:val="center"/>
        <w:rPr>
          <w:b/>
          <w:bCs/>
          <w:sz w:val="22"/>
          <w:szCs w:val="22"/>
          <w:lang w:val="en-US"/>
        </w:rPr>
      </w:pPr>
      <w:r w:rsidRPr="00B904A7">
        <w:rPr>
          <w:noProof/>
          <w:lang w:val="en-US" w:eastAsia="zh-CN"/>
        </w:rPr>
        <w:drawing>
          <wp:inline distT="0" distB="0" distL="0" distR="0" wp14:anchorId="409017F0" wp14:editId="72F32A86">
            <wp:extent cx="9249410" cy="6076519"/>
            <wp:effectExtent l="0" t="0" r="8890" b="63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249410" cy="6076519"/>
                    </a:xfrm>
                    <a:prstGeom prst="rect">
                      <a:avLst/>
                    </a:prstGeom>
                    <a:noFill/>
                    <a:ln>
                      <a:noFill/>
                    </a:ln>
                  </pic:spPr>
                </pic:pic>
              </a:graphicData>
            </a:graphic>
          </wp:inline>
        </w:drawing>
      </w:r>
    </w:p>
    <w:p w:rsidR="00A53968" w:rsidRPr="00A53968" w:rsidRDefault="00A53968" w:rsidP="00D525F8">
      <w:pPr>
        <w:spacing w:before="0" w:after="120"/>
        <w:jc w:val="center"/>
        <w:rPr>
          <w:b/>
          <w:sz w:val="22"/>
          <w:szCs w:val="22"/>
          <w:lang w:val="en-US"/>
        </w:rPr>
      </w:pPr>
      <w:r w:rsidRPr="00A53968">
        <w:rPr>
          <w:b/>
          <w:sz w:val="28"/>
          <w:szCs w:val="28"/>
          <w:lang w:val="en-US"/>
        </w:rPr>
        <w:t>V</w:t>
      </w:r>
      <w:r w:rsidR="00D525F8">
        <w:rPr>
          <w:b/>
          <w:sz w:val="28"/>
          <w:szCs w:val="28"/>
          <w:lang w:val="en-US"/>
        </w:rPr>
        <w:t xml:space="preserve">oluntary contributions </w:t>
      </w:r>
      <w:r w:rsidRPr="00A53968">
        <w:rPr>
          <w:b/>
          <w:sz w:val="28"/>
          <w:szCs w:val="28"/>
          <w:lang w:val="en-US"/>
        </w:rPr>
        <w:t>(</w:t>
      </w:r>
      <w:r w:rsidRPr="00A53968">
        <w:rPr>
          <w:b/>
          <w:i/>
          <w:iCs/>
          <w:sz w:val="28"/>
          <w:szCs w:val="28"/>
          <w:lang w:val="en-US"/>
        </w:rPr>
        <w:t>cont’d</w:t>
      </w:r>
      <w:r w:rsidRPr="00A53968">
        <w:rPr>
          <w:b/>
          <w:sz w:val="28"/>
          <w:szCs w:val="28"/>
          <w:lang w:val="en-US"/>
        </w:rPr>
        <w:t>)</w:t>
      </w:r>
    </w:p>
    <w:p w:rsidR="00B904A7" w:rsidRDefault="00B904A7" w:rsidP="00C83BA5">
      <w:pPr>
        <w:spacing w:before="0"/>
        <w:jc w:val="center"/>
        <w:rPr>
          <w:b/>
          <w:bCs/>
          <w:sz w:val="22"/>
          <w:szCs w:val="22"/>
          <w:lang w:val="en-US"/>
        </w:rPr>
      </w:pPr>
      <w:r w:rsidRPr="00B904A7">
        <w:rPr>
          <w:noProof/>
          <w:lang w:val="en-US" w:eastAsia="zh-CN"/>
        </w:rPr>
        <w:drawing>
          <wp:inline distT="0" distB="0" distL="0" distR="0" wp14:anchorId="75B35CCC" wp14:editId="7CFC03B4">
            <wp:extent cx="9249410" cy="5031345"/>
            <wp:effectExtent l="0" t="0" r="889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249410" cy="5031345"/>
                    </a:xfrm>
                    <a:prstGeom prst="rect">
                      <a:avLst/>
                    </a:prstGeom>
                    <a:noFill/>
                    <a:ln>
                      <a:noFill/>
                    </a:ln>
                  </pic:spPr>
                </pic:pic>
              </a:graphicData>
            </a:graphic>
          </wp:inline>
        </w:drawing>
      </w:r>
    </w:p>
    <w:p w:rsidR="00B904A7" w:rsidRDefault="00B904A7" w:rsidP="00C83BA5">
      <w:pPr>
        <w:spacing w:before="0"/>
        <w:jc w:val="center"/>
        <w:rPr>
          <w:b/>
          <w:bCs/>
          <w:sz w:val="22"/>
          <w:szCs w:val="22"/>
          <w:lang w:val="en-US"/>
        </w:rPr>
      </w:pPr>
    </w:p>
    <w:p w:rsidR="00B904A7" w:rsidRDefault="00B904A7" w:rsidP="00C83BA5">
      <w:pPr>
        <w:spacing w:before="0"/>
        <w:jc w:val="center"/>
        <w:rPr>
          <w:b/>
          <w:bCs/>
          <w:sz w:val="22"/>
          <w:szCs w:val="22"/>
          <w:lang w:val="en-US"/>
        </w:rPr>
      </w:pPr>
    </w:p>
    <w:p w:rsidR="00B904A7" w:rsidRDefault="00B904A7" w:rsidP="00C83BA5">
      <w:pPr>
        <w:spacing w:before="0"/>
        <w:jc w:val="center"/>
        <w:rPr>
          <w:b/>
          <w:bCs/>
          <w:sz w:val="22"/>
          <w:szCs w:val="22"/>
          <w:lang w:val="en-US"/>
        </w:rPr>
      </w:pPr>
    </w:p>
    <w:p w:rsidR="00B904A7" w:rsidRDefault="00B904A7" w:rsidP="00C83BA5">
      <w:pPr>
        <w:spacing w:before="0"/>
        <w:jc w:val="center"/>
        <w:rPr>
          <w:b/>
          <w:bCs/>
          <w:sz w:val="22"/>
          <w:szCs w:val="22"/>
          <w:lang w:val="en-US"/>
        </w:rPr>
      </w:pPr>
    </w:p>
    <w:p w:rsidR="00B904A7" w:rsidRDefault="00B904A7" w:rsidP="00C83BA5">
      <w:pPr>
        <w:spacing w:before="0"/>
        <w:jc w:val="center"/>
        <w:rPr>
          <w:b/>
          <w:bCs/>
          <w:sz w:val="22"/>
          <w:szCs w:val="22"/>
          <w:lang w:val="en-US"/>
        </w:rPr>
      </w:pPr>
    </w:p>
    <w:p w:rsidR="00B904A7" w:rsidRDefault="00B904A7" w:rsidP="00C83BA5">
      <w:pPr>
        <w:spacing w:before="0"/>
        <w:jc w:val="center"/>
        <w:rPr>
          <w:b/>
          <w:bCs/>
          <w:sz w:val="22"/>
          <w:szCs w:val="22"/>
          <w:lang w:val="en-US"/>
        </w:rPr>
      </w:pPr>
    </w:p>
    <w:p w:rsidR="00B904A7" w:rsidRDefault="00B904A7" w:rsidP="00C83BA5">
      <w:pPr>
        <w:spacing w:before="0"/>
        <w:jc w:val="center"/>
        <w:rPr>
          <w:b/>
          <w:bCs/>
          <w:sz w:val="22"/>
          <w:szCs w:val="22"/>
          <w:lang w:val="en-US"/>
        </w:rPr>
      </w:pPr>
    </w:p>
    <w:p w:rsidR="00B904A7" w:rsidRDefault="00B904A7" w:rsidP="00C83BA5">
      <w:pPr>
        <w:spacing w:before="0"/>
        <w:jc w:val="center"/>
        <w:rPr>
          <w:b/>
          <w:bCs/>
          <w:sz w:val="22"/>
          <w:szCs w:val="22"/>
          <w:lang w:val="en-US"/>
        </w:rPr>
      </w:pPr>
    </w:p>
    <w:p w:rsidR="00A53968" w:rsidRPr="00A53968" w:rsidRDefault="00A53968" w:rsidP="00D525F8">
      <w:pPr>
        <w:spacing w:before="0" w:after="120"/>
        <w:jc w:val="center"/>
        <w:rPr>
          <w:b/>
          <w:sz w:val="22"/>
          <w:szCs w:val="22"/>
          <w:lang w:val="en-US"/>
        </w:rPr>
      </w:pPr>
      <w:r w:rsidRPr="00A53968">
        <w:rPr>
          <w:b/>
          <w:sz w:val="28"/>
          <w:szCs w:val="28"/>
          <w:lang w:val="en-US"/>
        </w:rPr>
        <w:t>V</w:t>
      </w:r>
      <w:r w:rsidR="00D525F8">
        <w:rPr>
          <w:b/>
          <w:sz w:val="28"/>
          <w:szCs w:val="28"/>
          <w:lang w:val="en-US"/>
        </w:rPr>
        <w:t xml:space="preserve">oluntary contributions </w:t>
      </w:r>
      <w:r w:rsidRPr="00A53968">
        <w:rPr>
          <w:b/>
          <w:sz w:val="28"/>
          <w:szCs w:val="28"/>
          <w:lang w:val="en-US"/>
        </w:rPr>
        <w:t>(</w:t>
      </w:r>
      <w:r w:rsidR="00D525F8" w:rsidRPr="00D525F8">
        <w:rPr>
          <w:b/>
          <w:i/>
          <w:iCs/>
          <w:sz w:val="28"/>
          <w:szCs w:val="28"/>
          <w:lang w:val="en-US"/>
        </w:rPr>
        <w:t>end</w:t>
      </w:r>
      <w:r w:rsidRPr="00A53968">
        <w:rPr>
          <w:b/>
          <w:sz w:val="28"/>
          <w:szCs w:val="28"/>
          <w:lang w:val="en-US"/>
        </w:rPr>
        <w:t>)</w:t>
      </w:r>
    </w:p>
    <w:p w:rsidR="00B904A7" w:rsidRDefault="00B904A7" w:rsidP="00C83BA5">
      <w:pPr>
        <w:spacing w:before="0"/>
        <w:jc w:val="center"/>
        <w:rPr>
          <w:b/>
          <w:bCs/>
          <w:sz w:val="22"/>
          <w:szCs w:val="22"/>
          <w:lang w:val="en-US"/>
        </w:rPr>
      </w:pPr>
      <w:r w:rsidRPr="00B904A7">
        <w:rPr>
          <w:noProof/>
          <w:lang w:val="en-US" w:eastAsia="zh-CN"/>
        </w:rPr>
        <w:drawing>
          <wp:inline distT="0" distB="0" distL="0" distR="0" wp14:anchorId="6B270B7F" wp14:editId="53F0F1C2">
            <wp:extent cx="9249410" cy="5770440"/>
            <wp:effectExtent l="0" t="0" r="8890" b="190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9249410" cy="5770440"/>
                    </a:xfrm>
                    <a:prstGeom prst="rect">
                      <a:avLst/>
                    </a:prstGeom>
                    <a:noFill/>
                    <a:ln>
                      <a:noFill/>
                    </a:ln>
                  </pic:spPr>
                </pic:pic>
              </a:graphicData>
            </a:graphic>
          </wp:inline>
        </w:drawing>
      </w:r>
    </w:p>
    <w:p w:rsidR="004E5B3B" w:rsidRDefault="004E5B3B" w:rsidP="00C83BA5">
      <w:pPr>
        <w:spacing w:before="0"/>
        <w:jc w:val="center"/>
        <w:rPr>
          <w:b/>
          <w:bCs/>
          <w:sz w:val="22"/>
          <w:szCs w:val="22"/>
          <w:lang w:val="en-US"/>
        </w:rPr>
      </w:pPr>
      <w:r>
        <w:rPr>
          <w:b/>
          <w:bCs/>
          <w:sz w:val="22"/>
          <w:szCs w:val="22"/>
          <w:lang w:val="en-US"/>
        </w:rPr>
        <w:br w:type="page"/>
      </w:r>
    </w:p>
    <w:p w:rsidR="006145EF" w:rsidRDefault="006145EF" w:rsidP="0089730A">
      <w:pPr>
        <w:jc w:val="center"/>
        <w:rPr>
          <w:bCs/>
          <w:w w:val="105"/>
          <w:szCs w:val="24"/>
          <w:lang w:val="en-US"/>
        </w:rPr>
      </w:pPr>
      <w:bookmarkStart w:id="158" w:name="_Toc357006011"/>
    </w:p>
    <w:p w:rsidR="0022373A" w:rsidRPr="003A585D" w:rsidRDefault="00BF48DA" w:rsidP="00B904A7">
      <w:pPr>
        <w:jc w:val="center"/>
        <w:rPr>
          <w:bCs/>
          <w:w w:val="105"/>
          <w:sz w:val="28"/>
          <w:szCs w:val="28"/>
          <w:lang w:val="en-US"/>
        </w:rPr>
      </w:pPr>
      <w:r w:rsidRPr="003A585D">
        <w:rPr>
          <w:bCs/>
          <w:w w:val="105"/>
          <w:sz w:val="28"/>
          <w:szCs w:val="28"/>
          <w:lang w:val="en-US"/>
        </w:rPr>
        <w:t>A</w:t>
      </w:r>
      <w:r w:rsidR="00EA524F" w:rsidRPr="003A585D">
        <w:rPr>
          <w:bCs/>
          <w:w w:val="105"/>
          <w:sz w:val="28"/>
          <w:szCs w:val="28"/>
          <w:lang w:val="en-US"/>
        </w:rPr>
        <w:t xml:space="preserve">NNEX </w:t>
      </w:r>
      <w:bookmarkEnd w:id="158"/>
      <w:r w:rsidR="004D6371">
        <w:rPr>
          <w:bCs/>
          <w:w w:val="105"/>
          <w:sz w:val="28"/>
          <w:szCs w:val="28"/>
          <w:lang w:val="en-US"/>
        </w:rPr>
        <w:t>A</w:t>
      </w:r>
      <w:r w:rsidR="00B904A7">
        <w:rPr>
          <w:bCs/>
          <w:w w:val="105"/>
          <w:sz w:val="28"/>
          <w:szCs w:val="28"/>
          <w:lang w:val="en-US"/>
        </w:rPr>
        <w:t>7</w:t>
      </w:r>
    </w:p>
    <w:p w:rsidR="0022373A" w:rsidRPr="006145EF" w:rsidRDefault="0022373A" w:rsidP="000B066C">
      <w:pPr>
        <w:pStyle w:val="Tabletitle"/>
        <w:snapToGrid w:val="0"/>
        <w:spacing w:before="240"/>
        <w:rPr>
          <w:sz w:val="28"/>
          <w:szCs w:val="28"/>
          <w:lang w:val="en-US"/>
        </w:rPr>
      </w:pPr>
      <w:r w:rsidRPr="006145EF">
        <w:rPr>
          <w:sz w:val="28"/>
          <w:szCs w:val="28"/>
          <w:lang w:val="en-US"/>
        </w:rPr>
        <w:t>Information and Communication Technology Development Fund (ICTDF)</w:t>
      </w:r>
      <w:r w:rsidR="00C14330" w:rsidRPr="006145EF">
        <w:rPr>
          <w:sz w:val="28"/>
          <w:szCs w:val="28"/>
          <w:lang w:val="en-US"/>
        </w:rPr>
        <w:t xml:space="preserve"> – in Swiss francs</w:t>
      </w:r>
      <w:r w:rsidR="00834D1F" w:rsidRPr="006145EF">
        <w:rPr>
          <w:sz w:val="28"/>
          <w:szCs w:val="28"/>
          <w:lang w:val="en-US"/>
        </w:rPr>
        <w:t xml:space="preserve"> </w:t>
      </w:r>
      <w:r w:rsidR="00A53968">
        <w:rPr>
          <w:sz w:val="28"/>
          <w:szCs w:val="28"/>
          <w:lang w:val="en-US"/>
        </w:rPr>
        <w:t xml:space="preserve">- </w:t>
      </w:r>
      <w:r w:rsidR="00834D1F" w:rsidRPr="006145EF">
        <w:rPr>
          <w:sz w:val="28"/>
          <w:szCs w:val="28"/>
          <w:lang w:val="en-US"/>
        </w:rPr>
        <w:t xml:space="preserve">See Note </w:t>
      </w:r>
      <w:r w:rsidR="004D6371">
        <w:rPr>
          <w:sz w:val="28"/>
          <w:szCs w:val="28"/>
          <w:lang w:val="en-US"/>
        </w:rPr>
        <w:t>20</w:t>
      </w:r>
    </w:p>
    <w:p w:rsidR="00FA239C" w:rsidRDefault="00B904A7" w:rsidP="00A852C9">
      <w:pPr>
        <w:jc w:val="center"/>
        <w:rPr>
          <w:lang w:val="en-US"/>
        </w:rPr>
      </w:pPr>
      <w:r w:rsidRPr="00B904A7">
        <w:rPr>
          <w:noProof/>
          <w:lang w:val="en-US" w:eastAsia="zh-CN"/>
        </w:rPr>
        <w:drawing>
          <wp:inline distT="0" distB="0" distL="0" distR="0" wp14:anchorId="5D778B99" wp14:editId="4E334A8B">
            <wp:extent cx="7703185" cy="3269615"/>
            <wp:effectExtent l="0" t="0" r="0" b="698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7703185" cy="3269615"/>
                    </a:xfrm>
                    <a:prstGeom prst="rect">
                      <a:avLst/>
                    </a:prstGeom>
                    <a:noFill/>
                    <a:ln>
                      <a:noFill/>
                    </a:ln>
                  </pic:spPr>
                </pic:pic>
              </a:graphicData>
            </a:graphic>
          </wp:inline>
        </w:drawing>
      </w:r>
    </w:p>
    <w:p w:rsidR="00FA239C" w:rsidRDefault="00FA239C" w:rsidP="00A852C9">
      <w:pPr>
        <w:jc w:val="center"/>
        <w:rPr>
          <w:lang w:val="en-US"/>
        </w:rPr>
      </w:pPr>
    </w:p>
    <w:p w:rsidR="00FA239C" w:rsidRDefault="00FA239C" w:rsidP="00A852C9">
      <w:pPr>
        <w:jc w:val="center"/>
        <w:rPr>
          <w:lang w:val="en-US"/>
        </w:rPr>
      </w:pPr>
    </w:p>
    <w:p w:rsidR="00BB6957" w:rsidRDefault="00BB6957">
      <w:pPr>
        <w:tabs>
          <w:tab w:val="clear" w:pos="567"/>
          <w:tab w:val="clear" w:pos="1134"/>
          <w:tab w:val="clear" w:pos="1701"/>
          <w:tab w:val="clear" w:pos="2268"/>
          <w:tab w:val="clear" w:pos="2835"/>
        </w:tabs>
        <w:overflowPunct/>
        <w:autoSpaceDE/>
        <w:autoSpaceDN/>
        <w:adjustRightInd/>
        <w:spacing w:before="0"/>
        <w:textAlignment w:val="auto"/>
        <w:rPr>
          <w:lang w:val="en-US"/>
        </w:rPr>
      </w:pPr>
      <w:r>
        <w:rPr>
          <w:lang w:val="en-US"/>
        </w:rPr>
        <w:br w:type="page"/>
      </w:r>
    </w:p>
    <w:p w:rsidR="00931FB7" w:rsidRPr="00302A22" w:rsidRDefault="00931FB7" w:rsidP="00931FB7">
      <w:pPr>
        <w:snapToGrid w:val="0"/>
        <w:spacing w:before="360"/>
        <w:jc w:val="center"/>
        <w:rPr>
          <w:w w:val="105"/>
          <w:sz w:val="8"/>
          <w:szCs w:val="8"/>
          <w:lang w:val="en-US"/>
        </w:rPr>
      </w:pPr>
    </w:p>
    <w:p w:rsidR="00FA239C" w:rsidRPr="00D47435" w:rsidRDefault="00FA239C" w:rsidP="00931FB7">
      <w:pPr>
        <w:snapToGrid w:val="0"/>
        <w:jc w:val="center"/>
        <w:rPr>
          <w:w w:val="105"/>
          <w:sz w:val="28"/>
          <w:szCs w:val="28"/>
          <w:lang w:val="en-US"/>
        </w:rPr>
      </w:pPr>
      <w:r w:rsidRPr="00D47435">
        <w:rPr>
          <w:w w:val="105"/>
          <w:sz w:val="28"/>
          <w:szCs w:val="28"/>
          <w:lang w:val="en-US"/>
        </w:rPr>
        <w:t xml:space="preserve">ANNEX </w:t>
      </w:r>
      <w:r w:rsidR="004D6371">
        <w:rPr>
          <w:w w:val="105"/>
          <w:sz w:val="28"/>
          <w:szCs w:val="28"/>
          <w:lang w:val="en-US"/>
        </w:rPr>
        <w:t>A</w:t>
      </w:r>
      <w:r w:rsidR="006B69B1">
        <w:rPr>
          <w:w w:val="105"/>
          <w:sz w:val="28"/>
          <w:szCs w:val="28"/>
          <w:lang w:val="en-US"/>
        </w:rPr>
        <w:t>8</w:t>
      </w:r>
    </w:p>
    <w:p w:rsidR="001B5947" w:rsidRPr="00BB6957" w:rsidRDefault="001B5947" w:rsidP="00FC30B5">
      <w:pPr>
        <w:snapToGrid w:val="0"/>
        <w:jc w:val="center"/>
        <w:rPr>
          <w:w w:val="105"/>
          <w:szCs w:val="24"/>
          <w:lang w:val="en-US"/>
        </w:rPr>
      </w:pPr>
      <w:r w:rsidRPr="00FA34A4">
        <w:rPr>
          <w:b/>
          <w:bCs/>
          <w:w w:val="105"/>
          <w:sz w:val="28"/>
          <w:szCs w:val="28"/>
          <w:lang w:val="en-US"/>
        </w:rPr>
        <w:t>ITU TELECOM WORLD 201</w:t>
      </w:r>
      <w:r w:rsidR="00E86B52" w:rsidRPr="00FA34A4">
        <w:rPr>
          <w:b/>
          <w:bCs/>
          <w:w w:val="105"/>
          <w:sz w:val="28"/>
          <w:szCs w:val="28"/>
          <w:lang w:val="en-US"/>
        </w:rPr>
        <w:t>7</w:t>
      </w:r>
    </w:p>
    <w:p w:rsidR="001B5947" w:rsidRDefault="00302A22" w:rsidP="001B5947">
      <w:pPr>
        <w:jc w:val="center"/>
        <w:rPr>
          <w:lang w:val="en-US"/>
        </w:rPr>
      </w:pPr>
      <w:r w:rsidRPr="00302A22">
        <w:rPr>
          <w:noProof/>
          <w:lang w:val="en-US" w:eastAsia="zh-CN"/>
        </w:rPr>
        <w:drawing>
          <wp:inline distT="0" distB="0" distL="0" distR="0">
            <wp:extent cx="8674929" cy="57054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8697732" cy="5720472"/>
                    </a:xfrm>
                    <a:prstGeom prst="rect">
                      <a:avLst/>
                    </a:prstGeom>
                    <a:noFill/>
                    <a:ln>
                      <a:noFill/>
                    </a:ln>
                  </pic:spPr>
                </pic:pic>
              </a:graphicData>
            </a:graphic>
          </wp:inline>
        </w:drawing>
      </w:r>
    </w:p>
    <w:p w:rsidR="001B5947" w:rsidRDefault="001B5947" w:rsidP="001B5947">
      <w:pPr>
        <w:jc w:val="center"/>
        <w:rPr>
          <w:lang w:val="en-US"/>
        </w:rPr>
        <w:sectPr w:rsidR="001B5947" w:rsidSect="003077EE">
          <w:pgSz w:w="16834" w:h="11907" w:orient="landscape"/>
          <w:pgMar w:top="284" w:right="1134" w:bottom="567" w:left="1134" w:header="426" w:footer="720" w:gutter="0"/>
          <w:paperSrc w:first="15" w:other="15"/>
          <w:cols w:space="720"/>
          <w:docGrid w:linePitch="326"/>
        </w:sectPr>
      </w:pPr>
    </w:p>
    <w:p w:rsidR="008D7198" w:rsidRPr="007C346B" w:rsidRDefault="008D7198" w:rsidP="000B066C">
      <w:pPr>
        <w:jc w:val="center"/>
        <w:rPr>
          <w:sz w:val="28"/>
          <w:szCs w:val="28"/>
        </w:rPr>
      </w:pPr>
      <w:bookmarkStart w:id="159" w:name="_Toc305776655"/>
      <w:bookmarkStart w:id="160" w:name="_Toc357006013"/>
      <w:r w:rsidRPr="007C346B">
        <w:rPr>
          <w:sz w:val="28"/>
          <w:szCs w:val="28"/>
        </w:rPr>
        <w:t xml:space="preserve">ANNEX </w:t>
      </w:r>
      <w:r w:rsidR="004D6371">
        <w:rPr>
          <w:sz w:val="28"/>
          <w:szCs w:val="28"/>
        </w:rPr>
        <w:t>B</w:t>
      </w:r>
    </w:p>
    <w:p w:rsidR="000131DC" w:rsidRPr="000B066C" w:rsidRDefault="000131DC" w:rsidP="00B73D90">
      <w:pPr>
        <w:jc w:val="center"/>
        <w:rPr>
          <w:b/>
          <w:bCs/>
          <w:sz w:val="28"/>
          <w:szCs w:val="28"/>
        </w:rPr>
      </w:pPr>
      <w:r w:rsidRPr="000B066C">
        <w:rPr>
          <w:b/>
          <w:bCs/>
          <w:sz w:val="28"/>
          <w:szCs w:val="28"/>
        </w:rPr>
        <w:t>S</w:t>
      </w:r>
      <w:r w:rsidR="00B73D90">
        <w:rPr>
          <w:b/>
          <w:bCs/>
          <w:sz w:val="28"/>
          <w:szCs w:val="28"/>
        </w:rPr>
        <w:t>ituation of Arrears at 31 December 2017</w:t>
      </w:r>
    </w:p>
    <w:p w:rsidR="000131DC" w:rsidRPr="0057403D" w:rsidRDefault="000131DC" w:rsidP="0057403D">
      <w:pPr>
        <w:spacing w:after="120"/>
        <w:jc w:val="center"/>
        <w:rPr>
          <w:b/>
          <w:bCs/>
          <w:sz w:val="28"/>
          <w:szCs w:val="28"/>
        </w:rPr>
      </w:pPr>
      <w:r w:rsidRPr="0057403D">
        <w:rPr>
          <w:b/>
          <w:bCs/>
          <w:sz w:val="28"/>
          <w:szCs w:val="28"/>
        </w:rPr>
        <w:t>A</w:t>
      </w:r>
      <w:r w:rsidR="0057403D" w:rsidRPr="0057403D">
        <w:rPr>
          <w:b/>
          <w:bCs/>
          <w:sz w:val="28"/>
          <w:szCs w:val="28"/>
        </w:rPr>
        <w:t>mounts due in respect of contributions and publications</w:t>
      </w:r>
    </w:p>
    <w:tbl>
      <w:tblPr>
        <w:tblW w:w="10760" w:type="dxa"/>
        <w:tblInd w:w="-5" w:type="dxa"/>
        <w:tblLook w:val="04A0" w:firstRow="1" w:lastRow="0" w:firstColumn="1" w:lastColumn="0" w:noHBand="0" w:noVBand="1"/>
      </w:tblPr>
      <w:tblGrid>
        <w:gridCol w:w="4780"/>
        <w:gridCol w:w="1720"/>
        <w:gridCol w:w="1468"/>
        <w:gridCol w:w="1420"/>
        <w:gridCol w:w="1420"/>
      </w:tblGrid>
      <w:tr w:rsidR="00E86B52" w:rsidRPr="00E86B52" w:rsidTr="00E86B52">
        <w:trPr>
          <w:trHeight w:val="300"/>
        </w:trPr>
        <w:tc>
          <w:tcPr>
            <w:tcW w:w="4780" w:type="dxa"/>
            <w:tcBorders>
              <w:top w:val="single" w:sz="4" w:space="0" w:color="auto"/>
              <w:left w:val="single" w:sz="4" w:space="0" w:color="auto"/>
              <w:bottom w:val="single" w:sz="4" w:space="0" w:color="auto"/>
              <w:right w:val="nil"/>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E86B52">
              <w:rPr>
                <w:b/>
                <w:bCs/>
                <w:sz w:val="22"/>
                <w:szCs w:val="22"/>
                <w:lang w:val="en-US" w:eastAsia="zh-CN"/>
              </w:rPr>
              <w:t>A. Member States of the Union</w:t>
            </w:r>
          </w:p>
        </w:tc>
        <w:tc>
          <w:tcPr>
            <w:tcW w:w="1720" w:type="dxa"/>
            <w:tcBorders>
              <w:top w:val="single" w:sz="4" w:space="0" w:color="auto"/>
              <w:left w:val="nil"/>
              <w:bottom w:val="single" w:sz="4" w:space="0" w:color="auto"/>
              <w:right w:val="nil"/>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E86B52">
              <w:rPr>
                <w:b/>
                <w:bCs/>
                <w:sz w:val="22"/>
                <w:szCs w:val="22"/>
                <w:lang w:val="en-US" w:eastAsia="zh-CN"/>
              </w:rPr>
              <w:t>Year</w:t>
            </w:r>
          </w:p>
        </w:tc>
        <w:tc>
          <w:tcPr>
            <w:tcW w:w="1420" w:type="dxa"/>
            <w:tcBorders>
              <w:top w:val="single" w:sz="4" w:space="0" w:color="auto"/>
              <w:left w:val="nil"/>
              <w:bottom w:val="single" w:sz="4" w:space="0" w:color="auto"/>
              <w:right w:val="nil"/>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E86B52">
              <w:rPr>
                <w:b/>
                <w:bCs/>
                <w:sz w:val="22"/>
                <w:szCs w:val="22"/>
                <w:lang w:val="en-US" w:eastAsia="zh-CN"/>
              </w:rPr>
              <w:t>Contributions</w:t>
            </w:r>
          </w:p>
        </w:tc>
        <w:tc>
          <w:tcPr>
            <w:tcW w:w="1420" w:type="dxa"/>
            <w:tcBorders>
              <w:top w:val="single" w:sz="4" w:space="0" w:color="auto"/>
              <w:left w:val="nil"/>
              <w:bottom w:val="single" w:sz="4" w:space="0" w:color="auto"/>
              <w:right w:val="nil"/>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E86B52">
              <w:rPr>
                <w:b/>
                <w:bCs/>
                <w:sz w:val="22"/>
                <w:szCs w:val="22"/>
                <w:lang w:val="en-US" w:eastAsia="zh-CN"/>
              </w:rPr>
              <w:t>Publications</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E86B52">
              <w:rPr>
                <w:b/>
                <w:bCs/>
                <w:sz w:val="22"/>
                <w:szCs w:val="22"/>
                <w:lang w:val="en-US" w:eastAsia="zh-CN"/>
              </w:rPr>
              <w:t>Total</w:t>
            </w:r>
          </w:p>
        </w:tc>
      </w:tr>
      <w:tr w:rsidR="00E86B52" w:rsidRPr="00E86B52" w:rsidTr="00E86B52">
        <w:trPr>
          <w:trHeight w:val="300"/>
        </w:trPr>
        <w:tc>
          <w:tcPr>
            <w:tcW w:w="4780"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w:t>
            </w:r>
          </w:p>
        </w:tc>
        <w:tc>
          <w:tcPr>
            <w:tcW w:w="17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w:t>
            </w:r>
          </w:p>
        </w:tc>
      </w:tr>
      <w:tr w:rsidR="00E86B52" w:rsidRPr="00E86B52" w:rsidTr="00E86B52">
        <w:trPr>
          <w:trHeight w:val="300"/>
        </w:trPr>
        <w:tc>
          <w:tcPr>
            <w:tcW w:w="478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Antigua and Barbuda</w:t>
            </w:r>
          </w:p>
        </w:tc>
        <w:tc>
          <w:tcPr>
            <w:tcW w:w="17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1987-2016</w:t>
            </w:r>
          </w:p>
        </w:tc>
        <w:tc>
          <w:tcPr>
            <w:tcW w:w="14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1,773,686.15</w:t>
            </w:r>
          </w:p>
        </w:tc>
        <w:tc>
          <w:tcPr>
            <w:tcW w:w="14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36,622.45</w:t>
            </w:r>
          </w:p>
        </w:tc>
        <w:tc>
          <w:tcPr>
            <w:tcW w:w="14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1,810,308.60</w:t>
            </w:r>
          </w:p>
        </w:tc>
      </w:tr>
      <w:tr w:rsidR="00E86B52" w:rsidRPr="00E86B52" w:rsidTr="00E86B52">
        <w:trPr>
          <w:trHeight w:val="300"/>
        </w:trPr>
        <w:tc>
          <w:tcPr>
            <w:tcW w:w="478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Bahrain</w:t>
            </w:r>
          </w:p>
        </w:tc>
        <w:tc>
          <w:tcPr>
            <w:tcW w:w="17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2015</w:t>
            </w:r>
          </w:p>
        </w:tc>
        <w:tc>
          <w:tcPr>
            <w:tcW w:w="14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9,805.00</w:t>
            </w:r>
          </w:p>
        </w:tc>
        <w:tc>
          <w:tcPr>
            <w:tcW w:w="14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9,805.00</w:t>
            </w:r>
          </w:p>
        </w:tc>
      </w:tr>
      <w:tr w:rsidR="00E86B52" w:rsidRPr="00E86B52" w:rsidTr="00E86B52">
        <w:trPr>
          <w:trHeight w:val="300"/>
        </w:trPr>
        <w:tc>
          <w:tcPr>
            <w:tcW w:w="478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Brazil</w:t>
            </w:r>
          </w:p>
        </w:tc>
        <w:tc>
          <w:tcPr>
            <w:tcW w:w="17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2016</w:t>
            </w:r>
          </w:p>
        </w:tc>
        <w:tc>
          <w:tcPr>
            <w:tcW w:w="14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42,436.15</w:t>
            </w:r>
          </w:p>
        </w:tc>
        <w:tc>
          <w:tcPr>
            <w:tcW w:w="14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42,436.15</w:t>
            </w:r>
          </w:p>
        </w:tc>
      </w:tr>
      <w:tr w:rsidR="00E86B52" w:rsidRPr="00E86B52" w:rsidTr="00E86B52">
        <w:trPr>
          <w:trHeight w:val="300"/>
        </w:trPr>
        <w:tc>
          <w:tcPr>
            <w:tcW w:w="478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Cameroon</w:t>
            </w:r>
          </w:p>
        </w:tc>
        <w:tc>
          <w:tcPr>
            <w:tcW w:w="17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2014-2016</w:t>
            </w:r>
          </w:p>
        </w:tc>
        <w:tc>
          <w:tcPr>
            <w:tcW w:w="14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101,867.98</w:t>
            </w:r>
          </w:p>
        </w:tc>
        <w:tc>
          <w:tcPr>
            <w:tcW w:w="14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101,867.98</w:t>
            </w:r>
          </w:p>
        </w:tc>
      </w:tr>
      <w:tr w:rsidR="00E86B52" w:rsidRPr="00E86B52" w:rsidTr="00E86B52">
        <w:trPr>
          <w:trHeight w:val="300"/>
        </w:trPr>
        <w:tc>
          <w:tcPr>
            <w:tcW w:w="478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Congo Rep. of</w:t>
            </w:r>
          </w:p>
        </w:tc>
        <w:tc>
          <w:tcPr>
            <w:tcW w:w="17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2015-2016</w:t>
            </w:r>
          </w:p>
        </w:tc>
        <w:tc>
          <w:tcPr>
            <w:tcW w:w="14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139,490.99</w:t>
            </w:r>
          </w:p>
        </w:tc>
        <w:tc>
          <w:tcPr>
            <w:tcW w:w="14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139,490.99</w:t>
            </w:r>
          </w:p>
        </w:tc>
      </w:tr>
      <w:tr w:rsidR="00E86B52" w:rsidRPr="00E86B52" w:rsidTr="00E86B52">
        <w:trPr>
          <w:trHeight w:val="300"/>
        </w:trPr>
        <w:tc>
          <w:tcPr>
            <w:tcW w:w="478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Dominica</w:t>
            </w:r>
          </w:p>
        </w:tc>
        <w:tc>
          <w:tcPr>
            <w:tcW w:w="17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2001-2016</w:t>
            </w:r>
          </w:p>
        </w:tc>
        <w:tc>
          <w:tcPr>
            <w:tcW w:w="14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413,617.55</w:t>
            </w:r>
          </w:p>
        </w:tc>
        <w:tc>
          <w:tcPr>
            <w:tcW w:w="14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413,617.55</w:t>
            </w:r>
          </w:p>
        </w:tc>
      </w:tr>
      <w:tr w:rsidR="00E86B52" w:rsidRPr="00E86B52" w:rsidTr="00E86B52">
        <w:trPr>
          <w:trHeight w:val="300"/>
        </w:trPr>
        <w:tc>
          <w:tcPr>
            <w:tcW w:w="478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Gabon</w:t>
            </w:r>
          </w:p>
        </w:tc>
        <w:tc>
          <w:tcPr>
            <w:tcW w:w="17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2014-2016</w:t>
            </w:r>
          </w:p>
        </w:tc>
        <w:tc>
          <w:tcPr>
            <w:tcW w:w="14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181,071.30</w:t>
            </w:r>
          </w:p>
        </w:tc>
        <w:tc>
          <w:tcPr>
            <w:tcW w:w="14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181,071.30</w:t>
            </w:r>
          </w:p>
        </w:tc>
      </w:tr>
      <w:tr w:rsidR="00E86B52" w:rsidRPr="00E86B52" w:rsidTr="00E86B52">
        <w:trPr>
          <w:trHeight w:val="300"/>
        </w:trPr>
        <w:tc>
          <w:tcPr>
            <w:tcW w:w="478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Gambia</w:t>
            </w:r>
          </w:p>
        </w:tc>
        <w:tc>
          <w:tcPr>
            <w:tcW w:w="17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2015-2016</w:t>
            </w:r>
          </w:p>
        </w:tc>
        <w:tc>
          <w:tcPr>
            <w:tcW w:w="14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44,841.35</w:t>
            </w:r>
          </w:p>
        </w:tc>
        <w:tc>
          <w:tcPr>
            <w:tcW w:w="14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44,841.35</w:t>
            </w:r>
          </w:p>
        </w:tc>
      </w:tr>
      <w:tr w:rsidR="00E86B52" w:rsidRPr="00E86B52" w:rsidTr="00E86B52">
        <w:trPr>
          <w:trHeight w:val="300"/>
        </w:trPr>
        <w:tc>
          <w:tcPr>
            <w:tcW w:w="478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Guinea</w:t>
            </w:r>
          </w:p>
        </w:tc>
        <w:tc>
          <w:tcPr>
            <w:tcW w:w="17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2014-2016</w:t>
            </w:r>
          </w:p>
        </w:tc>
        <w:tc>
          <w:tcPr>
            <w:tcW w:w="14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92,004.75</w:t>
            </w:r>
          </w:p>
        </w:tc>
        <w:tc>
          <w:tcPr>
            <w:tcW w:w="14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90.20</w:t>
            </w:r>
          </w:p>
        </w:tc>
        <w:tc>
          <w:tcPr>
            <w:tcW w:w="14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92,094.95</w:t>
            </w:r>
          </w:p>
        </w:tc>
      </w:tr>
      <w:tr w:rsidR="00E86B52" w:rsidRPr="00E86B52" w:rsidTr="00E86B52">
        <w:trPr>
          <w:trHeight w:val="300"/>
        </w:trPr>
        <w:tc>
          <w:tcPr>
            <w:tcW w:w="478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Guinea-Bissau</w:t>
            </w:r>
          </w:p>
        </w:tc>
        <w:tc>
          <w:tcPr>
            <w:tcW w:w="17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2015-2016</w:t>
            </w:r>
          </w:p>
        </w:tc>
        <w:tc>
          <w:tcPr>
            <w:tcW w:w="14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45,026.45</w:t>
            </w:r>
          </w:p>
        </w:tc>
        <w:tc>
          <w:tcPr>
            <w:tcW w:w="14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45,026.45</w:t>
            </w:r>
          </w:p>
        </w:tc>
      </w:tr>
      <w:tr w:rsidR="00E86B52" w:rsidRPr="00E86B52" w:rsidTr="00E86B52">
        <w:trPr>
          <w:trHeight w:val="300"/>
        </w:trPr>
        <w:tc>
          <w:tcPr>
            <w:tcW w:w="478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Iran</w:t>
            </w:r>
          </w:p>
        </w:tc>
        <w:tc>
          <w:tcPr>
            <w:tcW w:w="17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2016</w:t>
            </w:r>
          </w:p>
        </w:tc>
        <w:tc>
          <w:tcPr>
            <w:tcW w:w="14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61,151.53</w:t>
            </w:r>
          </w:p>
        </w:tc>
        <w:tc>
          <w:tcPr>
            <w:tcW w:w="14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61,151.53</w:t>
            </w:r>
          </w:p>
        </w:tc>
      </w:tr>
      <w:tr w:rsidR="00E86B52" w:rsidRPr="00E86B52" w:rsidTr="00E86B52">
        <w:trPr>
          <w:trHeight w:val="300"/>
        </w:trPr>
        <w:tc>
          <w:tcPr>
            <w:tcW w:w="478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Lao P.D.R.</w:t>
            </w:r>
          </w:p>
        </w:tc>
        <w:tc>
          <w:tcPr>
            <w:tcW w:w="17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2010-2016</w:t>
            </w:r>
          </w:p>
        </w:tc>
        <w:tc>
          <w:tcPr>
            <w:tcW w:w="14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8,090.40</w:t>
            </w:r>
          </w:p>
        </w:tc>
        <w:tc>
          <w:tcPr>
            <w:tcW w:w="14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8,090.40</w:t>
            </w:r>
          </w:p>
        </w:tc>
      </w:tr>
      <w:tr w:rsidR="00E86B52" w:rsidRPr="00E86B52" w:rsidTr="00E86B52">
        <w:trPr>
          <w:trHeight w:val="300"/>
        </w:trPr>
        <w:tc>
          <w:tcPr>
            <w:tcW w:w="478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Liberia</w:t>
            </w:r>
          </w:p>
        </w:tc>
        <w:tc>
          <w:tcPr>
            <w:tcW w:w="17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1994-2016</w:t>
            </w:r>
          </w:p>
        </w:tc>
        <w:tc>
          <w:tcPr>
            <w:tcW w:w="14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2,055,996.80</w:t>
            </w:r>
          </w:p>
        </w:tc>
        <w:tc>
          <w:tcPr>
            <w:tcW w:w="14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2,055,996.80</w:t>
            </w:r>
          </w:p>
        </w:tc>
      </w:tr>
      <w:tr w:rsidR="00E86B52" w:rsidRPr="00E86B52" w:rsidTr="00E86B52">
        <w:trPr>
          <w:trHeight w:val="300"/>
        </w:trPr>
        <w:tc>
          <w:tcPr>
            <w:tcW w:w="478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Libya</w:t>
            </w:r>
          </w:p>
        </w:tc>
        <w:tc>
          <w:tcPr>
            <w:tcW w:w="17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2014-2016</w:t>
            </w:r>
          </w:p>
        </w:tc>
        <w:tc>
          <w:tcPr>
            <w:tcW w:w="14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1,112,609.00</w:t>
            </w:r>
          </w:p>
        </w:tc>
        <w:tc>
          <w:tcPr>
            <w:tcW w:w="14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1,112,609.00</w:t>
            </w:r>
          </w:p>
        </w:tc>
      </w:tr>
      <w:tr w:rsidR="00E86B52" w:rsidRPr="00E86B52" w:rsidTr="00E86B52">
        <w:trPr>
          <w:trHeight w:val="300"/>
        </w:trPr>
        <w:tc>
          <w:tcPr>
            <w:tcW w:w="478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Marshall Islands</w:t>
            </w:r>
          </w:p>
        </w:tc>
        <w:tc>
          <w:tcPr>
            <w:tcW w:w="17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2016</w:t>
            </w:r>
          </w:p>
        </w:tc>
        <w:tc>
          <w:tcPr>
            <w:tcW w:w="14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5,487.75</w:t>
            </w:r>
          </w:p>
        </w:tc>
        <w:tc>
          <w:tcPr>
            <w:tcW w:w="14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5,487.75</w:t>
            </w:r>
          </w:p>
        </w:tc>
      </w:tr>
      <w:tr w:rsidR="00E86B52" w:rsidRPr="00E86B52" w:rsidTr="00E86B52">
        <w:trPr>
          <w:trHeight w:val="300"/>
        </w:trPr>
        <w:tc>
          <w:tcPr>
            <w:tcW w:w="478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Nauru </w:t>
            </w:r>
          </w:p>
        </w:tc>
        <w:tc>
          <w:tcPr>
            <w:tcW w:w="17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1991-2016</w:t>
            </w:r>
          </w:p>
        </w:tc>
        <w:tc>
          <w:tcPr>
            <w:tcW w:w="14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1,465,741.70</w:t>
            </w:r>
          </w:p>
        </w:tc>
        <w:tc>
          <w:tcPr>
            <w:tcW w:w="14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1,465,741.70</w:t>
            </w:r>
          </w:p>
        </w:tc>
      </w:tr>
      <w:tr w:rsidR="00E86B52" w:rsidRPr="00E86B52" w:rsidTr="00E86B52">
        <w:trPr>
          <w:trHeight w:val="300"/>
        </w:trPr>
        <w:tc>
          <w:tcPr>
            <w:tcW w:w="478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Nepal</w:t>
            </w:r>
          </w:p>
        </w:tc>
        <w:tc>
          <w:tcPr>
            <w:tcW w:w="17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2013-2016</w:t>
            </w:r>
          </w:p>
        </w:tc>
        <w:tc>
          <w:tcPr>
            <w:tcW w:w="14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6,713.65</w:t>
            </w:r>
          </w:p>
        </w:tc>
        <w:tc>
          <w:tcPr>
            <w:tcW w:w="14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42.00</w:t>
            </w:r>
          </w:p>
        </w:tc>
        <w:tc>
          <w:tcPr>
            <w:tcW w:w="14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6,755.65</w:t>
            </w:r>
          </w:p>
        </w:tc>
      </w:tr>
      <w:tr w:rsidR="00E86B52" w:rsidRPr="00E86B52" w:rsidTr="00E86B52">
        <w:trPr>
          <w:trHeight w:val="300"/>
        </w:trPr>
        <w:tc>
          <w:tcPr>
            <w:tcW w:w="478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Nicaragua</w:t>
            </w:r>
          </w:p>
        </w:tc>
        <w:tc>
          <w:tcPr>
            <w:tcW w:w="17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2015-2016</w:t>
            </w:r>
          </w:p>
        </w:tc>
        <w:tc>
          <w:tcPr>
            <w:tcW w:w="14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180,106.10</w:t>
            </w:r>
          </w:p>
        </w:tc>
        <w:tc>
          <w:tcPr>
            <w:tcW w:w="14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180,106.10</w:t>
            </w:r>
          </w:p>
        </w:tc>
      </w:tr>
      <w:tr w:rsidR="00E86B52" w:rsidRPr="00E86B52" w:rsidTr="00E86B52">
        <w:trPr>
          <w:trHeight w:val="300"/>
        </w:trPr>
        <w:tc>
          <w:tcPr>
            <w:tcW w:w="478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Nigeria</w:t>
            </w:r>
          </w:p>
        </w:tc>
        <w:tc>
          <w:tcPr>
            <w:tcW w:w="17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2014-2016</w:t>
            </w:r>
          </w:p>
        </w:tc>
        <w:tc>
          <w:tcPr>
            <w:tcW w:w="14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252,994.65</w:t>
            </w:r>
          </w:p>
        </w:tc>
        <w:tc>
          <w:tcPr>
            <w:tcW w:w="14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252,994.65</w:t>
            </w:r>
          </w:p>
        </w:tc>
      </w:tr>
      <w:tr w:rsidR="00E86B52" w:rsidRPr="00E86B52" w:rsidTr="00E86B52">
        <w:trPr>
          <w:trHeight w:val="300"/>
        </w:trPr>
        <w:tc>
          <w:tcPr>
            <w:tcW w:w="478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Peru</w:t>
            </w:r>
          </w:p>
        </w:tc>
        <w:tc>
          <w:tcPr>
            <w:tcW w:w="17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2014-2016</w:t>
            </w:r>
          </w:p>
        </w:tc>
        <w:tc>
          <w:tcPr>
            <w:tcW w:w="14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7,128.50</w:t>
            </w:r>
          </w:p>
        </w:tc>
        <w:tc>
          <w:tcPr>
            <w:tcW w:w="14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7,128.50</w:t>
            </w:r>
          </w:p>
        </w:tc>
      </w:tr>
      <w:tr w:rsidR="00E86B52" w:rsidRPr="00E86B52" w:rsidTr="00E86B52">
        <w:trPr>
          <w:trHeight w:val="300"/>
        </w:trPr>
        <w:tc>
          <w:tcPr>
            <w:tcW w:w="478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Saint Vincent and the Grenadines</w:t>
            </w:r>
          </w:p>
        </w:tc>
        <w:tc>
          <w:tcPr>
            <w:tcW w:w="17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2009-2016</w:t>
            </w:r>
          </w:p>
        </w:tc>
        <w:tc>
          <w:tcPr>
            <w:tcW w:w="14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21,360.40</w:t>
            </w:r>
          </w:p>
        </w:tc>
        <w:tc>
          <w:tcPr>
            <w:tcW w:w="14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21,360.40</w:t>
            </w:r>
          </w:p>
        </w:tc>
      </w:tr>
      <w:tr w:rsidR="00E86B52" w:rsidRPr="00E86B52" w:rsidTr="00E86B52">
        <w:trPr>
          <w:trHeight w:val="300"/>
        </w:trPr>
        <w:tc>
          <w:tcPr>
            <w:tcW w:w="478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South Sudan</w:t>
            </w:r>
          </w:p>
        </w:tc>
        <w:tc>
          <w:tcPr>
            <w:tcW w:w="17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2015-2016</w:t>
            </w:r>
          </w:p>
        </w:tc>
        <w:tc>
          <w:tcPr>
            <w:tcW w:w="14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22,632.35</w:t>
            </w:r>
          </w:p>
        </w:tc>
        <w:tc>
          <w:tcPr>
            <w:tcW w:w="14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22,632.35</w:t>
            </w:r>
          </w:p>
        </w:tc>
      </w:tr>
      <w:tr w:rsidR="00E86B52" w:rsidRPr="00E86B52" w:rsidTr="00E86B52">
        <w:trPr>
          <w:trHeight w:val="300"/>
        </w:trPr>
        <w:tc>
          <w:tcPr>
            <w:tcW w:w="478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United States</w:t>
            </w:r>
          </w:p>
        </w:tc>
        <w:tc>
          <w:tcPr>
            <w:tcW w:w="17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2014-2016</w:t>
            </w:r>
          </w:p>
        </w:tc>
        <w:tc>
          <w:tcPr>
            <w:tcW w:w="14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812,211.75</w:t>
            </w:r>
          </w:p>
        </w:tc>
        <w:tc>
          <w:tcPr>
            <w:tcW w:w="14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812,211.75</w:t>
            </w:r>
          </w:p>
        </w:tc>
      </w:tr>
      <w:tr w:rsidR="00E86B52" w:rsidRPr="00E86B52" w:rsidTr="00E86B52">
        <w:trPr>
          <w:trHeight w:val="300"/>
        </w:trPr>
        <w:tc>
          <w:tcPr>
            <w:tcW w:w="478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Vanuatu</w:t>
            </w:r>
          </w:p>
        </w:tc>
        <w:tc>
          <w:tcPr>
            <w:tcW w:w="17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2014-2016</w:t>
            </w:r>
          </w:p>
        </w:tc>
        <w:tc>
          <w:tcPr>
            <w:tcW w:w="14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10,340.29</w:t>
            </w:r>
          </w:p>
        </w:tc>
        <w:tc>
          <w:tcPr>
            <w:tcW w:w="14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10,340.29</w:t>
            </w:r>
          </w:p>
        </w:tc>
      </w:tr>
      <w:tr w:rsidR="00E86B52" w:rsidRPr="00E86B52" w:rsidTr="00E86B52">
        <w:trPr>
          <w:trHeight w:val="300"/>
        </w:trPr>
        <w:tc>
          <w:tcPr>
            <w:tcW w:w="478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Venezuela</w:t>
            </w:r>
          </w:p>
        </w:tc>
        <w:tc>
          <w:tcPr>
            <w:tcW w:w="17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2013-2016</w:t>
            </w:r>
          </w:p>
        </w:tc>
        <w:tc>
          <w:tcPr>
            <w:tcW w:w="14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731,081.08</w:t>
            </w:r>
          </w:p>
        </w:tc>
        <w:tc>
          <w:tcPr>
            <w:tcW w:w="14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731,081.08</w:t>
            </w:r>
          </w:p>
        </w:tc>
      </w:tr>
      <w:tr w:rsidR="00E86B52" w:rsidRPr="00E86B52" w:rsidTr="00E86B52">
        <w:trPr>
          <w:trHeight w:val="300"/>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9,597,493.62</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36,754.65</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9,634,248.27</w:t>
            </w:r>
          </w:p>
        </w:tc>
      </w:tr>
    </w:tbl>
    <w:p w:rsidR="004607DD" w:rsidRDefault="004607DD">
      <w:r>
        <w:br w:type="page"/>
      </w:r>
    </w:p>
    <w:tbl>
      <w:tblPr>
        <w:tblW w:w="10760" w:type="dxa"/>
        <w:tblInd w:w="-5" w:type="dxa"/>
        <w:tblLook w:val="04A0" w:firstRow="1" w:lastRow="0" w:firstColumn="1" w:lastColumn="0" w:noHBand="0" w:noVBand="1"/>
      </w:tblPr>
      <w:tblGrid>
        <w:gridCol w:w="4820"/>
        <w:gridCol w:w="1526"/>
        <w:gridCol w:w="1497"/>
        <w:gridCol w:w="1420"/>
        <w:gridCol w:w="1497"/>
      </w:tblGrid>
      <w:tr w:rsidR="00E86B52" w:rsidRPr="00E86B52" w:rsidTr="00270D7A">
        <w:trPr>
          <w:trHeight w:val="300"/>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E86B52">
              <w:rPr>
                <w:b/>
                <w:bCs/>
                <w:sz w:val="22"/>
                <w:szCs w:val="22"/>
                <w:lang w:val="en-US" w:eastAsia="zh-CN"/>
              </w:rPr>
              <w:t>B. Sector Members and other entities</w:t>
            </w: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E86B52">
              <w:rPr>
                <w:b/>
                <w:bCs/>
                <w:sz w:val="22"/>
                <w:szCs w:val="22"/>
                <w:lang w:val="en-US" w:eastAsia="zh-CN"/>
              </w:rPr>
              <w:t>Year</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E86B52">
              <w:rPr>
                <w:b/>
                <w:bCs/>
                <w:sz w:val="22"/>
                <w:szCs w:val="22"/>
                <w:lang w:val="en-US" w:eastAsia="zh-CN"/>
              </w:rPr>
              <w:t>Contributions</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E86B52">
              <w:rPr>
                <w:b/>
                <w:bCs/>
                <w:sz w:val="22"/>
                <w:szCs w:val="22"/>
                <w:lang w:val="en-US" w:eastAsia="zh-CN"/>
              </w:rPr>
              <w:t>Publications</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E86B52">
              <w:rPr>
                <w:b/>
                <w:bCs/>
                <w:sz w:val="22"/>
                <w:szCs w:val="22"/>
                <w:lang w:val="en-US" w:eastAsia="zh-CN"/>
              </w:rPr>
              <w:t>Total</w:t>
            </w:r>
          </w:p>
        </w:tc>
      </w:tr>
      <w:tr w:rsidR="00E86B52"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E86B52">
              <w:rPr>
                <w:b/>
                <w:bCs/>
                <w:sz w:val="22"/>
                <w:szCs w:val="22"/>
                <w:lang w:val="en-US" w:eastAsia="zh-CN"/>
              </w:rPr>
              <w:t>Algeria</w:t>
            </w:r>
          </w:p>
        </w:tc>
        <w:tc>
          <w:tcPr>
            <w:tcW w:w="1526"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 </w:t>
            </w:r>
          </w:p>
        </w:tc>
      </w:tr>
      <w:tr w:rsidR="00E86B52"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E86B52">
              <w:rPr>
                <w:sz w:val="22"/>
                <w:szCs w:val="22"/>
                <w:lang w:val="fr-CH" w:eastAsia="zh-CN"/>
              </w:rPr>
              <w:t xml:space="preserve">  - Centre de </w:t>
            </w:r>
            <w:proofErr w:type="spellStart"/>
            <w:r w:rsidRPr="00E86B52">
              <w:rPr>
                <w:sz w:val="22"/>
                <w:szCs w:val="22"/>
                <w:lang w:val="fr-CH" w:eastAsia="zh-CN"/>
              </w:rPr>
              <w:t>dévelop</w:t>
            </w:r>
            <w:proofErr w:type="spellEnd"/>
            <w:r w:rsidRPr="00E86B52">
              <w:rPr>
                <w:sz w:val="22"/>
                <w:szCs w:val="22"/>
                <w:lang w:val="fr-CH" w:eastAsia="zh-CN"/>
              </w:rPr>
              <w:t xml:space="preserve">. des </w:t>
            </w:r>
            <w:proofErr w:type="spellStart"/>
            <w:r w:rsidRPr="00E86B52">
              <w:rPr>
                <w:sz w:val="22"/>
                <w:szCs w:val="22"/>
                <w:lang w:val="fr-CH" w:eastAsia="zh-CN"/>
              </w:rPr>
              <w:t>tech</w:t>
            </w:r>
            <w:proofErr w:type="spellEnd"/>
            <w:r w:rsidRPr="00E86B52">
              <w:rPr>
                <w:sz w:val="22"/>
                <w:szCs w:val="22"/>
                <w:lang w:val="fr-CH" w:eastAsia="zh-CN"/>
              </w:rPr>
              <w:t>. avancées, Alger</w:t>
            </w:r>
          </w:p>
        </w:tc>
        <w:tc>
          <w:tcPr>
            <w:tcW w:w="1526"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2015</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2,316.90</w:t>
            </w:r>
          </w:p>
        </w:tc>
        <w:tc>
          <w:tcPr>
            <w:tcW w:w="1420"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2,316.90</w:t>
            </w:r>
          </w:p>
        </w:tc>
      </w:tr>
      <w:tr w:rsidR="00E86B52" w:rsidRPr="00E86B52" w:rsidTr="00270D7A">
        <w:trPr>
          <w:trHeight w:val="555"/>
        </w:trPr>
        <w:tc>
          <w:tcPr>
            <w:tcW w:w="482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E86B52">
              <w:rPr>
                <w:sz w:val="22"/>
                <w:szCs w:val="22"/>
                <w:lang w:val="fr-CH" w:eastAsia="zh-CN"/>
              </w:rPr>
              <w:t xml:space="preserve"> - Institut National de la Poste et des Technologies  de l'Information et de la </w:t>
            </w:r>
            <w:proofErr w:type="spellStart"/>
            <w:r w:rsidRPr="00E86B52">
              <w:rPr>
                <w:sz w:val="22"/>
                <w:szCs w:val="22"/>
                <w:lang w:val="fr-CH" w:eastAsia="zh-CN"/>
              </w:rPr>
              <w:t>Comm</w:t>
            </w:r>
            <w:proofErr w:type="spellEnd"/>
            <w:r w:rsidRPr="00E86B52">
              <w:rPr>
                <w:sz w:val="22"/>
                <w:szCs w:val="22"/>
                <w:lang w:val="fr-CH" w:eastAsia="zh-CN"/>
              </w:rPr>
              <w:t>., Alger</w:t>
            </w:r>
          </w:p>
        </w:tc>
        <w:tc>
          <w:tcPr>
            <w:tcW w:w="1526"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2012-2013</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3,074.25</w:t>
            </w:r>
          </w:p>
        </w:tc>
        <w:tc>
          <w:tcPr>
            <w:tcW w:w="1420"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3,074.25</w:t>
            </w:r>
          </w:p>
        </w:tc>
      </w:tr>
      <w:tr w:rsidR="00E86B52"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w:t>
            </w:r>
            <w:proofErr w:type="spellStart"/>
            <w:r w:rsidRPr="00E86B52">
              <w:rPr>
                <w:sz w:val="22"/>
                <w:szCs w:val="22"/>
                <w:lang w:val="en-US" w:eastAsia="zh-CN"/>
              </w:rPr>
              <w:t>Orascom</w:t>
            </w:r>
            <w:proofErr w:type="spellEnd"/>
            <w:r w:rsidRPr="00E86B52">
              <w:rPr>
                <w:sz w:val="22"/>
                <w:szCs w:val="22"/>
                <w:lang w:val="en-US" w:eastAsia="zh-CN"/>
              </w:rPr>
              <w:t xml:space="preserve"> Telecom </w:t>
            </w:r>
            <w:proofErr w:type="spellStart"/>
            <w:r w:rsidRPr="00E86B52">
              <w:rPr>
                <w:sz w:val="22"/>
                <w:szCs w:val="22"/>
                <w:lang w:val="en-US" w:eastAsia="zh-CN"/>
              </w:rPr>
              <w:t>Algérie</w:t>
            </w:r>
            <w:proofErr w:type="spellEnd"/>
            <w:r w:rsidRPr="00E86B52">
              <w:rPr>
                <w:sz w:val="22"/>
                <w:szCs w:val="22"/>
                <w:lang w:val="en-US" w:eastAsia="zh-CN"/>
              </w:rPr>
              <w:t>, Algiers</w:t>
            </w:r>
          </w:p>
        </w:tc>
        <w:tc>
          <w:tcPr>
            <w:tcW w:w="1526"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2010</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6,201.10</w:t>
            </w:r>
          </w:p>
        </w:tc>
        <w:tc>
          <w:tcPr>
            <w:tcW w:w="1420"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6,201.10</w:t>
            </w:r>
          </w:p>
        </w:tc>
      </w:tr>
      <w:tr w:rsidR="00E86B52" w:rsidRPr="00E86B52" w:rsidTr="00270D7A">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s-ES_tradnl" w:eastAsia="zh-CN"/>
              </w:rPr>
            </w:pPr>
            <w:r w:rsidRPr="00E86B52">
              <w:rPr>
                <w:sz w:val="22"/>
                <w:szCs w:val="22"/>
                <w:lang w:val="es-ES_tradnl" w:eastAsia="zh-CN"/>
              </w:rPr>
              <w:t xml:space="preserve"> - </w:t>
            </w:r>
            <w:proofErr w:type="spellStart"/>
            <w:r w:rsidRPr="00E86B52">
              <w:rPr>
                <w:sz w:val="22"/>
                <w:szCs w:val="22"/>
                <w:lang w:val="es-ES_tradnl" w:eastAsia="zh-CN"/>
              </w:rPr>
              <w:t>Wataniya</w:t>
            </w:r>
            <w:proofErr w:type="spellEnd"/>
            <w:r w:rsidRPr="00E86B52">
              <w:rPr>
                <w:sz w:val="22"/>
                <w:szCs w:val="22"/>
                <w:lang w:val="es-ES_tradnl" w:eastAsia="zh-CN"/>
              </w:rPr>
              <w:t xml:space="preserve"> Telecom </w:t>
            </w:r>
            <w:proofErr w:type="spellStart"/>
            <w:r w:rsidRPr="00E86B52">
              <w:rPr>
                <w:sz w:val="22"/>
                <w:szCs w:val="22"/>
                <w:lang w:val="es-ES_tradnl" w:eastAsia="zh-CN"/>
              </w:rPr>
              <w:t>Algérie</w:t>
            </w:r>
            <w:proofErr w:type="spellEnd"/>
            <w:r w:rsidRPr="00E86B52">
              <w:rPr>
                <w:sz w:val="22"/>
                <w:szCs w:val="22"/>
                <w:lang w:val="es-ES_tradnl" w:eastAsia="zh-CN"/>
              </w:rPr>
              <w:t xml:space="preserve"> Spa, </w:t>
            </w:r>
            <w:proofErr w:type="spellStart"/>
            <w:r w:rsidRPr="00E86B52">
              <w:rPr>
                <w:sz w:val="22"/>
                <w:szCs w:val="22"/>
                <w:lang w:val="es-ES_tradnl" w:eastAsia="zh-CN"/>
              </w:rPr>
              <w:t>Algiers</w:t>
            </w:r>
            <w:proofErr w:type="spellEnd"/>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2005-2007</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7,512.10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7,512.10</w:t>
            </w:r>
          </w:p>
        </w:tc>
      </w:tr>
      <w:tr w:rsidR="00E86B52" w:rsidRPr="00E86B52" w:rsidTr="00270D7A">
        <w:trPr>
          <w:trHeight w:val="300"/>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E86B52">
              <w:rPr>
                <w:b/>
                <w:bCs/>
                <w:sz w:val="22"/>
                <w:szCs w:val="22"/>
                <w:lang w:val="en-US" w:eastAsia="zh-CN"/>
              </w:rPr>
              <w:t>Argentina</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w:t>
            </w:r>
          </w:p>
        </w:tc>
      </w:tr>
      <w:tr w:rsidR="00E86B52" w:rsidRPr="00E86B52" w:rsidTr="00270D7A">
        <w:trPr>
          <w:trHeight w:val="600"/>
        </w:trPr>
        <w:tc>
          <w:tcPr>
            <w:tcW w:w="482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s-ES_tradnl" w:eastAsia="zh-CN"/>
              </w:rPr>
            </w:pPr>
            <w:r w:rsidRPr="00E86B52">
              <w:rPr>
                <w:sz w:val="22"/>
                <w:szCs w:val="22"/>
                <w:lang w:val="es-ES_tradnl" w:eastAsia="zh-CN"/>
              </w:rPr>
              <w:t xml:space="preserve"> - Cooperativa Telefónica (COTELCAM), Buenos Aires</w:t>
            </w:r>
          </w:p>
        </w:tc>
        <w:tc>
          <w:tcPr>
            <w:tcW w:w="1526"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2003-2006</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33,981.90</w:t>
            </w:r>
          </w:p>
        </w:tc>
        <w:tc>
          <w:tcPr>
            <w:tcW w:w="1420"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33,981.90</w:t>
            </w:r>
          </w:p>
        </w:tc>
      </w:tr>
      <w:tr w:rsidR="00E86B52" w:rsidRPr="00E86B52" w:rsidTr="00270D7A">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IMPSAT Corp. S.A., Buenos Aires</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1999-2006</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54,284.00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54,284.00</w:t>
            </w:r>
          </w:p>
        </w:tc>
      </w:tr>
      <w:tr w:rsidR="00E86B52" w:rsidRPr="00E86B52" w:rsidTr="00270D7A">
        <w:trPr>
          <w:trHeight w:val="300"/>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E86B52">
              <w:rPr>
                <w:b/>
                <w:bCs/>
                <w:sz w:val="22"/>
                <w:szCs w:val="22"/>
                <w:lang w:val="en-US" w:eastAsia="zh-CN"/>
              </w:rPr>
              <w:t>Australia</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w:t>
            </w:r>
          </w:p>
        </w:tc>
      </w:tr>
      <w:tr w:rsidR="00E86B52" w:rsidRPr="00E86B52" w:rsidTr="00270D7A">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w:t>
            </w:r>
            <w:proofErr w:type="spellStart"/>
            <w:r w:rsidRPr="00E86B52">
              <w:rPr>
                <w:sz w:val="22"/>
                <w:szCs w:val="22"/>
                <w:lang w:val="en-US" w:eastAsia="zh-CN"/>
              </w:rPr>
              <w:t>NewSat</w:t>
            </w:r>
            <w:proofErr w:type="spellEnd"/>
            <w:r w:rsidRPr="00E86B52">
              <w:rPr>
                <w:sz w:val="22"/>
                <w:szCs w:val="22"/>
                <w:lang w:val="en-US" w:eastAsia="zh-CN"/>
              </w:rPr>
              <w:t xml:space="preserve"> Limited Pty. Ltd., Sydney</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2015</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5,300.10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5,300.10</w:t>
            </w:r>
          </w:p>
        </w:tc>
      </w:tr>
      <w:tr w:rsidR="00E86B52" w:rsidRPr="00E86B52" w:rsidTr="00270D7A">
        <w:trPr>
          <w:trHeight w:val="300"/>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E86B52">
              <w:rPr>
                <w:b/>
                <w:bCs/>
                <w:sz w:val="22"/>
                <w:szCs w:val="22"/>
                <w:lang w:val="en-US" w:eastAsia="zh-CN"/>
              </w:rPr>
              <w:t>Azerbaijan</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w:t>
            </w:r>
          </w:p>
        </w:tc>
      </w:tr>
      <w:tr w:rsidR="00E86B52"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AZ-EVRO TEL, Baku</w:t>
            </w:r>
          </w:p>
        </w:tc>
        <w:tc>
          <w:tcPr>
            <w:tcW w:w="1526"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2012</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11,037.90</w:t>
            </w:r>
          </w:p>
        </w:tc>
        <w:tc>
          <w:tcPr>
            <w:tcW w:w="1420"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11,037.90</w:t>
            </w:r>
          </w:p>
        </w:tc>
      </w:tr>
      <w:tr w:rsidR="00E86B52"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Azerbaijan Technical University, Baku</w:t>
            </w:r>
          </w:p>
        </w:tc>
        <w:tc>
          <w:tcPr>
            <w:tcW w:w="1526"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2016</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2,209.60</w:t>
            </w:r>
          </w:p>
        </w:tc>
        <w:tc>
          <w:tcPr>
            <w:tcW w:w="1420"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2,209.60</w:t>
            </w:r>
          </w:p>
        </w:tc>
      </w:tr>
      <w:tr w:rsidR="00E86B52"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w:t>
            </w:r>
            <w:proofErr w:type="spellStart"/>
            <w:r w:rsidRPr="00E86B52">
              <w:rPr>
                <w:sz w:val="22"/>
                <w:szCs w:val="22"/>
                <w:lang w:val="en-US" w:eastAsia="zh-CN"/>
              </w:rPr>
              <w:t>Azerfon</w:t>
            </w:r>
            <w:proofErr w:type="spellEnd"/>
            <w:r w:rsidRPr="00E86B52">
              <w:rPr>
                <w:sz w:val="22"/>
                <w:szCs w:val="22"/>
                <w:lang w:val="en-US" w:eastAsia="zh-CN"/>
              </w:rPr>
              <w:t xml:space="preserve"> LLC, Baku</w:t>
            </w:r>
          </w:p>
        </w:tc>
        <w:tc>
          <w:tcPr>
            <w:tcW w:w="1526"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2016</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32,038.50</w:t>
            </w:r>
          </w:p>
        </w:tc>
        <w:tc>
          <w:tcPr>
            <w:tcW w:w="1420"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32,038.50</w:t>
            </w:r>
          </w:p>
        </w:tc>
      </w:tr>
      <w:tr w:rsidR="00E86B52" w:rsidRPr="00E86B52" w:rsidTr="00270D7A">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Caspian American Telecomm. LLC, Baku</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2005-2007</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29,952.10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29,952.10</w:t>
            </w:r>
          </w:p>
        </w:tc>
      </w:tr>
      <w:tr w:rsidR="00E86B52" w:rsidRPr="00E86B52" w:rsidTr="00270D7A">
        <w:trPr>
          <w:trHeight w:val="300"/>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E86B52">
              <w:rPr>
                <w:b/>
                <w:bCs/>
                <w:sz w:val="22"/>
                <w:szCs w:val="22"/>
                <w:lang w:val="en-US" w:eastAsia="zh-CN"/>
              </w:rPr>
              <w:t>Bahrain</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w:t>
            </w:r>
          </w:p>
        </w:tc>
      </w:tr>
      <w:tr w:rsidR="00E86B52" w:rsidRPr="00E86B52" w:rsidTr="00270D7A">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Gateway Gulf LLC, Manama</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6,201.10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6,201.10</w:t>
            </w:r>
          </w:p>
        </w:tc>
      </w:tr>
      <w:tr w:rsidR="00E86B52" w:rsidRPr="00E86B52" w:rsidTr="00270D7A">
        <w:trPr>
          <w:trHeight w:val="300"/>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E86B52">
              <w:rPr>
                <w:b/>
                <w:bCs/>
                <w:sz w:val="22"/>
                <w:szCs w:val="22"/>
                <w:lang w:val="en-US" w:eastAsia="zh-CN"/>
              </w:rPr>
              <w:t>Belarus</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w:t>
            </w:r>
          </w:p>
        </w:tc>
      </w:tr>
      <w:tr w:rsidR="00E86B52" w:rsidRPr="00E86B52" w:rsidTr="00270D7A">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w:t>
            </w:r>
            <w:proofErr w:type="spellStart"/>
            <w:r w:rsidRPr="00E86B52">
              <w:rPr>
                <w:sz w:val="22"/>
                <w:szCs w:val="22"/>
                <w:lang w:val="en-US" w:eastAsia="zh-CN"/>
              </w:rPr>
              <w:t>Belarsat</w:t>
            </w:r>
            <w:proofErr w:type="spellEnd"/>
            <w:r w:rsidRPr="00E86B52">
              <w:rPr>
                <w:sz w:val="22"/>
                <w:szCs w:val="22"/>
                <w:lang w:val="en-US" w:eastAsia="zh-CN"/>
              </w:rPr>
              <w:t xml:space="preserve"> LLC, Minsk</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2009-2010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19,615.05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19,615.05</w:t>
            </w:r>
          </w:p>
        </w:tc>
      </w:tr>
      <w:tr w:rsidR="00E86B52" w:rsidRPr="00E86B52" w:rsidTr="00270D7A">
        <w:trPr>
          <w:trHeight w:val="300"/>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E86B52">
              <w:rPr>
                <w:b/>
                <w:bCs/>
                <w:sz w:val="22"/>
                <w:szCs w:val="22"/>
                <w:lang w:val="en-US" w:eastAsia="zh-CN"/>
              </w:rPr>
              <w:t>Belgium</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w:t>
            </w:r>
          </w:p>
        </w:tc>
      </w:tr>
      <w:tr w:rsidR="00E86B52" w:rsidRPr="00E86B52" w:rsidTr="00270D7A">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w:t>
            </w:r>
            <w:proofErr w:type="spellStart"/>
            <w:r w:rsidRPr="00E86B52">
              <w:rPr>
                <w:sz w:val="22"/>
                <w:szCs w:val="22"/>
                <w:lang w:val="en-US" w:eastAsia="zh-CN"/>
              </w:rPr>
              <w:t>AnSem</w:t>
            </w:r>
            <w:proofErr w:type="spellEnd"/>
            <w:r w:rsidRPr="00E86B52">
              <w:rPr>
                <w:sz w:val="22"/>
                <w:szCs w:val="22"/>
                <w:lang w:val="en-US" w:eastAsia="zh-CN"/>
              </w:rPr>
              <w:t xml:space="preserve">, </w:t>
            </w:r>
            <w:proofErr w:type="spellStart"/>
            <w:r w:rsidRPr="00E86B52">
              <w:rPr>
                <w:sz w:val="22"/>
                <w:szCs w:val="22"/>
                <w:lang w:val="en-US" w:eastAsia="zh-CN"/>
              </w:rPr>
              <w:t>Heverlee</w:t>
            </w:r>
            <w:proofErr w:type="spellEnd"/>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16,536.20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16,536.20</w:t>
            </w:r>
          </w:p>
        </w:tc>
      </w:tr>
      <w:tr w:rsidR="00E86B52" w:rsidRPr="00E86B52" w:rsidTr="00270D7A">
        <w:trPr>
          <w:trHeight w:val="300"/>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E86B52">
              <w:rPr>
                <w:b/>
                <w:bCs/>
                <w:sz w:val="22"/>
                <w:szCs w:val="22"/>
                <w:lang w:val="en-US" w:eastAsia="zh-CN"/>
              </w:rPr>
              <w:t>Botswana</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w:t>
            </w:r>
          </w:p>
        </w:tc>
      </w:tr>
      <w:tr w:rsidR="00E86B52" w:rsidRPr="00E86B52" w:rsidTr="00270D7A">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w:t>
            </w:r>
            <w:proofErr w:type="spellStart"/>
            <w:r w:rsidRPr="00E86B52">
              <w:rPr>
                <w:sz w:val="22"/>
                <w:szCs w:val="22"/>
                <w:lang w:val="en-US" w:eastAsia="zh-CN"/>
              </w:rPr>
              <w:t>Mascom</w:t>
            </w:r>
            <w:proofErr w:type="spellEnd"/>
            <w:r w:rsidRPr="00E86B52">
              <w:rPr>
                <w:sz w:val="22"/>
                <w:szCs w:val="22"/>
                <w:lang w:val="en-US" w:eastAsia="zh-CN"/>
              </w:rPr>
              <w:t xml:space="preserve"> Wireless Botswana (Pty), </w:t>
            </w:r>
            <w:proofErr w:type="spellStart"/>
            <w:r w:rsidRPr="00E86B52">
              <w:rPr>
                <w:sz w:val="22"/>
                <w:szCs w:val="22"/>
                <w:lang w:val="en-US" w:eastAsia="zh-CN"/>
              </w:rPr>
              <w:t>Garbone</w:t>
            </w:r>
            <w:proofErr w:type="spellEnd"/>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2012-2013</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5,242.30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5,242.30</w:t>
            </w:r>
          </w:p>
        </w:tc>
      </w:tr>
      <w:tr w:rsidR="00E86B52" w:rsidRPr="00E86B52" w:rsidTr="00270D7A">
        <w:trPr>
          <w:trHeight w:val="300"/>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E86B52">
              <w:rPr>
                <w:b/>
                <w:bCs/>
                <w:sz w:val="22"/>
                <w:szCs w:val="22"/>
                <w:lang w:val="en-US" w:eastAsia="zh-CN"/>
              </w:rPr>
              <w:t>Canada</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w:t>
            </w:r>
          </w:p>
        </w:tc>
      </w:tr>
      <w:tr w:rsidR="00E86B52"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w:t>
            </w:r>
            <w:proofErr w:type="spellStart"/>
            <w:r w:rsidRPr="00E86B52">
              <w:rPr>
                <w:sz w:val="22"/>
                <w:szCs w:val="22"/>
                <w:lang w:val="en-US" w:eastAsia="zh-CN"/>
              </w:rPr>
              <w:t>Avvasi</w:t>
            </w:r>
            <w:proofErr w:type="spellEnd"/>
            <w:r w:rsidRPr="00E86B52">
              <w:rPr>
                <w:sz w:val="22"/>
                <w:szCs w:val="22"/>
                <w:lang w:val="en-US" w:eastAsia="zh-CN"/>
              </w:rPr>
              <w:t xml:space="preserve"> Inc., Waterloo</w:t>
            </w:r>
          </w:p>
        </w:tc>
        <w:tc>
          <w:tcPr>
            <w:tcW w:w="1526"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2015</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12,356.80</w:t>
            </w:r>
          </w:p>
        </w:tc>
        <w:tc>
          <w:tcPr>
            <w:tcW w:w="1420"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12,356.80</w:t>
            </w:r>
          </w:p>
        </w:tc>
      </w:tr>
      <w:tr w:rsidR="00E86B52" w:rsidRPr="00E86B52" w:rsidTr="00270D7A">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The Institute of Mobile Technologies, Toronto</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2011-2012</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5,978.80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5,978.80</w:t>
            </w:r>
          </w:p>
        </w:tc>
      </w:tr>
      <w:tr w:rsidR="00E86B52" w:rsidRPr="00E86B52" w:rsidTr="00270D7A">
        <w:trPr>
          <w:trHeight w:val="300"/>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E86B52">
              <w:rPr>
                <w:b/>
                <w:bCs/>
                <w:sz w:val="22"/>
                <w:szCs w:val="22"/>
                <w:lang w:val="en-US" w:eastAsia="zh-CN"/>
              </w:rPr>
              <w:t>China (People's Rep. of)</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w:t>
            </w:r>
          </w:p>
        </w:tc>
      </w:tr>
      <w:tr w:rsidR="00E86B52" w:rsidRPr="00E86B52" w:rsidTr="00270D7A">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PCCW Limited, Hong Kong</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2002-2006</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956,595.25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956,595.25</w:t>
            </w:r>
          </w:p>
        </w:tc>
      </w:tr>
      <w:tr w:rsidR="00E86B52" w:rsidRPr="00E86B52" w:rsidTr="00270D7A">
        <w:trPr>
          <w:trHeight w:val="300"/>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E86B52">
              <w:rPr>
                <w:b/>
                <w:bCs/>
                <w:sz w:val="22"/>
                <w:szCs w:val="22"/>
                <w:lang w:val="en-US" w:eastAsia="zh-CN"/>
              </w:rPr>
              <w:t>Côte d'Ivoire</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w:t>
            </w:r>
          </w:p>
        </w:tc>
      </w:tr>
      <w:tr w:rsidR="00E86B52" w:rsidRPr="00E86B52" w:rsidTr="00270D7A">
        <w:trPr>
          <w:trHeight w:val="600"/>
        </w:trPr>
        <w:tc>
          <w:tcPr>
            <w:tcW w:w="482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E86B52">
              <w:rPr>
                <w:sz w:val="22"/>
                <w:szCs w:val="22"/>
                <w:lang w:val="fr-CH" w:eastAsia="zh-CN"/>
              </w:rPr>
              <w:t xml:space="preserve"> - </w:t>
            </w:r>
            <w:proofErr w:type="spellStart"/>
            <w:r w:rsidRPr="00E86B52">
              <w:rPr>
                <w:sz w:val="22"/>
                <w:szCs w:val="22"/>
                <w:lang w:val="fr-CH" w:eastAsia="zh-CN"/>
              </w:rPr>
              <w:t>Associat</w:t>
            </w:r>
            <w:proofErr w:type="spellEnd"/>
            <w:r w:rsidRPr="00E86B52">
              <w:rPr>
                <w:sz w:val="22"/>
                <w:szCs w:val="22"/>
                <w:lang w:val="fr-CH" w:eastAsia="zh-CN"/>
              </w:rPr>
              <w:t xml:space="preserve">. des </w:t>
            </w:r>
            <w:proofErr w:type="spellStart"/>
            <w:r w:rsidRPr="00E86B52">
              <w:rPr>
                <w:sz w:val="22"/>
                <w:szCs w:val="22"/>
                <w:lang w:val="fr-CH" w:eastAsia="zh-CN"/>
              </w:rPr>
              <w:t>Consommat</w:t>
            </w:r>
            <w:proofErr w:type="spellEnd"/>
            <w:r w:rsidRPr="00E86B52">
              <w:rPr>
                <w:sz w:val="22"/>
                <w:szCs w:val="22"/>
                <w:lang w:val="fr-CH" w:eastAsia="zh-CN"/>
              </w:rPr>
              <w:t xml:space="preserve">. de </w:t>
            </w:r>
            <w:proofErr w:type="spellStart"/>
            <w:r w:rsidRPr="00E86B52">
              <w:rPr>
                <w:sz w:val="22"/>
                <w:szCs w:val="22"/>
                <w:lang w:val="fr-CH" w:eastAsia="zh-CN"/>
              </w:rPr>
              <w:t>Télécomm</w:t>
            </w:r>
            <w:proofErr w:type="spellEnd"/>
            <w:r w:rsidRPr="00E86B52">
              <w:rPr>
                <w:sz w:val="22"/>
                <w:szCs w:val="22"/>
                <w:lang w:val="fr-CH" w:eastAsia="zh-CN"/>
              </w:rPr>
              <w:t>., Abidjan</w:t>
            </w:r>
          </w:p>
        </w:tc>
        <w:tc>
          <w:tcPr>
            <w:tcW w:w="1526"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2007-2008</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7,744.60</w:t>
            </w:r>
          </w:p>
        </w:tc>
        <w:tc>
          <w:tcPr>
            <w:tcW w:w="1420"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7,744.60</w:t>
            </w:r>
          </w:p>
        </w:tc>
      </w:tr>
      <w:tr w:rsidR="00E86B52" w:rsidRPr="00E86B52" w:rsidTr="00270D7A">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Côte </w:t>
            </w:r>
            <w:proofErr w:type="spellStart"/>
            <w:r w:rsidRPr="00E86B52">
              <w:rPr>
                <w:sz w:val="22"/>
                <w:szCs w:val="22"/>
                <w:lang w:val="en-US" w:eastAsia="zh-CN"/>
              </w:rPr>
              <w:t>d'Yvoire</w:t>
            </w:r>
            <w:proofErr w:type="spellEnd"/>
            <w:r w:rsidRPr="00E86B52">
              <w:rPr>
                <w:sz w:val="22"/>
                <w:szCs w:val="22"/>
                <w:lang w:val="en-US" w:eastAsia="zh-CN"/>
              </w:rPr>
              <w:t xml:space="preserve"> Telecom, Abidjan</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2002-2006</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735,397.35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735,397.35</w:t>
            </w:r>
          </w:p>
        </w:tc>
      </w:tr>
      <w:tr w:rsidR="00E86B52" w:rsidRPr="00E86B52" w:rsidTr="00270D7A">
        <w:trPr>
          <w:trHeight w:val="300"/>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E86B52">
              <w:rPr>
                <w:b/>
                <w:bCs/>
                <w:sz w:val="22"/>
                <w:szCs w:val="22"/>
                <w:lang w:val="en-US" w:eastAsia="zh-CN"/>
              </w:rPr>
              <w:t>Equatorial Guinea</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w:t>
            </w:r>
          </w:p>
        </w:tc>
      </w:tr>
      <w:tr w:rsidR="00E86B52" w:rsidRPr="00E86B52" w:rsidTr="00270D7A">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GETESA, Malabo</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2015-2016</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2,480.40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2,480.40</w:t>
            </w:r>
          </w:p>
        </w:tc>
      </w:tr>
      <w:tr w:rsidR="00E86B52" w:rsidRPr="00E86B52" w:rsidTr="00270D7A">
        <w:trPr>
          <w:trHeight w:val="300"/>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E86B52">
              <w:rPr>
                <w:b/>
                <w:bCs/>
                <w:sz w:val="22"/>
                <w:szCs w:val="22"/>
                <w:lang w:val="en-US" w:eastAsia="zh-CN"/>
              </w:rPr>
              <w:t>Egypt</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w:t>
            </w:r>
          </w:p>
        </w:tc>
      </w:tr>
      <w:tr w:rsidR="00E86B52"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w:t>
            </w:r>
            <w:proofErr w:type="spellStart"/>
            <w:r w:rsidRPr="00E86B52">
              <w:rPr>
                <w:sz w:val="22"/>
                <w:szCs w:val="22"/>
                <w:lang w:val="en-US" w:eastAsia="zh-CN"/>
              </w:rPr>
              <w:t>Barkotel</w:t>
            </w:r>
            <w:proofErr w:type="spellEnd"/>
            <w:r w:rsidRPr="00E86B52">
              <w:rPr>
                <w:sz w:val="22"/>
                <w:szCs w:val="22"/>
                <w:lang w:val="en-US" w:eastAsia="zh-CN"/>
              </w:rPr>
              <w:t xml:space="preserve"> Communications, Cairo</w:t>
            </w:r>
          </w:p>
        </w:tc>
        <w:tc>
          <w:tcPr>
            <w:tcW w:w="1526"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2002-2006</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41,891.20</w:t>
            </w:r>
          </w:p>
        </w:tc>
        <w:tc>
          <w:tcPr>
            <w:tcW w:w="1420"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41,891.20</w:t>
            </w:r>
          </w:p>
        </w:tc>
      </w:tr>
      <w:tr w:rsidR="00E86B52"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Egyptian Company for Networks, Cairo</w:t>
            </w:r>
          </w:p>
        </w:tc>
        <w:tc>
          <w:tcPr>
            <w:tcW w:w="1526"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2000-2007</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23,560.20</w:t>
            </w:r>
          </w:p>
        </w:tc>
        <w:tc>
          <w:tcPr>
            <w:tcW w:w="1420"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23,560.20</w:t>
            </w:r>
          </w:p>
        </w:tc>
      </w:tr>
      <w:tr w:rsidR="00E86B52"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w:t>
            </w:r>
            <w:proofErr w:type="spellStart"/>
            <w:r w:rsidRPr="00E86B52">
              <w:rPr>
                <w:sz w:val="22"/>
                <w:szCs w:val="22"/>
                <w:lang w:val="en-US" w:eastAsia="zh-CN"/>
              </w:rPr>
              <w:t>LINKdoNET</w:t>
            </w:r>
            <w:proofErr w:type="spellEnd"/>
            <w:r w:rsidRPr="00E86B52">
              <w:rPr>
                <w:sz w:val="22"/>
                <w:szCs w:val="22"/>
                <w:lang w:val="en-US" w:eastAsia="zh-CN"/>
              </w:rPr>
              <w:t>, Cairo</w:t>
            </w:r>
          </w:p>
        </w:tc>
        <w:tc>
          <w:tcPr>
            <w:tcW w:w="1526"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2008-2009</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6,695.05</w:t>
            </w:r>
          </w:p>
        </w:tc>
        <w:tc>
          <w:tcPr>
            <w:tcW w:w="1420"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6,695.05</w:t>
            </w:r>
          </w:p>
        </w:tc>
      </w:tr>
      <w:tr w:rsidR="00E86B52"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Telecom Consultants, Cairo</w:t>
            </w:r>
          </w:p>
        </w:tc>
        <w:tc>
          <w:tcPr>
            <w:tcW w:w="1526"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2002-2006</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43,751.65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43,751.65</w:t>
            </w:r>
          </w:p>
        </w:tc>
      </w:tr>
      <w:tr w:rsidR="00E86B52" w:rsidRPr="00E86B52" w:rsidTr="00270D7A">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Trade Fairs International, Cairo</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2000-2006</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57,597.80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57,597.80</w:t>
            </w:r>
          </w:p>
        </w:tc>
      </w:tr>
    </w:tbl>
    <w:p w:rsidR="00EC091C" w:rsidRDefault="00EC091C">
      <w:r>
        <w:br w:type="page"/>
      </w:r>
    </w:p>
    <w:tbl>
      <w:tblPr>
        <w:tblW w:w="10760" w:type="dxa"/>
        <w:tblInd w:w="-5" w:type="dxa"/>
        <w:tblLook w:val="04A0" w:firstRow="1" w:lastRow="0" w:firstColumn="1" w:lastColumn="0" w:noHBand="0" w:noVBand="1"/>
      </w:tblPr>
      <w:tblGrid>
        <w:gridCol w:w="4820"/>
        <w:gridCol w:w="1526"/>
        <w:gridCol w:w="1497"/>
        <w:gridCol w:w="1420"/>
        <w:gridCol w:w="1497"/>
      </w:tblGrid>
      <w:tr w:rsidR="000E7D94" w:rsidRPr="00E86B52" w:rsidTr="00270D7A">
        <w:trPr>
          <w:trHeight w:val="300"/>
        </w:trPr>
        <w:tc>
          <w:tcPr>
            <w:tcW w:w="4820" w:type="dxa"/>
            <w:tcBorders>
              <w:top w:val="single" w:sz="4" w:space="0" w:color="auto"/>
              <w:left w:val="single" w:sz="4" w:space="0" w:color="auto"/>
              <w:bottom w:val="nil"/>
              <w:right w:val="single" w:sz="4" w:space="0" w:color="auto"/>
            </w:tcBorders>
            <w:shd w:val="clear" w:color="auto" w:fill="auto"/>
            <w:vAlign w:val="bottom"/>
          </w:tcPr>
          <w:p w:rsidR="000E7D94" w:rsidRPr="00E86B52" w:rsidRDefault="000E7D94" w:rsidP="000E7D94">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E86B52">
              <w:rPr>
                <w:b/>
                <w:bCs/>
                <w:sz w:val="22"/>
                <w:szCs w:val="22"/>
                <w:lang w:val="en-US" w:eastAsia="zh-CN"/>
              </w:rPr>
              <w:t>B. Sector Members and other entities</w:t>
            </w:r>
            <w:r w:rsidR="00EC091C">
              <w:rPr>
                <w:b/>
                <w:bCs/>
                <w:sz w:val="22"/>
                <w:szCs w:val="22"/>
                <w:lang w:val="en-US" w:eastAsia="zh-CN"/>
              </w:rPr>
              <w:t xml:space="preserve"> (</w:t>
            </w:r>
            <w:r w:rsidR="00EC091C" w:rsidRPr="00EC091C">
              <w:rPr>
                <w:b/>
                <w:bCs/>
                <w:i/>
                <w:iCs/>
                <w:sz w:val="22"/>
                <w:szCs w:val="22"/>
                <w:lang w:val="en-US" w:eastAsia="zh-CN"/>
              </w:rPr>
              <w:t>cont’d</w:t>
            </w:r>
            <w:r w:rsidR="00EC091C">
              <w:rPr>
                <w:b/>
                <w:bCs/>
                <w:sz w:val="22"/>
                <w:szCs w:val="22"/>
                <w:lang w:val="en-US" w:eastAsia="zh-CN"/>
              </w:rPr>
              <w:t>)</w:t>
            </w:r>
          </w:p>
        </w:tc>
        <w:tc>
          <w:tcPr>
            <w:tcW w:w="1526" w:type="dxa"/>
            <w:tcBorders>
              <w:top w:val="single" w:sz="4" w:space="0" w:color="auto"/>
              <w:left w:val="single" w:sz="4" w:space="0" w:color="auto"/>
              <w:bottom w:val="nil"/>
              <w:right w:val="single" w:sz="4" w:space="0" w:color="auto"/>
            </w:tcBorders>
            <w:shd w:val="clear" w:color="auto" w:fill="auto"/>
            <w:noWrap/>
            <w:vAlign w:val="bottom"/>
          </w:tcPr>
          <w:p w:rsidR="000E7D94" w:rsidRPr="00E86B52" w:rsidRDefault="000E7D94" w:rsidP="00EC091C">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E86B52">
              <w:rPr>
                <w:b/>
                <w:bCs/>
                <w:sz w:val="22"/>
                <w:szCs w:val="22"/>
                <w:lang w:val="en-US" w:eastAsia="zh-CN"/>
              </w:rPr>
              <w:t>Year</w:t>
            </w:r>
          </w:p>
        </w:tc>
        <w:tc>
          <w:tcPr>
            <w:tcW w:w="1497" w:type="dxa"/>
            <w:tcBorders>
              <w:top w:val="single" w:sz="4" w:space="0" w:color="auto"/>
              <w:left w:val="single" w:sz="4" w:space="0" w:color="auto"/>
              <w:bottom w:val="nil"/>
              <w:right w:val="single" w:sz="4" w:space="0" w:color="auto"/>
            </w:tcBorders>
            <w:shd w:val="clear" w:color="auto" w:fill="auto"/>
            <w:noWrap/>
            <w:vAlign w:val="bottom"/>
          </w:tcPr>
          <w:p w:rsidR="000E7D94" w:rsidRPr="00E86B52" w:rsidRDefault="000E7D94" w:rsidP="000E7D94">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E86B52">
              <w:rPr>
                <w:b/>
                <w:bCs/>
                <w:sz w:val="22"/>
                <w:szCs w:val="22"/>
                <w:lang w:val="en-US" w:eastAsia="zh-CN"/>
              </w:rPr>
              <w:t>Contributions</w:t>
            </w:r>
          </w:p>
        </w:tc>
        <w:tc>
          <w:tcPr>
            <w:tcW w:w="1420" w:type="dxa"/>
            <w:tcBorders>
              <w:top w:val="single" w:sz="4" w:space="0" w:color="auto"/>
              <w:left w:val="single" w:sz="4" w:space="0" w:color="auto"/>
              <w:bottom w:val="nil"/>
              <w:right w:val="single" w:sz="4" w:space="0" w:color="auto"/>
            </w:tcBorders>
            <w:shd w:val="clear" w:color="auto" w:fill="auto"/>
            <w:noWrap/>
            <w:vAlign w:val="bottom"/>
          </w:tcPr>
          <w:p w:rsidR="000E7D94" w:rsidRPr="00E86B52" w:rsidRDefault="000E7D94" w:rsidP="000E7D94">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E86B52">
              <w:rPr>
                <w:b/>
                <w:bCs/>
                <w:sz w:val="22"/>
                <w:szCs w:val="22"/>
                <w:lang w:val="en-US" w:eastAsia="zh-CN"/>
              </w:rPr>
              <w:t>Publications</w:t>
            </w:r>
          </w:p>
        </w:tc>
        <w:tc>
          <w:tcPr>
            <w:tcW w:w="1497" w:type="dxa"/>
            <w:tcBorders>
              <w:top w:val="single" w:sz="4" w:space="0" w:color="auto"/>
              <w:left w:val="single" w:sz="4" w:space="0" w:color="auto"/>
              <w:bottom w:val="nil"/>
              <w:right w:val="single" w:sz="4" w:space="0" w:color="auto"/>
            </w:tcBorders>
            <w:shd w:val="clear" w:color="auto" w:fill="auto"/>
            <w:noWrap/>
            <w:vAlign w:val="bottom"/>
          </w:tcPr>
          <w:p w:rsidR="000E7D94" w:rsidRPr="00E86B52" w:rsidRDefault="000E7D94" w:rsidP="000E7D94">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E86B52">
              <w:rPr>
                <w:b/>
                <w:bCs/>
                <w:sz w:val="22"/>
                <w:szCs w:val="22"/>
                <w:lang w:val="en-US" w:eastAsia="zh-CN"/>
              </w:rPr>
              <w:t>Total</w:t>
            </w:r>
          </w:p>
        </w:tc>
      </w:tr>
      <w:tr w:rsidR="00E86B52" w:rsidRPr="00E86B52" w:rsidTr="00270D7A">
        <w:trPr>
          <w:trHeight w:val="300"/>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E86B52">
              <w:rPr>
                <w:b/>
                <w:bCs/>
                <w:sz w:val="22"/>
                <w:szCs w:val="22"/>
                <w:lang w:val="en-US" w:eastAsia="zh-CN"/>
              </w:rPr>
              <w:t>Fiji</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w:t>
            </w:r>
          </w:p>
        </w:tc>
      </w:tr>
      <w:tr w:rsidR="00E86B52" w:rsidRPr="00E86B52" w:rsidTr="00270D7A">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South Pacific Commission, Suva</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2012-2013</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5,239.00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5,239.00</w:t>
            </w:r>
          </w:p>
        </w:tc>
      </w:tr>
      <w:tr w:rsidR="00E86B52" w:rsidRPr="00E86B52" w:rsidTr="00270D7A">
        <w:trPr>
          <w:trHeight w:val="300"/>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E86B52">
              <w:rPr>
                <w:b/>
                <w:bCs/>
                <w:sz w:val="22"/>
                <w:szCs w:val="22"/>
                <w:lang w:val="en-US" w:eastAsia="zh-CN"/>
              </w:rPr>
              <w:t>Finland</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w:t>
            </w:r>
          </w:p>
        </w:tc>
      </w:tr>
      <w:tr w:rsidR="00E86B52" w:rsidRPr="00E86B52" w:rsidTr="00270D7A">
        <w:trPr>
          <w:trHeight w:val="6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Octagon Telecom Oy (Ex. Oy </w:t>
            </w:r>
            <w:proofErr w:type="spellStart"/>
            <w:r w:rsidRPr="00E86B52">
              <w:rPr>
                <w:sz w:val="22"/>
                <w:szCs w:val="22"/>
                <w:lang w:val="en-US" w:eastAsia="zh-CN"/>
              </w:rPr>
              <w:t>Cubio</w:t>
            </w:r>
            <w:proofErr w:type="spellEnd"/>
            <w:r w:rsidRPr="00E86B52">
              <w:rPr>
                <w:sz w:val="22"/>
                <w:szCs w:val="22"/>
                <w:lang w:val="en-US" w:eastAsia="zh-CN"/>
              </w:rPr>
              <w:t xml:space="preserve"> Communications Ltd.), Helsinki</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2012-2013</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14,406.65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14,406.65</w:t>
            </w:r>
          </w:p>
        </w:tc>
      </w:tr>
      <w:tr w:rsidR="00E86B52" w:rsidRPr="00E86B52" w:rsidTr="00270D7A">
        <w:trPr>
          <w:trHeight w:val="300"/>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E86B52">
              <w:rPr>
                <w:b/>
                <w:bCs/>
                <w:sz w:val="22"/>
                <w:szCs w:val="22"/>
                <w:lang w:val="en-US" w:eastAsia="zh-CN"/>
              </w:rPr>
              <w:t>France</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w:t>
            </w:r>
          </w:p>
        </w:tc>
      </w:tr>
      <w:tr w:rsidR="00E86B52"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w:t>
            </w:r>
            <w:proofErr w:type="spellStart"/>
            <w:r w:rsidRPr="00E86B52">
              <w:rPr>
                <w:sz w:val="22"/>
                <w:szCs w:val="22"/>
                <w:lang w:val="en-US" w:eastAsia="zh-CN"/>
              </w:rPr>
              <w:t>LegalBox</w:t>
            </w:r>
            <w:proofErr w:type="spellEnd"/>
            <w:r w:rsidRPr="00E86B52">
              <w:rPr>
                <w:sz w:val="22"/>
                <w:szCs w:val="22"/>
                <w:lang w:val="en-US" w:eastAsia="zh-CN"/>
              </w:rPr>
              <w:t>, Paris</w:t>
            </w:r>
          </w:p>
        </w:tc>
        <w:tc>
          <w:tcPr>
            <w:tcW w:w="1526"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2016</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11,657.35</w:t>
            </w:r>
          </w:p>
        </w:tc>
        <w:tc>
          <w:tcPr>
            <w:tcW w:w="1420"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11,657.35</w:t>
            </w:r>
          </w:p>
        </w:tc>
      </w:tr>
      <w:tr w:rsidR="00E86B52" w:rsidRPr="00E86B52" w:rsidTr="00270D7A">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Viable France, Paris</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2010-2012</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13,095.30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13,095.30</w:t>
            </w:r>
          </w:p>
        </w:tc>
      </w:tr>
      <w:tr w:rsidR="00E86B52" w:rsidRPr="00E86B52" w:rsidTr="00270D7A">
        <w:trPr>
          <w:trHeight w:val="300"/>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E86B52">
              <w:rPr>
                <w:b/>
                <w:bCs/>
                <w:sz w:val="22"/>
                <w:szCs w:val="22"/>
                <w:lang w:val="en-US" w:eastAsia="zh-CN"/>
              </w:rPr>
              <w:t>Ghana</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w:t>
            </w:r>
          </w:p>
        </w:tc>
      </w:tr>
      <w:tr w:rsidR="00E86B52" w:rsidRPr="00E86B52" w:rsidTr="00270D7A">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Regional Maritime University, Accra</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2012</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2,094.96</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2,094.96</w:t>
            </w:r>
          </w:p>
        </w:tc>
      </w:tr>
      <w:tr w:rsidR="00E86B52" w:rsidRPr="00E86B52" w:rsidTr="00270D7A">
        <w:trPr>
          <w:trHeight w:val="300"/>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E86B52">
              <w:rPr>
                <w:b/>
                <w:bCs/>
                <w:sz w:val="22"/>
                <w:szCs w:val="22"/>
                <w:lang w:val="en-US" w:eastAsia="zh-CN"/>
              </w:rPr>
              <w:t>Guinea</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w:t>
            </w:r>
          </w:p>
        </w:tc>
      </w:tr>
      <w:tr w:rsidR="00E86B52" w:rsidRPr="00E86B52" w:rsidTr="00270D7A">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SOTELGUI, Conakry</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2010-2012</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6,524.58</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6,524.58</w:t>
            </w:r>
          </w:p>
        </w:tc>
      </w:tr>
      <w:tr w:rsidR="00E86B52" w:rsidRPr="00E86B52" w:rsidTr="00270D7A">
        <w:trPr>
          <w:trHeight w:val="300"/>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E86B52">
              <w:rPr>
                <w:b/>
                <w:bCs/>
                <w:sz w:val="22"/>
                <w:szCs w:val="22"/>
                <w:lang w:val="en-US" w:eastAsia="zh-CN"/>
              </w:rPr>
              <w:t xml:space="preserve">Haiti </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w:t>
            </w:r>
          </w:p>
        </w:tc>
      </w:tr>
      <w:tr w:rsidR="00E86B52"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E86B52">
              <w:rPr>
                <w:sz w:val="22"/>
                <w:szCs w:val="22"/>
                <w:lang w:val="fr-CH" w:eastAsia="zh-CN"/>
              </w:rPr>
              <w:t xml:space="preserve"> - </w:t>
            </w:r>
            <w:proofErr w:type="spellStart"/>
            <w:r w:rsidRPr="00E86B52">
              <w:rPr>
                <w:sz w:val="22"/>
                <w:szCs w:val="22"/>
                <w:lang w:val="fr-CH" w:eastAsia="zh-CN"/>
              </w:rPr>
              <w:t>Communicat</w:t>
            </w:r>
            <w:proofErr w:type="spellEnd"/>
            <w:r w:rsidRPr="00E86B52">
              <w:rPr>
                <w:sz w:val="22"/>
                <w:szCs w:val="22"/>
                <w:lang w:val="fr-CH" w:eastAsia="zh-CN"/>
              </w:rPr>
              <w:t>. Cellulaire d'Haïti, Port-au-Prince</w:t>
            </w:r>
          </w:p>
        </w:tc>
        <w:tc>
          <w:tcPr>
            <w:tcW w:w="1526"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2006-2007</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106,379.60</w:t>
            </w:r>
          </w:p>
        </w:tc>
        <w:tc>
          <w:tcPr>
            <w:tcW w:w="1420"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106,379.60</w:t>
            </w:r>
          </w:p>
        </w:tc>
      </w:tr>
      <w:tr w:rsidR="00E86B52" w:rsidRPr="00E86B52" w:rsidTr="00270D7A">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E86B52">
              <w:rPr>
                <w:sz w:val="22"/>
                <w:szCs w:val="22"/>
                <w:lang w:val="fr-CH" w:eastAsia="zh-CN"/>
              </w:rPr>
              <w:t xml:space="preserve"> - </w:t>
            </w:r>
            <w:proofErr w:type="spellStart"/>
            <w:r w:rsidRPr="00E86B52">
              <w:rPr>
                <w:sz w:val="22"/>
                <w:szCs w:val="22"/>
                <w:lang w:val="fr-CH" w:eastAsia="zh-CN"/>
              </w:rPr>
              <w:t>Haiti</w:t>
            </w:r>
            <w:proofErr w:type="spellEnd"/>
            <w:r w:rsidRPr="00E86B52">
              <w:rPr>
                <w:sz w:val="22"/>
                <w:szCs w:val="22"/>
                <w:lang w:val="fr-CH" w:eastAsia="zh-CN"/>
              </w:rPr>
              <w:t xml:space="preserve"> </w:t>
            </w:r>
            <w:proofErr w:type="spellStart"/>
            <w:r w:rsidRPr="00E86B52">
              <w:rPr>
                <w:sz w:val="22"/>
                <w:szCs w:val="22"/>
                <w:lang w:val="fr-CH" w:eastAsia="zh-CN"/>
              </w:rPr>
              <w:t>Télécommunicat</w:t>
            </w:r>
            <w:proofErr w:type="spellEnd"/>
            <w:r w:rsidRPr="00E86B52">
              <w:rPr>
                <w:sz w:val="22"/>
                <w:szCs w:val="22"/>
                <w:lang w:val="fr-CH" w:eastAsia="zh-CN"/>
              </w:rPr>
              <w:t xml:space="preserve">. Int. S.A., </w:t>
            </w:r>
            <w:proofErr w:type="spellStart"/>
            <w:r w:rsidRPr="00E86B52">
              <w:rPr>
                <w:sz w:val="22"/>
                <w:szCs w:val="22"/>
                <w:lang w:val="fr-CH" w:eastAsia="zh-CN"/>
              </w:rPr>
              <w:t>Petion</w:t>
            </w:r>
            <w:proofErr w:type="spellEnd"/>
            <w:r w:rsidRPr="00E86B52">
              <w:rPr>
                <w:sz w:val="22"/>
                <w:szCs w:val="22"/>
                <w:lang w:val="fr-CH" w:eastAsia="zh-CN"/>
              </w:rPr>
              <w:t>-Ville</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2008</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55,740.10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55,740.10</w:t>
            </w:r>
          </w:p>
        </w:tc>
      </w:tr>
      <w:tr w:rsidR="00E86B52" w:rsidRPr="00E86B52" w:rsidTr="00270D7A">
        <w:trPr>
          <w:trHeight w:val="300"/>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E86B52">
              <w:rPr>
                <w:b/>
                <w:bCs/>
                <w:sz w:val="22"/>
                <w:szCs w:val="22"/>
                <w:lang w:val="en-US" w:eastAsia="zh-CN"/>
              </w:rPr>
              <w:t xml:space="preserve">Honduras </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w:t>
            </w:r>
          </w:p>
        </w:tc>
      </w:tr>
      <w:tr w:rsidR="00E86B52" w:rsidRPr="00E86B52" w:rsidTr="00270D7A">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UNITEC, Tegucigalpa</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2012</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2,759.45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2,759.45</w:t>
            </w:r>
          </w:p>
        </w:tc>
      </w:tr>
      <w:tr w:rsidR="00E86B52" w:rsidRPr="00E86B52" w:rsidTr="00270D7A">
        <w:trPr>
          <w:trHeight w:val="300"/>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E86B52">
              <w:rPr>
                <w:b/>
                <w:bCs/>
                <w:sz w:val="22"/>
                <w:szCs w:val="22"/>
                <w:lang w:val="en-US" w:eastAsia="zh-CN"/>
              </w:rPr>
              <w:t>India</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w:t>
            </w:r>
          </w:p>
        </w:tc>
      </w:tr>
      <w:tr w:rsidR="00E86B52"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Centre for Internet and Society, Bangalore</w:t>
            </w:r>
          </w:p>
        </w:tc>
        <w:tc>
          <w:tcPr>
            <w:tcW w:w="1526"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2014-2015</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4,657.30</w:t>
            </w:r>
          </w:p>
        </w:tc>
        <w:tc>
          <w:tcPr>
            <w:tcW w:w="1420"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4,657.30</w:t>
            </w:r>
          </w:p>
        </w:tc>
      </w:tr>
      <w:tr w:rsidR="00E86B52"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E86B52">
              <w:rPr>
                <w:b/>
                <w:bCs/>
                <w:sz w:val="22"/>
                <w:szCs w:val="22"/>
                <w:lang w:val="en-US" w:eastAsia="zh-CN"/>
              </w:rPr>
              <w:t xml:space="preserve"> - </w:t>
            </w:r>
            <w:r w:rsidRPr="00E86B52">
              <w:rPr>
                <w:sz w:val="22"/>
                <w:szCs w:val="22"/>
                <w:lang w:val="en-US" w:eastAsia="zh-CN"/>
              </w:rPr>
              <w:t>Data Access Ltd., New Delhi</w:t>
            </w:r>
          </w:p>
        </w:tc>
        <w:tc>
          <w:tcPr>
            <w:tcW w:w="1526"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2005-2007</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176,863.50</w:t>
            </w:r>
          </w:p>
        </w:tc>
        <w:tc>
          <w:tcPr>
            <w:tcW w:w="1420"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176,863.50</w:t>
            </w:r>
          </w:p>
        </w:tc>
      </w:tr>
      <w:tr w:rsidR="00E86B52"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Luna Ergonomics Pvt. Ltd., Noida</w:t>
            </w:r>
          </w:p>
        </w:tc>
        <w:tc>
          <w:tcPr>
            <w:tcW w:w="1526"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2011</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5,850.10</w:t>
            </w:r>
          </w:p>
        </w:tc>
        <w:tc>
          <w:tcPr>
            <w:tcW w:w="1420"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5,850.10</w:t>
            </w:r>
          </w:p>
        </w:tc>
      </w:tr>
      <w:tr w:rsidR="00E86B52"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w:t>
            </w:r>
            <w:proofErr w:type="spellStart"/>
            <w:r w:rsidRPr="00E86B52">
              <w:rPr>
                <w:sz w:val="22"/>
                <w:szCs w:val="22"/>
                <w:lang w:val="en-US" w:eastAsia="zh-CN"/>
              </w:rPr>
              <w:t>Mahanagar</w:t>
            </w:r>
            <w:proofErr w:type="spellEnd"/>
            <w:r w:rsidRPr="00E86B52">
              <w:rPr>
                <w:sz w:val="22"/>
                <w:szCs w:val="22"/>
                <w:lang w:val="en-US" w:eastAsia="zh-CN"/>
              </w:rPr>
              <w:t xml:space="preserve"> Telephone Nigam Ltd., New Delhi</w:t>
            </w:r>
          </w:p>
        </w:tc>
        <w:tc>
          <w:tcPr>
            <w:tcW w:w="1526"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2012</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49,670.35</w:t>
            </w:r>
          </w:p>
        </w:tc>
        <w:tc>
          <w:tcPr>
            <w:tcW w:w="1420"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49,670.35</w:t>
            </w:r>
          </w:p>
        </w:tc>
      </w:tr>
      <w:tr w:rsidR="00E86B52"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w:t>
            </w:r>
            <w:proofErr w:type="spellStart"/>
            <w:r w:rsidRPr="00E86B52">
              <w:rPr>
                <w:sz w:val="22"/>
                <w:szCs w:val="22"/>
                <w:lang w:val="en-US" w:eastAsia="zh-CN"/>
              </w:rPr>
              <w:t>Raitel</w:t>
            </w:r>
            <w:proofErr w:type="spellEnd"/>
            <w:r w:rsidRPr="00E86B52">
              <w:rPr>
                <w:sz w:val="22"/>
                <w:szCs w:val="22"/>
                <w:lang w:val="en-US" w:eastAsia="zh-CN"/>
              </w:rPr>
              <w:t xml:space="preserve"> Corporation of India Ltd., New Delhi</w:t>
            </w:r>
          </w:p>
        </w:tc>
        <w:tc>
          <w:tcPr>
            <w:tcW w:w="1526"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2013</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5,206.55</w:t>
            </w:r>
          </w:p>
        </w:tc>
        <w:tc>
          <w:tcPr>
            <w:tcW w:w="1420"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5,206.55</w:t>
            </w:r>
          </w:p>
        </w:tc>
      </w:tr>
      <w:tr w:rsidR="00E86B52"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Reliance </w:t>
            </w:r>
            <w:proofErr w:type="spellStart"/>
            <w:r w:rsidRPr="00E86B52">
              <w:rPr>
                <w:sz w:val="22"/>
                <w:szCs w:val="22"/>
                <w:lang w:val="en-US" w:eastAsia="zh-CN"/>
              </w:rPr>
              <w:t>Infocom</w:t>
            </w:r>
            <w:proofErr w:type="spellEnd"/>
            <w:r w:rsidRPr="00E86B52">
              <w:rPr>
                <w:sz w:val="22"/>
                <w:szCs w:val="22"/>
                <w:lang w:val="en-US" w:eastAsia="zh-CN"/>
              </w:rPr>
              <w:t xml:space="preserve"> Ltd., </w:t>
            </w:r>
            <w:proofErr w:type="spellStart"/>
            <w:r w:rsidRPr="00E86B52">
              <w:rPr>
                <w:sz w:val="22"/>
                <w:szCs w:val="22"/>
                <w:lang w:val="en-US" w:eastAsia="zh-CN"/>
              </w:rPr>
              <w:t>Navi</w:t>
            </w:r>
            <w:proofErr w:type="spellEnd"/>
            <w:r w:rsidRPr="00E86B52">
              <w:rPr>
                <w:sz w:val="22"/>
                <w:szCs w:val="22"/>
                <w:lang w:val="en-US" w:eastAsia="zh-CN"/>
              </w:rPr>
              <w:t xml:space="preserve"> Mumbai</w:t>
            </w:r>
          </w:p>
        </w:tc>
        <w:tc>
          <w:tcPr>
            <w:tcW w:w="1526"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2009</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111,743.15</w:t>
            </w:r>
          </w:p>
        </w:tc>
        <w:tc>
          <w:tcPr>
            <w:tcW w:w="1420"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111,743.15</w:t>
            </w:r>
          </w:p>
        </w:tc>
      </w:tr>
      <w:tr w:rsidR="00E86B52"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w:t>
            </w:r>
            <w:proofErr w:type="spellStart"/>
            <w:r w:rsidRPr="00E86B52">
              <w:rPr>
                <w:sz w:val="22"/>
                <w:szCs w:val="22"/>
                <w:lang w:val="en-US" w:eastAsia="zh-CN"/>
              </w:rPr>
              <w:t>Shyam</w:t>
            </w:r>
            <w:proofErr w:type="spellEnd"/>
            <w:r w:rsidRPr="00E86B52">
              <w:rPr>
                <w:sz w:val="22"/>
                <w:szCs w:val="22"/>
                <w:lang w:val="en-US" w:eastAsia="zh-CN"/>
              </w:rPr>
              <w:t xml:space="preserve"> Telecom Limited, Gurgaon</w:t>
            </w:r>
          </w:p>
        </w:tc>
        <w:tc>
          <w:tcPr>
            <w:tcW w:w="1526"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2010-2012</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5,537.15</w:t>
            </w:r>
          </w:p>
        </w:tc>
        <w:tc>
          <w:tcPr>
            <w:tcW w:w="1420"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5,537.15</w:t>
            </w:r>
          </w:p>
        </w:tc>
      </w:tr>
      <w:tr w:rsidR="00E86B52"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w:t>
            </w:r>
            <w:proofErr w:type="spellStart"/>
            <w:r w:rsidRPr="00E86B52">
              <w:rPr>
                <w:sz w:val="22"/>
                <w:szCs w:val="22"/>
                <w:lang w:val="en-US" w:eastAsia="zh-CN"/>
              </w:rPr>
              <w:t>Sinhgad</w:t>
            </w:r>
            <w:proofErr w:type="spellEnd"/>
            <w:r w:rsidRPr="00E86B52">
              <w:rPr>
                <w:sz w:val="22"/>
                <w:szCs w:val="22"/>
                <w:lang w:val="en-US" w:eastAsia="zh-CN"/>
              </w:rPr>
              <w:t xml:space="preserve"> Tech. Education Society, Pune</w:t>
            </w:r>
          </w:p>
        </w:tc>
        <w:tc>
          <w:tcPr>
            <w:tcW w:w="1526"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2011-2012</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3,934.20</w:t>
            </w:r>
          </w:p>
        </w:tc>
        <w:tc>
          <w:tcPr>
            <w:tcW w:w="1420"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3,934.20</w:t>
            </w:r>
          </w:p>
        </w:tc>
      </w:tr>
      <w:tr w:rsidR="00E86B52"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Tata Communications Ltd., New Delhi</w:t>
            </w:r>
          </w:p>
        </w:tc>
        <w:tc>
          <w:tcPr>
            <w:tcW w:w="1526"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2013</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5,206.55</w:t>
            </w:r>
          </w:p>
        </w:tc>
        <w:tc>
          <w:tcPr>
            <w:tcW w:w="1420"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5,206.55</w:t>
            </w:r>
          </w:p>
        </w:tc>
      </w:tr>
      <w:tr w:rsidR="00E86B52"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Telecommunications Consultants, New Delhi</w:t>
            </w:r>
          </w:p>
        </w:tc>
        <w:tc>
          <w:tcPr>
            <w:tcW w:w="1526"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2006-2007</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121,714.05</w:t>
            </w:r>
          </w:p>
        </w:tc>
        <w:tc>
          <w:tcPr>
            <w:tcW w:w="1420"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121,714.05</w:t>
            </w:r>
          </w:p>
        </w:tc>
      </w:tr>
      <w:tr w:rsidR="00E86B52"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w:t>
            </w:r>
            <w:proofErr w:type="spellStart"/>
            <w:r w:rsidRPr="00E86B52">
              <w:rPr>
                <w:sz w:val="22"/>
                <w:szCs w:val="22"/>
                <w:lang w:val="en-US" w:eastAsia="zh-CN"/>
              </w:rPr>
              <w:t>TranSwitch</w:t>
            </w:r>
            <w:proofErr w:type="spellEnd"/>
            <w:r w:rsidRPr="00E86B52">
              <w:rPr>
                <w:sz w:val="22"/>
                <w:szCs w:val="22"/>
                <w:lang w:val="en-US" w:eastAsia="zh-CN"/>
              </w:rPr>
              <w:t xml:space="preserve"> India Pvt. Ltd., New Delhi</w:t>
            </w:r>
          </w:p>
        </w:tc>
        <w:tc>
          <w:tcPr>
            <w:tcW w:w="1526"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2012</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14,717.15</w:t>
            </w:r>
          </w:p>
        </w:tc>
        <w:tc>
          <w:tcPr>
            <w:tcW w:w="1420"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14,717.15</w:t>
            </w:r>
          </w:p>
        </w:tc>
      </w:tr>
      <w:tr w:rsidR="00E86B52" w:rsidRPr="00E86B52" w:rsidTr="00270D7A">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Vihaan Networks Ltd., Gurgaon</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2013</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46,858.80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46,858.80</w:t>
            </w:r>
          </w:p>
        </w:tc>
      </w:tr>
      <w:tr w:rsidR="00E86B52" w:rsidRPr="00E86B52" w:rsidTr="00270D7A">
        <w:trPr>
          <w:trHeight w:val="300"/>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E86B52">
              <w:rPr>
                <w:b/>
                <w:bCs/>
                <w:sz w:val="22"/>
                <w:szCs w:val="22"/>
                <w:lang w:val="en-US" w:eastAsia="zh-CN"/>
              </w:rPr>
              <w:t>Indonesia</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w:t>
            </w:r>
          </w:p>
        </w:tc>
      </w:tr>
      <w:tr w:rsidR="00E86B52" w:rsidRPr="00E86B52" w:rsidTr="00270D7A">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E86B52" w:rsidRPr="00521DA3"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de-CH" w:eastAsia="zh-CN"/>
              </w:rPr>
            </w:pPr>
            <w:r w:rsidRPr="00521DA3">
              <w:rPr>
                <w:sz w:val="22"/>
                <w:szCs w:val="22"/>
                <w:lang w:val="de-CH" w:eastAsia="zh-CN"/>
              </w:rPr>
              <w:t xml:space="preserve"> - PT Bakrie Telecom Tbk., Jakarta</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1997-2002</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60,836.10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60,836.10</w:t>
            </w:r>
          </w:p>
        </w:tc>
      </w:tr>
      <w:tr w:rsidR="00E86B52" w:rsidRPr="00E86B52" w:rsidTr="00270D7A">
        <w:trPr>
          <w:trHeight w:val="300"/>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E86B52">
              <w:rPr>
                <w:b/>
                <w:bCs/>
                <w:sz w:val="22"/>
                <w:szCs w:val="22"/>
                <w:lang w:val="en-US" w:eastAsia="zh-CN"/>
              </w:rPr>
              <w:t>Iraq</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w:t>
            </w:r>
          </w:p>
        </w:tc>
      </w:tr>
      <w:tr w:rsidR="00E86B52" w:rsidRPr="00E86B52" w:rsidTr="00270D7A">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w:t>
            </w:r>
            <w:proofErr w:type="spellStart"/>
            <w:r w:rsidRPr="00E86B52">
              <w:rPr>
                <w:sz w:val="22"/>
                <w:szCs w:val="22"/>
                <w:lang w:val="en-US" w:eastAsia="zh-CN"/>
              </w:rPr>
              <w:t>Atheer</w:t>
            </w:r>
            <w:proofErr w:type="spellEnd"/>
            <w:r w:rsidRPr="00E86B52">
              <w:rPr>
                <w:sz w:val="22"/>
                <w:szCs w:val="22"/>
                <w:lang w:val="en-US" w:eastAsia="zh-CN"/>
              </w:rPr>
              <w:t xml:space="preserve"> Telecom Iraq Limited, Baghdad</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2016</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4,371.50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4,371.50</w:t>
            </w:r>
          </w:p>
        </w:tc>
      </w:tr>
      <w:tr w:rsidR="00E86B52" w:rsidRPr="00E86B52" w:rsidTr="00270D7A">
        <w:trPr>
          <w:trHeight w:val="300"/>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E86B52">
              <w:rPr>
                <w:b/>
                <w:bCs/>
                <w:sz w:val="22"/>
                <w:szCs w:val="22"/>
                <w:lang w:val="en-US" w:eastAsia="zh-CN"/>
              </w:rPr>
              <w:t xml:space="preserve">Israel </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w:t>
            </w:r>
          </w:p>
        </w:tc>
      </w:tr>
      <w:tr w:rsidR="00E86B52"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w:t>
            </w:r>
            <w:proofErr w:type="spellStart"/>
            <w:r w:rsidRPr="00E86B52">
              <w:rPr>
                <w:sz w:val="22"/>
                <w:szCs w:val="22"/>
                <w:lang w:val="en-US" w:eastAsia="zh-CN"/>
              </w:rPr>
              <w:t>Actelis</w:t>
            </w:r>
            <w:proofErr w:type="spellEnd"/>
            <w:r w:rsidRPr="00E86B52">
              <w:rPr>
                <w:sz w:val="22"/>
                <w:szCs w:val="22"/>
                <w:lang w:val="en-US" w:eastAsia="zh-CN"/>
              </w:rPr>
              <w:t xml:space="preserve"> Networks, Petah </w:t>
            </w:r>
            <w:proofErr w:type="spellStart"/>
            <w:r w:rsidRPr="00E86B52">
              <w:rPr>
                <w:sz w:val="22"/>
                <w:szCs w:val="22"/>
                <w:lang w:val="en-US" w:eastAsia="zh-CN"/>
              </w:rPr>
              <w:t>Tikva</w:t>
            </w:r>
            <w:proofErr w:type="spellEnd"/>
          </w:p>
        </w:tc>
        <w:tc>
          <w:tcPr>
            <w:tcW w:w="1526"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2014</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13,098.20</w:t>
            </w:r>
          </w:p>
        </w:tc>
        <w:tc>
          <w:tcPr>
            <w:tcW w:w="1420"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13,098.20</w:t>
            </w:r>
          </w:p>
        </w:tc>
      </w:tr>
      <w:tr w:rsidR="00E86B52"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w:t>
            </w:r>
            <w:proofErr w:type="spellStart"/>
            <w:r w:rsidRPr="00E86B52">
              <w:rPr>
                <w:sz w:val="22"/>
                <w:szCs w:val="22"/>
                <w:lang w:val="en-US" w:eastAsia="zh-CN"/>
              </w:rPr>
              <w:t>Alvarion</w:t>
            </w:r>
            <w:proofErr w:type="spellEnd"/>
            <w:r w:rsidRPr="00E86B52">
              <w:rPr>
                <w:sz w:val="22"/>
                <w:szCs w:val="22"/>
                <w:lang w:val="en-US" w:eastAsia="zh-CN"/>
              </w:rPr>
              <w:t xml:space="preserve"> Ltd., Tel Aviv</w:t>
            </w:r>
          </w:p>
        </w:tc>
        <w:tc>
          <w:tcPr>
            <w:tcW w:w="1526"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2011</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14,717.15</w:t>
            </w:r>
          </w:p>
        </w:tc>
        <w:tc>
          <w:tcPr>
            <w:tcW w:w="1420"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14,717.15</w:t>
            </w:r>
          </w:p>
        </w:tc>
      </w:tr>
      <w:tr w:rsidR="00E86B52"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B-</w:t>
            </w:r>
            <w:proofErr w:type="spellStart"/>
            <w:r w:rsidRPr="00E86B52">
              <w:rPr>
                <w:sz w:val="22"/>
                <w:szCs w:val="22"/>
                <w:lang w:val="en-US" w:eastAsia="zh-CN"/>
              </w:rPr>
              <w:t>Deltacom</w:t>
            </w:r>
            <w:proofErr w:type="spellEnd"/>
            <w:r w:rsidRPr="00E86B52">
              <w:rPr>
                <w:sz w:val="22"/>
                <w:szCs w:val="22"/>
                <w:lang w:val="en-US" w:eastAsia="zh-CN"/>
              </w:rPr>
              <w:t xml:space="preserve"> Ltd., </w:t>
            </w:r>
            <w:proofErr w:type="spellStart"/>
            <w:r w:rsidRPr="00E86B52">
              <w:rPr>
                <w:sz w:val="22"/>
                <w:szCs w:val="22"/>
                <w:lang w:val="en-US" w:eastAsia="zh-CN"/>
              </w:rPr>
              <w:t>Herzlia</w:t>
            </w:r>
            <w:proofErr w:type="spellEnd"/>
          </w:p>
        </w:tc>
        <w:tc>
          <w:tcPr>
            <w:tcW w:w="1526"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2009-2010</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17,166.55</w:t>
            </w:r>
          </w:p>
        </w:tc>
        <w:tc>
          <w:tcPr>
            <w:tcW w:w="1420"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17,166.55</w:t>
            </w:r>
          </w:p>
        </w:tc>
      </w:tr>
      <w:tr w:rsidR="00E86B52"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w:t>
            </w:r>
            <w:proofErr w:type="spellStart"/>
            <w:r w:rsidRPr="00E86B52">
              <w:rPr>
                <w:sz w:val="22"/>
                <w:szCs w:val="22"/>
                <w:lang w:val="en-US" w:eastAsia="zh-CN"/>
              </w:rPr>
              <w:t>Foris</w:t>
            </w:r>
            <w:proofErr w:type="spellEnd"/>
            <w:r w:rsidRPr="00E86B52">
              <w:rPr>
                <w:sz w:val="22"/>
                <w:szCs w:val="22"/>
                <w:lang w:val="en-US" w:eastAsia="zh-CN"/>
              </w:rPr>
              <w:t xml:space="preserve"> Telecom, </w:t>
            </w:r>
            <w:proofErr w:type="spellStart"/>
            <w:r w:rsidRPr="00E86B52">
              <w:rPr>
                <w:sz w:val="22"/>
                <w:szCs w:val="22"/>
                <w:lang w:val="en-US" w:eastAsia="zh-CN"/>
              </w:rPr>
              <w:t>Rishon</w:t>
            </w:r>
            <w:proofErr w:type="spellEnd"/>
            <w:r w:rsidRPr="00E86B52">
              <w:rPr>
                <w:sz w:val="22"/>
                <w:szCs w:val="22"/>
                <w:lang w:val="en-US" w:eastAsia="zh-CN"/>
              </w:rPr>
              <w:t xml:space="preserve"> Le-Zion</w:t>
            </w:r>
          </w:p>
        </w:tc>
        <w:tc>
          <w:tcPr>
            <w:tcW w:w="1526"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2009-2010</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11,718.70</w:t>
            </w:r>
          </w:p>
        </w:tc>
        <w:tc>
          <w:tcPr>
            <w:tcW w:w="1420"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11,718.70</w:t>
            </w:r>
          </w:p>
        </w:tc>
      </w:tr>
      <w:tr w:rsidR="00E86B52"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w:t>
            </w:r>
            <w:proofErr w:type="spellStart"/>
            <w:r w:rsidRPr="00E86B52">
              <w:rPr>
                <w:sz w:val="22"/>
                <w:szCs w:val="22"/>
                <w:lang w:val="en-US" w:eastAsia="zh-CN"/>
              </w:rPr>
              <w:t>Gilat</w:t>
            </w:r>
            <w:proofErr w:type="spellEnd"/>
            <w:r w:rsidRPr="00E86B52">
              <w:rPr>
                <w:sz w:val="22"/>
                <w:szCs w:val="22"/>
                <w:lang w:val="en-US" w:eastAsia="zh-CN"/>
              </w:rPr>
              <w:t xml:space="preserve"> Satellite Networks Ltd., Petah </w:t>
            </w:r>
            <w:proofErr w:type="spellStart"/>
            <w:r w:rsidRPr="00E86B52">
              <w:rPr>
                <w:sz w:val="22"/>
                <w:szCs w:val="22"/>
                <w:lang w:val="en-US" w:eastAsia="zh-CN"/>
              </w:rPr>
              <w:t>Tikva</w:t>
            </w:r>
            <w:proofErr w:type="spellEnd"/>
          </w:p>
        </w:tc>
        <w:tc>
          <w:tcPr>
            <w:tcW w:w="1526"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1997-2002</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101,130.05</w:t>
            </w:r>
          </w:p>
        </w:tc>
        <w:tc>
          <w:tcPr>
            <w:tcW w:w="1420"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101,130.05</w:t>
            </w:r>
          </w:p>
        </w:tc>
      </w:tr>
      <w:tr w:rsidR="00E86B52"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w:t>
            </w:r>
            <w:proofErr w:type="spellStart"/>
            <w:r w:rsidRPr="00E86B52">
              <w:rPr>
                <w:sz w:val="22"/>
                <w:szCs w:val="22"/>
                <w:lang w:val="en-US" w:eastAsia="zh-CN"/>
              </w:rPr>
              <w:t>Metalink</w:t>
            </w:r>
            <w:proofErr w:type="spellEnd"/>
            <w:r w:rsidRPr="00E86B52">
              <w:rPr>
                <w:sz w:val="22"/>
                <w:szCs w:val="22"/>
                <w:lang w:val="en-US" w:eastAsia="zh-CN"/>
              </w:rPr>
              <w:t xml:space="preserve"> Ltd., </w:t>
            </w:r>
            <w:proofErr w:type="spellStart"/>
            <w:r w:rsidRPr="00E86B52">
              <w:rPr>
                <w:sz w:val="22"/>
                <w:szCs w:val="22"/>
                <w:lang w:val="en-US" w:eastAsia="zh-CN"/>
              </w:rPr>
              <w:t>Yakum</w:t>
            </w:r>
            <w:proofErr w:type="spellEnd"/>
            <w:r w:rsidRPr="00E86B52">
              <w:rPr>
                <w:sz w:val="22"/>
                <w:szCs w:val="22"/>
                <w:lang w:val="en-US" w:eastAsia="zh-CN"/>
              </w:rPr>
              <w:t xml:space="preserve"> Business Park</w:t>
            </w:r>
          </w:p>
        </w:tc>
        <w:tc>
          <w:tcPr>
            <w:tcW w:w="1526"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2004-2007</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26,837.65</w:t>
            </w:r>
          </w:p>
        </w:tc>
        <w:tc>
          <w:tcPr>
            <w:tcW w:w="1420"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26,837.65</w:t>
            </w:r>
          </w:p>
        </w:tc>
      </w:tr>
      <w:tr w:rsidR="00E86B52"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w:t>
            </w:r>
            <w:proofErr w:type="spellStart"/>
            <w:r w:rsidRPr="00E86B52">
              <w:rPr>
                <w:sz w:val="22"/>
                <w:szCs w:val="22"/>
                <w:lang w:val="en-US" w:eastAsia="zh-CN"/>
              </w:rPr>
              <w:t>TangoTec</w:t>
            </w:r>
            <w:proofErr w:type="spellEnd"/>
            <w:r w:rsidRPr="00E86B52">
              <w:rPr>
                <w:sz w:val="22"/>
                <w:szCs w:val="22"/>
                <w:lang w:val="en-US" w:eastAsia="zh-CN"/>
              </w:rPr>
              <w:t>, Il Haifa</w:t>
            </w:r>
          </w:p>
        </w:tc>
        <w:tc>
          <w:tcPr>
            <w:tcW w:w="1526"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2015-2016</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11,880.85</w:t>
            </w:r>
          </w:p>
        </w:tc>
        <w:tc>
          <w:tcPr>
            <w:tcW w:w="1420"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11,880.85</w:t>
            </w:r>
          </w:p>
        </w:tc>
      </w:tr>
      <w:tr w:rsidR="00E86B52" w:rsidRPr="00E86B52" w:rsidTr="00270D7A">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E86B52" w:rsidRPr="00966288" w:rsidRDefault="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966288">
              <w:rPr>
                <w:sz w:val="22"/>
                <w:szCs w:val="22"/>
                <w:lang w:val="en-US" w:eastAsia="zh-CN"/>
              </w:rPr>
              <w:t xml:space="preserve"> - </w:t>
            </w:r>
            <w:proofErr w:type="spellStart"/>
            <w:r w:rsidRPr="00966288">
              <w:rPr>
                <w:sz w:val="22"/>
                <w:szCs w:val="22"/>
                <w:lang w:val="en-US" w:eastAsia="zh-CN"/>
              </w:rPr>
              <w:t>Telrad</w:t>
            </w:r>
            <w:proofErr w:type="spellEnd"/>
            <w:r w:rsidRPr="00966288">
              <w:rPr>
                <w:sz w:val="22"/>
                <w:szCs w:val="22"/>
                <w:lang w:val="en-US" w:eastAsia="zh-CN"/>
              </w:rPr>
              <w:t xml:space="preserve"> Networks Ltd., </w:t>
            </w:r>
            <w:r w:rsidR="003D2130" w:rsidRPr="00966288">
              <w:rPr>
                <w:lang w:val="en-US"/>
              </w:rPr>
              <w:t xml:space="preserve"> Rosh Ha</w:t>
            </w:r>
            <w:r w:rsidR="003D2130" w:rsidRPr="00966288">
              <w:rPr>
                <w:rFonts w:ascii="Arial" w:hAnsi="Arial" w:cs="Arial"/>
                <w:cs/>
              </w:rPr>
              <w:t>‎</w:t>
            </w:r>
            <w:r w:rsidR="003D2130" w:rsidRPr="00966288">
              <w:rPr>
                <w:lang w:val="en-US"/>
              </w:rPr>
              <w:t>’</w:t>
            </w:r>
            <w:proofErr w:type="spellStart"/>
            <w:r w:rsidR="003D2130" w:rsidRPr="00966288">
              <w:rPr>
                <w:lang w:val="en-US"/>
              </w:rPr>
              <w:t>ayin</w:t>
            </w:r>
            <w:proofErr w:type="spellEnd"/>
            <w:r w:rsidR="003D2130" w:rsidRPr="00966288">
              <w:rPr>
                <w:lang w:val="en-US"/>
              </w:rPr>
              <w:t> </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E86B52" w:rsidRPr="00966288"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966288">
              <w:rPr>
                <w:sz w:val="22"/>
                <w:szCs w:val="22"/>
                <w:lang w:val="en-US" w:eastAsia="zh-CN"/>
              </w:rPr>
              <w:t>1998-2006</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966288"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966288">
              <w:rPr>
                <w:sz w:val="22"/>
                <w:szCs w:val="22"/>
                <w:lang w:val="en-US" w:eastAsia="zh-CN"/>
              </w:rPr>
              <w:t>88,316.00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86B52" w:rsidRPr="00966288"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966288">
              <w:rPr>
                <w:sz w:val="22"/>
                <w:szCs w:val="22"/>
                <w:lang w:val="en-US" w:eastAsia="zh-CN"/>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966288">
              <w:rPr>
                <w:sz w:val="22"/>
                <w:szCs w:val="22"/>
                <w:lang w:val="en-US" w:eastAsia="zh-CN"/>
              </w:rPr>
              <w:t>88,316.00</w:t>
            </w:r>
          </w:p>
        </w:tc>
      </w:tr>
      <w:tr w:rsidR="000E7D94" w:rsidRPr="00E86B52" w:rsidTr="00270D7A">
        <w:trPr>
          <w:trHeight w:val="300"/>
        </w:trPr>
        <w:tc>
          <w:tcPr>
            <w:tcW w:w="4820" w:type="dxa"/>
            <w:tcBorders>
              <w:top w:val="single" w:sz="4" w:space="0" w:color="auto"/>
              <w:left w:val="single" w:sz="4" w:space="0" w:color="auto"/>
              <w:bottom w:val="nil"/>
              <w:right w:val="single" w:sz="4" w:space="0" w:color="auto"/>
            </w:tcBorders>
            <w:shd w:val="clear" w:color="auto" w:fill="auto"/>
            <w:vAlign w:val="bottom"/>
          </w:tcPr>
          <w:p w:rsidR="000E7D94" w:rsidRPr="00E86B52" w:rsidRDefault="000E7D94" w:rsidP="000E7D94">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E86B52">
              <w:rPr>
                <w:b/>
                <w:bCs/>
                <w:sz w:val="22"/>
                <w:szCs w:val="22"/>
                <w:lang w:val="en-US" w:eastAsia="zh-CN"/>
              </w:rPr>
              <w:t>B. Sector Members and other entities</w:t>
            </w:r>
            <w:r w:rsidR="00EC091C">
              <w:rPr>
                <w:b/>
                <w:bCs/>
                <w:sz w:val="22"/>
                <w:szCs w:val="22"/>
                <w:lang w:val="en-US" w:eastAsia="zh-CN"/>
              </w:rPr>
              <w:t xml:space="preserve"> (</w:t>
            </w:r>
            <w:r w:rsidR="00EC091C" w:rsidRPr="00EC091C">
              <w:rPr>
                <w:b/>
                <w:bCs/>
                <w:i/>
                <w:iCs/>
                <w:sz w:val="22"/>
                <w:szCs w:val="22"/>
                <w:lang w:val="en-US" w:eastAsia="zh-CN"/>
              </w:rPr>
              <w:t>cont’d</w:t>
            </w:r>
            <w:r w:rsidR="00EC091C">
              <w:rPr>
                <w:b/>
                <w:bCs/>
                <w:sz w:val="22"/>
                <w:szCs w:val="22"/>
                <w:lang w:val="en-US" w:eastAsia="zh-CN"/>
              </w:rPr>
              <w:t>)</w:t>
            </w:r>
          </w:p>
        </w:tc>
        <w:tc>
          <w:tcPr>
            <w:tcW w:w="1526" w:type="dxa"/>
            <w:tcBorders>
              <w:top w:val="single" w:sz="4" w:space="0" w:color="auto"/>
              <w:left w:val="single" w:sz="4" w:space="0" w:color="auto"/>
              <w:bottom w:val="nil"/>
              <w:right w:val="single" w:sz="4" w:space="0" w:color="auto"/>
            </w:tcBorders>
            <w:shd w:val="clear" w:color="auto" w:fill="auto"/>
            <w:noWrap/>
            <w:vAlign w:val="bottom"/>
          </w:tcPr>
          <w:p w:rsidR="000E7D94" w:rsidRPr="00E86B52" w:rsidRDefault="000E7D94" w:rsidP="000E7D94">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E86B52">
              <w:rPr>
                <w:b/>
                <w:bCs/>
                <w:sz w:val="22"/>
                <w:szCs w:val="22"/>
                <w:lang w:val="en-US" w:eastAsia="zh-CN"/>
              </w:rPr>
              <w:t>Year</w:t>
            </w:r>
          </w:p>
        </w:tc>
        <w:tc>
          <w:tcPr>
            <w:tcW w:w="1497" w:type="dxa"/>
            <w:tcBorders>
              <w:top w:val="single" w:sz="4" w:space="0" w:color="auto"/>
              <w:left w:val="single" w:sz="4" w:space="0" w:color="auto"/>
              <w:bottom w:val="nil"/>
              <w:right w:val="single" w:sz="4" w:space="0" w:color="auto"/>
            </w:tcBorders>
            <w:shd w:val="clear" w:color="auto" w:fill="auto"/>
            <w:noWrap/>
            <w:vAlign w:val="bottom"/>
          </w:tcPr>
          <w:p w:rsidR="000E7D94" w:rsidRPr="00E86B52" w:rsidRDefault="000E7D94" w:rsidP="000E7D94">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E86B52">
              <w:rPr>
                <w:b/>
                <w:bCs/>
                <w:sz w:val="22"/>
                <w:szCs w:val="22"/>
                <w:lang w:val="en-US" w:eastAsia="zh-CN"/>
              </w:rPr>
              <w:t>Contributions</w:t>
            </w:r>
          </w:p>
        </w:tc>
        <w:tc>
          <w:tcPr>
            <w:tcW w:w="1420" w:type="dxa"/>
            <w:tcBorders>
              <w:top w:val="single" w:sz="4" w:space="0" w:color="auto"/>
              <w:left w:val="single" w:sz="4" w:space="0" w:color="auto"/>
              <w:bottom w:val="nil"/>
              <w:right w:val="single" w:sz="4" w:space="0" w:color="auto"/>
            </w:tcBorders>
            <w:shd w:val="clear" w:color="auto" w:fill="auto"/>
            <w:noWrap/>
            <w:vAlign w:val="bottom"/>
          </w:tcPr>
          <w:p w:rsidR="000E7D94" w:rsidRPr="00E86B52" w:rsidRDefault="000E7D94" w:rsidP="000E7D94">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E86B52">
              <w:rPr>
                <w:b/>
                <w:bCs/>
                <w:sz w:val="22"/>
                <w:szCs w:val="22"/>
                <w:lang w:val="en-US" w:eastAsia="zh-CN"/>
              </w:rPr>
              <w:t>Publications</w:t>
            </w:r>
          </w:p>
        </w:tc>
        <w:tc>
          <w:tcPr>
            <w:tcW w:w="1497" w:type="dxa"/>
            <w:tcBorders>
              <w:top w:val="single" w:sz="4" w:space="0" w:color="auto"/>
              <w:left w:val="single" w:sz="4" w:space="0" w:color="auto"/>
              <w:bottom w:val="nil"/>
              <w:right w:val="single" w:sz="4" w:space="0" w:color="auto"/>
            </w:tcBorders>
            <w:shd w:val="clear" w:color="auto" w:fill="auto"/>
            <w:noWrap/>
            <w:vAlign w:val="bottom"/>
          </w:tcPr>
          <w:p w:rsidR="000E7D94" w:rsidRPr="00E86B52" w:rsidRDefault="000E7D94" w:rsidP="000E7D94">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E86B52">
              <w:rPr>
                <w:b/>
                <w:bCs/>
                <w:sz w:val="22"/>
                <w:szCs w:val="22"/>
                <w:lang w:val="en-US" w:eastAsia="zh-CN"/>
              </w:rPr>
              <w:t>Total</w:t>
            </w:r>
          </w:p>
        </w:tc>
      </w:tr>
      <w:tr w:rsidR="00E86B52" w:rsidRPr="00E86B52" w:rsidTr="00270D7A">
        <w:trPr>
          <w:trHeight w:val="300"/>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E86B52">
              <w:rPr>
                <w:b/>
                <w:bCs/>
                <w:sz w:val="22"/>
                <w:szCs w:val="22"/>
                <w:lang w:val="en-US" w:eastAsia="zh-CN"/>
              </w:rPr>
              <w:t>Italy</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w:t>
            </w: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w:t>
            </w: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w:t>
            </w:r>
          </w:p>
        </w:tc>
      </w:tr>
      <w:tr w:rsidR="00E86B52"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s-ES_tradnl" w:eastAsia="zh-CN"/>
              </w:rPr>
            </w:pPr>
            <w:r w:rsidRPr="00E86B52">
              <w:rPr>
                <w:sz w:val="22"/>
                <w:szCs w:val="22"/>
                <w:lang w:val="es-ES_tradnl" w:eastAsia="zh-CN"/>
              </w:rPr>
              <w:t xml:space="preserve"> - </w:t>
            </w:r>
            <w:proofErr w:type="spellStart"/>
            <w:r w:rsidRPr="00E86B52">
              <w:rPr>
                <w:sz w:val="22"/>
                <w:szCs w:val="22"/>
                <w:lang w:val="es-ES_tradnl" w:eastAsia="zh-CN"/>
              </w:rPr>
              <w:t>Aethra</w:t>
            </w:r>
            <w:proofErr w:type="spellEnd"/>
            <w:r w:rsidRPr="00E86B52">
              <w:rPr>
                <w:sz w:val="22"/>
                <w:szCs w:val="22"/>
                <w:lang w:val="es-ES_tradnl" w:eastAsia="zh-CN"/>
              </w:rPr>
              <w:t xml:space="preserve"> </w:t>
            </w:r>
            <w:proofErr w:type="spellStart"/>
            <w:r w:rsidRPr="00E86B52">
              <w:rPr>
                <w:sz w:val="22"/>
                <w:szCs w:val="22"/>
                <w:lang w:val="es-ES_tradnl" w:eastAsia="zh-CN"/>
              </w:rPr>
              <w:t>S.p.A</w:t>
            </w:r>
            <w:proofErr w:type="spellEnd"/>
            <w:r w:rsidRPr="00E86B52">
              <w:rPr>
                <w:sz w:val="22"/>
                <w:szCs w:val="22"/>
                <w:lang w:val="es-ES_tradnl" w:eastAsia="zh-CN"/>
              </w:rPr>
              <w:t xml:space="preserve">., </w:t>
            </w:r>
            <w:proofErr w:type="spellStart"/>
            <w:r w:rsidRPr="00E86B52">
              <w:rPr>
                <w:sz w:val="22"/>
                <w:szCs w:val="22"/>
                <w:lang w:val="es-ES_tradnl" w:eastAsia="zh-CN"/>
              </w:rPr>
              <w:t>Palombina</w:t>
            </w:r>
            <w:proofErr w:type="spellEnd"/>
          </w:p>
        </w:tc>
        <w:tc>
          <w:tcPr>
            <w:tcW w:w="1526"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2007-2008</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35,276.45</w:t>
            </w:r>
          </w:p>
        </w:tc>
        <w:tc>
          <w:tcPr>
            <w:tcW w:w="1420"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35,276.45</w:t>
            </w:r>
          </w:p>
        </w:tc>
      </w:tr>
      <w:tr w:rsidR="00E86B52"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E86B52">
              <w:rPr>
                <w:sz w:val="22"/>
                <w:szCs w:val="22"/>
                <w:lang w:val="fr-CH" w:eastAsia="zh-CN"/>
              </w:rPr>
              <w:t xml:space="preserve"> - </w:t>
            </w:r>
            <w:proofErr w:type="spellStart"/>
            <w:r w:rsidRPr="00E86B52">
              <w:rPr>
                <w:sz w:val="22"/>
                <w:szCs w:val="22"/>
                <w:lang w:val="fr-CH" w:eastAsia="zh-CN"/>
              </w:rPr>
              <w:t>Selex</w:t>
            </w:r>
            <w:proofErr w:type="spellEnd"/>
            <w:r w:rsidRPr="00E86B52">
              <w:rPr>
                <w:sz w:val="22"/>
                <w:szCs w:val="22"/>
                <w:lang w:val="fr-CH" w:eastAsia="zh-CN"/>
              </w:rPr>
              <w:t xml:space="preserve"> Communications </w:t>
            </w:r>
            <w:proofErr w:type="spellStart"/>
            <w:r w:rsidRPr="00E86B52">
              <w:rPr>
                <w:sz w:val="22"/>
                <w:szCs w:val="22"/>
                <w:lang w:val="fr-CH" w:eastAsia="zh-CN"/>
              </w:rPr>
              <w:t>S.p.A</w:t>
            </w:r>
            <w:proofErr w:type="spellEnd"/>
            <w:r w:rsidRPr="00E86B52">
              <w:rPr>
                <w:sz w:val="22"/>
                <w:szCs w:val="22"/>
                <w:lang w:val="fr-CH" w:eastAsia="zh-CN"/>
              </w:rPr>
              <w:t xml:space="preserve">., Genova </w:t>
            </w:r>
          </w:p>
        </w:tc>
        <w:tc>
          <w:tcPr>
            <w:tcW w:w="1526"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2001-2007</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515,526.40</w:t>
            </w:r>
          </w:p>
        </w:tc>
        <w:tc>
          <w:tcPr>
            <w:tcW w:w="1420"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515,526.40</w:t>
            </w:r>
          </w:p>
        </w:tc>
      </w:tr>
      <w:tr w:rsidR="00E86B52"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E86B52">
              <w:rPr>
                <w:b/>
                <w:bCs/>
                <w:sz w:val="22"/>
                <w:szCs w:val="22"/>
                <w:lang w:val="en-US" w:eastAsia="zh-CN"/>
              </w:rPr>
              <w:t>Jordan</w:t>
            </w:r>
          </w:p>
        </w:tc>
        <w:tc>
          <w:tcPr>
            <w:tcW w:w="1526"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w:t>
            </w:r>
          </w:p>
        </w:tc>
      </w:tr>
      <w:tr w:rsidR="00E86B52"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Jordan Mobile Telecomm.,  Amman</w:t>
            </w:r>
          </w:p>
        </w:tc>
        <w:tc>
          <w:tcPr>
            <w:tcW w:w="1526"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2016</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4,371.50</w:t>
            </w:r>
          </w:p>
        </w:tc>
        <w:tc>
          <w:tcPr>
            <w:tcW w:w="1420"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4,371.50</w:t>
            </w:r>
          </w:p>
        </w:tc>
      </w:tr>
      <w:tr w:rsidR="00E86B52"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Middle East Communications (MEC), Amman</w:t>
            </w:r>
          </w:p>
        </w:tc>
        <w:tc>
          <w:tcPr>
            <w:tcW w:w="1526"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2008-2009</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6,604.25</w:t>
            </w:r>
          </w:p>
        </w:tc>
        <w:tc>
          <w:tcPr>
            <w:tcW w:w="1420"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6,604.25</w:t>
            </w:r>
          </w:p>
        </w:tc>
      </w:tr>
      <w:tr w:rsidR="00E86B52"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Talal Abu-</w:t>
            </w:r>
            <w:proofErr w:type="spellStart"/>
            <w:r w:rsidRPr="00E86B52">
              <w:rPr>
                <w:sz w:val="22"/>
                <w:szCs w:val="22"/>
                <w:lang w:val="en-US" w:eastAsia="zh-CN"/>
              </w:rPr>
              <w:t>Ghazaleh</w:t>
            </w:r>
            <w:proofErr w:type="spellEnd"/>
            <w:r w:rsidRPr="00E86B52">
              <w:rPr>
                <w:sz w:val="22"/>
                <w:szCs w:val="22"/>
                <w:lang w:val="en-US" w:eastAsia="zh-CN"/>
              </w:rPr>
              <w:t xml:space="preserve"> &amp; Co., Amman</w:t>
            </w:r>
          </w:p>
        </w:tc>
        <w:tc>
          <w:tcPr>
            <w:tcW w:w="1526"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2006-2007</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15,214.35</w:t>
            </w:r>
          </w:p>
        </w:tc>
        <w:tc>
          <w:tcPr>
            <w:tcW w:w="1420"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15,214.35</w:t>
            </w:r>
          </w:p>
        </w:tc>
      </w:tr>
      <w:tr w:rsidR="00E86B52" w:rsidRPr="00E86B52" w:rsidTr="00270D7A">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Xpress, Amman</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2007-2009</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6,325.65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6,325.65</w:t>
            </w:r>
          </w:p>
        </w:tc>
      </w:tr>
      <w:tr w:rsidR="00E86B52" w:rsidRPr="00E86B52" w:rsidTr="00270D7A">
        <w:trPr>
          <w:trHeight w:val="300"/>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E86B52">
              <w:rPr>
                <w:b/>
                <w:bCs/>
                <w:sz w:val="22"/>
                <w:szCs w:val="22"/>
                <w:lang w:val="en-US" w:eastAsia="zh-CN"/>
              </w:rPr>
              <w:t xml:space="preserve">Kazakhstan </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w:t>
            </w:r>
          </w:p>
        </w:tc>
      </w:tr>
      <w:tr w:rsidR="00E86B52" w:rsidRPr="00E86B52" w:rsidTr="00270D7A">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Kazakh Academy of Transp. &amp; Comm., Almaty</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2008-2009</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7,168.40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7,168.40</w:t>
            </w:r>
          </w:p>
        </w:tc>
      </w:tr>
      <w:tr w:rsidR="00E86B52" w:rsidRPr="00E86B52" w:rsidTr="00270D7A">
        <w:trPr>
          <w:trHeight w:val="300"/>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E86B52">
              <w:rPr>
                <w:b/>
                <w:bCs/>
                <w:sz w:val="22"/>
                <w:szCs w:val="22"/>
                <w:lang w:val="en-US" w:eastAsia="zh-CN"/>
              </w:rPr>
              <w:t xml:space="preserve">Kenya </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w:t>
            </w:r>
          </w:p>
        </w:tc>
      </w:tr>
      <w:tr w:rsidR="00E86B52"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E86B52">
              <w:rPr>
                <w:b/>
                <w:bCs/>
                <w:sz w:val="22"/>
                <w:szCs w:val="22"/>
                <w:lang w:val="en-US" w:eastAsia="zh-CN"/>
              </w:rPr>
              <w:t xml:space="preserve"> - </w:t>
            </w:r>
            <w:proofErr w:type="spellStart"/>
            <w:r w:rsidRPr="00E86B52">
              <w:rPr>
                <w:sz w:val="22"/>
                <w:szCs w:val="22"/>
                <w:lang w:val="en-US" w:eastAsia="zh-CN"/>
              </w:rPr>
              <w:t>Intersat</w:t>
            </w:r>
            <w:proofErr w:type="spellEnd"/>
            <w:r w:rsidRPr="00E86B52">
              <w:rPr>
                <w:sz w:val="22"/>
                <w:szCs w:val="22"/>
                <w:lang w:val="en-US" w:eastAsia="zh-CN"/>
              </w:rPr>
              <w:t xml:space="preserve"> Africa Limited, Nairobi</w:t>
            </w:r>
          </w:p>
        </w:tc>
        <w:tc>
          <w:tcPr>
            <w:tcW w:w="1526"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2010-2012</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5,724.90</w:t>
            </w:r>
          </w:p>
        </w:tc>
        <w:tc>
          <w:tcPr>
            <w:tcW w:w="1420"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5,724.90</w:t>
            </w:r>
          </w:p>
        </w:tc>
      </w:tr>
      <w:tr w:rsidR="00E86B52" w:rsidRPr="00E86B52" w:rsidTr="00270D7A">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w:t>
            </w:r>
            <w:proofErr w:type="spellStart"/>
            <w:r w:rsidRPr="00E86B52">
              <w:rPr>
                <w:sz w:val="22"/>
                <w:szCs w:val="22"/>
                <w:lang w:val="en-US" w:eastAsia="zh-CN"/>
              </w:rPr>
              <w:t>Telcom</w:t>
            </w:r>
            <w:proofErr w:type="spellEnd"/>
            <w:r w:rsidRPr="00E86B52">
              <w:rPr>
                <w:sz w:val="22"/>
                <w:szCs w:val="22"/>
                <w:lang w:val="en-US" w:eastAsia="zh-CN"/>
              </w:rPr>
              <w:t xml:space="preserve"> Kenya Limited, Nairobi</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2005-2007</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314,529.60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314,529.60</w:t>
            </w:r>
          </w:p>
        </w:tc>
      </w:tr>
      <w:tr w:rsidR="00E86B52" w:rsidRPr="00E86B52" w:rsidTr="00270D7A">
        <w:trPr>
          <w:trHeight w:val="300"/>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E86B52">
              <w:rPr>
                <w:b/>
                <w:bCs/>
                <w:sz w:val="22"/>
                <w:szCs w:val="22"/>
                <w:lang w:val="en-US" w:eastAsia="zh-CN"/>
              </w:rPr>
              <w:t>Korea (Rep. of)</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w:t>
            </w:r>
          </w:p>
        </w:tc>
      </w:tr>
      <w:tr w:rsidR="00E86B52" w:rsidRPr="00E86B52" w:rsidTr="00270D7A">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Ericsson-LG, Anyang-Shi</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2013-2014</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13,186.55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13,186.55</w:t>
            </w:r>
          </w:p>
        </w:tc>
      </w:tr>
      <w:tr w:rsidR="00E86B52" w:rsidRPr="00E86B52" w:rsidTr="00270D7A">
        <w:trPr>
          <w:trHeight w:val="300"/>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E86B52">
              <w:rPr>
                <w:b/>
                <w:bCs/>
                <w:sz w:val="22"/>
                <w:szCs w:val="22"/>
                <w:lang w:val="en-US" w:eastAsia="zh-CN"/>
              </w:rPr>
              <w:t xml:space="preserve">Kuwait </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w:t>
            </w:r>
          </w:p>
        </w:tc>
      </w:tr>
      <w:tr w:rsidR="00E86B52" w:rsidRPr="00E86B52" w:rsidTr="00270D7A">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The Arabian Business Franchise, </w:t>
            </w:r>
            <w:proofErr w:type="spellStart"/>
            <w:r w:rsidRPr="00E86B52">
              <w:rPr>
                <w:sz w:val="22"/>
                <w:szCs w:val="22"/>
                <w:lang w:val="en-US" w:eastAsia="zh-CN"/>
              </w:rPr>
              <w:t>Hawalli</w:t>
            </w:r>
            <w:proofErr w:type="spellEnd"/>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2006-2007</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15,214.35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15,214.35</w:t>
            </w:r>
          </w:p>
        </w:tc>
      </w:tr>
      <w:tr w:rsidR="00E86B52" w:rsidRPr="00E86B52" w:rsidTr="00270D7A">
        <w:trPr>
          <w:trHeight w:val="300"/>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E86B52">
              <w:rPr>
                <w:b/>
                <w:bCs/>
                <w:sz w:val="22"/>
                <w:szCs w:val="22"/>
                <w:lang w:val="en-US" w:eastAsia="zh-CN"/>
              </w:rPr>
              <w:t>Kyrgyzstan</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w:t>
            </w:r>
          </w:p>
        </w:tc>
      </w:tr>
      <w:tr w:rsidR="00E86B52"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w:t>
            </w:r>
            <w:proofErr w:type="spellStart"/>
            <w:r w:rsidRPr="00E86B52">
              <w:rPr>
                <w:sz w:val="22"/>
                <w:szCs w:val="22"/>
                <w:lang w:val="en-US" w:eastAsia="zh-CN"/>
              </w:rPr>
              <w:t>Alippe</w:t>
            </w:r>
            <w:proofErr w:type="spellEnd"/>
            <w:r w:rsidRPr="00E86B52">
              <w:rPr>
                <w:sz w:val="22"/>
                <w:szCs w:val="22"/>
                <w:lang w:val="en-US" w:eastAsia="zh-CN"/>
              </w:rPr>
              <w:t xml:space="preserve"> TV, Bishkek</w:t>
            </w:r>
          </w:p>
        </w:tc>
        <w:tc>
          <w:tcPr>
            <w:tcW w:w="1526"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2013</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5,206.55</w:t>
            </w:r>
          </w:p>
        </w:tc>
        <w:tc>
          <w:tcPr>
            <w:tcW w:w="1420"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5,206.55</w:t>
            </w:r>
          </w:p>
        </w:tc>
      </w:tr>
      <w:tr w:rsidR="00E86B52" w:rsidRPr="00E86B52" w:rsidTr="00270D7A">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w:t>
            </w:r>
            <w:proofErr w:type="spellStart"/>
            <w:r w:rsidRPr="00E86B52">
              <w:rPr>
                <w:sz w:val="22"/>
                <w:szCs w:val="22"/>
                <w:lang w:val="en-US" w:eastAsia="zh-CN"/>
              </w:rPr>
              <w:t>Kyrgyztelecom</w:t>
            </w:r>
            <w:proofErr w:type="spellEnd"/>
            <w:r w:rsidRPr="00E86B52">
              <w:rPr>
                <w:sz w:val="22"/>
                <w:szCs w:val="22"/>
                <w:lang w:val="en-US" w:eastAsia="zh-CN"/>
              </w:rPr>
              <w:t xml:space="preserve"> OJSC, Bishkek</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2016</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4,371.50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4,371.50</w:t>
            </w:r>
          </w:p>
        </w:tc>
      </w:tr>
      <w:tr w:rsidR="00E86B52" w:rsidRPr="00E86B52" w:rsidTr="00270D7A">
        <w:trPr>
          <w:trHeight w:val="300"/>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E86B52">
              <w:rPr>
                <w:b/>
                <w:bCs/>
                <w:sz w:val="22"/>
                <w:szCs w:val="22"/>
                <w:lang w:val="en-US" w:eastAsia="zh-CN"/>
              </w:rPr>
              <w:t>Lebanon</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w:t>
            </w:r>
          </w:p>
        </w:tc>
      </w:tr>
      <w:tr w:rsidR="00E86B52"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Al-</w:t>
            </w:r>
            <w:proofErr w:type="spellStart"/>
            <w:r w:rsidRPr="00E86B52">
              <w:rPr>
                <w:sz w:val="22"/>
                <w:szCs w:val="22"/>
                <w:lang w:val="en-US" w:eastAsia="zh-CN"/>
              </w:rPr>
              <w:t>Iktissad</w:t>
            </w:r>
            <w:proofErr w:type="spellEnd"/>
            <w:r w:rsidRPr="00E86B52">
              <w:rPr>
                <w:sz w:val="22"/>
                <w:szCs w:val="22"/>
                <w:lang w:val="en-US" w:eastAsia="zh-CN"/>
              </w:rPr>
              <w:t xml:space="preserve"> </w:t>
            </w:r>
            <w:proofErr w:type="spellStart"/>
            <w:r w:rsidRPr="00E86B52">
              <w:rPr>
                <w:sz w:val="22"/>
                <w:szCs w:val="22"/>
                <w:lang w:val="en-US" w:eastAsia="zh-CN"/>
              </w:rPr>
              <w:t>Wal-Aamal</w:t>
            </w:r>
            <w:proofErr w:type="spellEnd"/>
            <w:r w:rsidRPr="00E86B52">
              <w:rPr>
                <w:sz w:val="22"/>
                <w:szCs w:val="22"/>
                <w:lang w:val="en-US" w:eastAsia="zh-CN"/>
              </w:rPr>
              <w:t xml:space="preserve"> Group, </w:t>
            </w:r>
            <w:proofErr w:type="spellStart"/>
            <w:r w:rsidRPr="00E86B52">
              <w:rPr>
                <w:sz w:val="22"/>
                <w:szCs w:val="22"/>
                <w:lang w:val="en-US" w:eastAsia="zh-CN"/>
              </w:rPr>
              <w:t>Beyrouth</w:t>
            </w:r>
            <w:proofErr w:type="spellEnd"/>
          </w:p>
        </w:tc>
        <w:tc>
          <w:tcPr>
            <w:tcW w:w="1526"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2015</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4,633.80</w:t>
            </w:r>
          </w:p>
        </w:tc>
        <w:tc>
          <w:tcPr>
            <w:tcW w:w="1420"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4,633.80</w:t>
            </w:r>
          </w:p>
        </w:tc>
      </w:tr>
      <w:tr w:rsidR="00E86B52"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w:t>
            </w:r>
            <w:proofErr w:type="spellStart"/>
            <w:r w:rsidRPr="00E86B52">
              <w:rPr>
                <w:sz w:val="22"/>
                <w:szCs w:val="22"/>
                <w:lang w:val="en-US" w:eastAsia="zh-CN"/>
              </w:rPr>
              <w:t>Arabcom</w:t>
            </w:r>
            <w:proofErr w:type="spellEnd"/>
            <w:r w:rsidRPr="00E86B52">
              <w:rPr>
                <w:sz w:val="22"/>
                <w:szCs w:val="22"/>
                <w:lang w:val="en-US" w:eastAsia="zh-CN"/>
              </w:rPr>
              <w:t xml:space="preserve"> </w:t>
            </w:r>
            <w:proofErr w:type="spellStart"/>
            <w:r w:rsidRPr="00E86B52">
              <w:rPr>
                <w:sz w:val="22"/>
                <w:szCs w:val="22"/>
                <w:lang w:val="en-US" w:eastAsia="zh-CN"/>
              </w:rPr>
              <w:t>Hitek</w:t>
            </w:r>
            <w:proofErr w:type="spellEnd"/>
            <w:r w:rsidRPr="00E86B52">
              <w:rPr>
                <w:sz w:val="22"/>
                <w:szCs w:val="22"/>
                <w:lang w:val="en-US" w:eastAsia="zh-CN"/>
              </w:rPr>
              <w:t>, Beirut</w:t>
            </w:r>
          </w:p>
        </w:tc>
        <w:tc>
          <w:tcPr>
            <w:tcW w:w="1526"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2001-2006</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54,099.50</w:t>
            </w:r>
          </w:p>
        </w:tc>
        <w:tc>
          <w:tcPr>
            <w:tcW w:w="1420"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54,099.50</w:t>
            </w:r>
          </w:p>
        </w:tc>
      </w:tr>
      <w:tr w:rsidR="00E86B52"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w:t>
            </w:r>
            <w:proofErr w:type="spellStart"/>
            <w:r w:rsidRPr="00E86B52">
              <w:rPr>
                <w:sz w:val="22"/>
                <w:szCs w:val="22"/>
                <w:lang w:val="en-US" w:eastAsia="zh-CN"/>
              </w:rPr>
              <w:t>ExiCon</w:t>
            </w:r>
            <w:proofErr w:type="spellEnd"/>
            <w:r w:rsidRPr="00E86B52">
              <w:rPr>
                <w:sz w:val="22"/>
                <w:szCs w:val="22"/>
                <w:lang w:val="en-US" w:eastAsia="zh-CN"/>
              </w:rPr>
              <w:t xml:space="preserve"> International Group, Beirut</w:t>
            </w:r>
          </w:p>
        </w:tc>
        <w:tc>
          <w:tcPr>
            <w:tcW w:w="1526"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2010-2011</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5,885.65</w:t>
            </w:r>
          </w:p>
        </w:tc>
        <w:tc>
          <w:tcPr>
            <w:tcW w:w="1420"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5,885.65</w:t>
            </w:r>
          </w:p>
        </w:tc>
      </w:tr>
      <w:tr w:rsidR="00E86B52"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IDMI Sal offshore, Beirut</w:t>
            </w:r>
          </w:p>
        </w:tc>
        <w:tc>
          <w:tcPr>
            <w:tcW w:w="1526"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2011</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5,850.10</w:t>
            </w:r>
          </w:p>
        </w:tc>
        <w:tc>
          <w:tcPr>
            <w:tcW w:w="1420"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5,850.10</w:t>
            </w:r>
          </w:p>
        </w:tc>
      </w:tr>
      <w:tr w:rsidR="00E86B52"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MNT/</w:t>
            </w:r>
            <w:proofErr w:type="spellStart"/>
            <w:r w:rsidRPr="00E86B52">
              <w:rPr>
                <w:sz w:val="22"/>
                <w:szCs w:val="22"/>
                <w:lang w:val="en-US" w:eastAsia="zh-CN"/>
              </w:rPr>
              <w:t>Investcom</w:t>
            </w:r>
            <w:proofErr w:type="spellEnd"/>
            <w:r w:rsidRPr="00E86B52">
              <w:rPr>
                <w:sz w:val="22"/>
                <w:szCs w:val="22"/>
                <w:lang w:val="en-US" w:eastAsia="zh-CN"/>
              </w:rPr>
              <w:t xml:space="preserve"> LLC, Beirut</w:t>
            </w:r>
          </w:p>
        </w:tc>
        <w:tc>
          <w:tcPr>
            <w:tcW w:w="1526"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2008</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6,967.55</w:t>
            </w:r>
          </w:p>
        </w:tc>
        <w:tc>
          <w:tcPr>
            <w:tcW w:w="1420"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6,967.55</w:t>
            </w:r>
          </w:p>
        </w:tc>
      </w:tr>
      <w:tr w:rsidR="00E86B52" w:rsidRPr="00E86B52" w:rsidTr="00270D7A">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w:t>
            </w:r>
            <w:proofErr w:type="spellStart"/>
            <w:r w:rsidRPr="00E86B52">
              <w:rPr>
                <w:sz w:val="22"/>
                <w:szCs w:val="22"/>
                <w:lang w:val="en-US" w:eastAsia="zh-CN"/>
              </w:rPr>
              <w:t>Telecommunicat</w:t>
            </w:r>
            <w:proofErr w:type="spellEnd"/>
            <w:r w:rsidRPr="00E86B52">
              <w:rPr>
                <w:sz w:val="22"/>
                <w:szCs w:val="22"/>
                <w:lang w:val="en-US" w:eastAsia="zh-CN"/>
              </w:rPr>
              <w:t>. Regulatory Authority, Beirut</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2015</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6,740.60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6,740.60</w:t>
            </w:r>
          </w:p>
        </w:tc>
      </w:tr>
      <w:tr w:rsidR="00E86B52" w:rsidRPr="00E86B52" w:rsidTr="00270D7A">
        <w:trPr>
          <w:trHeight w:val="300"/>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E86B52">
              <w:rPr>
                <w:b/>
                <w:bCs/>
                <w:sz w:val="22"/>
                <w:szCs w:val="22"/>
                <w:lang w:val="en-US" w:eastAsia="zh-CN"/>
              </w:rPr>
              <w:t xml:space="preserve">Liberia </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E86B52">
              <w:rPr>
                <w:b/>
                <w:bCs/>
                <w:sz w:val="22"/>
                <w:szCs w:val="22"/>
                <w:lang w:val="en-US" w:eastAsia="zh-CN"/>
              </w:rPr>
              <w:t> </w:t>
            </w:r>
          </w:p>
        </w:tc>
      </w:tr>
      <w:tr w:rsidR="00E86B52" w:rsidRPr="00E86B52" w:rsidTr="00270D7A">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West Africa Telecomm. Inc., Monrovia</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2007</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7,385.60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7,385.60</w:t>
            </w:r>
          </w:p>
        </w:tc>
      </w:tr>
      <w:tr w:rsidR="00E86B52" w:rsidRPr="00E86B52" w:rsidTr="00270D7A">
        <w:trPr>
          <w:trHeight w:val="300"/>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E86B52">
              <w:rPr>
                <w:b/>
                <w:bCs/>
                <w:sz w:val="22"/>
                <w:szCs w:val="22"/>
                <w:lang w:val="en-US" w:eastAsia="zh-CN"/>
              </w:rPr>
              <w:t>Libya</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w:t>
            </w:r>
          </w:p>
        </w:tc>
      </w:tr>
      <w:tr w:rsidR="00E86B52" w:rsidRPr="00E86B52" w:rsidTr="00270D7A">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w:t>
            </w:r>
            <w:proofErr w:type="spellStart"/>
            <w:r w:rsidRPr="00E86B52">
              <w:rPr>
                <w:sz w:val="22"/>
                <w:szCs w:val="22"/>
                <w:lang w:val="en-US" w:eastAsia="zh-CN"/>
              </w:rPr>
              <w:t>Libyana</w:t>
            </w:r>
            <w:proofErr w:type="spellEnd"/>
            <w:r w:rsidRPr="00E86B52">
              <w:rPr>
                <w:sz w:val="22"/>
                <w:szCs w:val="22"/>
                <w:lang w:val="en-US" w:eastAsia="zh-CN"/>
              </w:rPr>
              <w:t xml:space="preserve"> Mobile Phone Company, Tripoli</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2010-2012</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131,734.30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131,734.30</w:t>
            </w:r>
          </w:p>
        </w:tc>
      </w:tr>
      <w:tr w:rsidR="00E86B52" w:rsidRPr="00E86B52" w:rsidTr="00270D7A">
        <w:trPr>
          <w:trHeight w:val="300"/>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E86B52">
              <w:rPr>
                <w:b/>
                <w:bCs/>
                <w:sz w:val="22"/>
                <w:szCs w:val="22"/>
                <w:lang w:val="en-US" w:eastAsia="zh-CN"/>
              </w:rPr>
              <w:t>Mauritania</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w:t>
            </w:r>
          </w:p>
        </w:tc>
      </w:tr>
      <w:tr w:rsidR="00E86B52" w:rsidRPr="00E86B52" w:rsidTr="00270D7A">
        <w:trPr>
          <w:trHeight w:val="600"/>
        </w:trPr>
        <w:tc>
          <w:tcPr>
            <w:tcW w:w="482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E86B52">
              <w:rPr>
                <w:sz w:val="22"/>
                <w:szCs w:val="22"/>
                <w:lang w:val="fr-CH" w:eastAsia="zh-CN"/>
              </w:rPr>
              <w:t xml:space="preserve"> - Agence de Promotion de l'Accès aux Services (APAUS), Nouakchott</w:t>
            </w:r>
          </w:p>
        </w:tc>
        <w:tc>
          <w:tcPr>
            <w:tcW w:w="1526"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2012</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5,518.95</w:t>
            </w:r>
          </w:p>
        </w:tc>
        <w:tc>
          <w:tcPr>
            <w:tcW w:w="1420"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5,518.95</w:t>
            </w:r>
          </w:p>
        </w:tc>
      </w:tr>
      <w:tr w:rsidR="00E86B52"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w:t>
            </w:r>
            <w:proofErr w:type="spellStart"/>
            <w:r w:rsidRPr="00E86B52">
              <w:rPr>
                <w:sz w:val="22"/>
                <w:szCs w:val="22"/>
                <w:lang w:val="en-US" w:eastAsia="zh-CN"/>
              </w:rPr>
              <w:t>Chinguitel</w:t>
            </w:r>
            <w:proofErr w:type="spellEnd"/>
            <w:r w:rsidRPr="00E86B52">
              <w:rPr>
                <w:sz w:val="22"/>
                <w:szCs w:val="22"/>
                <w:lang w:val="en-US" w:eastAsia="zh-CN"/>
              </w:rPr>
              <w:t xml:space="preserve"> SA, Nouakchott</w:t>
            </w:r>
          </w:p>
        </w:tc>
        <w:tc>
          <w:tcPr>
            <w:tcW w:w="1526"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2013-2015</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4,681.50</w:t>
            </w:r>
          </w:p>
        </w:tc>
        <w:tc>
          <w:tcPr>
            <w:tcW w:w="1420"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4,681.50</w:t>
            </w:r>
          </w:p>
        </w:tc>
      </w:tr>
      <w:tr w:rsidR="00E86B52" w:rsidRPr="00E86B52" w:rsidTr="00FC3A9A">
        <w:trPr>
          <w:trHeight w:val="609"/>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E86B52">
              <w:rPr>
                <w:sz w:val="22"/>
                <w:szCs w:val="22"/>
                <w:lang w:val="fr-CH" w:eastAsia="zh-CN"/>
              </w:rPr>
              <w:t xml:space="preserve"> - Société mauritaniennes des télécommunications (MAURITEL S.A.), Nouakchott</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2008</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62,707.70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62,707.70</w:t>
            </w:r>
          </w:p>
        </w:tc>
      </w:tr>
      <w:tr w:rsidR="00E86B52" w:rsidRPr="00E86B52" w:rsidTr="00270D7A">
        <w:trPr>
          <w:trHeight w:val="300"/>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E86B52">
              <w:rPr>
                <w:b/>
                <w:bCs/>
                <w:sz w:val="22"/>
                <w:szCs w:val="22"/>
                <w:lang w:val="en-US" w:eastAsia="zh-CN"/>
              </w:rPr>
              <w:t>Mexico</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w:t>
            </w:r>
          </w:p>
        </w:tc>
      </w:tr>
      <w:tr w:rsidR="00E86B52" w:rsidRPr="00E86B52" w:rsidTr="00270D7A">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CANITEC, Mexico</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2011-2013</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5,385.40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5,385.40</w:t>
            </w:r>
          </w:p>
        </w:tc>
      </w:tr>
      <w:tr w:rsidR="00E86B52" w:rsidRPr="00E86B52" w:rsidTr="00270D7A">
        <w:trPr>
          <w:trHeight w:val="300"/>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E86B52">
              <w:rPr>
                <w:b/>
                <w:bCs/>
                <w:sz w:val="22"/>
                <w:szCs w:val="22"/>
                <w:lang w:val="en-US" w:eastAsia="zh-CN"/>
              </w:rPr>
              <w:t>Morocco</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w:t>
            </w:r>
          </w:p>
        </w:tc>
      </w:tr>
      <w:tr w:rsidR="00E86B52" w:rsidRPr="00E86B52" w:rsidTr="00270D7A">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E7D94" w:rsidRPr="00E86B52" w:rsidRDefault="00E86B52" w:rsidP="000E7D94">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CKM Holding, Casablanca</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2000-2006</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51,099.20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51,099.20</w:t>
            </w:r>
          </w:p>
        </w:tc>
      </w:tr>
    </w:tbl>
    <w:p w:rsidR="00931FB7" w:rsidRDefault="00931FB7"/>
    <w:tbl>
      <w:tblPr>
        <w:tblW w:w="10760" w:type="dxa"/>
        <w:tblInd w:w="-5" w:type="dxa"/>
        <w:tblLook w:val="04A0" w:firstRow="1" w:lastRow="0" w:firstColumn="1" w:lastColumn="0" w:noHBand="0" w:noVBand="1"/>
      </w:tblPr>
      <w:tblGrid>
        <w:gridCol w:w="4820"/>
        <w:gridCol w:w="1526"/>
        <w:gridCol w:w="1497"/>
        <w:gridCol w:w="1420"/>
        <w:gridCol w:w="1497"/>
      </w:tblGrid>
      <w:tr w:rsidR="000E7D94" w:rsidRPr="00E86B52" w:rsidTr="00270D7A">
        <w:trPr>
          <w:trHeight w:val="300"/>
        </w:trPr>
        <w:tc>
          <w:tcPr>
            <w:tcW w:w="4820" w:type="dxa"/>
            <w:tcBorders>
              <w:top w:val="single" w:sz="4" w:space="0" w:color="auto"/>
              <w:left w:val="single" w:sz="4" w:space="0" w:color="auto"/>
              <w:bottom w:val="nil"/>
              <w:right w:val="single" w:sz="4" w:space="0" w:color="auto"/>
            </w:tcBorders>
            <w:shd w:val="clear" w:color="auto" w:fill="auto"/>
            <w:vAlign w:val="bottom"/>
          </w:tcPr>
          <w:p w:rsidR="000E7D94" w:rsidRPr="00E86B52" w:rsidRDefault="000E7D94" w:rsidP="000E7D94">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E86B52">
              <w:rPr>
                <w:b/>
                <w:bCs/>
                <w:sz w:val="22"/>
                <w:szCs w:val="22"/>
                <w:lang w:val="en-US" w:eastAsia="zh-CN"/>
              </w:rPr>
              <w:t>B. Sector Members and other entities</w:t>
            </w:r>
            <w:r w:rsidR="00EC091C">
              <w:rPr>
                <w:b/>
                <w:bCs/>
                <w:sz w:val="22"/>
                <w:szCs w:val="22"/>
                <w:lang w:val="en-US" w:eastAsia="zh-CN"/>
              </w:rPr>
              <w:t xml:space="preserve"> (</w:t>
            </w:r>
            <w:r w:rsidR="00EC091C" w:rsidRPr="00EC091C">
              <w:rPr>
                <w:b/>
                <w:bCs/>
                <w:i/>
                <w:iCs/>
                <w:sz w:val="22"/>
                <w:szCs w:val="22"/>
                <w:lang w:val="en-US" w:eastAsia="zh-CN"/>
              </w:rPr>
              <w:t>cont’d</w:t>
            </w:r>
            <w:r w:rsidR="00EC091C">
              <w:rPr>
                <w:b/>
                <w:bCs/>
                <w:sz w:val="22"/>
                <w:szCs w:val="22"/>
                <w:lang w:val="en-US" w:eastAsia="zh-CN"/>
              </w:rPr>
              <w:t>)</w:t>
            </w:r>
          </w:p>
        </w:tc>
        <w:tc>
          <w:tcPr>
            <w:tcW w:w="1526" w:type="dxa"/>
            <w:tcBorders>
              <w:top w:val="single" w:sz="4" w:space="0" w:color="auto"/>
              <w:left w:val="single" w:sz="4" w:space="0" w:color="auto"/>
              <w:bottom w:val="nil"/>
              <w:right w:val="single" w:sz="4" w:space="0" w:color="auto"/>
            </w:tcBorders>
            <w:shd w:val="clear" w:color="auto" w:fill="auto"/>
            <w:noWrap/>
            <w:vAlign w:val="bottom"/>
          </w:tcPr>
          <w:p w:rsidR="000E7D94" w:rsidRPr="00E86B52" w:rsidRDefault="000E7D94" w:rsidP="00EC091C">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E86B52">
              <w:rPr>
                <w:b/>
                <w:bCs/>
                <w:sz w:val="22"/>
                <w:szCs w:val="22"/>
                <w:lang w:val="en-US" w:eastAsia="zh-CN"/>
              </w:rPr>
              <w:t>Year</w:t>
            </w:r>
          </w:p>
        </w:tc>
        <w:tc>
          <w:tcPr>
            <w:tcW w:w="1497" w:type="dxa"/>
            <w:tcBorders>
              <w:top w:val="single" w:sz="4" w:space="0" w:color="auto"/>
              <w:left w:val="single" w:sz="4" w:space="0" w:color="auto"/>
              <w:bottom w:val="nil"/>
              <w:right w:val="single" w:sz="4" w:space="0" w:color="auto"/>
            </w:tcBorders>
            <w:shd w:val="clear" w:color="auto" w:fill="auto"/>
            <w:noWrap/>
            <w:vAlign w:val="bottom"/>
          </w:tcPr>
          <w:p w:rsidR="000E7D94" w:rsidRPr="00E86B52" w:rsidRDefault="000E7D94" w:rsidP="000E7D94">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E86B52">
              <w:rPr>
                <w:b/>
                <w:bCs/>
                <w:sz w:val="22"/>
                <w:szCs w:val="22"/>
                <w:lang w:val="en-US" w:eastAsia="zh-CN"/>
              </w:rPr>
              <w:t>Contributions</w:t>
            </w:r>
          </w:p>
        </w:tc>
        <w:tc>
          <w:tcPr>
            <w:tcW w:w="1420" w:type="dxa"/>
            <w:tcBorders>
              <w:top w:val="single" w:sz="4" w:space="0" w:color="auto"/>
              <w:left w:val="single" w:sz="4" w:space="0" w:color="auto"/>
              <w:bottom w:val="nil"/>
              <w:right w:val="single" w:sz="4" w:space="0" w:color="auto"/>
            </w:tcBorders>
            <w:shd w:val="clear" w:color="auto" w:fill="auto"/>
            <w:noWrap/>
            <w:vAlign w:val="bottom"/>
          </w:tcPr>
          <w:p w:rsidR="000E7D94" w:rsidRPr="00E86B52" w:rsidRDefault="000E7D94" w:rsidP="000E7D94">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E86B52">
              <w:rPr>
                <w:b/>
                <w:bCs/>
                <w:sz w:val="22"/>
                <w:szCs w:val="22"/>
                <w:lang w:val="en-US" w:eastAsia="zh-CN"/>
              </w:rPr>
              <w:t>Publications</w:t>
            </w:r>
          </w:p>
        </w:tc>
        <w:tc>
          <w:tcPr>
            <w:tcW w:w="1497" w:type="dxa"/>
            <w:tcBorders>
              <w:top w:val="single" w:sz="4" w:space="0" w:color="auto"/>
              <w:left w:val="single" w:sz="4" w:space="0" w:color="auto"/>
              <w:bottom w:val="nil"/>
              <w:right w:val="single" w:sz="4" w:space="0" w:color="auto"/>
            </w:tcBorders>
            <w:shd w:val="clear" w:color="auto" w:fill="auto"/>
            <w:noWrap/>
            <w:vAlign w:val="bottom"/>
          </w:tcPr>
          <w:p w:rsidR="000E7D94" w:rsidRPr="00E86B52" w:rsidRDefault="000E7D94" w:rsidP="000E7D94">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E86B52">
              <w:rPr>
                <w:b/>
                <w:bCs/>
                <w:sz w:val="22"/>
                <w:szCs w:val="22"/>
                <w:lang w:val="en-US" w:eastAsia="zh-CN"/>
              </w:rPr>
              <w:t>Total</w:t>
            </w:r>
          </w:p>
        </w:tc>
      </w:tr>
      <w:tr w:rsidR="00E86B52" w:rsidRPr="00E86B52" w:rsidTr="00270D7A">
        <w:trPr>
          <w:trHeight w:val="300"/>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E86B52">
              <w:rPr>
                <w:b/>
                <w:bCs/>
                <w:sz w:val="22"/>
                <w:szCs w:val="22"/>
                <w:lang w:val="en-US" w:eastAsia="zh-CN"/>
              </w:rPr>
              <w:t xml:space="preserve">Mozambique </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w:t>
            </w:r>
          </w:p>
        </w:tc>
      </w:tr>
      <w:tr w:rsidR="00E86B52" w:rsidRPr="00E86B52" w:rsidTr="00270D7A">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Southern Africa Telecomm. </w:t>
            </w:r>
            <w:proofErr w:type="spellStart"/>
            <w:r w:rsidRPr="00E86B52">
              <w:rPr>
                <w:sz w:val="22"/>
                <w:szCs w:val="22"/>
                <w:lang w:val="en-US" w:eastAsia="zh-CN"/>
              </w:rPr>
              <w:t>Associat</w:t>
            </w:r>
            <w:proofErr w:type="spellEnd"/>
            <w:r w:rsidRPr="00E86B52">
              <w:rPr>
                <w:sz w:val="22"/>
                <w:szCs w:val="22"/>
                <w:lang w:val="en-US" w:eastAsia="zh-CN"/>
              </w:rPr>
              <w:t>., Maputo</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2002-2006</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280,002.65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280,002.65</w:t>
            </w:r>
          </w:p>
        </w:tc>
      </w:tr>
      <w:tr w:rsidR="00E86B52" w:rsidRPr="00E86B52" w:rsidTr="00270D7A">
        <w:trPr>
          <w:trHeight w:val="300"/>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E86B52">
              <w:rPr>
                <w:b/>
                <w:bCs/>
                <w:sz w:val="22"/>
                <w:szCs w:val="22"/>
                <w:lang w:val="en-US" w:eastAsia="zh-CN"/>
              </w:rPr>
              <w:t>Netherlands</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w:t>
            </w:r>
          </w:p>
        </w:tc>
      </w:tr>
      <w:tr w:rsidR="00E86B52" w:rsidRPr="00E86B52" w:rsidTr="00270D7A">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w:t>
            </w:r>
            <w:proofErr w:type="spellStart"/>
            <w:r w:rsidRPr="00E86B52">
              <w:rPr>
                <w:sz w:val="22"/>
                <w:szCs w:val="22"/>
                <w:lang w:val="en-US" w:eastAsia="zh-CN"/>
              </w:rPr>
              <w:t>Smitcoms</w:t>
            </w:r>
            <w:proofErr w:type="spellEnd"/>
            <w:r w:rsidRPr="00E86B52">
              <w:rPr>
                <w:sz w:val="22"/>
                <w:szCs w:val="22"/>
                <w:lang w:val="en-US" w:eastAsia="zh-CN"/>
              </w:rPr>
              <w:t xml:space="preserve"> N.V., St. Maarten</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2004-2007</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514,292.65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514,292.65</w:t>
            </w:r>
          </w:p>
        </w:tc>
      </w:tr>
      <w:tr w:rsidR="00E86B52" w:rsidRPr="00E86B52" w:rsidTr="00270D7A">
        <w:trPr>
          <w:trHeight w:val="300"/>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E86B52">
              <w:rPr>
                <w:b/>
                <w:bCs/>
                <w:sz w:val="22"/>
                <w:szCs w:val="22"/>
                <w:lang w:val="en-US" w:eastAsia="zh-CN"/>
              </w:rPr>
              <w:t xml:space="preserve">Nigeria </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w:t>
            </w:r>
          </w:p>
        </w:tc>
      </w:tr>
      <w:tr w:rsidR="00E86B52" w:rsidRPr="00E86B52" w:rsidTr="00270D7A">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Nigerian Communications Ltd. (NITEL), Abuja</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2004-2007</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282,301.85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282,301.85</w:t>
            </w:r>
          </w:p>
        </w:tc>
      </w:tr>
      <w:tr w:rsidR="00E86B52" w:rsidRPr="00E86B52" w:rsidTr="00270D7A">
        <w:trPr>
          <w:trHeight w:val="300"/>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E86B52">
              <w:rPr>
                <w:b/>
                <w:bCs/>
                <w:sz w:val="22"/>
                <w:szCs w:val="22"/>
                <w:lang w:val="en-US" w:eastAsia="zh-CN"/>
              </w:rPr>
              <w:t xml:space="preserve">Pakistan </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w:t>
            </w:r>
          </w:p>
        </w:tc>
      </w:tr>
      <w:tr w:rsidR="00E86B52"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w:t>
            </w:r>
            <w:proofErr w:type="spellStart"/>
            <w:r w:rsidRPr="00E86B52">
              <w:rPr>
                <w:sz w:val="22"/>
                <w:szCs w:val="22"/>
                <w:lang w:val="en-US" w:eastAsia="zh-CN"/>
              </w:rPr>
              <w:t>Callmate</w:t>
            </w:r>
            <w:proofErr w:type="spellEnd"/>
            <w:r w:rsidRPr="00E86B52">
              <w:rPr>
                <w:sz w:val="22"/>
                <w:szCs w:val="22"/>
                <w:lang w:val="en-US" w:eastAsia="zh-CN"/>
              </w:rPr>
              <w:t xml:space="preserve"> </w:t>
            </w:r>
            <w:proofErr w:type="spellStart"/>
            <w:r w:rsidRPr="00E86B52">
              <w:rPr>
                <w:sz w:val="22"/>
                <w:szCs w:val="22"/>
                <w:lang w:val="en-US" w:eastAsia="zh-CN"/>
              </w:rPr>
              <w:t>Telips</w:t>
            </w:r>
            <w:proofErr w:type="spellEnd"/>
            <w:r w:rsidRPr="00E86B52">
              <w:rPr>
                <w:sz w:val="22"/>
                <w:szCs w:val="22"/>
                <w:lang w:val="en-US" w:eastAsia="zh-CN"/>
              </w:rPr>
              <w:t xml:space="preserve"> Telecom Ltd., Karachi</w:t>
            </w:r>
          </w:p>
        </w:tc>
        <w:tc>
          <w:tcPr>
            <w:tcW w:w="1526"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2006-2007</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87,372.75</w:t>
            </w:r>
          </w:p>
        </w:tc>
        <w:tc>
          <w:tcPr>
            <w:tcW w:w="1420"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87,372.75</w:t>
            </w:r>
          </w:p>
        </w:tc>
      </w:tr>
      <w:tr w:rsidR="00E86B52"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w:t>
            </w:r>
            <w:proofErr w:type="spellStart"/>
            <w:r w:rsidRPr="00E86B52">
              <w:rPr>
                <w:sz w:val="22"/>
                <w:szCs w:val="22"/>
                <w:lang w:val="en-US" w:eastAsia="zh-CN"/>
              </w:rPr>
              <w:t>CMPak</w:t>
            </w:r>
            <w:proofErr w:type="spellEnd"/>
            <w:r w:rsidRPr="00E86B52">
              <w:rPr>
                <w:sz w:val="22"/>
                <w:szCs w:val="22"/>
                <w:lang w:val="en-US" w:eastAsia="zh-CN"/>
              </w:rPr>
              <w:t xml:space="preserve"> Limited, Islamabad</w:t>
            </w:r>
          </w:p>
        </w:tc>
        <w:tc>
          <w:tcPr>
            <w:tcW w:w="1526"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2015</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2,316.90</w:t>
            </w:r>
          </w:p>
        </w:tc>
        <w:tc>
          <w:tcPr>
            <w:tcW w:w="1420"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2,316.90</w:t>
            </w:r>
          </w:p>
        </w:tc>
      </w:tr>
      <w:tr w:rsidR="00E86B52"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e </w:t>
            </w:r>
            <w:proofErr w:type="spellStart"/>
            <w:r w:rsidRPr="00E86B52">
              <w:rPr>
                <w:sz w:val="22"/>
                <w:szCs w:val="22"/>
                <w:lang w:val="en-US" w:eastAsia="zh-CN"/>
              </w:rPr>
              <w:t>Worlwide</w:t>
            </w:r>
            <w:proofErr w:type="spellEnd"/>
            <w:r w:rsidRPr="00E86B52">
              <w:rPr>
                <w:sz w:val="22"/>
                <w:szCs w:val="22"/>
                <w:lang w:val="en-US" w:eastAsia="zh-CN"/>
              </w:rPr>
              <w:t xml:space="preserve"> Group, Islamabad</w:t>
            </w:r>
          </w:p>
        </w:tc>
        <w:tc>
          <w:tcPr>
            <w:tcW w:w="1526"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2011-2013</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5,286.05</w:t>
            </w:r>
          </w:p>
        </w:tc>
        <w:tc>
          <w:tcPr>
            <w:tcW w:w="1420"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5,286.05</w:t>
            </w:r>
          </w:p>
        </w:tc>
      </w:tr>
      <w:tr w:rsidR="00E86B52"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Pakistan Institute of Human Rights, Islamabad</w:t>
            </w:r>
          </w:p>
        </w:tc>
        <w:tc>
          <w:tcPr>
            <w:tcW w:w="1526"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2012-2013</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6,740.70</w:t>
            </w:r>
          </w:p>
        </w:tc>
        <w:tc>
          <w:tcPr>
            <w:tcW w:w="1420"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6,740.70</w:t>
            </w:r>
          </w:p>
        </w:tc>
      </w:tr>
      <w:tr w:rsidR="00E86B52"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w:t>
            </w:r>
            <w:proofErr w:type="spellStart"/>
            <w:r w:rsidRPr="00E86B52">
              <w:rPr>
                <w:sz w:val="22"/>
                <w:szCs w:val="22"/>
                <w:lang w:val="en-US" w:eastAsia="zh-CN"/>
              </w:rPr>
              <w:t>Paktel</w:t>
            </w:r>
            <w:proofErr w:type="spellEnd"/>
            <w:r w:rsidRPr="00E86B52">
              <w:rPr>
                <w:sz w:val="22"/>
                <w:szCs w:val="22"/>
                <w:lang w:val="en-US" w:eastAsia="zh-CN"/>
              </w:rPr>
              <w:t xml:space="preserve"> Limited, Islamabad</w:t>
            </w:r>
          </w:p>
        </w:tc>
        <w:tc>
          <w:tcPr>
            <w:tcW w:w="1526"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2007</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7,385.60</w:t>
            </w:r>
          </w:p>
        </w:tc>
        <w:tc>
          <w:tcPr>
            <w:tcW w:w="1420"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7,385.60</w:t>
            </w:r>
          </w:p>
        </w:tc>
      </w:tr>
      <w:tr w:rsidR="00E86B52" w:rsidRPr="00E86B52" w:rsidTr="00270D7A">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E86B52" w:rsidRPr="00521DA3"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de-CH" w:eastAsia="zh-CN"/>
              </w:rPr>
            </w:pPr>
            <w:r w:rsidRPr="00521DA3">
              <w:rPr>
                <w:sz w:val="22"/>
                <w:szCs w:val="22"/>
                <w:lang w:val="de-CH" w:eastAsia="zh-CN"/>
              </w:rPr>
              <w:t xml:space="preserve"> - Sysnet Pakistan (Pvt) Ltd., Karachi </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2003-2006</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29,174.30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29,174.30</w:t>
            </w:r>
          </w:p>
        </w:tc>
      </w:tr>
      <w:tr w:rsidR="00E86B52" w:rsidRPr="00E86B52" w:rsidTr="00270D7A">
        <w:trPr>
          <w:trHeight w:val="300"/>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E86B52">
              <w:rPr>
                <w:b/>
                <w:bCs/>
                <w:sz w:val="22"/>
                <w:szCs w:val="22"/>
                <w:lang w:val="en-US" w:eastAsia="zh-CN"/>
              </w:rPr>
              <w:t xml:space="preserve">Philippines </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w:t>
            </w:r>
          </w:p>
        </w:tc>
      </w:tr>
      <w:tr w:rsidR="00E86B52" w:rsidRPr="00E86B52" w:rsidTr="00270D7A">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w:t>
            </w:r>
            <w:proofErr w:type="spellStart"/>
            <w:r w:rsidRPr="00E86B52">
              <w:rPr>
                <w:sz w:val="22"/>
                <w:szCs w:val="22"/>
                <w:lang w:val="en-US" w:eastAsia="zh-CN"/>
              </w:rPr>
              <w:t>PhilCom</w:t>
            </w:r>
            <w:proofErr w:type="spellEnd"/>
            <w:r w:rsidRPr="00E86B52">
              <w:rPr>
                <w:sz w:val="22"/>
                <w:szCs w:val="22"/>
                <w:lang w:val="en-US" w:eastAsia="zh-CN"/>
              </w:rPr>
              <w:t>, Makati City</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2007-2009</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6,697.05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6,697.05</w:t>
            </w:r>
          </w:p>
        </w:tc>
      </w:tr>
      <w:tr w:rsidR="00E86B52" w:rsidRPr="00E86B52" w:rsidTr="00270D7A">
        <w:trPr>
          <w:trHeight w:val="300"/>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E86B52">
              <w:rPr>
                <w:b/>
                <w:bCs/>
                <w:sz w:val="22"/>
                <w:szCs w:val="22"/>
                <w:lang w:val="en-US" w:eastAsia="zh-CN"/>
              </w:rPr>
              <w:t>Romania</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w:t>
            </w:r>
          </w:p>
        </w:tc>
      </w:tr>
      <w:tr w:rsidR="00E86B52"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Polytechnic School Bucharest, Bucharest</w:t>
            </w:r>
          </w:p>
        </w:tc>
        <w:tc>
          <w:tcPr>
            <w:tcW w:w="1526"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2009-2010</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6,294.40</w:t>
            </w:r>
          </w:p>
        </w:tc>
        <w:tc>
          <w:tcPr>
            <w:tcW w:w="1420"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6,294.40</w:t>
            </w:r>
          </w:p>
        </w:tc>
      </w:tr>
      <w:tr w:rsidR="00E86B52" w:rsidRPr="00E86B52" w:rsidTr="00270D7A">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w:t>
            </w:r>
            <w:proofErr w:type="spellStart"/>
            <w:r w:rsidRPr="00E86B52">
              <w:rPr>
                <w:sz w:val="22"/>
                <w:szCs w:val="22"/>
                <w:lang w:val="en-US" w:eastAsia="zh-CN"/>
              </w:rPr>
              <w:t>Telemobil</w:t>
            </w:r>
            <w:proofErr w:type="spellEnd"/>
            <w:r w:rsidRPr="00E86B52">
              <w:rPr>
                <w:sz w:val="22"/>
                <w:szCs w:val="22"/>
                <w:lang w:val="en-US" w:eastAsia="zh-CN"/>
              </w:rPr>
              <w:t xml:space="preserve"> S.A., </w:t>
            </w:r>
            <w:proofErr w:type="spellStart"/>
            <w:r w:rsidRPr="00E86B52">
              <w:rPr>
                <w:sz w:val="22"/>
                <w:szCs w:val="22"/>
                <w:lang w:val="en-US" w:eastAsia="zh-CN"/>
              </w:rPr>
              <w:t>Balotesti</w:t>
            </w:r>
            <w:proofErr w:type="spellEnd"/>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2003-2007</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23,653.05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23,653.05</w:t>
            </w:r>
          </w:p>
        </w:tc>
      </w:tr>
      <w:tr w:rsidR="00E86B52" w:rsidRPr="00E86B52" w:rsidTr="00270D7A">
        <w:trPr>
          <w:trHeight w:val="300"/>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E86B52">
              <w:rPr>
                <w:b/>
                <w:bCs/>
                <w:sz w:val="22"/>
                <w:szCs w:val="22"/>
                <w:lang w:val="en-US" w:eastAsia="zh-CN"/>
              </w:rPr>
              <w:t>Russian Federation</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w:t>
            </w:r>
          </w:p>
        </w:tc>
      </w:tr>
      <w:tr w:rsidR="00E86B52"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IRPO ACISO, Moscow</w:t>
            </w:r>
          </w:p>
        </w:tc>
        <w:tc>
          <w:tcPr>
            <w:tcW w:w="1526"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2013-2014</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4,679.55</w:t>
            </w:r>
          </w:p>
        </w:tc>
        <w:tc>
          <w:tcPr>
            <w:tcW w:w="1420"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4,679.55</w:t>
            </w:r>
          </w:p>
        </w:tc>
      </w:tr>
      <w:tr w:rsidR="00E86B52"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w:t>
            </w:r>
            <w:proofErr w:type="spellStart"/>
            <w:r w:rsidRPr="00E86B52">
              <w:rPr>
                <w:sz w:val="22"/>
                <w:szCs w:val="22"/>
                <w:lang w:val="en-US" w:eastAsia="zh-CN"/>
              </w:rPr>
              <w:t>Mobix</w:t>
            </w:r>
            <w:proofErr w:type="spellEnd"/>
            <w:r w:rsidRPr="00E86B52">
              <w:rPr>
                <w:sz w:val="22"/>
                <w:szCs w:val="22"/>
                <w:lang w:val="en-US" w:eastAsia="zh-CN"/>
              </w:rPr>
              <w:t xml:space="preserve"> Chip LLC, Moscow</w:t>
            </w:r>
          </w:p>
        </w:tc>
        <w:tc>
          <w:tcPr>
            <w:tcW w:w="1526"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2013-2014</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13,162.70</w:t>
            </w:r>
          </w:p>
        </w:tc>
        <w:tc>
          <w:tcPr>
            <w:tcW w:w="1420"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13,162.70</w:t>
            </w:r>
          </w:p>
        </w:tc>
      </w:tr>
      <w:tr w:rsidR="00E86B52" w:rsidRPr="00E86B52" w:rsidTr="00270D7A">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National Telemedicine Agency, Moscow</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2012</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4,139.20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4,139.20</w:t>
            </w:r>
          </w:p>
        </w:tc>
      </w:tr>
      <w:tr w:rsidR="00E86B52" w:rsidRPr="00E86B52" w:rsidTr="00270D7A">
        <w:trPr>
          <w:trHeight w:val="300"/>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E86B52">
              <w:rPr>
                <w:b/>
                <w:bCs/>
                <w:sz w:val="22"/>
                <w:szCs w:val="22"/>
                <w:lang w:val="en-US" w:eastAsia="zh-CN"/>
              </w:rPr>
              <w:t>Saudi Arabia</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w:t>
            </w:r>
          </w:p>
        </w:tc>
      </w:tr>
      <w:tr w:rsidR="00E86B52"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w:t>
            </w:r>
            <w:proofErr w:type="spellStart"/>
            <w:r w:rsidRPr="00E86B52">
              <w:rPr>
                <w:sz w:val="22"/>
                <w:szCs w:val="22"/>
                <w:lang w:val="en-US" w:eastAsia="zh-CN"/>
              </w:rPr>
              <w:t>Bayanat</w:t>
            </w:r>
            <w:proofErr w:type="spellEnd"/>
            <w:r w:rsidRPr="00E86B52">
              <w:rPr>
                <w:sz w:val="22"/>
                <w:szCs w:val="22"/>
                <w:lang w:val="en-US" w:eastAsia="zh-CN"/>
              </w:rPr>
              <w:t xml:space="preserve"> </w:t>
            </w:r>
            <w:proofErr w:type="spellStart"/>
            <w:r w:rsidRPr="00E86B52">
              <w:rPr>
                <w:sz w:val="22"/>
                <w:szCs w:val="22"/>
                <w:lang w:val="en-US" w:eastAsia="zh-CN"/>
              </w:rPr>
              <w:t>Aloula</w:t>
            </w:r>
            <w:proofErr w:type="spellEnd"/>
            <w:r w:rsidRPr="00E86B52">
              <w:rPr>
                <w:sz w:val="22"/>
                <w:szCs w:val="22"/>
                <w:lang w:val="en-US" w:eastAsia="zh-CN"/>
              </w:rPr>
              <w:t xml:space="preserve"> for Network Services, Riyadh</w:t>
            </w:r>
          </w:p>
        </w:tc>
        <w:tc>
          <w:tcPr>
            <w:tcW w:w="1526"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2005-2008</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7,220.65</w:t>
            </w:r>
          </w:p>
        </w:tc>
        <w:tc>
          <w:tcPr>
            <w:tcW w:w="1420"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7,220.65</w:t>
            </w:r>
          </w:p>
        </w:tc>
      </w:tr>
      <w:tr w:rsidR="00E86B52"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w:t>
            </w:r>
            <w:proofErr w:type="spellStart"/>
            <w:r w:rsidRPr="00E86B52">
              <w:rPr>
                <w:sz w:val="22"/>
                <w:szCs w:val="22"/>
                <w:lang w:val="en-US" w:eastAsia="zh-CN"/>
              </w:rPr>
              <w:t>Electronia</w:t>
            </w:r>
            <w:proofErr w:type="spellEnd"/>
            <w:r w:rsidRPr="00E86B52">
              <w:rPr>
                <w:sz w:val="22"/>
                <w:szCs w:val="22"/>
                <w:lang w:val="en-US" w:eastAsia="zh-CN"/>
              </w:rPr>
              <w:t xml:space="preserve">, Ltd., Al </w:t>
            </w:r>
            <w:proofErr w:type="spellStart"/>
            <w:r w:rsidRPr="00E86B52">
              <w:rPr>
                <w:sz w:val="22"/>
                <w:szCs w:val="22"/>
                <w:lang w:val="en-US" w:eastAsia="zh-CN"/>
              </w:rPr>
              <w:t>Khubar</w:t>
            </w:r>
            <w:proofErr w:type="spellEnd"/>
          </w:p>
        </w:tc>
        <w:tc>
          <w:tcPr>
            <w:tcW w:w="1526"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2008-2010</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6,221.80</w:t>
            </w:r>
          </w:p>
        </w:tc>
        <w:tc>
          <w:tcPr>
            <w:tcW w:w="1420"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6,221.80</w:t>
            </w:r>
          </w:p>
        </w:tc>
      </w:tr>
      <w:tr w:rsidR="00E86B52"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Saudi Telecom, Riyadh</w:t>
            </w:r>
          </w:p>
        </w:tc>
        <w:tc>
          <w:tcPr>
            <w:tcW w:w="1526"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2012-2015</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5,128.20</w:t>
            </w:r>
          </w:p>
        </w:tc>
        <w:tc>
          <w:tcPr>
            <w:tcW w:w="1420"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5,128.20</w:t>
            </w:r>
          </w:p>
        </w:tc>
      </w:tr>
      <w:tr w:rsidR="00E86B52"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w:t>
            </w:r>
            <w:proofErr w:type="spellStart"/>
            <w:r w:rsidRPr="00E86B52">
              <w:rPr>
                <w:sz w:val="22"/>
                <w:szCs w:val="22"/>
                <w:lang w:val="en-US" w:eastAsia="zh-CN"/>
              </w:rPr>
              <w:t>Tuwaiq</w:t>
            </w:r>
            <w:proofErr w:type="spellEnd"/>
            <w:r w:rsidRPr="00E86B52">
              <w:rPr>
                <w:sz w:val="22"/>
                <w:szCs w:val="22"/>
                <w:lang w:val="en-US" w:eastAsia="zh-CN"/>
              </w:rPr>
              <w:t xml:space="preserve"> Communications Company, Riyadh</w:t>
            </w:r>
          </w:p>
        </w:tc>
        <w:tc>
          <w:tcPr>
            <w:tcW w:w="1526"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2008-2009</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70,175.50</w:t>
            </w:r>
          </w:p>
        </w:tc>
        <w:tc>
          <w:tcPr>
            <w:tcW w:w="1420"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70,175.50</w:t>
            </w:r>
          </w:p>
        </w:tc>
      </w:tr>
      <w:tr w:rsidR="00E86B52" w:rsidRPr="00E86B52" w:rsidTr="00270D7A">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w:t>
            </w:r>
            <w:proofErr w:type="spellStart"/>
            <w:r w:rsidRPr="00E86B52">
              <w:rPr>
                <w:sz w:val="22"/>
                <w:szCs w:val="22"/>
                <w:lang w:val="en-US" w:eastAsia="zh-CN"/>
              </w:rPr>
              <w:t>Zajoul</w:t>
            </w:r>
            <w:proofErr w:type="spellEnd"/>
            <w:r w:rsidRPr="00E86B52">
              <w:rPr>
                <w:sz w:val="22"/>
                <w:szCs w:val="22"/>
                <w:lang w:val="en-US" w:eastAsia="zh-CN"/>
              </w:rPr>
              <w:t xml:space="preserve"> for Advance Comm. Tech., Riyadh</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2005-2007</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22,107.95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22,107.95</w:t>
            </w:r>
          </w:p>
        </w:tc>
      </w:tr>
      <w:tr w:rsidR="00E86B52" w:rsidRPr="00E86B52" w:rsidTr="00270D7A">
        <w:trPr>
          <w:trHeight w:val="300"/>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E86B52">
              <w:rPr>
                <w:b/>
                <w:bCs/>
                <w:sz w:val="22"/>
                <w:szCs w:val="22"/>
                <w:lang w:val="en-US" w:eastAsia="zh-CN"/>
              </w:rPr>
              <w:t>Somalia</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w:t>
            </w:r>
          </w:p>
        </w:tc>
      </w:tr>
      <w:tr w:rsidR="00E86B52" w:rsidRPr="00E86B52" w:rsidTr="00270D7A">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w:t>
            </w:r>
            <w:proofErr w:type="spellStart"/>
            <w:r w:rsidRPr="00E86B52">
              <w:rPr>
                <w:sz w:val="22"/>
                <w:szCs w:val="22"/>
                <w:lang w:val="en-US" w:eastAsia="zh-CN"/>
              </w:rPr>
              <w:t>Telcom</w:t>
            </w:r>
            <w:proofErr w:type="spellEnd"/>
            <w:r w:rsidRPr="00E86B52">
              <w:rPr>
                <w:sz w:val="22"/>
                <w:szCs w:val="22"/>
                <w:lang w:val="en-US" w:eastAsia="zh-CN"/>
              </w:rPr>
              <w:t xml:space="preserve"> Somalia, Mogadishu</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2005-2007</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15,837.10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15,837.10</w:t>
            </w:r>
          </w:p>
        </w:tc>
      </w:tr>
      <w:tr w:rsidR="00E86B52" w:rsidRPr="00E86B52" w:rsidTr="00270D7A">
        <w:trPr>
          <w:trHeight w:val="300"/>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E86B52">
              <w:rPr>
                <w:b/>
                <w:bCs/>
                <w:sz w:val="22"/>
                <w:szCs w:val="22"/>
                <w:lang w:val="en-US" w:eastAsia="zh-CN"/>
              </w:rPr>
              <w:t>South Africa</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 </w:t>
            </w:r>
          </w:p>
        </w:tc>
      </w:tr>
      <w:tr w:rsidR="00E86B52"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Cell C (Pty) Ltd., Benmore</w:t>
            </w:r>
          </w:p>
        </w:tc>
        <w:tc>
          <w:tcPr>
            <w:tcW w:w="1526"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2004-2007</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491,642.40</w:t>
            </w:r>
          </w:p>
        </w:tc>
        <w:tc>
          <w:tcPr>
            <w:tcW w:w="1420"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491,642.40</w:t>
            </w:r>
          </w:p>
        </w:tc>
      </w:tr>
      <w:tr w:rsidR="00E86B52"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E86B52" w:rsidRPr="000E7D94"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0E7D94">
              <w:rPr>
                <w:sz w:val="22"/>
                <w:szCs w:val="22"/>
                <w:lang w:val="fr-CH" w:eastAsia="zh-CN"/>
              </w:rPr>
              <w:t xml:space="preserve"> - Radio Surveillance  Sec. </w:t>
            </w:r>
            <w:proofErr w:type="spellStart"/>
            <w:r w:rsidRPr="000E7D94">
              <w:rPr>
                <w:sz w:val="22"/>
                <w:szCs w:val="22"/>
                <w:lang w:val="fr-CH" w:eastAsia="zh-CN"/>
              </w:rPr>
              <w:t>Serv</w:t>
            </w:r>
            <w:proofErr w:type="spellEnd"/>
            <w:r w:rsidRPr="000E7D94">
              <w:rPr>
                <w:sz w:val="22"/>
                <w:szCs w:val="22"/>
                <w:lang w:val="fr-CH" w:eastAsia="zh-CN"/>
              </w:rPr>
              <w:t>. SA (</w:t>
            </w:r>
            <w:proofErr w:type="spellStart"/>
            <w:r w:rsidRPr="000E7D94">
              <w:rPr>
                <w:sz w:val="22"/>
                <w:szCs w:val="22"/>
                <w:lang w:val="fr-CH" w:eastAsia="zh-CN"/>
              </w:rPr>
              <w:t>Pty</w:t>
            </w:r>
            <w:proofErr w:type="spellEnd"/>
            <w:r w:rsidRPr="000E7D94">
              <w:rPr>
                <w:sz w:val="22"/>
                <w:szCs w:val="22"/>
                <w:lang w:val="fr-CH" w:eastAsia="zh-CN"/>
              </w:rPr>
              <w:t>), Durban</w:t>
            </w:r>
          </w:p>
        </w:tc>
        <w:tc>
          <w:tcPr>
            <w:tcW w:w="1526"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2010</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15,600.20</w:t>
            </w:r>
          </w:p>
        </w:tc>
        <w:tc>
          <w:tcPr>
            <w:tcW w:w="1420"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15,600.20</w:t>
            </w:r>
          </w:p>
        </w:tc>
      </w:tr>
      <w:tr w:rsidR="00E86B52"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w:t>
            </w:r>
            <w:proofErr w:type="spellStart"/>
            <w:r w:rsidRPr="00E86B52">
              <w:rPr>
                <w:sz w:val="22"/>
                <w:szCs w:val="22"/>
                <w:lang w:val="en-US" w:eastAsia="zh-CN"/>
              </w:rPr>
              <w:t>Transtel</w:t>
            </w:r>
            <w:proofErr w:type="spellEnd"/>
            <w:r w:rsidRPr="00E86B52">
              <w:rPr>
                <w:sz w:val="22"/>
                <w:szCs w:val="22"/>
                <w:lang w:val="en-US" w:eastAsia="zh-CN"/>
              </w:rPr>
              <w:t>, Johannesburg</w:t>
            </w:r>
          </w:p>
        </w:tc>
        <w:tc>
          <w:tcPr>
            <w:tcW w:w="1526"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2002-2006</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742,952.00</w:t>
            </w:r>
          </w:p>
        </w:tc>
        <w:tc>
          <w:tcPr>
            <w:tcW w:w="1420"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742,952.00</w:t>
            </w:r>
          </w:p>
        </w:tc>
      </w:tr>
      <w:tr w:rsidR="00E86B52" w:rsidRPr="00E86B52" w:rsidTr="00270D7A">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Vodacom SA (Pty) Ltd., </w:t>
            </w:r>
            <w:proofErr w:type="spellStart"/>
            <w:r w:rsidRPr="00E86B52">
              <w:rPr>
                <w:sz w:val="22"/>
                <w:szCs w:val="22"/>
                <w:lang w:val="en-US" w:eastAsia="zh-CN"/>
              </w:rPr>
              <w:t>Midrand</w:t>
            </w:r>
            <w:proofErr w:type="spellEnd"/>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2015-2016</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4,583.80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4,583.80</w:t>
            </w:r>
          </w:p>
        </w:tc>
      </w:tr>
      <w:tr w:rsidR="00E86B52" w:rsidRPr="00E86B52" w:rsidTr="00270D7A">
        <w:trPr>
          <w:trHeight w:val="300"/>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E86B52">
              <w:rPr>
                <w:b/>
                <w:bCs/>
                <w:sz w:val="22"/>
                <w:szCs w:val="22"/>
                <w:lang w:val="en-US" w:eastAsia="zh-CN"/>
              </w:rPr>
              <w:t xml:space="preserve">Sri Lanka </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w:t>
            </w:r>
          </w:p>
        </w:tc>
      </w:tr>
      <w:tr w:rsidR="00E86B52" w:rsidRPr="00E86B52" w:rsidTr="00270D7A">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s-ES_tradnl" w:eastAsia="zh-CN"/>
              </w:rPr>
            </w:pPr>
            <w:r w:rsidRPr="00E86B52">
              <w:rPr>
                <w:sz w:val="22"/>
                <w:szCs w:val="22"/>
                <w:lang w:val="es-ES_tradnl" w:eastAsia="zh-CN"/>
              </w:rPr>
              <w:t xml:space="preserve"> - Sri Lanka Telecom Ltd., Colombo</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2002-2012</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6,954.45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6,954.45</w:t>
            </w:r>
          </w:p>
        </w:tc>
      </w:tr>
      <w:tr w:rsidR="00E86B52" w:rsidRPr="00E86B52" w:rsidTr="00270D7A">
        <w:trPr>
          <w:trHeight w:val="300"/>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E86B52">
              <w:rPr>
                <w:b/>
                <w:bCs/>
                <w:sz w:val="22"/>
                <w:szCs w:val="22"/>
                <w:lang w:val="en-US" w:eastAsia="zh-CN"/>
              </w:rPr>
              <w:t>Sudan</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w:t>
            </w:r>
          </w:p>
        </w:tc>
      </w:tr>
      <w:tr w:rsidR="00E86B52"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w:t>
            </w:r>
            <w:proofErr w:type="spellStart"/>
            <w:r w:rsidRPr="00E86B52">
              <w:rPr>
                <w:sz w:val="22"/>
                <w:szCs w:val="22"/>
                <w:lang w:val="en-US" w:eastAsia="zh-CN"/>
              </w:rPr>
              <w:t>Canartel</w:t>
            </w:r>
            <w:proofErr w:type="spellEnd"/>
            <w:r w:rsidRPr="00E86B52">
              <w:rPr>
                <w:sz w:val="22"/>
                <w:szCs w:val="22"/>
                <w:lang w:val="en-US" w:eastAsia="zh-CN"/>
              </w:rPr>
              <w:t>, Khartoum</w:t>
            </w:r>
          </w:p>
        </w:tc>
        <w:tc>
          <w:tcPr>
            <w:tcW w:w="1526"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2013</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46,858.80</w:t>
            </w:r>
          </w:p>
        </w:tc>
        <w:tc>
          <w:tcPr>
            <w:tcW w:w="1420"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46,858.80</w:t>
            </w:r>
          </w:p>
        </w:tc>
      </w:tr>
      <w:tr w:rsidR="00E86B52" w:rsidRPr="00E86B52" w:rsidTr="00270D7A">
        <w:trPr>
          <w:trHeight w:val="340"/>
        </w:trPr>
        <w:tc>
          <w:tcPr>
            <w:tcW w:w="482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0E7D94">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Garden City College for Science &amp; Tech</w:t>
            </w:r>
            <w:r w:rsidR="000E7D94">
              <w:rPr>
                <w:sz w:val="22"/>
                <w:szCs w:val="22"/>
                <w:lang w:val="en-US" w:eastAsia="zh-CN"/>
              </w:rPr>
              <w:t>.</w:t>
            </w:r>
            <w:r w:rsidRPr="00E86B52">
              <w:rPr>
                <w:sz w:val="22"/>
                <w:szCs w:val="22"/>
                <w:lang w:val="en-US" w:eastAsia="zh-CN"/>
              </w:rPr>
              <w:t xml:space="preserve"> </w:t>
            </w:r>
          </w:p>
        </w:tc>
        <w:tc>
          <w:tcPr>
            <w:tcW w:w="1526"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2013-2014</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3,179.60</w:t>
            </w:r>
          </w:p>
        </w:tc>
        <w:tc>
          <w:tcPr>
            <w:tcW w:w="1420"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3,179.60</w:t>
            </w:r>
          </w:p>
        </w:tc>
      </w:tr>
      <w:tr w:rsidR="00E86B52"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Open University of Sudan, Khartoum</w:t>
            </w:r>
          </w:p>
        </w:tc>
        <w:tc>
          <w:tcPr>
            <w:tcW w:w="1526"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2013-2014</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3,179.60</w:t>
            </w:r>
          </w:p>
        </w:tc>
        <w:tc>
          <w:tcPr>
            <w:tcW w:w="1420"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3,179.60</w:t>
            </w:r>
          </w:p>
        </w:tc>
      </w:tr>
      <w:tr w:rsidR="00E86B52"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Pulse Company Ltd., Khartoum</w:t>
            </w:r>
          </w:p>
        </w:tc>
        <w:tc>
          <w:tcPr>
            <w:tcW w:w="1526"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2016</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4,371.50</w:t>
            </w:r>
          </w:p>
        </w:tc>
        <w:tc>
          <w:tcPr>
            <w:tcW w:w="1420"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4,371.50</w:t>
            </w:r>
          </w:p>
        </w:tc>
      </w:tr>
      <w:tr w:rsidR="00E86B52" w:rsidRPr="00E86B52" w:rsidTr="00270D7A">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University of Khartoum, Khartoum</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2013-2014</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3,179.60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3,179.60</w:t>
            </w:r>
          </w:p>
        </w:tc>
      </w:tr>
      <w:tr w:rsidR="000E7D94" w:rsidRPr="00E86B52" w:rsidTr="00270D7A">
        <w:trPr>
          <w:trHeight w:val="300"/>
        </w:trPr>
        <w:tc>
          <w:tcPr>
            <w:tcW w:w="4820" w:type="dxa"/>
            <w:tcBorders>
              <w:top w:val="single" w:sz="4" w:space="0" w:color="auto"/>
              <w:left w:val="single" w:sz="4" w:space="0" w:color="auto"/>
              <w:bottom w:val="nil"/>
              <w:right w:val="single" w:sz="4" w:space="0" w:color="auto"/>
            </w:tcBorders>
            <w:shd w:val="clear" w:color="auto" w:fill="auto"/>
            <w:vAlign w:val="bottom"/>
          </w:tcPr>
          <w:p w:rsidR="000E7D94" w:rsidRPr="00E86B52" w:rsidRDefault="000E7D94" w:rsidP="000E7D94">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E86B52">
              <w:rPr>
                <w:b/>
                <w:bCs/>
                <w:sz w:val="22"/>
                <w:szCs w:val="22"/>
                <w:lang w:val="en-US" w:eastAsia="zh-CN"/>
              </w:rPr>
              <w:t>B. Sector Members and other entities</w:t>
            </w:r>
            <w:r w:rsidR="00EC091C">
              <w:rPr>
                <w:b/>
                <w:bCs/>
                <w:sz w:val="22"/>
                <w:szCs w:val="22"/>
                <w:lang w:val="en-US" w:eastAsia="zh-CN"/>
              </w:rPr>
              <w:t xml:space="preserve"> (</w:t>
            </w:r>
            <w:r w:rsidR="00EC091C" w:rsidRPr="00EC091C">
              <w:rPr>
                <w:b/>
                <w:bCs/>
                <w:i/>
                <w:iCs/>
                <w:sz w:val="22"/>
                <w:szCs w:val="22"/>
                <w:lang w:val="en-US" w:eastAsia="zh-CN"/>
              </w:rPr>
              <w:t>cont’d</w:t>
            </w:r>
            <w:r w:rsidR="00EC091C">
              <w:rPr>
                <w:b/>
                <w:bCs/>
                <w:sz w:val="22"/>
                <w:szCs w:val="22"/>
                <w:lang w:val="en-US" w:eastAsia="zh-CN"/>
              </w:rPr>
              <w:t>)</w:t>
            </w:r>
          </w:p>
        </w:tc>
        <w:tc>
          <w:tcPr>
            <w:tcW w:w="1526" w:type="dxa"/>
            <w:tcBorders>
              <w:top w:val="single" w:sz="4" w:space="0" w:color="auto"/>
              <w:left w:val="single" w:sz="4" w:space="0" w:color="auto"/>
              <w:bottom w:val="nil"/>
              <w:right w:val="single" w:sz="4" w:space="0" w:color="auto"/>
            </w:tcBorders>
            <w:shd w:val="clear" w:color="auto" w:fill="auto"/>
            <w:noWrap/>
            <w:vAlign w:val="bottom"/>
          </w:tcPr>
          <w:p w:rsidR="000E7D94" w:rsidRPr="00E86B52" w:rsidRDefault="000E7D94" w:rsidP="00EC091C">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E86B52">
              <w:rPr>
                <w:b/>
                <w:bCs/>
                <w:sz w:val="22"/>
                <w:szCs w:val="22"/>
                <w:lang w:val="en-US" w:eastAsia="zh-CN"/>
              </w:rPr>
              <w:t>Year</w:t>
            </w:r>
          </w:p>
        </w:tc>
        <w:tc>
          <w:tcPr>
            <w:tcW w:w="1497" w:type="dxa"/>
            <w:tcBorders>
              <w:top w:val="single" w:sz="4" w:space="0" w:color="auto"/>
              <w:left w:val="single" w:sz="4" w:space="0" w:color="auto"/>
              <w:bottom w:val="nil"/>
              <w:right w:val="single" w:sz="4" w:space="0" w:color="auto"/>
            </w:tcBorders>
            <w:shd w:val="clear" w:color="auto" w:fill="auto"/>
            <w:noWrap/>
            <w:vAlign w:val="bottom"/>
          </w:tcPr>
          <w:p w:rsidR="000E7D94" w:rsidRPr="00E86B52" w:rsidRDefault="000E7D94" w:rsidP="000E7D94">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E86B52">
              <w:rPr>
                <w:b/>
                <w:bCs/>
                <w:sz w:val="22"/>
                <w:szCs w:val="22"/>
                <w:lang w:val="en-US" w:eastAsia="zh-CN"/>
              </w:rPr>
              <w:t>Contributions</w:t>
            </w:r>
          </w:p>
        </w:tc>
        <w:tc>
          <w:tcPr>
            <w:tcW w:w="1420" w:type="dxa"/>
            <w:tcBorders>
              <w:top w:val="single" w:sz="4" w:space="0" w:color="auto"/>
              <w:left w:val="single" w:sz="4" w:space="0" w:color="auto"/>
              <w:bottom w:val="nil"/>
              <w:right w:val="single" w:sz="4" w:space="0" w:color="auto"/>
            </w:tcBorders>
            <w:shd w:val="clear" w:color="auto" w:fill="auto"/>
            <w:noWrap/>
            <w:vAlign w:val="bottom"/>
          </w:tcPr>
          <w:p w:rsidR="000E7D94" w:rsidRPr="00E86B52" w:rsidRDefault="000E7D94" w:rsidP="000E7D94">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E86B52">
              <w:rPr>
                <w:b/>
                <w:bCs/>
                <w:sz w:val="22"/>
                <w:szCs w:val="22"/>
                <w:lang w:val="en-US" w:eastAsia="zh-CN"/>
              </w:rPr>
              <w:t>Publications</w:t>
            </w:r>
          </w:p>
        </w:tc>
        <w:tc>
          <w:tcPr>
            <w:tcW w:w="1497" w:type="dxa"/>
            <w:tcBorders>
              <w:top w:val="single" w:sz="4" w:space="0" w:color="auto"/>
              <w:left w:val="single" w:sz="4" w:space="0" w:color="auto"/>
              <w:bottom w:val="nil"/>
              <w:right w:val="single" w:sz="4" w:space="0" w:color="auto"/>
            </w:tcBorders>
            <w:shd w:val="clear" w:color="auto" w:fill="auto"/>
            <w:noWrap/>
            <w:vAlign w:val="bottom"/>
          </w:tcPr>
          <w:p w:rsidR="000E7D94" w:rsidRPr="00E86B52" w:rsidRDefault="000E7D94" w:rsidP="000E7D94">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E86B52">
              <w:rPr>
                <w:b/>
                <w:bCs/>
                <w:sz w:val="22"/>
                <w:szCs w:val="22"/>
                <w:lang w:val="en-US" w:eastAsia="zh-CN"/>
              </w:rPr>
              <w:t>Total</w:t>
            </w:r>
          </w:p>
        </w:tc>
      </w:tr>
      <w:tr w:rsidR="00E86B52" w:rsidRPr="00E86B52" w:rsidTr="00270D7A">
        <w:trPr>
          <w:trHeight w:val="300"/>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E86B52">
              <w:rPr>
                <w:b/>
                <w:bCs/>
                <w:sz w:val="22"/>
                <w:szCs w:val="22"/>
                <w:lang w:val="en-US" w:eastAsia="zh-CN"/>
              </w:rPr>
              <w:t>Sweden</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w:t>
            </w:r>
          </w:p>
        </w:tc>
      </w:tr>
      <w:tr w:rsidR="00E86B52"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w:t>
            </w:r>
            <w:proofErr w:type="spellStart"/>
            <w:r w:rsidRPr="00E86B52">
              <w:rPr>
                <w:sz w:val="22"/>
                <w:szCs w:val="22"/>
                <w:lang w:val="en-US" w:eastAsia="zh-CN"/>
              </w:rPr>
              <w:t>GlobeTouch</w:t>
            </w:r>
            <w:proofErr w:type="spellEnd"/>
            <w:r w:rsidRPr="00E86B52">
              <w:rPr>
                <w:sz w:val="22"/>
                <w:szCs w:val="22"/>
                <w:lang w:val="en-US" w:eastAsia="zh-CN"/>
              </w:rPr>
              <w:t xml:space="preserve"> AB, Stockholm</w:t>
            </w:r>
          </w:p>
        </w:tc>
        <w:tc>
          <w:tcPr>
            <w:tcW w:w="1526"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2016</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11,657.35</w:t>
            </w:r>
          </w:p>
        </w:tc>
        <w:tc>
          <w:tcPr>
            <w:tcW w:w="1420"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11,657.35</w:t>
            </w:r>
          </w:p>
        </w:tc>
      </w:tr>
      <w:tr w:rsidR="00E86B52" w:rsidRPr="00E86B52" w:rsidTr="00270D7A">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w:t>
            </w:r>
            <w:proofErr w:type="spellStart"/>
            <w:r w:rsidRPr="00E86B52">
              <w:rPr>
                <w:sz w:val="22"/>
                <w:szCs w:val="22"/>
                <w:lang w:val="en-US" w:eastAsia="zh-CN"/>
              </w:rPr>
              <w:t>UpZide</w:t>
            </w:r>
            <w:proofErr w:type="spellEnd"/>
            <w:r w:rsidRPr="00E86B52">
              <w:rPr>
                <w:sz w:val="22"/>
                <w:szCs w:val="22"/>
                <w:lang w:val="en-US" w:eastAsia="zh-CN"/>
              </w:rPr>
              <w:t xml:space="preserve"> Labs AB, Lulea</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2009</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17,528.35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17,528.35</w:t>
            </w:r>
          </w:p>
        </w:tc>
      </w:tr>
      <w:tr w:rsidR="00E86B52" w:rsidRPr="00E86B52" w:rsidTr="00270D7A">
        <w:trPr>
          <w:trHeight w:val="300"/>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E86B52">
              <w:rPr>
                <w:b/>
                <w:bCs/>
                <w:sz w:val="22"/>
                <w:szCs w:val="22"/>
                <w:lang w:val="en-US" w:eastAsia="zh-CN"/>
              </w:rPr>
              <w:t>Switzerland</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w:t>
            </w:r>
          </w:p>
        </w:tc>
      </w:tr>
      <w:tr w:rsidR="00E86B52" w:rsidRPr="00E86B52" w:rsidTr="00270D7A">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ACN Advanced Comm. Networks SA, Neuchatel</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2016</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11,657.35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11,657.35</w:t>
            </w:r>
          </w:p>
        </w:tc>
      </w:tr>
      <w:tr w:rsidR="00E86B52" w:rsidRPr="00E86B52" w:rsidTr="00270D7A">
        <w:trPr>
          <w:trHeight w:val="300"/>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E86B52">
              <w:rPr>
                <w:b/>
                <w:bCs/>
                <w:sz w:val="22"/>
                <w:szCs w:val="22"/>
                <w:lang w:val="en-US" w:eastAsia="zh-CN"/>
              </w:rPr>
              <w:t>Syrian Arab Republic</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w:t>
            </w:r>
          </w:p>
        </w:tc>
      </w:tr>
      <w:tr w:rsidR="00E86B52" w:rsidRPr="00E86B52" w:rsidTr="00B175D7">
        <w:trPr>
          <w:trHeight w:val="157"/>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Arab Regional </w:t>
            </w:r>
            <w:proofErr w:type="spellStart"/>
            <w:r w:rsidRPr="00E86B52">
              <w:rPr>
                <w:sz w:val="22"/>
                <w:szCs w:val="22"/>
                <w:lang w:val="en-US" w:eastAsia="zh-CN"/>
              </w:rPr>
              <w:t>Isps</w:t>
            </w:r>
            <w:proofErr w:type="spellEnd"/>
            <w:r w:rsidRPr="00E86B52">
              <w:rPr>
                <w:sz w:val="22"/>
                <w:szCs w:val="22"/>
                <w:lang w:val="en-US" w:eastAsia="zh-CN"/>
              </w:rPr>
              <w:t xml:space="preserve"> Association (ARISPA), Manama</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2009</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6,573.15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6,573.15</w:t>
            </w:r>
          </w:p>
        </w:tc>
      </w:tr>
      <w:tr w:rsidR="00E86B52" w:rsidRPr="00E86B52" w:rsidTr="00270D7A">
        <w:trPr>
          <w:trHeight w:val="300"/>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E86B52">
              <w:rPr>
                <w:b/>
                <w:bCs/>
                <w:sz w:val="22"/>
                <w:szCs w:val="22"/>
                <w:lang w:val="en-US" w:eastAsia="zh-CN"/>
              </w:rPr>
              <w:t>Togolese Republic</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w:t>
            </w:r>
          </w:p>
        </w:tc>
      </w:tr>
      <w:tr w:rsidR="00E86B52" w:rsidRPr="00E86B52" w:rsidTr="00270D7A">
        <w:trPr>
          <w:trHeight w:val="6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E86B52" w:rsidRPr="000E7D94"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0E7D94">
              <w:rPr>
                <w:sz w:val="22"/>
                <w:szCs w:val="22"/>
                <w:lang w:val="fr-CH" w:eastAsia="zh-CN"/>
              </w:rPr>
              <w:t xml:space="preserve"> - Centre </w:t>
            </w:r>
            <w:proofErr w:type="spellStart"/>
            <w:r w:rsidRPr="000E7D94">
              <w:rPr>
                <w:sz w:val="22"/>
                <w:szCs w:val="22"/>
                <w:lang w:val="fr-CH" w:eastAsia="zh-CN"/>
              </w:rPr>
              <w:t>Rég</w:t>
            </w:r>
            <w:proofErr w:type="spellEnd"/>
            <w:r w:rsidRPr="000E7D94">
              <w:rPr>
                <w:sz w:val="22"/>
                <w:szCs w:val="22"/>
                <w:lang w:val="fr-CH" w:eastAsia="zh-CN"/>
              </w:rPr>
              <w:t xml:space="preserve">. de </w:t>
            </w:r>
            <w:proofErr w:type="spellStart"/>
            <w:r w:rsidRPr="000E7D94">
              <w:rPr>
                <w:sz w:val="22"/>
                <w:szCs w:val="22"/>
                <w:lang w:val="fr-CH" w:eastAsia="zh-CN"/>
              </w:rPr>
              <w:t>Maintenan</w:t>
            </w:r>
            <w:proofErr w:type="spellEnd"/>
            <w:r w:rsidRPr="000E7D94">
              <w:rPr>
                <w:sz w:val="22"/>
                <w:szCs w:val="22"/>
                <w:lang w:val="fr-CH" w:eastAsia="zh-CN"/>
              </w:rPr>
              <w:t>. des Télécom (CMTL), Lomé</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2003-2007</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223,191.90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223,191.90</w:t>
            </w:r>
          </w:p>
        </w:tc>
      </w:tr>
      <w:tr w:rsidR="00E86B52" w:rsidRPr="00E86B52" w:rsidTr="00270D7A">
        <w:trPr>
          <w:trHeight w:val="300"/>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E86B52">
              <w:rPr>
                <w:b/>
                <w:bCs/>
                <w:sz w:val="22"/>
                <w:szCs w:val="22"/>
                <w:lang w:val="en-US" w:eastAsia="zh-CN"/>
              </w:rPr>
              <w:t>Tunisia</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w:t>
            </w:r>
          </w:p>
        </w:tc>
      </w:tr>
      <w:tr w:rsidR="00E86B52"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E86B52" w:rsidRPr="000E7D94"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0E7D94">
              <w:rPr>
                <w:sz w:val="22"/>
                <w:szCs w:val="22"/>
                <w:lang w:val="fr-CH" w:eastAsia="zh-CN"/>
              </w:rPr>
              <w:t xml:space="preserve"> - Ecole Nationale d'Ingénieurs de Tunis, Tunis</w:t>
            </w:r>
          </w:p>
        </w:tc>
        <w:tc>
          <w:tcPr>
            <w:tcW w:w="1526"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2011-2012</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10,529.69</w:t>
            </w:r>
          </w:p>
        </w:tc>
        <w:tc>
          <w:tcPr>
            <w:tcW w:w="1420"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10,529.69</w:t>
            </w:r>
          </w:p>
        </w:tc>
      </w:tr>
      <w:tr w:rsidR="00E86B52"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w:t>
            </w:r>
            <w:proofErr w:type="spellStart"/>
            <w:r w:rsidRPr="00E86B52">
              <w:rPr>
                <w:sz w:val="22"/>
                <w:szCs w:val="22"/>
                <w:lang w:val="en-US" w:eastAsia="zh-CN"/>
              </w:rPr>
              <w:t>Orascom</w:t>
            </w:r>
            <w:proofErr w:type="spellEnd"/>
            <w:r w:rsidRPr="00E86B52">
              <w:rPr>
                <w:sz w:val="22"/>
                <w:szCs w:val="22"/>
                <w:lang w:val="en-US" w:eastAsia="zh-CN"/>
              </w:rPr>
              <w:t xml:space="preserve"> Telecom </w:t>
            </w:r>
            <w:proofErr w:type="spellStart"/>
            <w:r w:rsidRPr="00E86B52">
              <w:rPr>
                <w:sz w:val="22"/>
                <w:szCs w:val="22"/>
                <w:lang w:val="en-US" w:eastAsia="zh-CN"/>
              </w:rPr>
              <w:t>Tunisie</w:t>
            </w:r>
            <w:proofErr w:type="spellEnd"/>
            <w:r w:rsidRPr="00E86B52">
              <w:rPr>
                <w:sz w:val="22"/>
                <w:szCs w:val="22"/>
                <w:lang w:val="en-US" w:eastAsia="zh-CN"/>
              </w:rPr>
              <w:t>, Tunis</w:t>
            </w:r>
          </w:p>
        </w:tc>
        <w:tc>
          <w:tcPr>
            <w:tcW w:w="1526"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2013</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5,206.55</w:t>
            </w:r>
          </w:p>
        </w:tc>
        <w:tc>
          <w:tcPr>
            <w:tcW w:w="1420"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5,206.55</w:t>
            </w:r>
          </w:p>
        </w:tc>
      </w:tr>
      <w:tr w:rsidR="00E86B52" w:rsidRPr="00E86B52" w:rsidTr="00270D7A">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University of </w:t>
            </w:r>
            <w:proofErr w:type="spellStart"/>
            <w:r w:rsidRPr="00E86B52">
              <w:rPr>
                <w:sz w:val="22"/>
                <w:szCs w:val="22"/>
                <w:lang w:val="en-US" w:eastAsia="zh-CN"/>
              </w:rPr>
              <w:t>Sfax</w:t>
            </w:r>
            <w:proofErr w:type="spellEnd"/>
            <w:r w:rsidRPr="00E86B52">
              <w:rPr>
                <w:sz w:val="22"/>
                <w:szCs w:val="22"/>
                <w:lang w:val="en-US" w:eastAsia="zh-CN"/>
              </w:rPr>
              <w:t xml:space="preserve">, </w:t>
            </w:r>
            <w:proofErr w:type="spellStart"/>
            <w:r w:rsidRPr="00E86B52">
              <w:rPr>
                <w:sz w:val="22"/>
                <w:szCs w:val="22"/>
                <w:lang w:val="en-US" w:eastAsia="zh-CN"/>
              </w:rPr>
              <w:t>Sfax</w:t>
            </w:r>
            <w:proofErr w:type="spellEnd"/>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2011-2012</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3,509.83</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3,509.83</w:t>
            </w:r>
          </w:p>
        </w:tc>
      </w:tr>
      <w:tr w:rsidR="00E86B52" w:rsidRPr="00E86B52" w:rsidTr="00270D7A">
        <w:trPr>
          <w:trHeight w:val="300"/>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E86B52">
              <w:rPr>
                <w:b/>
                <w:bCs/>
                <w:sz w:val="22"/>
                <w:szCs w:val="22"/>
                <w:lang w:val="en-US" w:eastAsia="zh-CN"/>
              </w:rPr>
              <w:t>Turkey</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w:t>
            </w:r>
          </w:p>
        </w:tc>
      </w:tr>
      <w:tr w:rsidR="00E86B52"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w:t>
            </w:r>
            <w:proofErr w:type="spellStart"/>
            <w:r w:rsidRPr="00E86B52">
              <w:rPr>
                <w:sz w:val="22"/>
                <w:szCs w:val="22"/>
                <w:lang w:val="en-US" w:eastAsia="zh-CN"/>
              </w:rPr>
              <w:t>Telsim</w:t>
            </w:r>
            <w:proofErr w:type="spellEnd"/>
            <w:r w:rsidRPr="00E86B52">
              <w:rPr>
                <w:sz w:val="22"/>
                <w:szCs w:val="22"/>
                <w:lang w:val="en-US" w:eastAsia="zh-CN"/>
              </w:rPr>
              <w:t xml:space="preserve"> Mobile Telecom. Services SA, Istanbul</w:t>
            </w:r>
          </w:p>
        </w:tc>
        <w:tc>
          <w:tcPr>
            <w:tcW w:w="1526"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2001-2006</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408,297.65</w:t>
            </w:r>
          </w:p>
        </w:tc>
        <w:tc>
          <w:tcPr>
            <w:tcW w:w="1420"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408,297.65</w:t>
            </w:r>
          </w:p>
        </w:tc>
      </w:tr>
      <w:tr w:rsidR="00E86B52" w:rsidRPr="00E86B52" w:rsidTr="00270D7A">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TTNET, Istanbul</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2016</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8,743.05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8,743.05</w:t>
            </w:r>
          </w:p>
        </w:tc>
      </w:tr>
      <w:tr w:rsidR="00E86B52" w:rsidRPr="00E86B52" w:rsidTr="00270D7A">
        <w:trPr>
          <w:trHeight w:val="300"/>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E86B52">
              <w:rPr>
                <w:b/>
                <w:bCs/>
                <w:sz w:val="22"/>
                <w:szCs w:val="22"/>
                <w:lang w:val="en-US" w:eastAsia="zh-CN"/>
              </w:rPr>
              <w:t>Ukraine</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w:t>
            </w:r>
          </w:p>
        </w:tc>
      </w:tr>
      <w:tr w:rsidR="00E86B52" w:rsidRPr="00E86B52" w:rsidTr="00270D7A">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Ukrainian National Information Systems, Kiev</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2014-2015</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19,137.74</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19,137.74</w:t>
            </w:r>
          </w:p>
        </w:tc>
      </w:tr>
      <w:tr w:rsidR="00E86B52" w:rsidRPr="00E86B52" w:rsidTr="00270D7A">
        <w:trPr>
          <w:trHeight w:val="300"/>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E86B52">
              <w:rPr>
                <w:b/>
                <w:bCs/>
                <w:sz w:val="22"/>
                <w:szCs w:val="22"/>
                <w:lang w:val="en-US" w:eastAsia="zh-CN"/>
              </w:rPr>
              <w:t>United Arab Emirates</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w:t>
            </w:r>
          </w:p>
        </w:tc>
      </w:tr>
      <w:tr w:rsidR="00E86B52"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American University in Dubai, Dubai</w:t>
            </w:r>
          </w:p>
        </w:tc>
        <w:tc>
          <w:tcPr>
            <w:tcW w:w="1526"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2014</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2,455.90</w:t>
            </w:r>
          </w:p>
        </w:tc>
        <w:tc>
          <w:tcPr>
            <w:tcW w:w="1420"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2,455.90</w:t>
            </w:r>
          </w:p>
        </w:tc>
      </w:tr>
      <w:tr w:rsidR="00E86B52" w:rsidRPr="00E86B52" w:rsidTr="00270D7A">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w:t>
            </w:r>
            <w:proofErr w:type="spellStart"/>
            <w:r w:rsidRPr="00E86B52">
              <w:rPr>
                <w:sz w:val="22"/>
                <w:szCs w:val="22"/>
                <w:lang w:val="en-US" w:eastAsia="zh-CN"/>
              </w:rPr>
              <w:t>Teralight</w:t>
            </w:r>
            <w:proofErr w:type="spellEnd"/>
            <w:r w:rsidRPr="00E86B52">
              <w:rPr>
                <w:sz w:val="22"/>
                <w:szCs w:val="22"/>
                <w:lang w:val="en-US" w:eastAsia="zh-CN"/>
              </w:rPr>
              <w:t>, FZ LLC, Chandler</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2016</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4,371.50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4,371.50</w:t>
            </w:r>
          </w:p>
        </w:tc>
      </w:tr>
      <w:tr w:rsidR="00E86B52" w:rsidRPr="00E86B52" w:rsidTr="00270D7A">
        <w:trPr>
          <w:trHeight w:val="600"/>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E86B52">
              <w:rPr>
                <w:b/>
                <w:bCs/>
                <w:sz w:val="22"/>
                <w:szCs w:val="22"/>
                <w:lang w:val="en-US" w:eastAsia="zh-CN"/>
              </w:rPr>
              <w:t>United Kingdom of Great Britain and Northern Ireland</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w:t>
            </w:r>
          </w:p>
        </w:tc>
      </w:tr>
      <w:tr w:rsidR="00E86B52"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w:t>
            </w:r>
            <w:proofErr w:type="spellStart"/>
            <w:r w:rsidRPr="00E86B52">
              <w:rPr>
                <w:sz w:val="22"/>
                <w:szCs w:val="22"/>
                <w:lang w:val="en-US" w:eastAsia="zh-CN"/>
              </w:rPr>
              <w:t>Celtel</w:t>
            </w:r>
            <w:proofErr w:type="spellEnd"/>
            <w:r w:rsidRPr="00E86B52">
              <w:rPr>
                <w:sz w:val="22"/>
                <w:szCs w:val="22"/>
                <w:lang w:val="en-US" w:eastAsia="zh-CN"/>
              </w:rPr>
              <w:t xml:space="preserve"> International, London</w:t>
            </w:r>
          </w:p>
        </w:tc>
        <w:tc>
          <w:tcPr>
            <w:tcW w:w="1526"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2004-2007</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14,322.55</w:t>
            </w:r>
          </w:p>
        </w:tc>
        <w:tc>
          <w:tcPr>
            <w:tcW w:w="1420"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14,322.55</w:t>
            </w:r>
          </w:p>
        </w:tc>
      </w:tr>
      <w:tr w:rsidR="00E86B52" w:rsidRPr="00E86B52" w:rsidTr="00270D7A">
        <w:trPr>
          <w:trHeight w:val="600"/>
        </w:trPr>
        <w:tc>
          <w:tcPr>
            <w:tcW w:w="482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KRE Corporate Recovery LLP (Ex. ICO Satellite Limited), Berks</w:t>
            </w:r>
          </w:p>
        </w:tc>
        <w:tc>
          <w:tcPr>
            <w:tcW w:w="1526"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2012-2013</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26,815.50</w:t>
            </w:r>
          </w:p>
        </w:tc>
        <w:tc>
          <w:tcPr>
            <w:tcW w:w="1420"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26,815.50</w:t>
            </w:r>
          </w:p>
        </w:tc>
      </w:tr>
      <w:tr w:rsidR="00E86B52"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Malden Electronics, </w:t>
            </w:r>
            <w:proofErr w:type="spellStart"/>
            <w:r w:rsidRPr="00E86B52">
              <w:rPr>
                <w:sz w:val="22"/>
                <w:szCs w:val="22"/>
                <w:lang w:val="en-US" w:eastAsia="zh-CN"/>
              </w:rPr>
              <w:t>Ewell</w:t>
            </w:r>
            <w:proofErr w:type="spellEnd"/>
          </w:p>
        </w:tc>
        <w:tc>
          <w:tcPr>
            <w:tcW w:w="1526"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2016</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11,657.35</w:t>
            </w:r>
          </w:p>
        </w:tc>
        <w:tc>
          <w:tcPr>
            <w:tcW w:w="1420"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11,657.35</w:t>
            </w:r>
          </w:p>
        </w:tc>
      </w:tr>
      <w:tr w:rsidR="00E86B52"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w:t>
            </w:r>
            <w:proofErr w:type="spellStart"/>
            <w:r w:rsidRPr="00E86B52">
              <w:rPr>
                <w:sz w:val="22"/>
                <w:szCs w:val="22"/>
                <w:lang w:val="en-US" w:eastAsia="zh-CN"/>
              </w:rPr>
              <w:t>Semtech</w:t>
            </w:r>
            <w:proofErr w:type="spellEnd"/>
            <w:r w:rsidRPr="00E86B52">
              <w:rPr>
                <w:sz w:val="22"/>
                <w:szCs w:val="22"/>
                <w:lang w:val="en-US" w:eastAsia="zh-CN"/>
              </w:rPr>
              <w:t xml:space="preserve"> Limited, Romsey</w:t>
            </w:r>
          </w:p>
        </w:tc>
        <w:tc>
          <w:tcPr>
            <w:tcW w:w="1526"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2016</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11,657.35</w:t>
            </w:r>
          </w:p>
        </w:tc>
        <w:tc>
          <w:tcPr>
            <w:tcW w:w="1420"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11,657.35</w:t>
            </w:r>
          </w:p>
        </w:tc>
      </w:tr>
      <w:tr w:rsidR="00E86B52"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Times Publications Ltd., London</w:t>
            </w:r>
          </w:p>
        </w:tc>
        <w:tc>
          <w:tcPr>
            <w:tcW w:w="1526"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1998-2002</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78,148.15</w:t>
            </w:r>
          </w:p>
        </w:tc>
        <w:tc>
          <w:tcPr>
            <w:tcW w:w="1420"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78,148.15</w:t>
            </w:r>
          </w:p>
        </w:tc>
      </w:tr>
      <w:tr w:rsidR="00E86B52" w:rsidRPr="00E86B52" w:rsidTr="00270D7A">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w:t>
            </w:r>
            <w:proofErr w:type="spellStart"/>
            <w:r w:rsidRPr="00E86B52">
              <w:rPr>
                <w:sz w:val="22"/>
                <w:szCs w:val="22"/>
                <w:lang w:val="en-US" w:eastAsia="zh-CN"/>
              </w:rPr>
              <w:t>Vectone</w:t>
            </w:r>
            <w:proofErr w:type="spellEnd"/>
            <w:r w:rsidRPr="00E86B52">
              <w:rPr>
                <w:sz w:val="22"/>
                <w:szCs w:val="22"/>
                <w:lang w:val="en-US" w:eastAsia="zh-CN"/>
              </w:rPr>
              <w:t xml:space="preserve"> Group Holding Ltd., London</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10,638.85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10,638.85</w:t>
            </w:r>
          </w:p>
        </w:tc>
      </w:tr>
      <w:tr w:rsidR="00E86B52" w:rsidRPr="00E86B52" w:rsidTr="00270D7A">
        <w:trPr>
          <w:trHeight w:val="300"/>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E86B52">
              <w:rPr>
                <w:b/>
                <w:bCs/>
                <w:sz w:val="22"/>
                <w:szCs w:val="22"/>
                <w:lang w:val="en-US" w:eastAsia="zh-CN"/>
              </w:rPr>
              <w:t>United States of America</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w:t>
            </w: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w:t>
            </w: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w:t>
            </w:r>
          </w:p>
        </w:tc>
      </w:tr>
      <w:tr w:rsidR="00E86B52"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Actiontec Electronics, Inc., Sunnyvale</w:t>
            </w:r>
          </w:p>
        </w:tc>
        <w:tc>
          <w:tcPr>
            <w:tcW w:w="1526"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2008</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18,580.05</w:t>
            </w:r>
          </w:p>
        </w:tc>
        <w:tc>
          <w:tcPr>
            <w:tcW w:w="1420"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18,580.05</w:t>
            </w:r>
          </w:p>
        </w:tc>
      </w:tr>
      <w:tr w:rsidR="00E86B52"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w:t>
            </w:r>
            <w:proofErr w:type="spellStart"/>
            <w:r w:rsidRPr="00E86B52">
              <w:rPr>
                <w:sz w:val="22"/>
                <w:szCs w:val="22"/>
                <w:lang w:val="en-US" w:eastAsia="zh-CN"/>
              </w:rPr>
              <w:t>Animatele</w:t>
            </w:r>
            <w:proofErr w:type="spellEnd"/>
            <w:r w:rsidRPr="00E86B52">
              <w:rPr>
                <w:sz w:val="22"/>
                <w:szCs w:val="22"/>
                <w:lang w:val="en-US" w:eastAsia="zh-CN"/>
              </w:rPr>
              <w:t xml:space="preserve"> Inc., New York</w:t>
            </w:r>
          </w:p>
        </w:tc>
        <w:tc>
          <w:tcPr>
            <w:tcW w:w="1526"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2011</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15,600.20</w:t>
            </w:r>
          </w:p>
        </w:tc>
        <w:tc>
          <w:tcPr>
            <w:tcW w:w="1420"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15,600.20</w:t>
            </w:r>
          </w:p>
        </w:tc>
      </w:tr>
      <w:tr w:rsidR="00E86B52"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AOL, New York</w:t>
            </w:r>
          </w:p>
        </w:tc>
        <w:tc>
          <w:tcPr>
            <w:tcW w:w="1526"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2002-2003</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189,939.10</w:t>
            </w:r>
          </w:p>
        </w:tc>
        <w:tc>
          <w:tcPr>
            <w:tcW w:w="1420"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189,939.10</w:t>
            </w:r>
          </w:p>
        </w:tc>
      </w:tr>
      <w:tr w:rsidR="00E86B52"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w:t>
            </w:r>
            <w:proofErr w:type="spellStart"/>
            <w:r w:rsidRPr="00E86B52">
              <w:rPr>
                <w:sz w:val="22"/>
                <w:szCs w:val="22"/>
                <w:lang w:val="en-US" w:eastAsia="zh-CN"/>
              </w:rPr>
              <w:t>Calient</w:t>
            </w:r>
            <w:proofErr w:type="spellEnd"/>
            <w:r w:rsidRPr="00E86B52">
              <w:rPr>
                <w:sz w:val="22"/>
                <w:szCs w:val="22"/>
                <w:lang w:val="en-US" w:eastAsia="zh-CN"/>
              </w:rPr>
              <w:t xml:space="preserve"> Networks Inc., San José</w:t>
            </w:r>
          </w:p>
        </w:tc>
        <w:tc>
          <w:tcPr>
            <w:tcW w:w="1526"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2003-2006</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271,854.55</w:t>
            </w:r>
          </w:p>
        </w:tc>
        <w:tc>
          <w:tcPr>
            <w:tcW w:w="1420"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271,854.55</w:t>
            </w:r>
          </w:p>
        </w:tc>
      </w:tr>
      <w:tr w:rsidR="00E86B52"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Compuware Corporation, Detroit</w:t>
            </w:r>
          </w:p>
        </w:tc>
        <w:tc>
          <w:tcPr>
            <w:tcW w:w="1526"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2009-2010</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12,581.25</w:t>
            </w:r>
          </w:p>
        </w:tc>
        <w:tc>
          <w:tcPr>
            <w:tcW w:w="1420"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12,581.25</w:t>
            </w:r>
          </w:p>
        </w:tc>
      </w:tr>
      <w:tr w:rsidR="00E86B52" w:rsidRPr="00E86B52" w:rsidTr="002F46E2">
        <w:trPr>
          <w:trHeight w:val="300"/>
        </w:trPr>
        <w:tc>
          <w:tcPr>
            <w:tcW w:w="4820" w:type="dxa"/>
            <w:tcBorders>
              <w:top w:val="nil"/>
              <w:left w:val="single" w:sz="4" w:space="0" w:color="auto"/>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w:t>
            </w:r>
            <w:proofErr w:type="spellStart"/>
            <w:r w:rsidRPr="00E86B52">
              <w:rPr>
                <w:sz w:val="22"/>
                <w:szCs w:val="22"/>
                <w:lang w:val="en-US" w:eastAsia="zh-CN"/>
              </w:rPr>
              <w:t>ConceroConnect</w:t>
            </w:r>
            <w:proofErr w:type="spellEnd"/>
            <w:r w:rsidRPr="00E86B52">
              <w:rPr>
                <w:sz w:val="22"/>
                <w:szCs w:val="22"/>
                <w:lang w:val="en-US" w:eastAsia="zh-CN"/>
              </w:rPr>
              <w:t xml:space="preserve">, L3C, Park City </w:t>
            </w:r>
          </w:p>
        </w:tc>
        <w:tc>
          <w:tcPr>
            <w:tcW w:w="1526" w:type="dxa"/>
            <w:tcBorders>
              <w:top w:val="nil"/>
              <w:left w:val="single" w:sz="4" w:space="0" w:color="auto"/>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2015</w:t>
            </w:r>
          </w:p>
        </w:tc>
        <w:tc>
          <w:tcPr>
            <w:tcW w:w="1497" w:type="dxa"/>
            <w:tcBorders>
              <w:top w:val="nil"/>
              <w:left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9,267.65</w:t>
            </w:r>
          </w:p>
        </w:tc>
        <w:tc>
          <w:tcPr>
            <w:tcW w:w="1420" w:type="dxa"/>
            <w:tcBorders>
              <w:top w:val="nil"/>
              <w:left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9,267.65</w:t>
            </w:r>
          </w:p>
        </w:tc>
      </w:tr>
      <w:tr w:rsidR="00E86B52" w:rsidRPr="00E86B52" w:rsidTr="002F46E2">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w:t>
            </w:r>
            <w:proofErr w:type="spellStart"/>
            <w:r w:rsidRPr="00E86B52">
              <w:rPr>
                <w:sz w:val="22"/>
                <w:szCs w:val="22"/>
                <w:lang w:val="en-US" w:eastAsia="zh-CN"/>
              </w:rPr>
              <w:t>Conversay</w:t>
            </w:r>
            <w:proofErr w:type="spellEnd"/>
            <w:r w:rsidRPr="00E86B52">
              <w:rPr>
                <w:sz w:val="22"/>
                <w:szCs w:val="22"/>
                <w:lang w:val="en-US" w:eastAsia="zh-CN"/>
              </w:rPr>
              <w:t xml:space="preserve">, </w:t>
            </w:r>
            <w:proofErr w:type="spellStart"/>
            <w:r w:rsidRPr="00E86B52">
              <w:rPr>
                <w:sz w:val="22"/>
                <w:szCs w:val="22"/>
                <w:lang w:val="en-US" w:eastAsia="zh-CN"/>
              </w:rPr>
              <w:t>Redmon</w:t>
            </w:r>
            <w:proofErr w:type="spellEnd"/>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2007-2008</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74,877.60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74,877.60</w:t>
            </w:r>
          </w:p>
        </w:tc>
      </w:tr>
    </w:tbl>
    <w:p w:rsidR="002F46E2" w:rsidRDefault="002F46E2">
      <w:r>
        <w:br w:type="page"/>
      </w:r>
    </w:p>
    <w:p w:rsidR="002F46E2" w:rsidRDefault="002F46E2"/>
    <w:tbl>
      <w:tblPr>
        <w:tblW w:w="10760" w:type="dxa"/>
        <w:tblInd w:w="-5" w:type="dxa"/>
        <w:tblLook w:val="04A0" w:firstRow="1" w:lastRow="0" w:firstColumn="1" w:lastColumn="0" w:noHBand="0" w:noVBand="1"/>
      </w:tblPr>
      <w:tblGrid>
        <w:gridCol w:w="4820"/>
        <w:gridCol w:w="1526"/>
        <w:gridCol w:w="1497"/>
        <w:gridCol w:w="1420"/>
        <w:gridCol w:w="1497"/>
      </w:tblGrid>
      <w:tr w:rsidR="002F46E2" w:rsidRPr="00E86B52" w:rsidTr="002F46E2">
        <w:trPr>
          <w:trHeight w:val="303"/>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2F46E2" w:rsidRPr="00E86B52" w:rsidRDefault="002F46E2" w:rsidP="00F653D4">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E86B52">
              <w:rPr>
                <w:b/>
                <w:bCs/>
                <w:sz w:val="22"/>
                <w:szCs w:val="22"/>
                <w:lang w:val="en-US" w:eastAsia="zh-CN"/>
              </w:rPr>
              <w:t>B. Sector Members and other entities</w:t>
            </w:r>
            <w:r>
              <w:rPr>
                <w:b/>
                <w:bCs/>
                <w:sz w:val="22"/>
                <w:szCs w:val="22"/>
                <w:lang w:val="en-US" w:eastAsia="zh-CN"/>
              </w:rPr>
              <w:t xml:space="preserve"> (</w:t>
            </w:r>
            <w:r w:rsidRPr="00EC091C">
              <w:rPr>
                <w:b/>
                <w:bCs/>
                <w:i/>
                <w:iCs/>
                <w:sz w:val="22"/>
                <w:szCs w:val="22"/>
                <w:lang w:val="en-US" w:eastAsia="zh-CN"/>
              </w:rPr>
              <w:t>cont’d</w:t>
            </w:r>
            <w:r>
              <w:rPr>
                <w:b/>
                <w:bCs/>
                <w:sz w:val="22"/>
                <w:szCs w:val="22"/>
                <w:lang w:val="en-US" w:eastAsia="zh-CN"/>
              </w:rPr>
              <w:t>)</w:t>
            </w: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46E2" w:rsidRPr="00E86B52" w:rsidRDefault="002F46E2" w:rsidP="00F653D4">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E86B52">
              <w:rPr>
                <w:b/>
                <w:bCs/>
                <w:sz w:val="22"/>
                <w:szCs w:val="22"/>
                <w:lang w:val="en-US" w:eastAsia="zh-CN"/>
              </w:rPr>
              <w:t>Year</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46E2" w:rsidRPr="00E86B52" w:rsidRDefault="002F46E2" w:rsidP="00F653D4">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E86B52">
              <w:rPr>
                <w:b/>
                <w:bCs/>
                <w:sz w:val="22"/>
                <w:szCs w:val="22"/>
                <w:lang w:val="en-US" w:eastAsia="zh-CN"/>
              </w:rPr>
              <w:t>Contributions</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46E2" w:rsidRPr="00E86B52" w:rsidRDefault="002F46E2" w:rsidP="00F653D4">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E86B52">
              <w:rPr>
                <w:b/>
                <w:bCs/>
                <w:sz w:val="22"/>
                <w:szCs w:val="22"/>
                <w:lang w:val="en-US" w:eastAsia="zh-CN"/>
              </w:rPr>
              <w:t>Publications</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46E2" w:rsidRPr="00E86B52" w:rsidRDefault="002F46E2" w:rsidP="00F653D4">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E86B52">
              <w:rPr>
                <w:b/>
                <w:bCs/>
                <w:sz w:val="22"/>
                <w:szCs w:val="22"/>
                <w:lang w:val="en-US" w:eastAsia="zh-CN"/>
              </w:rPr>
              <w:t>Total</w:t>
            </w:r>
          </w:p>
        </w:tc>
      </w:tr>
      <w:tr w:rsidR="00E86B52" w:rsidRPr="00E86B52" w:rsidTr="002F46E2">
        <w:trPr>
          <w:trHeight w:val="300"/>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w:t>
            </w:r>
            <w:proofErr w:type="spellStart"/>
            <w:r w:rsidRPr="00E86B52">
              <w:rPr>
                <w:sz w:val="22"/>
                <w:szCs w:val="22"/>
                <w:lang w:val="en-US" w:eastAsia="zh-CN"/>
              </w:rPr>
              <w:t>Covad</w:t>
            </w:r>
            <w:proofErr w:type="spellEnd"/>
            <w:r w:rsidRPr="00E86B52">
              <w:rPr>
                <w:sz w:val="22"/>
                <w:szCs w:val="22"/>
                <w:lang w:val="en-US" w:eastAsia="zh-CN"/>
              </w:rPr>
              <w:t xml:space="preserve"> Communications Company, San José</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2001-2002</w:t>
            </w: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118,950.75</w:t>
            </w: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118,950.75</w:t>
            </w:r>
          </w:p>
        </w:tc>
      </w:tr>
      <w:tr w:rsidR="00E86B52" w:rsidRPr="00E86B52" w:rsidTr="002F46E2">
        <w:trPr>
          <w:trHeight w:val="300"/>
        </w:trPr>
        <w:tc>
          <w:tcPr>
            <w:tcW w:w="4820" w:type="dxa"/>
            <w:tcBorders>
              <w:top w:val="nil"/>
              <w:left w:val="single" w:sz="4" w:space="0" w:color="auto"/>
              <w:right w:val="single" w:sz="4" w:space="0" w:color="auto"/>
            </w:tcBorders>
            <w:shd w:val="clear" w:color="auto" w:fill="auto"/>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Cypress Semiconductor Corp., San José</w:t>
            </w:r>
          </w:p>
        </w:tc>
        <w:tc>
          <w:tcPr>
            <w:tcW w:w="1526" w:type="dxa"/>
            <w:tcBorders>
              <w:top w:val="nil"/>
              <w:left w:val="single" w:sz="4" w:space="0" w:color="auto"/>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2004-2005</w:t>
            </w:r>
          </w:p>
        </w:tc>
        <w:tc>
          <w:tcPr>
            <w:tcW w:w="1497" w:type="dxa"/>
            <w:tcBorders>
              <w:top w:val="nil"/>
              <w:left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35,648.75</w:t>
            </w:r>
          </w:p>
        </w:tc>
        <w:tc>
          <w:tcPr>
            <w:tcW w:w="1420" w:type="dxa"/>
            <w:tcBorders>
              <w:top w:val="nil"/>
              <w:left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35,648.75</w:t>
            </w:r>
          </w:p>
        </w:tc>
      </w:tr>
      <w:tr w:rsidR="00E86B52" w:rsidRPr="00E86B52" w:rsidTr="002F46E2">
        <w:trPr>
          <w:trHeight w:val="300"/>
        </w:trPr>
        <w:tc>
          <w:tcPr>
            <w:tcW w:w="4820" w:type="dxa"/>
            <w:tcBorders>
              <w:top w:val="nil"/>
              <w:left w:val="single" w:sz="4" w:space="0" w:color="auto"/>
              <w:right w:val="single" w:sz="4" w:space="0" w:color="auto"/>
            </w:tcBorders>
            <w:shd w:val="clear" w:color="auto" w:fill="auto"/>
            <w:vAlign w:val="bottom"/>
            <w:hideMark/>
          </w:tcPr>
          <w:p w:rsidR="000F7F99" w:rsidRPr="00E86B52" w:rsidRDefault="00E86B52" w:rsidP="002F46E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w:t>
            </w:r>
            <w:proofErr w:type="spellStart"/>
            <w:r w:rsidRPr="00E86B52">
              <w:rPr>
                <w:sz w:val="22"/>
                <w:szCs w:val="22"/>
                <w:lang w:val="en-US" w:eastAsia="zh-CN"/>
              </w:rPr>
              <w:t>Dynasat</w:t>
            </w:r>
            <w:proofErr w:type="spellEnd"/>
            <w:r w:rsidRPr="00E86B52">
              <w:rPr>
                <w:sz w:val="22"/>
                <w:szCs w:val="22"/>
                <w:lang w:val="en-US" w:eastAsia="zh-CN"/>
              </w:rPr>
              <w:t xml:space="preserve"> Inc., Austin TX</w:t>
            </w:r>
          </w:p>
        </w:tc>
        <w:tc>
          <w:tcPr>
            <w:tcW w:w="1526" w:type="dxa"/>
            <w:tcBorders>
              <w:top w:val="nil"/>
              <w:left w:val="single" w:sz="4" w:space="0" w:color="auto"/>
              <w:right w:val="single" w:sz="4" w:space="0" w:color="auto"/>
            </w:tcBorders>
            <w:shd w:val="clear" w:color="auto" w:fill="auto"/>
            <w:noWrap/>
            <w:vAlign w:val="bottom"/>
            <w:hideMark/>
          </w:tcPr>
          <w:p w:rsidR="00E86B52" w:rsidRPr="00E86B52" w:rsidRDefault="00E86B52" w:rsidP="00EC091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2016</w:t>
            </w:r>
          </w:p>
        </w:tc>
        <w:tc>
          <w:tcPr>
            <w:tcW w:w="1497" w:type="dxa"/>
            <w:tcBorders>
              <w:top w:val="nil"/>
              <w:left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8,743.05</w:t>
            </w:r>
          </w:p>
        </w:tc>
        <w:tc>
          <w:tcPr>
            <w:tcW w:w="1420" w:type="dxa"/>
            <w:tcBorders>
              <w:top w:val="nil"/>
              <w:left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right w:val="single" w:sz="4" w:space="0" w:color="auto"/>
            </w:tcBorders>
            <w:shd w:val="clear" w:color="auto" w:fill="auto"/>
            <w:noWrap/>
            <w:vAlign w:val="bottom"/>
            <w:hideMark/>
          </w:tcPr>
          <w:p w:rsidR="00E86B52" w:rsidRPr="00E86B52" w:rsidRDefault="00E86B52" w:rsidP="00E86B5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8,743.05</w:t>
            </w:r>
          </w:p>
        </w:tc>
      </w:tr>
      <w:tr w:rsidR="00654F05" w:rsidRPr="00E86B52" w:rsidTr="002F46E2">
        <w:trPr>
          <w:trHeight w:val="303"/>
        </w:trPr>
        <w:tc>
          <w:tcPr>
            <w:tcW w:w="4820" w:type="dxa"/>
            <w:tcBorders>
              <w:left w:val="single" w:sz="4" w:space="0" w:color="auto"/>
              <w:bottom w:val="nil"/>
              <w:right w:val="single" w:sz="4" w:space="0" w:color="auto"/>
            </w:tcBorders>
            <w:shd w:val="clear" w:color="auto" w:fill="auto"/>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Actiontec Electronics, Inc., Sunnyvale</w:t>
            </w:r>
          </w:p>
        </w:tc>
        <w:tc>
          <w:tcPr>
            <w:tcW w:w="1526" w:type="dxa"/>
            <w:tcBorders>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2005-2007</w:t>
            </w:r>
          </w:p>
        </w:tc>
        <w:tc>
          <w:tcPr>
            <w:tcW w:w="1497" w:type="dxa"/>
            <w:tcBorders>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45,280.95</w:t>
            </w:r>
          </w:p>
        </w:tc>
        <w:tc>
          <w:tcPr>
            <w:tcW w:w="1420" w:type="dxa"/>
            <w:tcBorders>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45,280.95</w:t>
            </w:r>
          </w:p>
        </w:tc>
      </w:tr>
      <w:tr w:rsidR="00654F05"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w:t>
            </w:r>
            <w:proofErr w:type="spellStart"/>
            <w:r w:rsidRPr="00E86B52">
              <w:rPr>
                <w:sz w:val="22"/>
                <w:szCs w:val="22"/>
                <w:lang w:val="en-US" w:eastAsia="zh-CN"/>
              </w:rPr>
              <w:t>EnVerv</w:t>
            </w:r>
            <w:proofErr w:type="spellEnd"/>
            <w:r w:rsidRPr="00E86B52">
              <w:rPr>
                <w:sz w:val="22"/>
                <w:szCs w:val="22"/>
                <w:lang w:val="en-US" w:eastAsia="zh-CN"/>
              </w:rPr>
              <w:t xml:space="preserve"> Inc., Milpitas</w:t>
            </w:r>
          </w:p>
        </w:tc>
        <w:tc>
          <w:tcPr>
            <w:tcW w:w="1526"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2015</w:t>
            </w:r>
          </w:p>
        </w:tc>
        <w:tc>
          <w:tcPr>
            <w:tcW w:w="1497"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12,356.80</w:t>
            </w:r>
          </w:p>
        </w:tc>
        <w:tc>
          <w:tcPr>
            <w:tcW w:w="1420"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12,356.80</w:t>
            </w:r>
          </w:p>
        </w:tc>
      </w:tr>
      <w:tr w:rsidR="00654F05"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ESS Technology Inc., Fremont</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2004</w:t>
            </w:r>
          </w:p>
        </w:tc>
        <w:tc>
          <w:tcPr>
            <w:tcW w:w="1497"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69,671.05</w:t>
            </w:r>
          </w:p>
        </w:tc>
        <w:tc>
          <w:tcPr>
            <w:tcW w:w="1420"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69,671.05</w:t>
            </w:r>
          </w:p>
        </w:tc>
      </w:tr>
      <w:tr w:rsidR="00654F05"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Extreme Networks, Santa Clara</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2012</w:t>
            </w:r>
          </w:p>
        </w:tc>
        <w:tc>
          <w:tcPr>
            <w:tcW w:w="1497"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3,679.15</w:t>
            </w:r>
          </w:p>
        </w:tc>
        <w:tc>
          <w:tcPr>
            <w:tcW w:w="1420"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3,679.15</w:t>
            </w:r>
          </w:p>
        </w:tc>
      </w:tr>
      <w:tr w:rsidR="00654F05"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w:t>
            </w:r>
            <w:proofErr w:type="spellStart"/>
            <w:r w:rsidRPr="00E86B52">
              <w:rPr>
                <w:sz w:val="22"/>
                <w:szCs w:val="22"/>
                <w:lang w:val="en-US" w:eastAsia="zh-CN"/>
              </w:rPr>
              <w:t>Ezenia</w:t>
            </w:r>
            <w:proofErr w:type="spellEnd"/>
            <w:r w:rsidRPr="00E86B52">
              <w:rPr>
                <w:sz w:val="22"/>
                <w:szCs w:val="22"/>
                <w:lang w:val="en-US" w:eastAsia="zh-CN"/>
              </w:rPr>
              <w:t xml:space="preserve"> Inc., Salem</w:t>
            </w:r>
          </w:p>
        </w:tc>
        <w:tc>
          <w:tcPr>
            <w:tcW w:w="1526"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2000-2006</w:t>
            </w:r>
          </w:p>
        </w:tc>
        <w:tc>
          <w:tcPr>
            <w:tcW w:w="1497"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350,451.50</w:t>
            </w:r>
          </w:p>
        </w:tc>
        <w:tc>
          <w:tcPr>
            <w:tcW w:w="1420"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350,451.50</w:t>
            </w:r>
          </w:p>
        </w:tc>
      </w:tr>
      <w:tr w:rsidR="00654F05"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w:t>
            </w:r>
            <w:proofErr w:type="spellStart"/>
            <w:r w:rsidRPr="00E86B52">
              <w:rPr>
                <w:sz w:val="22"/>
                <w:szCs w:val="22"/>
                <w:lang w:val="en-US" w:eastAsia="zh-CN"/>
              </w:rPr>
              <w:t>Graphnet</w:t>
            </w:r>
            <w:proofErr w:type="spellEnd"/>
            <w:r w:rsidRPr="00E86B52">
              <w:rPr>
                <w:sz w:val="22"/>
                <w:szCs w:val="22"/>
                <w:lang w:val="en-US" w:eastAsia="zh-CN"/>
              </w:rPr>
              <w:t xml:space="preserve"> Inc., New York</w:t>
            </w:r>
          </w:p>
        </w:tc>
        <w:tc>
          <w:tcPr>
            <w:tcW w:w="1526"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1987-2002</w:t>
            </w:r>
          </w:p>
        </w:tc>
        <w:tc>
          <w:tcPr>
            <w:tcW w:w="1497"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1,378,163.10</w:t>
            </w:r>
          </w:p>
        </w:tc>
        <w:tc>
          <w:tcPr>
            <w:tcW w:w="1420"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1,378,163.10</w:t>
            </w:r>
          </w:p>
        </w:tc>
      </w:tr>
      <w:tr w:rsidR="00654F05"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w:t>
            </w:r>
            <w:proofErr w:type="spellStart"/>
            <w:r w:rsidRPr="00E86B52">
              <w:rPr>
                <w:sz w:val="22"/>
                <w:szCs w:val="22"/>
                <w:lang w:val="en-US" w:eastAsia="zh-CN"/>
              </w:rPr>
              <w:t>Ikanos</w:t>
            </w:r>
            <w:proofErr w:type="spellEnd"/>
            <w:r w:rsidRPr="00E86B52">
              <w:rPr>
                <w:sz w:val="22"/>
                <w:szCs w:val="22"/>
                <w:lang w:val="en-US" w:eastAsia="zh-CN"/>
              </w:rPr>
              <w:t xml:space="preserve"> Communications, Red Bank NJ</w:t>
            </w:r>
          </w:p>
        </w:tc>
        <w:tc>
          <w:tcPr>
            <w:tcW w:w="1526"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2016</w:t>
            </w:r>
          </w:p>
        </w:tc>
        <w:tc>
          <w:tcPr>
            <w:tcW w:w="1497"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34,972.05</w:t>
            </w:r>
          </w:p>
        </w:tc>
        <w:tc>
          <w:tcPr>
            <w:tcW w:w="1420"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34,972.05</w:t>
            </w:r>
          </w:p>
        </w:tc>
      </w:tr>
      <w:tr w:rsidR="00654F05"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ITXC Corporation, Princeton</w:t>
            </w:r>
          </w:p>
        </w:tc>
        <w:tc>
          <w:tcPr>
            <w:tcW w:w="1526"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2004-2007</w:t>
            </w:r>
          </w:p>
        </w:tc>
        <w:tc>
          <w:tcPr>
            <w:tcW w:w="1497"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64,286.70</w:t>
            </w:r>
          </w:p>
        </w:tc>
        <w:tc>
          <w:tcPr>
            <w:tcW w:w="1420"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64,286.70</w:t>
            </w:r>
          </w:p>
        </w:tc>
      </w:tr>
      <w:tr w:rsidR="00654F05"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w:t>
            </w:r>
            <w:proofErr w:type="spellStart"/>
            <w:r w:rsidRPr="00E86B52">
              <w:rPr>
                <w:sz w:val="22"/>
                <w:szCs w:val="22"/>
                <w:lang w:val="en-US" w:eastAsia="zh-CN"/>
              </w:rPr>
              <w:t>Lighsand</w:t>
            </w:r>
            <w:proofErr w:type="spellEnd"/>
            <w:r w:rsidRPr="00E86B52">
              <w:rPr>
                <w:sz w:val="22"/>
                <w:szCs w:val="22"/>
                <w:lang w:val="en-US" w:eastAsia="zh-CN"/>
              </w:rPr>
              <w:t xml:space="preserve"> Communications Inc., Plano</w:t>
            </w:r>
          </w:p>
        </w:tc>
        <w:tc>
          <w:tcPr>
            <w:tcW w:w="1526"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2001-2002</w:t>
            </w:r>
          </w:p>
        </w:tc>
        <w:tc>
          <w:tcPr>
            <w:tcW w:w="1497"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18,522.75</w:t>
            </w:r>
          </w:p>
        </w:tc>
        <w:tc>
          <w:tcPr>
            <w:tcW w:w="1420"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18,522.75</w:t>
            </w:r>
          </w:p>
        </w:tc>
      </w:tr>
      <w:tr w:rsidR="00654F05"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w:t>
            </w:r>
            <w:proofErr w:type="spellStart"/>
            <w:r w:rsidRPr="00E86B52">
              <w:rPr>
                <w:sz w:val="22"/>
                <w:szCs w:val="22"/>
                <w:lang w:val="en-US" w:eastAsia="zh-CN"/>
              </w:rPr>
              <w:t>Lightwaves</w:t>
            </w:r>
            <w:proofErr w:type="spellEnd"/>
            <w:r w:rsidRPr="00E86B52">
              <w:rPr>
                <w:sz w:val="22"/>
                <w:szCs w:val="22"/>
                <w:lang w:val="en-US" w:eastAsia="zh-CN"/>
              </w:rPr>
              <w:t xml:space="preserve"> Inc., Austin</w:t>
            </w:r>
          </w:p>
        </w:tc>
        <w:tc>
          <w:tcPr>
            <w:tcW w:w="1526"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2009</w:t>
            </w:r>
          </w:p>
        </w:tc>
        <w:tc>
          <w:tcPr>
            <w:tcW w:w="1497"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17,528.35</w:t>
            </w:r>
          </w:p>
        </w:tc>
        <w:tc>
          <w:tcPr>
            <w:tcW w:w="1420"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17,528.35</w:t>
            </w:r>
          </w:p>
        </w:tc>
      </w:tr>
      <w:tr w:rsidR="00654F05"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w:t>
            </w:r>
            <w:proofErr w:type="spellStart"/>
            <w:r w:rsidRPr="00E86B52">
              <w:rPr>
                <w:sz w:val="22"/>
                <w:szCs w:val="22"/>
                <w:lang w:val="en-US" w:eastAsia="zh-CN"/>
              </w:rPr>
              <w:t>Nextwave</w:t>
            </w:r>
            <w:proofErr w:type="spellEnd"/>
            <w:r w:rsidRPr="00E86B52">
              <w:rPr>
                <w:sz w:val="22"/>
                <w:szCs w:val="22"/>
                <w:lang w:val="en-US" w:eastAsia="zh-CN"/>
              </w:rPr>
              <w:t xml:space="preserve"> Wireless Inc., San Diego</w:t>
            </w:r>
          </w:p>
        </w:tc>
        <w:tc>
          <w:tcPr>
            <w:tcW w:w="1526"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2009</w:t>
            </w:r>
          </w:p>
        </w:tc>
        <w:tc>
          <w:tcPr>
            <w:tcW w:w="1497"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29,565.90</w:t>
            </w:r>
          </w:p>
        </w:tc>
        <w:tc>
          <w:tcPr>
            <w:tcW w:w="1420"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29,565.90</w:t>
            </w:r>
          </w:p>
        </w:tc>
      </w:tr>
      <w:tr w:rsidR="00654F05"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Nortel Networks USA, Richardson</w:t>
            </w:r>
          </w:p>
        </w:tc>
        <w:tc>
          <w:tcPr>
            <w:tcW w:w="1526"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2009</w:t>
            </w:r>
          </w:p>
        </w:tc>
        <w:tc>
          <w:tcPr>
            <w:tcW w:w="1497"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29,812.50</w:t>
            </w:r>
          </w:p>
        </w:tc>
        <w:tc>
          <w:tcPr>
            <w:tcW w:w="1420"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29,812.50</w:t>
            </w:r>
          </w:p>
        </w:tc>
      </w:tr>
      <w:tr w:rsidR="00654F05" w:rsidRPr="00E86B52" w:rsidTr="00270D7A">
        <w:trPr>
          <w:trHeight w:val="600"/>
        </w:trPr>
        <w:tc>
          <w:tcPr>
            <w:tcW w:w="4820" w:type="dxa"/>
            <w:tcBorders>
              <w:top w:val="nil"/>
              <w:left w:val="single" w:sz="4" w:space="0" w:color="auto"/>
              <w:bottom w:val="nil"/>
              <w:right w:val="single" w:sz="4" w:space="0" w:color="auto"/>
            </w:tcBorders>
            <w:shd w:val="clear" w:color="auto" w:fill="auto"/>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Overture Networks Inc. (Ex. </w:t>
            </w:r>
            <w:proofErr w:type="spellStart"/>
            <w:r w:rsidRPr="00E86B52">
              <w:rPr>
                <w:sz w:val="22"/>
                <w:szCs w:val="22"/>
                <w:lang w:val="en-US" w:eastAsia="zh-CN"/>
              </w:rPr>
              <w:t>Ceterus</w:t>
            </w:r>
            <w:proofErr w:type="spellEnd"/>
            <w:r w:rsidRPr="00E86B52">
              <w:rPr>
                <w:sz w:val="22"/>
                <w:szCs w:val="22"/>
                <w:lang w:val="en-US" w:eastAsia="zh-CN"/>
              </w:rPr>
              <w:t xml:space="preserve"> &amp; Hatteras Networks ), Morrisville</w:t>
            </w:r>
          </w:p>
        </w:tc>
        <w:tc>
          <w:tcPr>
            <w:tcW w:w="1526"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2008-2009</w:t>
            </w:r>
          </w:p>
        </w:tc>
        <w:tc>
          <w:tcPr>
            <w:tcW w:w="1497"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35,454.20</w:t>
            </w:r>
          </w:p>
        </w:tc>
        <w:tc>
          <w:tcPr>
            <w:tcW w:w="1420"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35,454.20</w:t>
            </w:r>
          </w:p>
        </w:tc>
      </w:tr>
      <w:tr w:rsidR="00654F05"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654F05" w:rsidRPr="000E7D94" w:rsidRDefault="00654F05" w:rsidP="00654F05">
            <w:pPr>
              <w:tabs>
                <w:tab w:val="clear" w:pos="567"/>
                <w:tab w:val="clear" w:pos="1134"/>
                <w:tab w:val="clear" w:pos="1701"/>
                <w:tab w:val="clear" w:pos="2268"/>
                <w:tab w:val="clear" w:pos="2835"/>
              </w:tabs>
              <w:overflowPunct/>
              <w:autoSpaceDE/>
              <w:autoSpaceDN/>
              <w:adjustRightInd/>
              <w:spacing w:before="0"/>
              <w:textAlignment w:val="auto"/>
              <w:rPr>
                <w:sz w:val="22"/>
                <w:szCs w:val="22"/>
                <w:lang w:val="es-ES_tradnl" w:eastAsia="zh-CN"/>
              </w:rPr>
            </w:pPr>
            <w:r w:rsidRPr="000E7D94">
              <w:rPr>
                <w:sz w:val="22"/>
                <w:szCs w:val="22"/>
                <w:lang w:val="es-ES_tradnl" w:eastAsia="zh-CN"/>
              </w:rPr>
              <w:t xml:space="preserve"> - Puerto Rico </w:t>
            </w:r>
            <w:proofErr w:type="spellStart"/>
            <w:r w:rsidRPr="000E7D94">
              <w:rPr>
                <w:sz w:val="22"/>
                <w:szCs w:val="22"/>
                <w:lang w:val="es-ES_tradnl" w:eastAsia="zh-CN"/>
              </w:rPr>
              <w:t>Telephone</w:t>
            </w:r>
            <w:proofErr w:type="spellEnd"/>
            <w:r w:rsidRPr="000E7D94">
              <w:rPr>
                <w:sz w:val="22"/>
                <w:szCs w:val="22"/>
                <w:lang w:val="es-ES_tradnl" w:eastAsia="zh-CN"/>
              </w:rPr>
              <w:t xml:space="preserve"> Co., Guaynabo</w:t>
            </w:r>
          </w:p>
        </w:tc>
        <w:tc>
          <w:tcPr>
            <w:tcW w:w="1526"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1995-2002</w:t>
            </w:r>
          </w:p>
        </w:tc>
        <w:tc>
          <w:tcPr>
            <w:tcW w:w="1497"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731,856.40</w:t>
            </w:r>
          </w:p>
        </w:tc>
        <w:tc>
          <w:tcPr>
            <w:tcW w:w="1420"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731,856.40</w:t>
            </w:r>
          </w:p>
        </w:tc>
      </w:tr>
      <w:tr w:rsidR="00654F05"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Range Networks, Inc., San </w:t>
            </w:r>
            <w:proofErr w:type="spellStart"/>
            <w:r w:rsidRPr="00E86B52">
              <w:rPr>
                <w:sz w:val="22"/>
                <w:szCs w:val="22"/>
                <w:lang w:val="en-US" w:eastAsia="zh-CN"/>
              </w:rPr>
              <w:t>Fracisco</w:t>
            </w:r>
            <w:proofErr w:type="spellEnd"/>
          </w:p>
        </w:tc>
        <w:tc>
          <w:tcPr>
            <w:tcW w:w="1526"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2013-2014</w:t>
            </w:r>
          </w:p>
        </w:tc>
        <w:tc>
          <w:tcPr>
            <w:tcW w:w="1497"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13,144.60</w:t>
            </w:r>
          </w:p>
        </w:tc>
        <w:tc>
          <w:tcPr>
            <w:tcW w:w="1420"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13,144.60</w:t>
            </w:r>
          </w:p>
        </w:tc>
      </w:tr>
      <w:tr w:rsidR="00654F05"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w:t>
            </w:r>
            <w:proofErr w:type="spellStart"/>
            <w:r w:rsidRPr="00E86B52">
              <w:rPr>
                <w:sz w:val="22"/>
                <w:szCs w:val="22"/>
                <w:lang w:val="en-US" w:eastAsia="zh-CN"/>
              </w:rPr>
              <w:t>Razoom</w:t>
            </w:r>
            <w:proofErr w:type="spellEnd"/>
            <w:r w:rsidRPr="00E86B52">
              <w:rPr>
                <w:sz w:val="22"/>
                <w:szCs w:val="22"/>
                <w:lang w:val="en-US" w:eastAsia="zh-CN"/>
              </w:rPr>
              <w:t xml:space="preserve"> Inc., Palo Alto</w:t>
            </w:r>
          </w:p>
        </w:tc>
        <w:tc>
          <w:tcPr>
            <w:tcW w:w="1526"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2010</w:t>
            </w:r>
          </w:p>
        </w:tc>
        <w:tc>
          <w:tcPr>
            <w:tcW w:w="1497"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16,536.20</w:t>
            </w:r>
          </w:p>
        </w:tc>
        <w:tc>
          <w:tcPr>
            <w:tcW w:w="1420"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16,536.20</w:t>
            </w:r>
          </w:p>
        </w:tc>
      </w:tr>
      <w:tr w:rsidR="00654F05"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w:t>
            </w:r>
            <w:proofErr w:type="spellStart"/>
            <w:r w:rsidRPr="00E86B52">
              <w:rPr>
                <w:sz w:val="22"/>
                <w:szCs w:val="22"/>
                <w:lang w:val="en-US" w:eastAsia="zh-CN"/>
              </w:rPr>
              <w:t>Teraburst</w:t>
            </w:r>
            <w:proofErr w:type="spellEnd"/>
            <w:r w:rsidRPr="00E86B52">
              <w:rPr>
                <w:sz w:val="22"/>
                <w:szCs w:val="22"/>
                <w:lang w:val="en-US" w:eastAsia="zh-CN"/>
              </w:rPr>
              <w:t xml:space="preserve"> Networks Inc., Sunnyvale</w:t>
            </w:r>
          </w:p>
        </w:tc>
        <w:tc>
          <w:tcPr>
            <w:tcW w:w="1526"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2003-2007</w:t>
            </w:r>
          </w:p>
        </w:tc>
        <w:tc>
          <w:tcPr>
            <w:tcW w:w="1497"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108,671.25</w:t>
            </w:r>
          </w:p>
        </w:tc>
        <w:tc>
          <w:tcPr>
            <w:tcW w:w="1420"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108,671.25</w:t>
            </w:r>
          </w:p>
        </w:tc>
      </w:tr>
      <w:tr w:rsidR="00654F05" w:rsidRPr="00E86B52" w:rsidTr="00270D7A">
        <w:trPr>
          <w:trHeight w:val="600"/>
        </w:trPr>
        <w:tc>
          <w:tcPr>
            <w:tcW w:w="4820" w:type="dxa"/>
            <w:tcBorders>
              <w:top w:val="nil"/>
              <w:left w:val="single" w:sz="4" w:space="0" w:color="auto"/>
              <w:bottom w:val="nil"/>
              <w:right w:val="single" w:sz="4" w:space="0" w:color="auto"/>
            </w:tcBorders>
            <w:shd w:val="clear" w:color="auto" w:fill="auto"/>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The Gores Technology Group LLC (Ex. </w:t>
            </w:r>
            <w:proofErr w:type="spellStart"/>
            <w:r w:rsidRPr="00E86B52">
              <w:rPr>
                <w:sz w:val="22"/>
                <w:szCs w:val="22"/>
                <w:lang w:val="en-US" w:eastAsia="zh-CN"/>
              </w:rPr>
              <w:t>Forgent</w:t>
            </w:r>
            <w:proofErr w:type="spellEnd"/>
            <w:r w:rsidRPr="00E86B52">
              <w:rPr>
                <w:sz w:val="22"/>
                <w:szCs w:val="22"/>
                <w:lang w:val="en-US" w:eastAsia="zh-CN"/>
              </w:rPr>
              <w:t xml:space="preserve"> Networks Inc.), Los Angeles</w:t>
            </w:r>
          </w:p>
        </w:tc>
        <w:tc>
          <w:tcPr>
            <w:tcW w:w="1526"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1998-2006</w:t>
            </w:r>
          </w:p>
        </w:tc>
        <w:tc>
          <w:tcPr>
            <w:tcW w:w="1497"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403,947.25</w:t>
            </w:r>
          </w:p>
        </w:tc>
        <w:tc>
          <w:tcPr>
            <w:tcW w:w="1420"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403,947.25</w:t>
            </w:r>
          </w:p>
        </w:tc>
      </w:tr>
      <w:tr w:rsidR="00654F05"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The Village Group Inc., Waltham</w:t>
            </w:r>
          </w:p>
        </w:tc>
        <w:tc>
          <w:tcPr>
            <w:tcW w:w="1526"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2007-2008</w:t>
            </w:r>
          </w:p>
        </w:tc>
        <w:tc>
          <w:tcPr>
            <w:tcW w:w="1497"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13,972.10</w:t>
            </w:r>
          </w:p>
        </w:tc>
        <w:tc>
          <w:tcPr>
            <w:tcW w:w="1420"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13,972.10</w:t>
            </w:r>
          </w:p>
        </w:tc>
      </w:tr>
      <w:tr w:rsidR="00654F05"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w:t>
            </w:r>
            <w:proofErr w:type="spellStart"/>
            <w:r w:rsidRPr="00E86B52">
              <w:rPr>
                <w:sz w:val="22"/>
                <w:szCs w:val="22"/>
                <w:lang w:val="en-US" w:eastAsia="zh-CN"/>
              </w:rPr>
              <w:t>Tollgrade</w:t>
            </w:r>
            <w:proofErr w:type="spellEnd"/>
            <w:r w:rsidRPr="00E86B52">
              <w:rPr>
                <w:sz w:val="22"/>
                <w:szCs w:val="22"/>
                <w:lang w:val="en-US" w:eastAsia="zh-CN"/>
              </w:rPr>
              <w:t xml:space="preserve"> </w:t>
            </w:r>
            <w:proofErr w:type="spellStart"/>
            <w:r w:rsidRPr="00E86B52">
              <w:rPr>
                <w:sz w:val="22"/>
                <w:szCs w:val="22"/>
                <w:lang w:val="en-US" w:eastAsia="zh-CN"/>
              </w:rPr>
              <w:t>Communicat</w:t>
            </w:r>
            <w:proofErr w:type="spellEnd"/>
            <w:r w:rsidRPr="00E86B52">
              <w:rPr>
                <w:sz w:val="22"/>
                <w:szCs w:val="22"/>
                <w:lang w:val="en-US" w:eastAsia="zh-CN"/>
              </w:rPr>
              <w:t>. Inc., Cranberry Township</w:t>
            </w:r>
          </w:p>
        </w:tc>
        <w:tc>
          <w:tcPr>
            <w:tcW w:w="1526"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2015</w:t>
            </w:r>
          </w:p>
        </w:tc>
        <w:tc>
          <w:tcPr>
            <w:tcW w:w="1497"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12,356.80</w:t>
            </w:r>
          </w:p>
        </w:tc>
        <w:tc>
          <w:tcPr>
            <w:tcW w:w="1420"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12,356.80</w:t>
            </w:r>
          </w:p>
        </w:tc>
      </w:tr>
      <w:tr w:rsidR="00654F05"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UTStarcom, Inc., Fremont</w:t>
            </w:r>
          </w:p>
        </w:tc>
        <w:tc>
          <w:tcPr>
            <w:tcW w:w="1526"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2004-2010</w:t>
            </w:r>
          </w:p>
        </w:tc>
        <w:tc>
          <w:tcPr>
            <w:tcW w:w="1497"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55,837.15</w:t>
            </w:r>
          </w:p>
        </w:tc>
        <w:tc>
          <w:tcPr>
            <w:tcW w:w="1420"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55,837.15</w:t>
            </w:r>
          </w:p>
        </w:tc>
      </w:tr>
      <w:tr w:rsidR="00654F05"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654F05" w:rsidRPr="000E7D94" w:rsidRDefault="00654F05" w:rsidP="00654F05">
            <w:pPr>
              <w:tabs>
                <w:tab w:val="clear" w:pos="567"/>
                <w:tab w:val="clear" w:pos="1134"/>
                <w:tab w:val="clear" w:pos="1701"/>
                <w:tab w:val="clear" w:pos="2268"/>
                <w:tab w:val="clear" w:pos="2835"/>
              </w:tabs>
              <w:overflowPunct/>
              <w:autoSpaceDE/>
              <w:autoSpaceDN/>
              <w:adjustRightInd/>
              <w:spacing w:before="0"/>
              <w:textAlignment w:val="auto"/>
              <w:rPr>
                <w:sz w:val="22"/>
                <w:szCs w:val="22"/>
                <w:lang w:val="es-ES_tradnl" w:eastAsia="zh-CN"/>
              </w:rPr>
            </w:pPr>
            <w:r w:rsidRPr="000E7D94">
              <w:rPr>
                <w:sz w:val="22"/>
                <w:szCs w:val="22"/>
                <w:lang w:val="es-ES_tradnl" w:eastAsia="zh-CN"/>
              </w:rPr>
              <w:t xml:space="preserve"> - Visible </w:t>
            </w:r>
            <w:proofErr w:type="spellStart"/>
            <w:r w:rsidRPr="000E7D94">
              <w:rPr>
                <w:sz w:val="22"/>
                <w:szCs w:val="22"/>
                <w:lang w:val="es-ES_tradnl" w:eastAsia="zh-CN"/>
              </w:rPr>
              <w:t>Energy</w:t>
            </w:r>
            <w:proofErr w:type="spellEnd"/>
            <w:r w:rsidRPr="000E7D94">
              <w:rPr>
                <w:sz w:val="22"/>
                <w:szCs w:val="22"/>
                <w:lang w:val="es-ES_tradnl" w:eastAsia="zh-CN"/>
              </w:rPr>
              <w:t xml:space="preserve"> Inc., Palo Alto</w:t>
            </w:r>
          </w:p>
        </w:tc>
        <w:tc>
          <w:tcPr>
            <w:tcW w:w="1526"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2010</w:t>
            </w:r>
          </w:p>
        </w:tc>
        <w:tc>
          <w:tcPr>
            <w:tcW w:w="1497"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15,157.65</w:t>
            </w:r>
          </w:p>
        </w:tc>
        <w:tc>
          <w:tcPr>
            <w:tcW w:w="1420"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15,157.65</w:t>
            </w:r>
          </w:p>
        </w:tc>
      </w:tr>
      <w:tr w:rsidR="00654F05"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Vocal Technologies Ltd., Amherst</w:t>
            </w:r>
          </w:p>
        </w:tc>
        <w:tc>
          <w:tcPr>
            <w:tcW w:w="1526"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1998-2002</w:t>
            </w:r>
          </w:p>
        </w:tc>
        <w:tc>
          <w:tcPr>
            <w:tcW w:w="1497"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408,896.15</w:t>
            </w:r>
          </w:p>
        </w:tc>
        <w:tc>
          <w:tcPr>
            <w:tcW w:w="1420"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408,896.15</w:t>
            </w:r>
          </w:p>
        </w:tc>
      </w:tr>
      <w:tr w:rsidR="00654F05"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Wave7 Optics, Alpharetta</w:t>
            </w:r>
          </w:p>
        </w:tc>
        <w:tc>
          <w:tcPr>
            <w:tcW w:w="1526"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2008</w:t>
            </w:r>
          </w:p>
        </w:tc>
        <w:tc>
          <w:tcPr>
            <w:tcW w:w="1497"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17,528.35</w:t>
            </w:r>
          </w:p>
        </w:tc>
        <w:tc>
          <w:tcPr>
            <w:tcW w:w="1420"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17,528.35</w:t>
            </w:r>
          </w:p>
        </w:tc>
      </w:tr>
      <w:tr w:rsidR="00654F05"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WI-FI Alliance, Austin</w:t>
            </w:r>
          </w:p>
        </w:tc>
        <w:tc>
          <w:tcPr>
            <w:tcW w:w="1526"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2013</w:t>
            </w:r>
          </w:p>
        </w:tc>
        <w:tc>
          <w:tcPr>
            <w:tcW w:w="1497"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41,652.20</w:t>
            </w:r>
          </w:p>
        </w:tc>
        <w:tc>
          <w:tcPr>
            <w:tcW w:w="1420"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41,652.20</w:t>
            </w:r>
          </w:p>
        </w:tc>
      </w:tr>
      <w:tr w:rsidR="00654F05" w:rsidRPr="00E86B52" w:rsidTr="00270D7A">
        <w:trPr>
          <w:trHeight w:val="300"/>
        </w:trPr>
        <w:tc>
          <w:tcPr>
            <w:tcW w:w="4820" w:type="dxa"/>
            <w:tcBorders>
              <w:top w:val="nil"/>
              <w:left w:val="single" w:sz="4" w:space="0" w:color="auto"/>
              <w:bottom w:val="nil"/>
              <w:right w:val="single" w:sz="4" w:space="0" w:color="auto"/>
            </w:tcBorders>
            <w:shd w:val="clear" w:color="auto" w:fill="auto"/>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Xerox Ltd., Washington</w:t>
            </w:r>
          </w:p>
        </w:tc>
        <w:tc>
          <w:tcPr>
            <w:tcW w:w="1526"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2004-2007</w:t>
            </w:r>
          </w:p>
        </w:tc>
        <w:tc>
          <w:tcPr>
            <w:tcW w:w="1497"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75,784.90</w:t>
            </w:r>
          </w:p>
        </w:tc>
        <w:tc>
          <w:tcPr>
            <w:tcW w:w="1420"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75,784.90</w:t>
            </w:r>
          </w:p>
        </w:tc>
      </w:tr>
      <w:tr w:rsidR="00654F05" w:rsidRPr="00E86B52" w:rsidTr="00270D7A">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w:t>
            </w:r>
            <w:proofErr w:type="spellStart"/>
            <w:r w:rsidRPr="00E86B52">
              <w:rPr>
                <w:sz w:val="22"/>
                <w:szCs w:val="22"/>
                <w:lang w:val="en-US" w:eastAsia="zh-CN"/>
              </w:rPr>
              <w:t>Zhone</w:t>
            </w:r>
            <w:proofErr w:type="spellEnd"/>
            <w:r w:rsidRPr="00E86B52">
              <w:rPr>
                <w:sz w:val="22"/>
                <w:szCs w:val="22"/>
                <w:lang w:val="en-US" w:eastAsia="zh-CN"/>
              </w:rPr>
              <w:t xml:space="preserve"> Technologies, Oakland</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2002-2005</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272,851.85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272,851.85</w:t>
            </w:r>
          </w:p>
        </w:tc>
      </w:tr>
      <w:tr w:rsidR="00654F05" w:rsidRPr="00E86B52" w:rsidTr="00270D7A">
        <w:trPr>
          <w:trHeight w:val="300"/>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E86B52">
              <w:rPr>
                <w:b/>
                <w:bCs/>
                <w:sz w:val="22"/>
                <w:szCs w:val="22"/>
                <w:lang w:val="en-US" w:eastAsia="zh-CN"/>
              </w:rPr>
              <w:t>Uzbekistan</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w:t>
            </w:r>
          </w:p>
        </w:tc>
      </w:tr>
      <w:tr w:rsidR="00654F05" w:rsidRPr="00E86B52" w:rsidTr="00270D7A">
        <w:trPr>
          <w:trHeight w:val="6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Tashkent University of Information Technologies, Tashkent</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2014</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2,455.90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2,455.90</w:t>
            </w:r>
          </w:p>
        </w:tc>
      </w:tr>
      <w:tr w:rsidR="00654F05" w:rsidRPr="00E86B52" w:rsidTr="00270D7A">
        <w:trPr>
          <w:trHeight w:val="300"/>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E86B52">
              <w:rPr>
                <w:b/>
                <w:bCs/>
                <w:sz w:val="22"/>
                <w:szCs w:val="22"/>
                <w:lang w:val="en-US" w:eastAsia="zh-CN"/>
              </w:rPr>
              <w:t>Zambia</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w:t>
            </w:r>
          </w:p>
        </w:tc>
      </w:tr>
      <w:tr w:rsidR="00654F05" w:rsidRPr="00E86B52" w:rsidTr="00270D7A">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Airtel Zambia, Lusaka</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2014</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79,824.55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79,824.55</w:t>
            </w:r>
          </w:p>
        </w:tc>
      </w:tr>
    </w:tbl>
    <w:p w:rsidR="001C5FC2" w:rsidRDefault="001C5FC2"/>
    <w:p w:rsidR="00D357BF" w:rsidRDefault="00D357BF"/>
    <w:p w:rsidR="00D357BF" w:rsidRDefault="00D357BF"/>
    <w:p w:rsidR="00D357BF" w:rsidRDefault="00D357BF"/>
    <w:p w:rsidR="00D357BF" w:rsidRDefault="00D357BF">
      <w:pPr>
        <w:tabs>
          <w:tab w:val="clear" w:pos="567"/>
          <w:tab w:val="clear" w:pos="1134"/>
          <w:tab w:val="clear" w:pos="1701"/>
          <w:tab w:val="clear" w:pos="2268"/>
          <w:tab w:val="clear" w:pos="2835"/>
        </w:tabs>
        <w:overflowPunct/>
        <w:autoSpaceDE/>
        <w:autoSpaceDN/>
        <w:adjustRightInd/>
        <w:spacing w:before="0"/>
        <w:textAlignment w:val="auto"/>
      </w:pPr>
    </w:p>
    <w:p w:rsidR="00D357BF" w:rsidRDefault="00D357BF"/>
    <w:tbl>
      <w:tblPr>
        <w:tblW w:w="10760" w:type="dxa"/>
        <w:tblInd w:w="-5" w:type="dxa"/>
        <w:tblLook w:val="04A0" w:firstRow="1" w:lastRow="0" w:firstColumn="1" w:lastColumn="0" w:noHBand="0" w:noVBand="1"/>
      </w:tblPr>
      <w:tblGrid>
        <w:gridCol w:w="4780"/>
        <w:gridCol w:w="40"/>
        <w:gridCol w:w="1526"/>
        <w:gridCol w:w="154"/>
        <w:gridCol w:w="1343"/>
        <w:gridCol w:w="77"/>
        <w:gridCol w:w="1343"/>
        <w:gridCol w:w="77"/>
        <w:gridCol w:w="1420"/>
      </w:tblGrid>
      <w:tr w:rsidR="00654F05" w:rsidRPr="00E86B52" w:rsidTr="00270D7A">
        <w:trPr>
          <w:trHeight w:val="300"/>
        </w:trPr>
        <w:tc>
          <w:tcPr>
            <w:tcW w:w="4820" w:type="dxa"/>
            <w:gridSpan w:val="2"/>
            <w:tcBorders>
              <w:top w:val="single" w:sz="4" w:space="0" w:color="auto"/>
              <w:left w:val="single" w:sz="4" w:space="0" w:color="auto"/>
              <w:bottom w:val="nil"/>
              <w:right w:val="single" w:sz="4" w:space="0" w:color="auto"/>
            </w:tcBorders>
            <w:shd w:val="clear" w:color="auto" w:fill="auto"/>
            <w:vAlign w:val="bottom"/>
            <w:hideMark/>
          </w:tcPr>
          <w:p w:rsidR="00654F05" w:rsidRPr="00E86B52" w:rsidRDefault="00654F05" w:rsidP="002F3628">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E86B52">
              <w:rPr>
                <w:b/>
                <w:bCs/>
                <w:sz w:val="22"/>
                <w:szCs w:val="22"/>
                <w:lang w:val="en-US" w:eastAsia="zh-CN"/>
              </w:rPr>
              <w:t>Zimbabwe</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p>
        </w:tc>
        <w:tc>
          <w:tcPr>
            <w:tcW w:w="1497" w:type="dxa"/>
            <w:gridSpan w:val="2"/>
            <w:tcBorders>
              <w:top w:val="single" w:sz="4" w:space="0" w:color="auto"/>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gridSpan w:val="2"/>
            <w:tcBorders>
              <w:top w:val="single" w:sz="4" w:space="0" w:color="auto"/>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gridSpan w:val="2"/>
            <w:tcBorders>
              <w:top w:val="single" w:sz="4" w:space="0" w:color="auto"/>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w:t>
            </w:r>
          </w:p>
        </w:tc>
      </w:tr>
      <w:tr w:rsidR="00654F05" w:rsidRPr="00E86B52" w:rsidTr="00270D7A">
        <w:trPr>
          <w:trHeight w:val="300"/>
        </w:trPr>
        <w:tc>
          <w:tcPr>
            <w:tcW w:w="4820" w:type="dxa"/>
            <w:gridSpan w:val="2"/>
            <w:tcBorders>
              <w:top w:val="nil"/>
              <w:left w:val="single" w:sz="4" w:space="0" w:color="auto"/>
              <w:bottom w:val="nil"/>
              <w:right w:val="single" w:sz="4" w:space="0" w:color="auto"/>
            </w:tcBorders>
            <w:shd w:val="clear" w:color="auto" w:fill="auto"/>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w:t>
            </w:r>
            <w:proofErr w:type="spellStart"/>
            <w:r w:rsidRPr="00E86B52">
              <w:rPr>
                <w:sz w:val="22"/>
                <w:szCs w:val="22"/>
                <w:lang w:val="en-US" w:eastAsia="zh-CN"/>
              </w:rPr>
              <w:t>Africom</w:t>
            </w:r>
            <w:proofErr w:type="spellEnd"/>
            <w:r w:rsidRPr="00E86B52">
              <w:rPr>
                <w:sz w:val="22"/>
                <w:szCs w:val="22"/>
                <w:lang w:val="en-US" w:eastAsia="zh-CN"/>
              </w:rPr>
              <w:t xml:space="preserve"> Private Ltd., Harare</w:t>
            </w:r>
          </w:p>
        </w:tc>
        <w:tc>
          <w:tcPr>
            <w:tcW w:w="1526"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2004-2007</w:t>
            </w:r>
          </w:p>
        </w:tc>
        <w:tc>
          <w:tcPr>
            <w:tcW w:w="1497" w:type="dxa"/>
            <w:gridSpan w:val="2"/>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23,133.25</w:t>
            </w:r>
          </w:p>
        </w:tc>
        <w:tc>
          <w:tcPr>
            <w:tcW w:w="1420" w:type="dxa"/>
            <w:gridSpan w:val="2"/>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gridSpan w:val="2"/>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23,133.25</w:t>
            </w:r>
          </w:p>
        </w:tc>
      </w:tr>
      <w:tr w:rsidR="00654F05" w:rsidRPr="00E86B52" w:rsidTr="00270D7A">
        <w:trPr>
          <w:trHeight w:val="300"/>
        </w:trPr>
        <w:tc>
          <w:tcPr>
            <w:tcW w:w="4820" w:type="dxa"/>
            <w:gridSpan w:val="2"/>
            <w:tcBorders>
              <w:top w:val="nil"/>
              <w:left w:val="single" w:sz="4" w:space="0" w:color="auto"/>
              <w:bottom w:val="nil"/>
              <w:right w:val="single" w:sz="4" w:space="0" w:color="auto"/>
            </w:tcBorders>
            <w:shd w:val="clear" w:color="auto" w:fill="auto"/>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Broadcasting Authority of Zimbabwe, Harare</w:t>
            </w:r>
          </w:p>
        </w:tc>
        <w:tc>
          <w:tcPr>
            <w:tcW w:w="1526"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2002-2006</w:t>
            </w:r>
          </w:p>
        </w:tc>
        <w:tc>
          <w:tcPr>
            <w:tcW w:w="1497" w:type="dxa"/>
            <w:gridSpan w:val="2"/>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295,318.45</w:t>
            </w:r>
          </w:p>
        </w:tc>
        <w:tc>
          <w:tcPr>
            <w:tcW w:w="1420" w:type="dxa"/>
            <w:gridSpan w:val="2"/>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gridSpan w:val="2"/>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295,318.45</w:t>
            </w:r>
          </w:p>
        </w:tc>
      </w:tr>
      <w:tr w:rsidR="00654F05" w:rsidRPr="00E86B52" w:rsidTr="00270D7A">
        <w:trPr>
          <w:trHeight w:val="300"/>
        </w:trPr>
        <w:tc>
          <w:tcPr>
            <w:tcW w:w="4820" w:type="dxa"/>
            <w:gridSpan w:val="2"/>
            <w:tcBorders>
              <w:top w:val="nil"/>
              <w:left w:val="single" w:sz="4" w:space="0" w:color="auto"/>
              <w:bottom w:val="nil"/>
              <w:right w:val="single" w:sz="4" w:space="0" w:color="auto"/>
            </w:tcBorders>
            <w:shd w:val="clear" w:color="auto" w:fill="auto"/>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w:t>
            </w:r>
            <w:proofErr w:type="spellStart"/>
            <w:r w:rsidRPr="00E86B52">
              <w:rPr>
                <w:sz w:val="22"/>
                <w:szCs w:val="22"/>
                <w:lang w:val="en-US" w:eastAsia="zh-CN"/>
              </w:rPr>
              <w:t>NetOne</w:t>
            </w:r>
            <w:proofErr w:type="spellEnd"/>
            <w:r w:rsidRPr="00E86B52">
              <w:rPr>
                <w:sz w:val="22"/>
                <w:szCs w:val="22"/>
                <w:lang w:val="en-US" w:eastAsia="zh-CN"/>
              </w:rPr>
              <w:t xml:space="preserve"> Cellular Ltd., Harare</w:t>
            </w:r>
          </w:p>
        </w:tc>
        <w:tc>
          <w:tcPr>
            <w:tcW w:w="1526" w:type="dxa"/>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2003-2006</w:t>
            </w:r>
          </w:p>
        </w:tc>
        <w:tc>
          <w:tcPr>
            <w:tcW w:w="1497" w:type="dxa"/>
            <w:gridSpan w:val="2"/>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303,489.98</w:t>
            </w:r>
          </w:p>
        </w:tc>
        <w:tc>
          <w:tcPr>
            <w:tcW w:w="1420" w:type="dxa"/>
            <w:gridSpan w:val="2"/>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gridSpan w:val="2"/>
            <w:tcBorders>
              <w:top w:val="nil"/>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303,489.98</w:t>
            </w:r>
          </w:p>
        </w:tc>
      </w:tr>
      <w:tr w:rsidR="00654F05" w:rsidRPr="00E86B52" w:rsidTr="00EC091C">
        <w:trPr>
          <w:trHeight w:val="300"/>
        </w:trPr>
        <w:tc>
          <w:tcPr>
            <w:tcW w:w="4820" w:type="dxa"/>
            <w:gridSpan w:val="2"/>
            <w:tcBorders>
              <w:top w:val="nil"/>
              <w:left w:val="single" w:sz="4" w:space="0" w:color="auto"/>
              <w:bottom w:val="single" w:sz="4" w:space="0" w:color="auto"/>
              <w:right w:val="single" w:sz="4" w:space="0" w:color="auto"/>
            </w:tcBorders>
            <w:shd w:val="clear" w:color="auto" w:fill="auto"/>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University of Zimbabwe, Harare</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2008-2009</w:t>
            </w:r>
          </w:p>
        </w:tc>
        <w:tc>
          <w:tcPr>
            <w:tcW w:w="1497" w:type="dxa"/>
            <w:gridSpan w:val="2"/>
            <w:tcBorders>
              <w:top w:val="nil"/>
              <w:left w:val="single" w:sz="4" w:space="0" w:color="auto"/>
              <w:bottom w:val="single" w:sz="4" w:space="0" w:color="auto"/>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21,166.70</w:t>
            </w:r>
          </w:p>
        </w:tc>
        <w:tc>
          <w:tcPr>
            <w:tcW w:w="1420" w:type="dxa"/>
            <w:gridSpan w:val="2"/>
            <w:tcBorders>
              <w:top w:val="nil"/>
              <w:left w:val="single" w:sz="4" w:space="0" w:color="auto"/>
              <w:bottom w:val="single" w:sz="4" w:space="0" w:color="auto"/>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gridSpan w:val="2"/>
            <w:tcBorders>
              <w:top w:val="nil"/>
              <w:left w:val="single" w:sz="4" w:space="0" w:color="auto"/>
              <w:bottom w:val="single" w:sz="4" w:space="0" w:color="auto"/>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21,166.70</w:t>
            </w:r>
          </w:p>
        </w:tc>
      </w:tr>
      <w:tr w:rsidR="00654F05" w:rsidRPr="00E86B52" w:rsidTr="00270D7A">
        <w:trPr>
          <w:trHeight w:val="300"/>
        </w:trPr>
        <w:tc>
          <w:tcPr>
            <w:tcW w:w="4820" w:type="dxa"/>
            <w:gridSpan w:val="2"/>
            <w:tcBorders>
              <w:top w:val="single" w:sz="4" w:space="0" w:color="auto"/>
              <w:left w:val="single" w:sz="4" w:space="0" w:color="auto"/>
              <w:bottom w:val="nil"/>
              <w:right w:val="single" w:sz="4" w:space="0" w:color="auto"/>
            </w:tcBorders>
            <w:shd w:val="clear" w:color="auto" w:fill="auto"/>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E86B52">
              <w:rPr>
                <w:b/>
                <w:bCs/>
                <w:sz w:val="22"/>
                <w:szCs w:val="22"/>
                <w:lang w:val="en-US" w:eastAsia="zh-CN"/>
              </w:rPr>
              <w:t>Resolution 99 (Rev. Busan, 2014)</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p>
        </w:tc>
        <w:tc>
          <w:tcPr>
            <w:tcW w:w="1497" w:type="dxa"/>
            <w:gridSpan w:val="2"/>
            <w:tcBorders>
              <w:top w:val="single" w:sz="4" w:space="0" w:color="auto"/>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gridSpan w:val="2"/>
            <w:tcBorders>
              <w:top w:val="single" w:sz="4" w:space="0" w:color="auto"/>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gridSpan w:val="2"/>
            <w:tcBorders>
              <w:top w:val="single" w:sz="4" w:space="0" w:color="auto"/>
              <w:left w:val="single" w:sz="4" w:space="0" w:color="auto"/>
              <w:bottom w:val="nil"/>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w:t>
            </w:r>
          </w:p>
        </w:tc>
      </w:tr>
      <w:tr w:rsidR="00654F05" w:rsidRPr="00E86B52" w:rsidTr="00C772CB">
        <w:trPr>
          <w:trHeight w:val="300"/>
        </w:trPr>
        <w:tc>
          <w:tcPr>
            <w:tcW w:w="4820" w:type="dxa"/>
            <w:gridSpan w:val="2"/>
            <w:tcBorders>
              <w:top w:val="nil"/>
              <w:left w:val="single" w:sz="4" w:space="0" w:color="auto"/>
              <w:right w:val="single" w:sz="4" w:space="0" w:color="auto"/>
            </w:tcBorders>
            <w:shd w:val="clear" w:color="auto" w:fill="auto"/>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xml:space="preserve"> - BCI </w:t>
            </w:r>
            <w:proofErr w:type="spellStart"/>
            <w:r w:rsidRPr="00E86B52">
              <w:rPr>
                <w:sz w:val="22"/>
                <w:szCs w:val="22"/>
                <w:lang w:val="en-US" w:eastAsia="zh-CN"/>
              </w:rPr>
              <w:t>Communicat</w:t>
            </w:r>
            <w:proofErr w:type="spellEnd"/>
            <w:r w:rsidRPr="00E86B52">
              <w:rPr>
                <w:sz w:val="22"/>
                <w:szCs w:val="22"/>
                <w:lang w:val="en-US" w:eastAsia="zh-CN"/>
              </w:rPr>
              <w:t>. &amp; Advanced Tech., Ramallah</w:t>
            </w:r>
          </w:p>
        </w:tc>
        <w:tc>
          <w:tcPr>
            <w:tcW w:w="1526" w:type="dxa"/>
            <w:tcBorders>
              <w:top w:val="nil"/>
              <w:left w:val="single" w:sz="4" w:space="0" w:color="auto"/>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2007-2008</w:t>
            </w:r>
          </w:p>
        </w:tc>
        <w:tc>
          <w:tcPr>
            <w:tcW w:w="1497" w:type="dxa"/>
            <w:gridSpan w:val="2"/>
            <w:tcBorders>
              <w:top w:val="nil"/>
              <w:left w:val="single" w:sz="4" w:space="0" w:color="auto"/>
              <w:bottom w:val="single" w:sz="4" w:space="0" w:color="auto"/>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8,747.30</w:t>
            </w:r>
          </w:p>
        </w:tc>
        <w:tc>
          <w:tcPr>
            <w:tcW w:w="1420" w:type="dxa"/>
            <w:gridSpan w:val="2"/>
            <w:tcBorders>
              <w:top w:val="nil"/>
              <w:left w:val="single" w:sz="4" w:space="0" w:color="auto"/>
              <w:bottom w:val="single" w:sz="4" w:space="0" w:color="auto"/>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gridSpan w:val="2"/>
            <w:tcBorders>
              <w:top w:val="nil"/>
              <w:left w:val="single" w:sz="4" w:space="0" w:color="auto"/>
              <w:bottom w:val="single" w:sz="4" w:space="0" w:color="auto"/>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8,747.30</w:t>
            </w:r>
          </w:p>
        </w:tc>
      </w:tr>
      <w:tr w:rsidR="00654F05" w:rsidRPr="00E86B52" w:rsidTr="00C772CB">
        <w:trPr>
          <w:trHeight w:val="300"/>
        </w:trPr>
        <w:tc>
          <w:tcPr>
            <w:tcW w:w="4820" w:type="dxa"/>
            <w:gridSpan w:val="2"/>
            <w:tcBorders>
              <w:left w:val="single" w:sz="4" w:space="0" w:color="auto"/>
              <w:bottom w:val="single" w:sz="4" w:space="0" w:color="auto"/>
              <w:right w:val="single" w:sz="4" w:space="0" w:color="auto"/>
            </w:tcBorders>
            <w:shd w:val="clear" w:color="auto" w:fill="auto"/>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86B52">
              <w:rPr>
                <w:sz w:val="22"/>
                <w:szCs w:val="22"/>
                <w:lang w:val="en-US" w:eastAsia="zh-CN"/>
              </w:rPr>
              <w:t> </w:t>
            </w:r>
          </w:p>
        </w:tc>
        <w:tc>
          <w:tcPr>
            <w:tcW w:w="1526" w:type="dxa"/>
            <w:tcBorders>
              <w:left w:val="single" w:sz="4" w:space="0" w:color="auto"/>
              <w:bottom w:val="single" w:sz="4" w:space="0" w:color="auto"/>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E86B52">
              <w:rPr>
                <w:sz w:val="22"/>
                <w:szCs w:val="22"/>
                <w:lang w:val="en-US" w:eastAsia="zh-CN"/>
              </w:rPr>
              <w:t> </w:t>
            </w:r>
          </w:p>
        </w:tc>
        <w:tc>
          <w:tcPr>
            <w:tcW w:w="14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13,927,800.33</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0.00</w:t>
            </w:r>
          </w:p>
        </w:tc>
        <w:tc>
          <w:tcPr>
            <w:tcW w:w="14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4F05" w:rsidRPr="00E86B52" w:rsidRDefault="00654F05" w:rsidP="00654F05">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E86B52">
              <w:rPr>
                <w:sz w:val="22"/>
                <w:szCs w:val="22"/>
                <w:lang w:val="en-US" w:eastAsia="zh-CN"/>
              </w:rPr>
              <w:t>13,927,800.33</w:t>
            </w:r>
          </w:p>
        </w:tc>
      </w:tr>
      <w:tr w:rsidR="00270D7A" w:rsidRPr="00270D7A" w:rsidTr="00C772CB">
        <w:trPr>
          <w:trHeight w:val="300"/>
        </w:trPr>
        <w:tc>
          <w:tcPr>
            <w:tcW w:w="4820" w:type="dxa"/>
            <w:gridSpan w:val="2"/>
            <w:tcBorders>
              <w:top w:val="single" w:sz="4" w:space="0" w:color="auto"/>
              <w:bottom w:val="single" w:sz="4" w:space="0" w:color="auto"/>
            </w:tcBorders>
            <w:shd w:val="clear" w:color="auto" w:fill="auto"/>
            <w:vAlign w:val="bottom"/>
            <w:hideMark/>
          </w:tcPr>
          <w:p w:rsidR="00270D7A" w:rsidRPr="00270D7A" w:rsidRDefault="00270D7A" w:rsidP="00270D7A">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526" w:type="dxa"/>
            <w:tcBorders>
              <w:top w:val="single" w:sz="4" w:space="0" w:color="auto"/>
              <w:bottom w:val="single" w:sz="4" w:space="0" w:color="auto"/>
            </w:tcBorders>
            <w:shd w:val="clear" w:color="auto" w:fill="auto"/>
            <w:noWrap/>
            <w:vAlign w:val="bottom"/>
            <w:hideMark/>
          </w:tcPr>
          <w:p w:rsidR="00270D7A" w:rsidRPr="00270D7A" w:rsidRDefault="00270D7A" w:rsidP="00270D7A">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gridSpan w:val="2"/>
            <w:tcBorders>
              <w:top w:val="single" w:sz="4" w:space="0" w:color="auto"/>
              <w:bottom w:val="single" w:sz="4" w:space="0" w:color="auto"/>
            </w:tcBorders>
            <w:shd w:val="clear" w:color="auto" w:fill="auto"/>
            <w:noWrap/>
            <w:vAlign w:val="bottom"/>
            <w:hideMark/>
          </w:tcPr>
          <w:p w:rsidR="00270D7A" w:rsidRPr="00270D7A" w:rsidRDefault="00270D7A" w:rsidP="00270D7A">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420" w:type="dxa"/>
            <w:gridSpan w:val="2"/>
            <w:tcBorders>
              <w:top w:val="single" w:sz="4" w:space="0" w:color="auto"/>
              <w:bottom w:val="single" w:sz="4" w:space="0" w:color="auto"/>
            </w:tcBorders>
            <w:shd w:val="clear" w:color="auto" w:fill="auto"/>
            <w:noWrap/>
            <w:vAlign w:val="bottom"/>
            <w:hideMark/>
          </w:tcPr>
          <w:p w:rsidR="00270D7A" w:rsidRPr="00270D7A" w:rsidRDefault="00270D7A" w:rsidP="00270D7A">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497" w:type="dxa"/>
            <w:gridSpan w:val="2"/>
            <w:tcBorders>
              <w:top w:val="single" w:sz="4" w:space="0" w:color="auto"/>
              <w:bottom w:val="single" w:sz="4" w:space="0" w:color="auto"/>
            </w:tcBorders>
            <w:shd w:val="clear" w:color="auto" w:fill="auto"/>
            <w:noWrap/>
            <w:vAlign w:val="bottom"/>
            <w:hideMark/>
          </w:tcPr>
          <w:p w:rsidR="00270D7A" w:rsidRPr="00270D7A" w:rsidRDefault="00270D7A" w:rsidP="00270D7A">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r>
      <w:tr w:rsidR="00270D7A" w:rsidRPr="00270D7A" w:rsidTr="00270D7A">
        <w:trPr>
          <w:trHeight w:val="420"/>
        </w:trPr>
        <w:tc>
          <w:tcPr>
            <w:tcW w:w="48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70D7A" w:rsidRPr="00270D7A" w:rsidRDefault="00270D7A" w:rsidP="00270D7A">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270D7A">
              <w:rPr>
                <w:b/>
                <w:bCs/>
                <w:sz w:val="22"/>
                <w:szCs w:val="22"/>
                <w:lang w:val="en-US" w:eastAsia="zh-CN"/>
              </w:rPr>
              <w:t>C. Other Debtors</w:t>
            </w: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0D7A" w:rsidRPr="00270D7A" w:rsidRDefault="00270D7A" w:rsidP="00575E1B">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270D7A">
              <w:rPr>
                <w:b/>
                <w:bCs/>
                <w:sz w:val="22"/>
                <w:szCs w:val="22"/>
                <w:lang w:val="en-US" w:eastAsia="zh-CN"/>
              </w:rPr>
              <w:t>Year</w:t>
            </w:r>
          </w:p>
        </w:tc>
        <w:tc>
          <w:tcPr>
            <w:tcW w:w="14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0D7A" w:rsidRPr="00270D7A" w:rsidRDefault="00270D7A" w:rsidP="00575E1B">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270D7A">
              <w:rPr>
                <w:b/>
                <w:bCs/>
                <w:sz w:val="22"/>
                <w:szCs w:val="22"/>
                <w:lang w:val="en-US" w:eastAsia="zh-CN"/>
              </w:rPr>
              <w:t>Contributions</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0D7A" w:rsidRPr="00270D7A" w:rsidRDefault="00270D7A" w:rsidP="00575E1B">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270D7A">
              <w:rPr>
                <w:b/>
                <w:bCs/>
                <w:sz w:val="22"/>
                <w:szCs w:val="22"/>
                <w:lang w:val="en-US" w:eastAsia="zh-CN"/>
              </w:rPr>
              <w:t>Publications</w:t>
            </w:r>
          </w:p>
        </w:tc>
        <w:tc>
          <w:tcPr>
            <w:tcW w:w="14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0D7A" w:rsidRPr="00270D7A" w:rsidRDefault="00270D7A" w:rsidP="00575E1B">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270D7A">
              <w:rPr>
                <w:b/>
                <w:bCs/>
                <w:sz w:val="22"/>
                <w:szCs w:val="22"/>
                <w:lang w:val="en-US" w:eastAsia="zh-CN"/>
              </w:rPr>
              <w:t>Total</w:t>
            </w:r>
          </w:p>
        </w:tc>
      </w:tr>
      <w:tr w:rsidR="00270D7A" w:rsidRPr="00270D7A" w:rsidTr="00270D7A">
        <w:trPr>
          <w:trHeight w:val="300"/>
        </w:trPr>
        <w:tc>
          <w:tcPr>
            <w:tcW w:w="4820" w:type="dxa"/>
            <w:gridSpan w:val="2"/>
            <w:tcBorders>
              <w:top w:val="single" w:sz="4" w:space="0" w:color="auto"/>
              <w:left w:val="single" w:sz="4" w:space="0" w:color="auto"/>
              <w:right w:val="single" w:sz="4" w:space="0" w:color="auto"/>
            </w:tcBorders>
            <w:shd w:val="clear" w:color="auto" w:fill="auto"/>
            <w:vAlign w:val="bottom"/>
            <w:hideMark/>
          </w:tcPr>
          <w:p w:rsidR="00270D7A" w:rsidRPr="00270D7A" w:rsidRDefault="00270D7A" w:rsidP="00270D7A">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526" w:type="dxa"/>
            <w:tcBorders>
              <w:top w:val="single" w:sz="4" w:space="0" w:color="auto"/>
              <w:left w:val="single" w:sz="4" w:space="0" w:color="auto"/>
              <w:right w:val="single" w:sz="4" w:space="0" w:color="auto"/>
            </w:tcBorders>
            <w:shd w:val="clear" w:color="auto" w:fill="auto"/>
            <w:noWrap/>
            <w:vAlign w:val="bottom"/>
            <w:hideMark/>
          </w:tcPr>
          <w:p w:rsidR="00270D7A" w:rsidRPr="00270D7A" w:rsidRDefault="00270D7A" w:rsidP="00575E1B">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gridSpan w:val="2"/>
            <w:tcBorders>
              <w:top w:val="single" w:sz="4" w:space="0" w:color="auto"/>
              <w:left w:val="single" w:sz="4" w:space="0" w:color="auto"/>
              <w:right w:val="single" w:sz="4" w:space="0" w:color="auto"/>
            </w:tcBorders>
            <w:shd w:val="clear" w:color="auto" w:fill="auto"/>
            <w:noWrap/>
            <w:vAlign w:val="bottom"/>
            <w:hideMark/>
          </w:tcPr>
          <w:p w:rsidR="00270D7A" w:rsidRPr="00270D7A" w:rsidRDefault="00270D7A" w:rsidP="00575E1B">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20" w:type="dxa"/>
            <w:gridSpan w:val="2"/>
            <w:tcBorders>
              <w:top w:val="single" w:sz="4" w:space="0" w:color="auto"/>
              <w:left w:val="single" w:sz="4" w:space="0" w:color="auto"/>
              <w:right w:val="single" w:sz="4" w:space="0" w:color="auto"/>
            </w:tcBorders>
            <w:shd w:val="clear" w:color="auto" w:fill="auto"/>
            <w:noWrap/>
            <w:vAlign w:val="bottom"/>
            <w:hideMark/>
          </w:tcPr>
          <w:p w:rsidR="00270D7A" w:rsidRPr="00270D7A" w:rsidRDefault="00270D7A" w:rsidP="00575E1B">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gridSpan w:val="2"/>
            <w:tcBorders>
              <w:top w:val="single" w:sz="4" w:space="0" w:color="auto"/>
              <w:left w:val="single" w:sz="4" w:space="0" w:color="auto"/>
              <w:right w:val="single" w:sz="4" w:space="0" w:color="auto"/>
            </w:tcBorders>
            <w:shd w:val="clear" w:color="auto" w:fill="auto"/>
            <w:noWrap/>
            <w:vAlign w:val="bottom"/>
            <w:hideMark/>
          </w:tcPr>
          <w:p w:rsidR="00270D7A" w:rsidRPr="00270D7A" w:rsidRDefault="00270D7A" w:rsidP="00575E1B">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r>
      <w:tr w:rsidR="00270D7A" w:rsidRPr="00270D7A" w:rsidTr="00270D7A">
        <w:trPr>
          <w:trHeight w:val="300"/>
        </w:trPr>
        <w:tc>
          <w:tcPr>
            <w:tcW w:w="4820" w:type="dxa"/>
            <w:gridSpan w:val="2"/>
            <w:tcBorders>
              <w:left w:val="single" w:sz="4" w:space="0" w:color="auto"/>
              <w:bottom w:val="single" w:sz="4" w:space="0" w:color="auto"/>
              <w:right w:val="single" w:sz="4" w:space="0" w:color="auto"/>
            </w:tcBorders>
            <w:shd w:val="clear" w:color="auto" w:fill="auto"/>
            <w:vAlign w:val="bottom"/>
            <w:hideMark/>
          </w:tcPr>
          <w:p w:rsidR="00270D7A" w:rsidRPr="00270D7A" w:rsidRDefault="00270D7A" w:rsidP="00270D7A">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270D7A">
              <w:rPr>
                <w:sz w:val="22"/>
                <w:szCs w:val="22"/>
                <w:lang w:val="en-US" w:eastAsia="zh-CN"/>
              </w:rPr>
              <w:t xml:space="preserve"> - Ministry of Information, Riyadh</w:t>
            </w:r>
          </w:p>
        </w:tc>
        <w:tc>
          <w:tcPr>
            <w:tcW w:w="1526" w:type="dxa"/>
            <w:tcBorders>
              <w:left w:val="single" w:sz="4" w:space="0" w:color="auto"/>
              <w:bottom w:val="single" w:sz="4" w:space="0" w:color="auto"/>
              <w:right w:val="single" w:sz="4" w:space="0" w:color="auto"/>
            </w:tcBorders>
            <w:shd w:val="clear" w:color="auto" w:fill="auto"/>
            <w:noWrap/>
            <w:vAlign w:val="bottom"/>
            <w:hideMark/>
          </w:tcPr>
          <w:p w:rsidR="00270D7A" w:rsidRPr="00270D7A" w:rsidRDefault="00270D7A" w:rsidP="00270D7A">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270D7A">
              <w:rPr>
                <w:sz w:val="22"/>
                <w:szCs w:val="22"/>
                <w:lang w:val="en-US" w:eastAsia="zh-CN"/>
              </w:rPr>
              <w:t>2011</w:t>
            </w:r>
          </w:p>
        </w:tc>
        <w:tc>
          <w:tcPr>
            <w:tcW w:w="1497" w:type="dxa"/>
            <w:gridSpan w:val="2"/>
            <w:tcBorders>
              <w:left w:val="single" w:sz="4" w:space="0" w:color="auto"/>
              <w:bottom w:val="single" w:sz="4" w:space="0" w:color="auto"/>
              <w:right w:val="single" w:sz="4" w:space="0" w:color="auto"/>
            </w:tcBorders>
            <w:shd w:val="clear" w:color="auto" w:fill="auto"/>
            <w:noWrap/>
            <w:vAlign w:val="bottom"/>
            <w:hideMark/>
          </w:tcPr>
          <w:p w:rsidR="00270D7A" w:rsidRPr="00270D7A" w:rsidRDefault="00270D7A" w:rsidP="00270D7A">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270D7A">
              <w:rPr>
                <w:sz w:val="22"/>
                <w:szCs w:val="22"/>
                <w:lang w:val="en-US" w:eastAsia="zh-CN"/>
              </w:rPr>
              <w:t>0.00</w:t>
            </w:r>
          </w:p>
        </w:tc>
        <w:tc>
          <w:tcPr>
            <w:tcW w:w="1420" w:type="dxa"/>
            <w:gridSpan w:val="2"/>
            <w:tcBorders>
              <w:left w:val="single" w:sz="4" w:space="0" w:color="auto"/>
              <w:bottom w:val="single" w:sz="4" w:space="0" w:color="auto"/>
              <w:right w:val="single" w:sz="4" w:space="0" w:color="auto"/>
            </w:tcBorders>
            <w:shd w:val="clear" w:color="auto" w:fill="auto"/>
            <w:noWrap/>
            <w:vAlign w:val="bottom"/>
            <w:hideMark/>
          </w:tcPr>
          <w:p w:rsidR="00270D7A" w:rsidRPr="00270D7A" w:rsidRDefault="00270D7A" w:rsidP="00270D7A">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270D7A">
              <w:rPr>
                <w:sz w:val="22"/>
                <w:szCs w:val="22"/>
                <w:lang w:val="en-US" w:eastAsia="zh-CN"/>
              </w:rPr>
              <w:t>5,073.15</w:t>
            </w:r>
          </w:p>
        </w:tc>
        <w:tc>
          <w:tcPr>
            <w:tcW w:w="1497" w:type="dxa"/>
            <w:gridSpan w:val="2"/>
            <w:tcBorders>
              <w:left w:val="single" w:sz="4" w:space="0" w:color="auto"/>
              <w:bottom w:val="single" w:sz="4" w:space="0" w:color="auto"/>
              <w:right w:val="single" w:sz="4" w:space="0" w:color="auto"/>
            </w:tcBorders>
            <w:shd w:val="clear" w:color="auto" w:fill="auto"/>
            <w:noWrap/>
            <w:vAlign w:val="bottom"/>
            <w:hideMark/>
          </w:tcPr>
          <w:p w:rsidR="00270D7A" w:rsidRPr="00270D7A" w:rsidRDefault="00270D7A" w:rsidP="00270D7A">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270D7A">
              <w:rPr>
                <w:sz w:val="22"/>
                <w:szCs w:val="22"/>
                <w:lang w:val="en-US" w:eastAsia="zh-CN"/>
              </w:rPr>
              <w:t>5,073.15</w:t>
            </w:r>
          </w:p>
        </w:tc>
      </w:tr>
      <w:tr w:rsidR="00270D7A" w:rsidRPr="00270D7A" w:rsidTr="00270D7A">
        <w:trPr>
          <w:trHeight w:val="300"/>
        </w:trPr>
        <w:tc>
          <w:tcPr>
            <w:tcW w:w="4820" w:type="dxa"/>
            <w:gridSpan w:val="2"/>
            <w:tcBorders>
              <w:top w:val="single" w:sz="4" w:space="0" w:color="auto"/>
              <w:left w:val="single" w:sz="4" w:space="0" w:color="auto"/>
              <w:bottom w:val="single" w:sz="4" w:space="0" w:color="auto"/>
            </w:tcBorders>
            <w:shd w:val="clear" w:color="auto" w:fill="auto"/>
            <w:vAlign w:val="bottom"/>
            <w:hideMark/>
          </w:tcPr>
          <w:p w:rsidR="00270D7A" w:rsidRPr="00270D7A" w:rsidRDefault="00270D7A" w:rsidP="00270D7A">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526" w:type="dxa"/>
            <w:tcBorders>
              <w:top w:val="single" w:sz="4" w:space="0" w:color="auto"/>
              <w:bottom w:val="single" w:sz="4" w:space="0" w:color="auto"/>
            </w:tcBorders>
            <w:shd w:val="clear" w:color="auto" w:fill="auto"/>
            <w:noWrap/>
            <w:vAlign w:val="bottom"/>
            <w:hideMark/>
          </w:tcPr>
          <w:p w:rsidR="00270D7A" w:rsidRPr="00270D7A" w:rsidRDefault="00270D7A" w:rsidP="00270D7A">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gridSpan w:val="2"/>
            <w:tcBorders>
              <w:top w:val="single" w:sz="4" w:space="0" w:color="auto"/>
              <w:bottom w:val="single" w:sz="4" w:space="0" w:color="auto"/>
            </w:tcBorders>
            <w:shd w:val="clear" w:color="auto" w:fill="auto"/>
            <w:noWrap/>
            <w:vAlign w:val="bottom"/>
            <w:hideMark/>
          </w:tcPr>
          <w:p w:rsidR="00270D7A" w:rsidRPr="00270D7A" w:rsidRDefault="00270D7A" w:rsidP="00270D7A">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270D7A">
              <w:rPr>
                <w:sz w:val="22"/>
                <w:szCs w:val="22"/>
                <w:lang w:val="en-US" w:eastAsia="zh-CN"/>
              </w:rPr>
              <w:t>0.00</w:t>
            </w:r>
          </w:p>
        </w:tc>
        <w:tc>
          <w:tcPr>
            <w:tcW w:w="1420" w:type="dxa"/>
            <w:gridSpan w:val="2"/>
            <w:tcBorders>
              <w:top w:val="single" w:sz="4" w:space="0" w:color="auto"/>
              <w:bottom w:val="single" w:sz="4" w:space="0" w:color="auto"/>
            </w:tcBorders>
            <w:shd w:val="clear" w:color="auto" w:fill="auto"/>
            <w:noWrap/>
            <w:vAlign w:val="bottom"/>
            <w:hideMark/>
          </w:tcPr>
          <w:p w:rsidR="00270D7A" w:rsidRPr="00270D7A" w:rsidRDefault="00270D7A" w:rsidP="00270D7A">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270D7A">
              <w:rPr>
                <w:sz w:val="22"/>
                <w:szCs w:val="22"/>
                <w:lang w:val="en-US" w:eastAsia="zh-CN"/>
              </w:rPr>
              <w:t>5,073.15</w:t>
            </w:r>
          </w:p>
        </w:tc>
        <w:tc>
          <w:tcPr>
            <w:tcW w:w="1497" w:type="dxa"/>
            <w:gridSpan w:val="2"/>
            <w:tcBorders>
              <w:top w:val="single" w:sz="4" w:space="0" w:color="auto"/>
              <w:bottom w:val="single" w:sz="4" w:space="0" w:color="auto"/>
              <w:right w:val="single" w:sz="4" w:space="0" w:color="auto"/>
            </w:tcBorders>
            <w:shd w:val="clear" w:color="auto" w:fill="auto"/>
            <w:noWrap/>
            <w:vAlign w:val="bottom"/>
            <w:hideMark/>
          </w:tcPr>
          <w:p w:rsidR="00270D7A" w:rsidRPr="00270D7A" w:rsidRDefault="00270D7A" w:rsidP="00270D7A">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270D7A">
              <w:rPr>
                <w:sz w:val="22"/>
                <w:szCs w:val="22"/>
                <w:lang w:val="en-US" w:eastAsia="zh-CN"/>
              </w:rPr>
              <w:t>5,073.15</w:t>
            </w:r>
          </w:p>
        </w:tc>
      </w:tr>
      <w:tr w:rsidR="00270D7A" w:rsidRPr="00270D7A" w:rsidTr="00575E1B">
        <w:trPr>
          <w:trHeight w:val="300"/>
        </w:trPr>
        <w:tc>
          <w:tcPr>
            <w:tcW w:w="4820" w:type="dxa"/>
            <w:gridSpan w:val="2"/>
            <w:tcBorders>
              <w:top w:val="single" w:sz="4" w:space="0" w:color="auto"/>
              <w:bottom w:val="single" w:sz="4" w:space="0" w:color="auto"/>
            </w:tcBorders>
            <w:shd w:val="clear" w:color="auto" w:fill="auto"/>
            <w:vAlign w:val="bottom"/>
            <w:hideMark/>
          </w:tcPr>
          <w:p w:rsidR="00270D7A" w:rsidRPr="00270D7A" w:rsidRDefault="00270D7A" w:rsidP="00270D7A">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526" w:type="dxa"/>
            <w:tcBorders>
              <w:top w:val="single" w:sz="4" w:space="0" w:color="auto"/>
              <w:bottom w:val="single" w:sz="4" w:space="0" w:color="auto"/>
            </w:tcBorders>
            <w:shd w:val="clear" w:color="auto" w:fill="auto"/>
            <w:noWrap/>
            <w:vAlign w:val="bottom"/>
            <w:hideMark/>
          </w:tcPr>
          <w:p w:rsidR="00270D7A" w:rsidRPr="00270D7A" w:rsidRDefault="00270D7A" w:rsidP="00270D7A">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gridSpan w:val="2"/>
            <w:tcBorders>
              <w:top w:val="single" w:sz="4" w:space="0" w:color="auto"/>
              <w:bottom w:val="single" w:sz="4" w:space="0" w:color="auto"/>
            </w:tcBorders>
            <w:shd w:val="clear" w:color="auto" w:fill="auto"/>
            <w:noWrap/>
            <w:vAlign w:val="bottom"/>
            <w:hideMark/>
          </w:tcPr>
          <w:p w:rsidR="00270D7A" w:rsidRPr="00270D7A" w:rsidRDefault="00270D7A" w:rsidP="00270D7A">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420" w:type="dxa"/>
            <w:gridSpan w:val="2"/>
            <w:tcBorders>
              <w:top w:val="single" w:sz="4" w:space="0" w:color="auto"/>
              <w:bottom w:val="single" w:sz="4" w:space="0" w:color="auto"/>
            </w:tcBorders>
            <w:shd w:val="clear" w:color="auto" w:fill="auto"/>
            <w:noWrap/>
            <w:vAlign w:val="bottom"/>
            <w:hideMark/>
          </w:tcPr>
          <w:p w:rsidR="00270D7A" w:rsidRPr="00270D7A" w:rsidRDefault="00270D7A" w:rsidP="00270D7A">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497" w:type="dxa"/>
            <w:gridSpan w:val="2"/>
            <w:tcBorders>
              <w:top w:val="single" w:sz="4" w:space="0" w:color="auto"/>
              <w:bottom w:val="single" w:sz="4" w:space="0" w:color="auto"/>
            </w:tcBorders>
            <w:shd w:val="clear" w:color="auto" w:fill="auto"/>
            <w:noWrap/>
            <w:vAlign w:val="bottom"/>
            <w:hideMark/>
          </w:tcPr>
          <w:p w:rsidR="00270D7A" w:rsidRPr="00270D7A" w:rsidRDefault="00270D7A" w:rsidP="00270D7A">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r>
      <w:tr w:rsidR="00270D7A" w:rsidRPr="00270D7A" w:rsidTr="00575E1B">
        <w:trPr>
          <w:trHeight w:val="300"/>
        </w:trPr>
        <w:tc>
          <w:tcPr>
            <w:tcW w:w="4820" w:type="dxa"/>
            <w:gridSpan w:val="2"/>
            <w:tcBorders>
              <w:top w:val="single" w:sz="4" w:space="0" w:color="auto"/>
              <w:left w:val="single" w:sz="4" w:space="0" w:color="auto"/>
              <w:bottom w:val="single" w:sz="4" w:space="0" w:color="auto"/>
            </w:tcBorders>
            <w:shd w:val="clear" w:color="auto" w:fill="auto"/>
            <w:vAlign w:val="bottom"/>
            <w:hideMark/>
          </w:tcPr>
          <w:p w:rsidR="00270D7A" w:rsidRPr="00270D7A" w:rsidRDefault="00270D7A" w:rsidP="00270D7A">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270D7A">
              <w:rPr>
                <w:b/>
                <w:bCs/>
                <w:sz w:val="22"/>
                <w:szCs w:val="22"/>
                <w:lang w:val="en-US" w:eastAsia="zh-CN"/>
              </w:rPr>
              <w:t>D. Other Miscellaneous Debtors*</w:t>
            </w:r>
          </w:p>
        </w:tc>
        <w:tc>
          <w:tcPr>
            <w:tcW w:w="1526" w:type="dxa"/>
            <w:tcBorders>
              <w:top w:val="single" w:sz="4" w:space="0" w:color="auto"/>
              <w:bottom w:val="single" w:sz="4" w:space="0" w:color="auto"/>
              <w:right w:val="single" w:sz="4" w:space="0" w:color="auto"/>
            </w:tcBorders>
            <w:shd w:val="clear" w:color="auto" w:fill="auto"/>
            <w:noWrap/>
            <w:vAlign w:val="bottom"/>
            <w:hideMark/>
          </w:tcPr>
          <w:p w:rsidR="00270D7A" w:rsidRPr="00270D7A" w:rsidRDefault="00270D7A" w:rsidP="00270D7A">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p>
        </w:tc>
        <w:tc>
          <w:tcPr>
            <w:tcW w:w="14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0D7A" w:rsidRPr="00270D7A" w:rsidRDefault="00270D7A" w:rsidP="00270D7A">
            <w:pPr>
              <w:tabs>
                <w:tab w:val="clear" w:pos="567"/>
                <w:tab w:val="clear" w:pos="1134"/>
                <w:tab w:val="clear" w:pos="1701"/>
                <w:tab w:val="clear" w:pos="2268"/>
                <w:tab w:val="clear" w:pos="2835"/>
              </w:tabs>
              <w:overflowPunct/>
              <w:autoSpaceDE/>
              <w:autoSpaceDN/>
              <w:adjustRightInd/>
              <w:spacing w:before="0"/>
              <w:jc w:val="right"/>
              <w:textAlignment w:val="auto"/>
              <w:rPr>
                <w:b/>
                <w:bCs/>
                <w:sz w:val="22"/>
                <w:szCs w:val="22"/>
                <w:lang w:val="en-US" w:eastAsia="zh-CN"/>
              </w:rPr>
            </w:pPr>
            <w:r w:rsidRPr="00270D7A">
              <w:rPr>
                <w:b/>
                <w:bCs/>
                <w:sz w:val="22"/>
                <w:szCs w:val="22"/>
                <w:lang w:val="en-US" w:eastAsia="zh-CN"/>
              </w:rPr>
              <w:t>51,995.53</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0D7A" w:rsidRPr="00270D7A" w:rsidRDefault="00270D7A" w:rsidP="00270D7A">
            <w:pPr>
              <w:tabs>
                <w:tab w:val="clear" w:pos="567"/>
                <w:tab w:val="clear" w:pos="1134"/>
                <w:tab w:val="clear" w:pos="1701"/>
                <w:tab w:val="clear" w:pos="2268"/>
                <w:tab w:val="clear" w:pos="2835"/>
              </w:tabs>
              <w:overflowPunct/>
              <w:autoSpaceDE/>
              <w:autoSpaceDN/>
              <w:adjustRightInd/>
              <w:spacing w:before="0"/>
              <w:jc w:val="right"/>
              <w:textAlignment w:val="auto"/>
              <w:rPr>
                <w:b/>
                <w:bCs/>
                <w:sz w:val="22"/>
                <w:szCs w:val="22"/>
                <w:lang w:val="en-US" w:eastAsia="zh-CN"/>
              </w:rPr>
            </w:pPr>
            <w:r w:rsidRPr="00270D7A">
              <w:rPr>
                <w:b/>
                <w:bCs/>
                <w:sz w:val="22"/>
                <w:szCs w:val="22"/>
                <w:lang w:val="en-US" w:eastAsia="zh-CN"/>
              </w:rPr>
              <w:t>357.40</w:t>
            </w:r>
          </w:p>
        </w:tc>
        <w:tc>
          <w:tcPr>
            <w:tcW w:w="14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0D7A" w:rsidRPr="00270D7A" w:rsidRDefault="00270D7A" w:rsidP="00270D7A">
            <w:pPr>
              <w:tabs>
                <w:tab w:val="clear" w:pos="567"/>
                <w:tab w:val="clear" w:pos="1134"/>
                <w:tab w:val="clear" w:pos="1701"/>
                <w:tab w:val="clear" w:pos="2268"/>
                <w:tab w:val="clear" w:pos="2835"/>
              </w:tabs>
              <w:overflowPunct/>
              <w:autoSpaceDE/>
              <w:autoSpaceDN/>
              <w:adjustRightInd/>
              <w:spacing w:before="0"/>
              <w:jc w:val="right"/>
              <w:textAlignment w:val="auto"/>
              <w:rPr>
                <w:b/>
                <w:bCs/>
                <w:sz w:val="22"/>
                <w:szCs w:val="22"/>
                <w:lang w:val="en-US" w:eastAsia="zh-CN"/>
              </w:rPr>
            </w:pPr>
            <w:r w:rsidRPr="00270D7A">
              <w:rPr>
                <w:b/>
                <w:bCs/>
                <w:sz w:val="22"/>
                <w:szCs w:val="22"/>
                <w:lang w:val="en-US" w:eastAsia="zh-CN"/>
              </w:rPr>
              <w:t>52,352.93</w:t>
            </w:r>
          </w:p>
        </w:tc>
      </w:tr>
      <w:tr w:rsidR="00270D7A" w:rsidRPr="00270D7A" w:rsidTr="00575E1B">
        <w:trPr>
          <w:trHeight w:val="300"/>
        </w:trPr>
        <w:tc>
          <w:tcPr>
            <w:tcW w:w="4820" w:type="dxa"/>
            <w:gridSpan w:val="2"/>
            <w:tcBorders>
              <w:top w:val="single" w:sz="4" w:space="0" w:color="auto"/>
              <w:left w:val="single" w:sz="4" w:space="0" w:color="auto"/>
            </w:tcBorders>
            <w:shd w:val="clear" w:color="auto" w:fill="auto"/>
            <w:vAlign w:val="bottom"/>
            <w:hideMark/>
          </w:tcPr>
          <w:p w:rsidR="00270D7A" w:rsidRPr="00270D7A" w:rsidRDefault="00270D7A" w:rsidP="00270D7A">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526" w:type="dxa"/>
            <w:tcBorders>
              <w:top w:val="single" w:sz="4" w:space="0" w:color="auto"/>
              <w:right w:val="single" w:sz="4" w:space="0" w:color="auto"/>
            </w:tcBorders>
            <w:shd w:val="clear" w:color="auto" w:fill="auto"/>
            <w:noWrap/>
            <w:vAlign w:val="bottom"/>
            <w:hideMark/>
          </w:tcPr>
          <w:p w:rsidR="00270D7A" w:rsidRPr="00270D7A" w:rsidRDefault="00270D7A" w:rsidP="00270D7A">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gridSpan w:val="2"/>
            <w:tcBorders>
              <w:top w:val="single" w:sz="4" w:space="0" w:color="auto"/>
              <w:left w:val="single" w:sz="4" w:space="0" w:color="auto"/>
              <w:right w:val="single" w:sz="4" w:space="0" w:color="auto"/>
            </w:tcBorders>
            <w:shd w:val="clear" w:color="auto" w:fill="auto"/>
            <w:noWrap/>
            <w:vAlign w:val="bottom"/>
            <w:hideMark/>
          </w:tcPr>
          <w:p w:rsidR="00270D7A" w:rsidRPr="00270D7A" w:rsidRDefault="00270D7A" w:rsidP="00270D7A">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420" w:type="dxa"/>
            <w:gridSpan w:val="2"/>
            <w:tcBorders>
              <w:top w:val="single" w:sz="4" w:space="0" w:color="auto"/>
              <w:left w:val="single" w:sz="4" w:space="0" w:color="auto"/>
              <w:right w:val="single" w:sz="4" w:space="0" w:color="auto"/>
            </w:tcBorders>
            <w:shd w:val="clear" w:color="auto" w:fill="auto"/>
            <w:noWrap/>
            <w:vAlign w:val="bottom"/>
            <w:hideMark/>
          </w:tcPr>
          <w:p w:rsidR="00270D7A" w:rsidRPr="00270D7A" w:rsidRDefault="00270D7A" w:rsidP="00270D7A">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497" w:type="dxa"/>
            <w:gridSpan w:val="2"/>
            <w:tcBorders>
              <w:top w:val="single" w:sz="4" w:space="0" w:color="auto"/>
              <w:left w:val="single" w:sz="4" w:space="0" w:color="auto"/>
              <w:right w:val="single" w:sz="4" w:space="0" w:color="auto"/>
            </w:tcBorders>
            <w:shd w:val="clear" w:color="auto" w:fill="auto"/>
            <w:noWrap/>
            <w:vAlign w:val="bottom"/>
            <w:hideMark/>
          </w:tcPr>
          <w:p w:rsidR="00270D7A" w:rsidRPr="00270D7A" w:rsidRDefault="00270D7A" w:rsidP="00270D7A">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r>
      <w:tr w:rsidR="00270D7A" w:rsidRPr="00270D7A" w:rsidTr="00575E1B">
        <w:trPr>
          <w:trHeight w:val="300"/>
        </w:trPr>
        <w:tc>
          <w:tcPr>
            <w:tcW w:w="4820" w:type="dxa"/>
            <w:gridSpan w:val="2"/>
            <w:tcBorders>
              <w:left w:val="single" w:sz="4" w:space="0" w:color="auto"/>
              <w:bottom w:val="single" w:sz="4" w:space="0" w:color="auto"/>
            </w:tcBorders>
            <w:shd w:val="clear" w:color="auto" w:fill="auto"/>
            <w:vAlign w:val="bottom"/>
            <w:hideMark/>
          </w:tcPr>
          <w:p w:rsidR="00270D7A" w:rsidRPr="00270D7A" w:rsidRDefault="00270D7A" w:rsidP="00270D7A">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270D7A">
              <w:rPr>
                <w:sz w:val="22"/>
                <w:szCs w:val="22"/>
                <w:lang w:val="en-US" w:eastAsia="zh-CN"/>
              </w:rPr>
              <w:t>Total at 31.12.2017</w:t>
            </w:r>
          </w:p>
        </w:tc>
        <w:tc>
          <w:tcPr>
            <w:tcW w:w="1526" w:type="dxa"/>
            <w:tcBorders>
              <w:bottom w:val="single" w:sz="4" w:space="0" w:color="auto"/>
              <w:right w:val="single" w:sz="4" w:space="0" w:color="auto"/>
            </w:tcBorders>
            <w:shd w:val="clear" w:color="auto" w:fill="auto"/>
            <w:noWrap/>
            <w:vAlign w:val="bottom"/>
            <w:hideMark/>
          </w:tcPr>
          <w:p w:rsidR="00270D7A" w:rsidRPr="00270D7A" w:rsidRDefault="00270D7A" w:rsidP="00270D7A">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gridSpan w:val="2"/>
            <w:tcBorders>
              <w:left w:val="single" w:sz="4" w:space="0" w:color="auto"/>
              <w:bottom w:val="single" w:sz="4" w:space="0" w:color="auto"/>
              <w:right w:val="single" w:sz="4" w:space="0" w:color="auto"/>
            </w:tcBorders>
            <w:shd w:val="clear" w:color="auto" w:fill="auto"/>
            <w:noWrap/>
            <w:vAlign w:val="bottom"/>
            <w:hideMark/>
          </w:tcPr>
          <w:p w:rsidR="00270D7A" w:rsidRPr="00270D7A" w:rsidRDefault="00270D7A" w:rsidP="00270D7A">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270D7A">
              <w:rPr>
                <w:sz w:val="22"/>
                <w:szCs w:val="22"/>
                <w:lang w:val="en-US" w:eastAsia="zh-CN"/>
              </w:rPr>
              <w:t>23,577,289.48</w:t>
            </w:r>
          </w:p>
        </w:tc>
        <w:tc>
          <w:tcPr>
            <w:tcW w:w="1420" w:type="dxa"/>
            <w:gridSpan w:val="2"/>
            <w:tcBorders>
              <w:left w:val="single" w:sz="4" w:space="0" w:color="auto"/>
              <w:bottom w:val="single" w:sz="4" w:space="0" w:color="auto"/>
              <w:right w:val="single" w:sz="4" w:space="0" w:color="auto"/>
            </w:tcBorders>
            <w:shd w:val="clear" w:color="auto" w:fill="auto"/>
            <w:noWrap/>
            <w:vAlign w:val="bottom"/>
            <w:hideMark/>
          </w:tcPr>
          <w:p w:rsidR="00270D7A" w:rsidRPr="00270D7A" w:rsidRDefault="00270D7A" w:rsidP="00270D7A">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270D7A">
              <w:rPr>
                <w:sz w:val="22"/>
                <w:szCs w:val="22"/>
                <w:lang w:val="en-US" w:eastAsia="zh-CN"/>
              </w:rPr>
              <w:t>42,185.20</w:t>
            </w:r>
          </w:p>
        </w:tc>
        <w:tc>
          <w:tcPr>
            <w:tcW w:w="1497" w:type="dxa"/>
            <w:gridSpan w:val="2"/>
            <w:tcBorders>
              <w:left w:val="single" w:sz="4" w:space="0" w:color="auto"/>
              <w:bottom w:val="single" w:sz="4" w:space="0" w:color="auto"/>
              <w:right w:val="single" w:sz="4" w:space="0" w:color="auto"/>
            </w:tcBorders>
            <w:shd w:val="clear" w:color="auto" w:fill="auto"/>
            <w:noWrap/>
            <w:vAlign w:val="bottom"/>
            <w:hideMark/>
          </w:tcPr>
          <w:p w:rsidR="00270D7A" w:rsidRPr="00270D7A" w:rsidRDefault="00270D7A" w:rsidP="00270D7A">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270D7A">
              <w:rPr>
                <w:sz w:val="22"/>
                <w:szCs w:val="22"/>
                <w:lang w:val="en-US" w:eastAsia="zh-CN"/>
              </w:rPr>
              <w:t>23,619,474.68</w:t>
            </w:r>
          </w:p>
        </w:tc>
      </w:tr>
      <w:tr w:rsidR="00270D7A" w:rsidRPr="00270D7A" w:rsidTr="00575E1B">
        <w:trPr>
          <w:trHeight w:val="300"/>
        </w:trPr>
        <w:tc>
          <w:tcPr>
            <w:tcW w:w="4820" w:type="dxa"/>
            <w:gridSpan w:val="2"/>
            <w:tcBorders>
              <w:top w:val="single" w:sz="4" w:space="0" w:color="auto"/>
            </w:tcBorders>
            <w:shd w:val="clear" w:color="auto" w:fill="auto"/>
            <w:vAlign w:val="bottom"/>
            <w:hideMark/>
          </w:tcPr>
          <w:p w:rsidR="00270D7A" w:rsidRPr="00270D7A" w:rsidRDefault="00270D7A" w:rsidP="00270D7A">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526" w:type="dxa"/>
            <w:tcBorders>
              <w:top w:val="single" w:sz="4" w:space="0" w:color="auto"/>
            </w:tcBorders>
            <w:shd w:val="clear" w:color="auto" w:fill="auto"/>
            <w:noWrap/>
            <w:vAlign w:val="bottom"/>
            <w:hideMark/>
          </w:tcPr>
          <w:p w:rsidR="00270D7A" w:rsidRPr="00270D7A" w:rsidRDefault="00270D7A" w:rsidP="00270D7A">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gridSpan w:val="2"/>
            <w:tcBorders>
              <w:top w:val="single" w:sz="4" w:space="0" w:color="auto"/>
            </w:tcBorders>
            <w:shd w:val="clear" w:color="auto" w:fill="auto"/>
            <w:noWrap/>
            <w:vAlign w:val="bottom"/>
            <w:hideMark/>
          </w:tcPr>
          <w:p w:rsidR="00270D7A" w:rsidRPr="00270D7A" w:rsidRDefault="00270D7A" w:rsidP="00270D7A">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270D7A">
              <w:rPr>
                <w:sz w:val="22"/>
                <w:szCs w:val="22"/>
                <w:lang w:val="en-US" w:eastAsia="zh-CN"/>
              </w:rPr>
              <w:t xml:space="preserve">       </w:t>
            </w:r>
          </w:p>
        </w:tc>
        <w:tc>
          <w:tcPr>
            <w:tcW w:w="1420" w:type="dxa"/>
            <w:gridSpan w:val="2"/>
            <w:tcBorders>
              <w:top w:val="single" w:sz="4" w:space="0" w:color="auto"/>
            </w:tcBorders>
            <w:shd w:val="clear" w:color="auto" w:fill="auto"/>
            <w:noWrap/>
            <w:vAlign w:val="bottom"/>
            <w:hideMark/>
          </w:tcPr>
          <w:p w:rsidR="00270D7A" w:rsidRPr="00270D7A" w:rsidRDefault="00270D7A" w:rsidP="00270D7A">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497" w:type="dxa"/>
            <w:gridSpan w:val="2"/>
            <w:tcBorders>
              <w:top w:val="single" w:sz="4" w:space="0" w:color="auto"/>
            </w:tcBorders>
            <w:shd w:val="clear" w:color="auto" w:fill="auto"/>
            <w:noWrap/>
            <w:vAlign w:val="bottom"/>
            <w:hideMark/>
          </w:tcPr>
          <w:p w:rsidR="00270D7A" w:rsidRPr="00270D7A" w:rsidRDefault="00270D7A" w:rsidP="00270D7A">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r>
      <w:tr w:rsidR="00270D7A" w:rsidRPr="00270D7A" w:rsidTr="00270D7A">
        <w:trPr>
          <w:trHeight w:val="300"/>
        </w:trPr>
        <w:tc>
          <w:tcPr>
            <w:tcW w:w="10760" w:type="dxa"/>
            <w:gridSpan w:val="9"/>
            <w:tcBorders>
              <w:left w:val="nil"/>
              <w:bottom w:val="nil"/>
              <w:right w:val="nil"/>
            </w:tcBorders>
            <w:shd w:val="clear" w:color="auto" w:fill="auto"/>
            <w:noWrap/>
            <w:vAlign w:val="bottom"/>
            <w:hideMark/>
          </w:tcPr>
          <w:p w:rsidR="00270D7A" w:rsidRPr="00270D7A" w:rsidRDefault="00270D7A" w:rsidP="00270D7A">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270D7A">
              <w:rPr>
                <w:sz w:val="20"/>
                <w:lang w:val="en-US" w:eastAsia="zh-CN"/>
              </w:rPr>
              <w:t>* Includes debtors with amounts below CHF 5 000 for Member States of the Union and CHF 2000 for Sector Members, other</w:t>
            </w:r>
          </w:p>
        </w:tc>
      </w:tr>
      <w:tr w:rsidR="00270D7A" w:rsidRPr="00270D7A" w:rsidTr="00270D7A">
        <w:trPr>
          <w:trHeight w:val="210"/>
        </w:trPr>
        <w:tc>
          <w:tcPr>
            <w:tcW w:w="4780" w:type="dxa"/>
            <w:tcBorders>
              <w:top w:val="nil"/>
              <w:left w:val="nil"/>
              <w:bottom w:val="nil"/>
              <w:right w:val="nil"/>
            </w:tcBorders>
            <w:shd w:val="clear" w:color="auto" w:fill="auto"/>
            <w:noWrap/>
            <w:vAlign w:val="bottom"/>
            <w:hideMark/>
          </w:tcPr>
          <w:p w:rsidR="00270D7A" w:rsidRPr="00270D7A" w:rsidRDefault="00270D7A" w:rsidP="00270D7A">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270D7A">
              <w:rPr>
                <w:sz w:val="20"/>
                <w:lang w:val="en-US" w:eastAsia="zh-CN"/>
              </w:rPr>
              <w:t xml:space="preserve">   </w:t>
            </w:r>
            <w:proofErr w:type="gramStart"/>
            <w:r w:rsidRPr="00270D7A">
              <w:rPr>
                <w:sz w:val="20"/>
                <w:lang w:val="en-US" w:eastAsia="zh-CN"/>
              </w:rPr>
              <w:t>entities</w:t>
            </w:r>
            <w:proofErr w:type="gramEnd"/>
            <w:r w:rsidRPr="00270D7A">
              <w:rPr>
                <w:sz w:val="20"/>
                <w:lang w:val="en-US" w:eastAsia="zh-CN"/>
              </w:rPr>
              <w:t xml:space="preserve"> or organizations and other debtors.</w:t>
            </w:r>
          </w:p>
        </w:tc>
        <w:tc>
          <w:tcPr>
            <w:tcW w:w="1720" w:type="dxa"/>
            <w:gridSpan w:val="3"/>
            <w:tcBorders>
              <w:top w:val="nil"/>
              <w:left w:val="nil"/>
              <w:bottom w:val="nil"/>
              <w:right w:val="nil"/>
            </w:tcBorders>
            <w:shd w:val="clear" w:color="auto" w:fill="auto"/>
            <w:noWrap/>
            <w:vAlign w:val="bottom"/>
            <w:hideMark/>
          </w:tcPr>
          <w:p w:rsidR="00270D7A" w:rsidRPr="00270D7A" w:rsidRDefault="00270D7A" w:rsidP="00270D7A">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420" w:type="dxa"/>
            <w:gridSpan w:val="2"/>
            <w:tcBorders>
              <w:top w:val="nil"/>
              <w:left w:val="nil"/>
              <w:bottom w:val="nil"/>
              <w:right w:val="nil"/>
            </w:tcBorders>
            <w:shd w:val="clear" w:color="auto" w:fill="auto"/>
            <w:noWrap/>
            <w:vAlign w:val="bottom"/>
            <w:hideMark/>
          </w:tcPr>
          <w:p w:rsidR="00270D7A" w:rsidRPr="00270D7A" w:rsidRDefault="00270D7A" w:rsidP="00270D7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gridSpan w:val="2"/>
            <w:tcBorders>
              <w:top w:val="nil"/>
              <w:left w:val="nil"/>
              <w:bottom w:val="nil"/>
              <w:right w:val="nil"/>
            </w:tcBorders>
            <w:shd w:val="clear" w:color="auto" w:fill="auto"/>
            <w:noWrap/>
            <w:vAlign w:val="bottom"/>
            <w:hideMark/>
          </w:tcPr>
          <w:p w:rsidR="00270D7A" w:rsidRPr="00270D7A" w:rsidRDefault="00270D7A" w:rsidP="00270D7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270D7A" w:rsidRPr="00270D7A" w:rsidRDefault="00270D7A" w:rsidP="00270D7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bl>
    <w:p w:rsidR="000131DC" w:rsidRPr="00D12580" w:rsidRDefault="00AF2F44" w:rsidP="00550C38">
      <w:pPr>
        <w:rPr>
          <w:b/>
          <w:bCs/>
          <w:szCs w:val="24"/>
        </w:rPr>
        <w:sectPr w:rsidR="000131DC" w:rsidRPr="00D12580" w:rsidSect="008D7198">
          <w:footerReference w:type="first" r:id="rId57"/>
          <w:pgSz w:w="12240" w:h="15840" w:code="1"/>
          <w:pgMar w:top="1134" w:right="1134" w:bottom="1134" w:left="680" w:header="709" w:footer="709" w:gutter="0"/>
          <w:cols w:space="708"/>
          <w:docGrid w:linePitch="360"/>
        </w:sectPr>
      </w:pPr>
      <w:r>
        <w:br w:type="page"/>
      </w:r>
    </w:p>
    <w:p w:rsidR="006229F9" w:rsidRPr="00CF2CE4" w:rsidRDefault="006229F9" w:rsidP="00CF2CE4">
      <w:pPr>
        <w:spacing w:after="120"/>
        <w:jc w:val="center"/>
        <w:rPr>
          <w:sz w:val="28"/>
          <w:szCs w:val="28"/>
        </w:rPr>
      </w:pPr>
      <w:r w:rsidRPr="00CF2CE4">
        <w:rPr>
          <w:b/>
          <w:bCs/>
          <w:sz w:val="28"/>
          <w:szCs w:val="28"/>
        </w:rPr>
        <w:t>A</w:t>
      </w:r>
      <w:r w:rsidR="00CF2CE4">
        <w:rPr>
          <w:b/>
          <w:bCs/>
          <w:sz w:val="28"/>
          <w:szCs w:val="28"/>
        </w:rPr>
        <w:t>mounts due in respect of special arrears accounts (repayment agreements)</w:t>
      </w:r>
    </w:p>
    <w:tbl>
      <w:tblPr>
        <w:tblW w:w="13340"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459"/>
        <w:gridCol w:w="1754"/>
        <w:gridCol w:w="1694"/>
        <w:gridCol w:w="1463"/>
        <w:gridCol w:w="1360"/>
        <w:gridCol w:w="908"/>
        <w:gridCol w:w="1342"/>
        <w:gridCol w:w="1360"/>
      </w:tblGrid>
      <w:tr w:rsidR="006229F9" w:rsidRPr="0023733A" w:rsidTr="007D0AD0">
        <w:trPr>
          <w:trHeight w:val="255"/>
          <w:jc w:val="center"/>
        </w:trPr>
        <w:tc>
          <w:tcPr>
            <w:tcW w:w="3459" w:type="dxa"/>
            <w:tcBorders>
              <w:top w:val="single" w:sz="4" w:space="0" w:color="auto"/>
              <w:left w:val="single" w:sz="4" w:space="0" w:color="auto"/>
              <w:right w:val="single" w:sz="4" w:space="0" w:color="auto"/>
            </w:tcBorders>
            <w:shd w:val="clear" w:color="auto" w:fill="auto"/>
            <w:noWrap/>
            <w:vAlign w:val="bottom"/>
            <w:hideMark/>
          </w:tcPr>
          <w:p w:rsidR="006229F9" w:rsidRPr="0023733A" w:rsidRDefault="006229F9" w:rsidP="007D0AD0">
            <w:pPr>
              <w:jc w:val="center"/>
              <w:rPr>
                <w:b/>
                <w:bCs/>
                <w:sz w:val="20"/>
              </w:rPr>
            </w:pPr>
            <w:r w:rsidRPr="0023733A">
              <w:rPr>
                <w:b/>
                <w:bCs/>
                <w:sz w:val="20"/>
              </w:rPr>
              <w:t>Member States - Sector Members/</w:t>
            </w:r>
          </w:p>
        </w:tc>
        <w:tc>
          <w:tcPr>
            <w:tcW w:w="1754" w:type="dxa"/>
            <w:tcBorders>
              <w:top w:val="single" w:sz="4" w:space="0" w:color="auto"/>
              <w:left w:val="single" w:sz="4" w:space="0" w:color="auto"/>
              <w:right w:val="single" w:sz="4" w:space="0" w:color="auto"/>
            </w:tcBorders>
            <w:shd w:val="clear" w:color="auto" w:fill="auto"/>
            <w:noWrap/>
            <w:vAlign w:val="bottom"/>
            <w:hideMark/>
          </w:tcPr>
          <w:p w:rsidR="006229F9" w:rsidRPr="0023733A" w:rsidRDefault="006229F9" w:rsidP="007D0AD0">
            <w:pPr>
              <w:jc w:val="center"/>
              <w:rPr>
                <w:b/>
                <w:bCs/>
                <w:sz w:val="20"/>
              </w:rPr>
            </w:pPr>
            <w:r w:rsidRPr="0023733A">
              <w:rPr>
                <w:b/>
                <w:bCs/>
                <w:sz w:val="20"/>
              </w:rPr>
              <w:t>PP Resolutions</w:t>
            </w:r>
          </w:p>
        </w:tc>
        <w:tc>
          <w:tcPr>
            <w:tcW w:w="1694" w:type="dxa"/>
            <w:tcBorders>
              <w:top w:val="single" w:sz="4" w:space="0" w:color="auto"/>
              <w:left w:val="single" w:sz="4" w:space="0" w:color="auto"/>
              <w:right w:val="single" w:sz="4" w:space="0" w:color="auto"/>
            </w:tcBorders>
            <w:shd w:val="clear" w:color="auto" w:fill="auto"/>
            <w:noWrap/>
            <w:vAlign w:val="bottom"/>
            <w:hideMark/>
          </w:tcPr>
          <w:p w:rsidR="006229F9" w:rsidRPr="0023733A" w:rsidRDefault="006229F9" w:rsidP="007D0AD0">
            <w:pPr>
              <w:jc w:val="center"/>
              <w:rPr>
                <w:b/>
                <w:bCs/>
                <w:sz w:val="20"/>
              </w:rPr>
            </w:pPr>
            <w:r w:rsidRPr="0023733A">
              <w:rPr>
                <w:b/>
                <w:bCs/>
                <w:sz w:val="20"/>
              </w:rPr>
              <w:t>Transfer to</w:t>
            </w:r>
          </w:p>
        </w:tc>
        <w:tc>
          <w:tcPr>
            <w:tcW w:w="1463" w:type="dxa"/>
            <w:tcBorders>
              <w:top w:val="single" w:sz="4" w:space="0" w:color="auto"/>
              <w:left w:val="single" w:sz="4" w:space="0" w:color="auto"/>
              <w:right w:val="single" w:sz="4" w:space="0" w:color="auto"/>
            </w:tcBorders>
            <w:shd w:val="clear" w:color="auto" w:fill="auto"/>
            <w:noWrap/>
            <w:vAlign w:val="bottom"/>
            <w:hideMark/>
          </w:tcPr>
          <w:p w:rsidR="006229F9" w:rsidRPr="0023733A" w:rsidRDefault="006229F9" w:rsidP="007D0AD0">
            <w:pPr>
              <w:jc w:val="center"/>
              <w:rPr>
                <w:b/>
                <w:bCs/>
                <w:sz w:val="20"/>
              </w:rPr>
            </w:pPr>
            <w:r w:rsidRPr="0023733A">
              <w:rPr>
                <w:b/>
                <w:bCs/>
                <w:sz w:val="20"/>
              </w:rPr>
              <w:t>Balance at</w:t>
            </w:r>
          </w:p>
        </w:tc>
        <w:tc>
          <w:tcPr>
            <w:tcW w:w="1360" w:type="dxa"/>
            <w:tcBorders>
              <w:top w:val="single" w:sz="4" w:space="0" w:color="auto"/>
              <w:left w:val="single" w:sz="4" w:space="0" w:color="auto"/>
              <w:right w:val="single" w:sz="4" w:space="0" w:color="auto"/>
            </w:tcBorders>
            <w:shd w:val="clear" w:color="auto" w:fill="auto"/>
            <w:vAlign w:val="bottom"/>
            <w:hideMark/>
          </w:tcPr>
          <w:p w:rsidR="006229F9" w:rsidRPr="0023733A" w:rsidRDefault="006229F9" w:rsidP="007D0AD0">
            <w:pPr>
              <w:jc w:val="center"/>
              <w:rPr>
                <w:b/>
                <w:bCs/>
                <w:sz w:val="20"/>
              </w:rPr>
            </w:pPr>
            <w:r w:rsidRPr="0023733A">
              <w:rPr>
                <w:b/>
                <w:bCs/>
                <w:sz w:val="20"/>
              </w:rPr>
              <w:t>Movements</w:t>
            </w:r>
          </w:p>
        </w:tc>
        <w:tc>
          <w:tcPr>
            <w:tcW w:w="908" w:type="dxa"/>
            <w:tcBorders>
              <w:top w:val="single" w:sz="4" w:space="0" w:color="auto"/>
              <w:left w:val="single" w:sz="4" w:space="0" w:color="auto"/>
              <w:right w:val="single" w:sz="4" w:space="0" w:color="auto"/>
            </w:tcBorders>
            <w:shd w:val="clear" w:color="auto" w:fill="auto"/>
            <w:noWrap/>
            <w:vAlign w:val="bottom"/>
            <w:hideMark/>
          </w:tcPr>
          <w:p w:rsidR="006229F9" w:rsidRPr="0023733A" w:rsidRDefault="006229F9" w:rsidP="007D0AD0">
            <w:pPr>
              <w:jc w:val="center"/>
              <w:rPr>
                <w:b/>
                <w:bCs/>
                <w:sz w:val="20"/>
              </w:rPr>
            </w:pPr>
            <w:r w:rsidRPr="0023733A">
              <w:rPr>
                <w:b/>
                <w:bCs/>
                <w:sz w:val="20"/>
              </w:rPr>
              <w:t>Interest</w:t>
            </w:r>
          </w:p>
        </w:tc>
        <w:tc>
          <w:tcPr>
            <w:tcW w:w="1342" w:type="dxa"/>
            <w:tcBorders>
              <w:top w:val="single" w:sz="4" w:space="0" w:color="auto"/>
              <w:left w:val="single" w:sz="4" w:space="0" w:color="auto"/>
              <w:right w:val="single" w:sz="4" w:space="0" w:color="auto"/>
            </w:tcBorders>
            <w:shd w:val="clear" w:color="auto" w:fill="auto"/>
            <w:noWrap/>
            <w:vAlign w:val="bottom"/>
            <w:hideMark/>
          </w:tcPr>
          <w:p w:rsidR="006229F9" w:rsidRPr="0023733A" w:rsidRDefault="006229F9" w:rsidP="007D0AD0">
            <w:pPr>
              <w:jc w:val="center"/>
              <w:rPr>
                <w:b/>
                <w:bCs/>
                <w:sz w:val="20"/>
              </w:rPr>
            </w:pPr>
            <w:r w:rsidRPr="0023733A">
              <w:rPr>
                <w:b/>
                <w:bCs/>
                <w:sz w:val="20"/>
              </w:rPr>
              <w:t>Payments</w:t>
            </w:r>
          </w:p>
        </w:tc>
        <w:tc>
          <w:tcPr>
            <w:tcW w:w="1360" w:type="dxa"/>
            <w:tcBorders>
              <w:top w:val="single" w:sz="4" w:space="0" w:color="auto"/>
              <w:left w:val="single" w:sz="4" w:space="0" w:color="auto"/>
              <w:right w:val="single" w:sz="4" w:space="0" w:color="auto"/>
            </w:tcBorders>
            <w:shd w:val="clear" w:color="auto" w:fill="auto"/>
            <w:noWrap/>
            <w:vAlign w:val="bottom"/>
            <w:hideMark/>
          </w:tcPr>
          <w:p w:rsidR="006229F9" w:rsidRPr="0023733A" w:rsidRDefault="006229F9" w:rsidP="007D0AD0">
            <w:pPr>
              <w:jc w:val="center"/>
              <w:rPr>
                <w:b/>
                <w:bCs/>
                <w:sz w:val="20"/>
              </w:rPr>
            </w:pPr>
            <w:r w:rsidRPr="0023733A">
              <w:rPr>
                <w:b/>
                <w:bCs/>
                <w:sz w:val="20"/>
              </w:rPr>
              <w:t>Balance at</w:t>
            </w:r>
          </w:p>
        </w:tc>
      </w:tr>
      <w:tr w:rsidR="006229F9" w:rsidRPr="0023733A" w:rsidTr="007D0AD0">
        <w:trPr>
          <w:trHeight w:val="255"/>
          <w:jc w:val="center"/>
        </w:trPr>
        <w:tc>
          <w:tcPr>
            <w:tcW w:w="3459" w:type="dxa"/>
            <w:tcBorders>
              <w:left w:val="single" w:sz="4" w:space="0" w:color="auto"/>
              <w:right w:val="single" w:sz="4" w:space="0" w:color="auto"/>
            </w:tcBorders>
            <w:shd w:val="clear" w:color="auto" w:fill="auto"/>
            <w:noWrap/>
            <w:vAlign w:val="bottom"/>
            <w:hideMark/>
          </w:tcPr>
          <w:p w:rsidR="006229F9" w:rsidRPr="0023733A" w:rsidRDefault="006229F9" w:rsidP="007D0AD0">
            <w:pPr>
              <w:jc w:val="center"/>
              <w:rPr>
                <w:b/>
                <w:bCs/>
                <w:sz w:val="20"/>
              </w:rPr>
            </w:pPr>
            <w:r w:rsidRPr="0023733A">
              <w:rPr>
                <w:b/>
                <w:bCs/>
                <w:sz w:val="20"/>
              </w:rPr>
              <w:t>Companies</w:t>
            </w:r>
          </w:p>
        </w:tc>
        <w:tc>
          <w:tcPr>
            <w:tcW w:w="1754" w:type="dxa"/>
            <w:tcBorders>
              <w:left w:val="single" w:sz="4" w:space="0" w:color="auto"/>
              <w:right w:val="single" w:sz="4" w:space="0" w:color="auto"/>
            </w:tcBorders>
            <w:shd w:val="clear" w:color="auto" w:fill="auto"/>
            <w:noWrap/>
            <w:vAlign w:val="bottom"/>
            <w:hideMark/>
          </w:tcPr>
          <w:p w:rsidR="006229F9" w:rsidRPr="0023733A" w:rsidRDefault="006229F9" w:rsidP="007D0AD0">
            <w:pPr>
              <w:jc w:val="center"/>
              <w:rPr>
                <w:b/>
                <w:bCs/>
                <w:sz w:val="20"/>
              </w:rPr>
            </w:pPr>
          </w:p>
        </w:tc>
        <w:tc>
          <w:tcPr>
            <w:tcW w:w="1694" w:type="dxa"/>
            <w:tcBorders>
              <w:left w:val="single" w:sz="4" w:space="0" w:color="auto"/>
              <w:right w:val="single" w:sz="4" w:space="0" w:color="auto"/>
            </w:tcBorders>
            <w:shd w:val="clear" w:color="auto" w:fill="auto"/>
            <w:noWrap/>
            <w:vAlign w:val="bottom"/>
            <w:hideMark/>
          </w:tcPr>
          <w:p w:rsidR="006229F9" w:rsidRPr="0023733A" w:rsidRDefault="006229F9" w:rsidP="007D0AD0">
            <w:pPr>
              <w:jc w:val="center"/>
              <w:rPr>
                <w:b/>
                <w:bCs/>
                <w:sz w:val="20"/>
              </w:rPr>
            </w:pPr>
            <w:r w:rsidRPr="0023733A">
              <w:rPr>
                <w:b/>
                <w:bCs/>
                <w:sz w:val="20"/>
              </w:rPr>
              <w:t>Special Arrears</w:t>
            </w:r>
          </w:p>
        </w:tc>
        <w:tc>
          <w:tcPr>
            <w:tcW w:w="1463" w:type="dxa"/>
            <w:tcBorders>
              <w:left w:val="single" w:sz="4" w:space="0" w:color="auto"/>
              <w:right w:val="single" w:sz="4" w:space="0" w:color="auto"/>
            </w:tcBorders>
            <w:shd w:val="clear" w:color="auto" w:fill="auto"/>
            <w:noWrap/>
            <w:vAlign w:val="bottom"/>
            <w:hideMark/>
          </w:tcPr>
          <w:p w:rsidR="006229F9" w:rsidRPr="0023733A" w:rsidRDefault="006229F9" w:rsidP="007D0AD0">
            <w:pPr>
              <w:jc w:val="center"/>
              <w:rPr>
                <w:b/>
                <w:bCs/>
                <w:color w:val="000000"/>
                <w:sz w:val="20"/>
              </w:rPr>
            </w:pPr>
            <w:r w:rsidRPr="0023733A">
              <w:rPr>
                <w:b/>
                <w:bCs/>
                <w:color w:val="000000"/>
                <w:sz w:val="20"/>
              </w:rPr>
              <w:t>31.12.2016</w:t>
            </w:r>
          </w:p>
        </w:tc>
        <w:tc>
          <w:tcPr>
            <w:tcW w:w="1360" w:type="dxa"/>
            <w:tcBorders>
              <w:left w:val="single" w:sz="4" w:space="0" w:color="auto"/>
              <w:right w:val="single" w:sz="4" w:space="0" w:color="auto"/>
            </w:tcBorders>
            <w:shd w:val="clear" w:color="auto" w:fill="auto"/>
            <w:noWrap/>
            <w:vAlign w:val="bottom"/>
            <w:hideMark/>
          </w:tcPr>
          <w:p w:rsidR="006229F9" w:rsidRPr="0023733A" w:rsidRDefault="006229F9" w:rsidP="007D0AD0">
            <w:pPr>
              <w:jc w:val="center"/>
              <w:rPr>
                <w:b/>
                <w:bCs/>
                <w:sz w:val="20"/>
              </w:rPr>
            </w:pPr>
            <w:r w:rsidRPr="0023733A">
              <w:rPr>
                <w:b/>
                <w:bCs/>
                <w:sz w:val="20"/>
              </w:rPr>
              <w:t>2017</w:t>
            </w:r>
          </w:p>
        </w:tc>
        <w:tc>
          <w:tcPr>
            <w:tcW w:w="908" w:type="dxa"/>
            <w:tcBorders>
              <w:left w:val="single" w:sz="4" w:space="0" w:color="auto"/>
              <w:right w:val="single" w:sz="4" w:space="0" w:color="auto"/>
            </w:tcBorders>
            <w:shd w:val="clear" w:color="auto" w:fill="auto"/>
            <w:noWrap/>
            <w:vAlign w:val="bottom"/>
            <w:hideMark/>
          </w:tcPr>
          <w:p w:rsidR="006229F9" w:rsidRPr="0023733A" w:rsidRDefault="006229F9" w:rsidP="007D0AD0">
            <w:pPr>
              <w:jc w:val="center"/>
              <w:rPr>
                <w:b/>
                <w:bCs/>
                <w:sz w:val="20"/>
              </w:rPr>
            </w:pPr>
            <w:r w:rsidRPr="0023733A">
              <w:rPr>
                <w:b/>
                <w:bCs/>
                <w:sz w:val="20"/>
              </w:rPr>
              <w:t>2017</w:t>
            </w:r>
          </w:p>
        </w:tc>
        <w:tc>
          <w:tcPr>
            <w:tcW w:w="1342" w:type="dxa"/>
            <w:tcBorders>
              <w:left w:val="single" w:sz="4" w:space="0" w:color="auto"/>
              <w:right w:val="single" w:sz="4" w:space="0" w:color="auto"/>
            </w:tcBorders>
            <w:shd w:val="clear" w:color="auto" w:fill="auto"/>
            <w:noWrap/>
            <w:vAlign w:val="bottom"/>
            <w:hideMark/>
          </w:tcPr>
          <w:p w:rsidR="006229F9" w:rsidRPr="0023733A" w:rsidRDefault="006229F9" w:rsidP="007D0AD0">
            <w:pPr>
              <w:jc w:val="center"/>
              <w:rPr>
                <w:b/>
                <w:bCs/>
                <w:sz w:val="20"/>
              </w:rPr>
            </w:pPr>
            <w:r w:rsidRPr="0023733A">
              <w:rPr>
                <w:b/>
                <w:bCs/>
                <w:sz w:val="20"/>
              </w:rPr>
              <w:t>2017</w:t>
            </w:r>
          </w:p>
        </w:tc>
        <w:tc>
          <w:tcPr>
            <w:tcW w:w="1360" w:type="dxa"/>
            <w:tcBorders>
              <w:left w:val="single" w:sz="4" w:space="0" w:color="auto"/>
              <w:right w:val="single" w:sz="4" w:space="0" w:color="auto"/>
            </w:tcBorders>
            <w:shd w:val="clear" w:color="auto" w:fill="auto"/>
            <w:noWrap/>
            <w:vAlign w:val="bottom"/>
            <w:hideMark/>
          </w:tcPr>
          <w:p w:rsidR="006229F9" w:rsidRPr="0023733A" w:rsidRDefault="006229F9" w:rsidP="007D0AD0">
            <w:pPr>
              <w:jc w:val="center"/>
              <w:rPr>
                <w:b/>
                <w:bCs/>
                <w:color w:val="000000"/>
                <w:sz w:val="20"/>
              </w:rPr>
            </w:pPr>
            <w:r w:rsidRPr="0023733A">
              <w:rPr>
                <w:b/>
                <w:bCs/>
                <w:color w:val="000000"/>
                <w:sz w:val="20"/>
              </w:rPr>
              <w:t>31.12.2017</w:t>
            </w:r>
          </w:p>
        </w:tc>
      </w:tr>
      <w:tr w:rsidR="006229F9" w:rsidRPr="0023733A" w:rsidTr="007D0AD0">
        <w:trPr>
          <w:trHeight w:val="255"/>
          <w:jc w:val="center"/>
        </w:trPr>
        <w:tc>
          <w:tcPr>
            <w:tcW w:w="3459" w:type="dxa"/>
            <w:tcBorders>
              <w:left w:val="single" w:sz="4" w:space="0" w:color="auto"/>
              <w:bottom w:val="single" w:sz="4" w:space="0" w:color="auto"/>
              <w:right w:val="single" w:sz="4" w:space="0" w:color="auto"/>
            </w:tcBorders>
            <w:shd w:val="clear" w:color="auto" w:fill="auto"/>
            <w:noWrap/>
            <w:vAlign w:val="bottom"/>
            <w:hideMark/>
          </w:tcPr>
          <w:p w:rsidR="006229F9" w:rsidRPr="0023733A" w:rsidRDefault="006229F9" w:rsidP="007D0AD0">
            <w:pPr>
              <w:jc w:val="center"/>
              <w:rPr>
                <w:b/>
                <w:bCs/>
                <w:color w:val="000000"/>
                <w:sz w:val="20"/>
              </w:rPr>
            </w:pPr>
          </w:p>
        </w:tc>
        <w:tc>
          <w:tcPr>
            <w:tcW w:w="1754" w:type="dxa"/>
            <w:tcBorders>
              <w:left w:val="single" w:sz="4" w:space="0" w:color="auto"/>
              <w:bottom w:val="single" w:sz="4" w:space="0" w:color="auto"/>
              <w:right w:val="single" w:sz="4" w:space="0" w:color="auto"/>
            </w:tcBorders>
            <w:shd w:val="clear" w:color="auto" w:fill="auto"/>
            <w:noWrap/>
            <w:vAlign w:val="bottom"/>
            <w:hideMark/>
          </w:tcPr>
          <w:p w:rsidR="006229F9" w:rsidRPr="0023733A" w:rsidRDefault="006229F9" w:rsidP="007D0AD0">
            <w:pPr>
              <w:rPr>
                <w:b/>
                <w:bCs/>
                <w:sz w:val="20"/>
              </w:rPr>
            </w:pPr>
            <w:r w:rsidRPr="0023733A">
              <w:rPr>
                <w:b/>
                <w:bCs/>
                <w:sz w:val="20"/>
              </w:rPr>
              <w:t xml:space="preserve"> </w:t>
            </w:r>
          </w:p>
        </w:tc>
        <w:tc>
          <w:tcPr>
            <w:tcW w:w="1694" w:type="dxa"/>
            <w:tcBorders>
              <w:left w:val="single" w:sz="4" w:space="0" w:color="auto"/>
              <w:bottom w:val="single" w:sz="4" w:space="0" w:color="auto"/>
              <w:right w:val="single" w:sz="4" w:space="0" w:color="auto"/>
            </w:tcBorders>
            <w:shd w:val="clear" w:color="auto" w:fill="auto"/>
            <w:noWrap/>
            <w:vAlign w:val="bottom"/>
            <w:hideMark/>
          </w:tcPr>
          <w:p w:rsidR="006229F9" w:rsidRPr="0023733A" w:rsidRDefault="006229F9" w:rsidP="007D0AD0">
            <w:pPr>
              <w:jc w:val="center"/>
              <w:rPr>
                <w:b/>
                <w:bCs/>
                <w:sz w:val="20"/>
              </w:rPr>
            </w:pPr>
            <w:r w:rsidRPr="0023733A">
              <w:rPr>
                <w:b/>
                <w:bCs/>
                <w:sz w:val="20"/>
              </w:rPr>
              <w:t>Account</w:t>
            </w:r>
          </w:p>
        </w:tc>
        <w:tc>
          <w:tcPr>
            <w:tcW w:w="1463" w:type="dxa"/>
            <w:tcBorders>
              <w:left w:val="single" w:sz="4" w:space="0" w:color="auto"/>
              <w:bottom w:val="single" w:sz="4" w:space="0" w:color="auto"/>
              <w:right w:val="single" w:sz="4" w:space="0" w:color="auto"/>
            </w:tcBorders>
            <w:shd w:val="clear" w:color="auto" w:fill="auto"/>
            <w:noWrap/>
            <w:vAlign w:val="bottom"/>
            <w:hideMark/>
          </w:tcPr>
          <w:p w:rsidR="006229F9" w:rsidRPr="0023733A" w:rsidRDefault="006229F9" w:rsidP="007D0AD0">
            <w:pPr>
              <w:jc w:val="center"/>
              <w:rPr>
                <w:b/>
                <w:bCs/>
                <w:sz w:val="20"/>
              </w:rPr>
            </w:pPr>
          </w:p>
        </w:tc>
        <w:tc>
          <w:tcPr>
            <w:tcW w:w="1360" w:type="dxa"/>
            <w:tcBorders>
              <w:left w:val="single" w:sz="4" w:space="0" w:color="auto"/>
              <w:bottom w:val="single" w:sz="4" w:space="0" w:color="auto"/>
              <w:right w:val="single" w:sz="4" w:space="0" w:color="auto"/>
            </w:tcBorders>
            <w:shd w:val="clear" w:color="auto" w:fill="auto"/>
            <w:noWrap/>
            <w:vAlign w:val="bottom"/>
            <w:hideMark/>
          </w:tcPr>
          <w:p w:rsidR="006229F9" w:rsidRPr="0023733A" w:rsidRDefault="006229F9" w:rsidP="007D0AD0">
            <w:pPr>
              <w:rPr>
                <w:rFonts w:ascii="Times New Roman" w:hAnsi="Times New Roman"/>
                <w:sz w:val="20"/>
              </w:rPr>
            </w:pPr>
          </w:p>
        </w:tc>
        <w:tc>
          <w:tcPr>
            <w:tcW w:w="908" w:type="dxa"/>
            <w:tcBorders>
              <w:left w:val="single" w:sz="4" w:space="0" w:color="auto"/>
              <w:bottom w:val="single" w:sz="4" w:space="0" w:color="auto"/>
              <w:right w:val="single" w:sz="4" w:space="0" w:color="auto"/>
            </w:tcBorders>
            <w:shd w:val="clear" w:color="auto" w:fill="auto"/>
            <w:noWrap/>
            <w:vAlign w:val="bottom"/>
            <w:hideMark/>
          </w:tcPr>
          <w:p w:rsidR="006229F9" w:rsidRPr="0023733A" w:rsidRDefault="006229F9" w:rsidP="007D0AD0">
            <w:pPr>
              <w:rPr>
                <w:rFonts w:ascii="Times New Roman" w:hAnsi="Times New Roman"/>
                <w:sz w:val="20"/>
              </w:rPr>
            </w:pPr>
          </w:p>
        </w:tc>
        <w:tc>
          <w:tcPr>
            <w:tcW w:w="1342" w:type="dxa"/>
            <w:tcBorders>
              <w:left w:val="single" w:sz="4" w:space="0" w:color="auto"/>
              <w:bottom w:val="single" w:sz="4" w:space="0" w:color="auto"/>
              <w:right w:val="single" w:sz="4" w:space="0" w:color="auto"/>
            </w:tcBorders>
            <w:shd w:val="clear" w:color="auto" w:fill="auto"/>
            <w:noWrap/>
            <w:vAlign w:val="bottom"/>
            <w:hideMark/>
          </w:tcPr>
          <w:p w:rsidR="006229F9" w:rsidRPr="0023733A" w:rsidRDefault="006229F9" w:rsidP="007D0AD0">
            <w:pPr>
              <w:rPr>
                <w:rFonts w:ascii="Times New Roman" w:hAnsi="Times New Roman"/>
                <w:sz w:val="20"/>
              </w:rPr>
            </w:pPr>
          </w:p>
        </w:tc>
        <w:tc>
          <w:tcPr>
            <w:tcW w:w="1360" w:type="dxa"/>
            <w:tcBorders>
              <w:left w:val="single" w:sz="4" w:space="0" w:color="auto"/>
              <w:bottom w:val="single" w:sz="4" w:space="0" w:color="auto"/>
              <w:right w:val="single" w:sz="4" w:space="0" w:color="auto"/>
            </w:tcBorders>
            <w:shd w:val="clear" w:color="auto" w:fill="auto"/>
            <w:noWrap/>
            <w:vAlign w:val="bottom"/>
            <w:hideMark/>
          </w:tcPr>
          <w:p w:rsidR="006229F9" w:rsidRPr="0023733A" w:rsidRDefault="006229F9" w:rsidP="007D0AD0">
            <w:pPr>
              <w:rPr>
                <w:rFonts w:ascii="Times New Roman" w:hAnsi="Times New Roman"/>
                <w:sz w:val="20"/>
              </w:rPr>
            </w:pPr>
          </w:p>
        </w:tc>
      </w:tr>
      <w:tr w:rsidR="006229F9" w:rsidRPr="0023733A" w:rsidTr="007D0AD0">
        <w:trPr>
          <w:trHeight w:val="255"/>
          <w:jc w:val="center"/>
        </w:trPr>
        <w:tc>
          <w:tcPr>
            <w:tcW w:w="3459" w:type="dxa"/>
            <w:tcBorders>
              <w:top w:val="single" w:sz="4" w:space="0" w:color="auto"/>
              <w:left w:val="single" w:sz="4" w:space="0" w:color="auto"/>
              <w:right w:val="single" w:sz="4" w:space="0" w:color="auto"/>
            </w:tcBorders>
            <w:shd w:val="clear" w:color="auto" w:fill="auto"/>
            <w:noWrap/>
            <w:vAlign w:val="bottom"/>
            <w:hideMark/>
          </w:tcPr>
          <w:p w:rsidR="006229F9" w:rsidRPr="0023733A" w:rsidRDefault="006229F9" w:rsidP="006229F9">
            <w:pPr>
              <w:rPr>
                <w:b/>
                <w:bCs/>
                <w:sz w:val="20"/>
              </w:rPr>
            </w:pPr>
            <w:r w:rsidRPr="0023733A">
              <w:rPr>
                <w:b/>
                <w:bCs/>
                <w:sz w:val="20"/>
              </w:rPr>
              <w:t>Member States</w:t>
            </w:r>
          </w:p>
        </w:tc>
        <w:tc>
          <w:tcPr>
            <w:tcW w:w="1754" w:type="dxa"/>
            <w:tcBorders>
              <w:top w:val="single" w:sz="4" w:space="0" w:color="auto"/>
              <w:left w:val="single" w:sz="4" w:space="0" w:color="auto"/>
              <w:right w:val="single" w:sz="4" w:space="0" w:color="auto"/>
            </w:tcBorders>
            <w:shd w:val="clear" w:color="auto" w:fill="auto"/>
            <w:noWrap/>
            <w:vAlign w:val="bottom"/>
            <w:hideMark/>
          </w:tcPr>
          <w:p w:rsidR="006229F9" w:rsidRPr="0023733A" w:rsidRDefault="006229F9" w:rsidP="007D0AD0">
            <w:pPr>
              <w:jc w:val="center"/>
              <w:rPr>
                <w:b/>
                <w:bCs/>
                <w:sz w:val="20"/>
              </w:rPr>
            </w:pPr>
          </w:p>
        </w:tc>
        <w:tc>
          <w:tcPr>
            <w:tcW w:w="1694" w:type="dxa"/>
            <w:tcBorders>
              <w:top w:val="single" w:sz="4" w:space="0" w:color="auto"/>
              <w:left w:val="single" w:sz="4" w:space="0" w:color="auto"/>
              <w:right w:val="single" w:sz="4" w:space="0" w:color="auto"/>
            </w:tcBorders>
            <w:shd w:val="clear" w:color="auto" w:fill="auto"/>
            <w:noWrap/>
            <w:vAlign w:val="bottom"/>
            <w:hideMark/>
          </w:tcPr>
          <w:p w:rsidR="006229F9" w:rsidRPr="0023733A" w:rsidRDefault="006229F9" w:rsidP="007D0AD0">
            <w:pPr>
              <w:rPr>
                <w:rFonts w:ascii="Times New Roman" w:hAnsi="Times New Roman"/>
                <w:sz w:val="20"/>
              </w:rPr>
            </w:pPr>
          </w:p>
        </w:tc>
        <w:tc>
          <w:tcPr>
            <w:tcW w:w="1463" w:type="dxa"/>
            <w:tcBorders>
              <w:top w:val="single" w:sz="4" w:space="0" w:color="auto"/>
              <w:left w:val="single" w:sz="4" w:space="0" w:color="auto"/>
              <w:right w:val="single" w:sz="4" w:space="0" w:color="auto"/>
            </w:tcBorders>
            <w:shd w:val="clear" w:color="auto" w:fill="auto"/>
            <w:noWrap/>
            <w:vAlign w:val="bottom"/>
            <w:hideMark/>
          </w:tcPr>
          <w:p w:rsidR="006229F9" w:rsidRPr="0023733A" w:rsidRDefault="006229F9" w:rsidP="007D0AD0">
            <w:pPr>
              <w:jc w:val="center"/>
              <w:rPr>
                <w:rFonts w:ascii="Times New Roman" w:hAnsi="Times New Roman"/>
                <w:sz w:val="20"/>
              </w:rPr>
            </w:pPr>
          </w:p>
        </w:tc>
        <w:tc>
          <w:tcPr>
            <w:tcW w:w="1360" w:type="dxa"/>
            <w:tcBorders>
              <w:top w:val="single" w:sz="4" w:space="0" w:color="auto"/>
              <w:left w:val="single" w:sz="4" w:space="0" w:color="auto"/>
              <w:right w:val="single" w:sz="4" w:space="0" w:color="auto"/>
            </w:tcBorders>
            <w:shd w:val="clear" w:color="auto" w:fill="auto"/>
            <w:noWrap/>
            <w:vAlign w:val="bottom"/>
            <w:hideMark/>
          </w:tcPr>
          <w:p w:rsidR="006229F9" w:rsidRPr="0023733A" w:rsidRDefault="006229F9" w:rsidP="007D0AD0">
            <w:pPr>
              <w:rPr>
                <w:rFonts w:ascii="Times New Roman" w:hAnsi="Times New Roman"/>
                <w:sz w:val="20"/>
              </w:rPr>
            </w:pPr>
          </w:p>
        </w:tc>
        <w:tc>
          <w:tcPr>
            <w:tcW w:w="908" w:type="dxa"/>
            <w:tcBorders>
              <w:top w:val="single" w:sz="4" w:space="0" w:color="auto"/>
              <w:left w:val="single" w:sz="4" w:space="0" w:color="auto"/>
              <w:right w:val="single" w:sz="4" w:space="0" w:color="auto"/>
            </w:tcBorders>
            <w:shd w:val="clear" w:color="auto" w:fill="auto"/>
            <w:noWrap/>
            <w:vAlign w:val="bottom"/>
            <w:hideMark/>
          </w:tcPr>
          <w:p w:rsidR="006229F9" w:rsidRPr="0023733A" w:rsidRDefault="006229F9" w:rsidP="007D0AD0">
            <w:pPr>
              <w:rPr>
                <w:rFonts w:ascii="Times New Roman" w:hAnsi="Times New Roman"/>
                <w:sz w:val="20"/>
              </w:rPr>
            </w:pPr>
          </w:p>
        </w:tc>
        <w:tc>
          <w:tcPr>
            <w:tcW w:w="1342" w:type="dxa"/>
            <w:tcBorders>
              <w:top w:val="single" w:sz="4" w:space="0" w:color="auto"/>
              <w:left w:val="single" w:sz="4" w:space="0" w:color="auto"/>
              <w:right w:val="single" w:sz="4" w:space="0" w:color="auto"/>
            </w:tcBorders>
            <w:shd w:val="clear" w:color="auto" w:fill="auto"/>
            <w:noWrap/>
            <w:vAlign w:val="bottom"/>
            <w:hideMark/>
          </w:tcPr>
          <w:p w:rsidR="006229F9" w:rsidRPr="0023733A" w:rsidRDefault="006229F9" w:rsidP="007D0AD0">
            <w:pPr>
              <w:rPr>
                <w:rFonts w:ascii="Times New Roman" w:hAnsi="Times New Roman"/>
                <w:sz w:val="20"/>
              </w:rPr>
            </w:pPr>
          </w:p>
        </w:tc>
        <w:tc>
          <w:tcPr>
            <w:tcW w:w="1360" w:type="dxa"/>
            <w:tcBorders>
              <w:top w:val="single" w:sz="4" w:space="0" w:color="auto"/>
              <w:left w:val="single" w:sz="4" w:space="0" w:color="auto"/>
              <w:right w:val="single" w:sz="4" w:space="0" w:color="auto"/>
            </w:tcBorders>
            <w:shd w:val="clear" w:color="auto" w:fill="auto"/>
            <w:noWrap/>
            <w:vAlign w:val="bottom"/>
            <w:hideMark/>
          </w:tcPr>
          <w:p w:rsidR="006229F9" w:rsidRPr="0023733A" w:rsidRDefault="006229F9" w:rsidP="007D0AD0">
            <w:pPr>
              <w:rPr>
                <w:rFonts w:ascii="Times New Roman" w:hAnsi="Times New Roman"/>
                <w:sz w:val="20"/>
              </w:rPr>
            </w:pPr>
          </w:p>
        </w:tc>
      </w:tr>
      <w:tr w:rsidR="006229F9" w:rsidRPr="0023733A" w:rsidTr="007D0AD0">
        <w:trPr>
          <w:trHeight w:val="255"/>
          <w:jc w:val="center"/>
        </w:trPr>
        <w:tc>
          <w:tcPr>
            <w:tcW w:w="3459" w:type="dxa"/>
            <w:tcBorders>
              <w:left w:val="single" w:sz="4" w:space="0" w:color="auto"/>
              <w:right w:val="single" w:sz="4" w:space="0" w:color="auto"/>
            </w:tcBorders>
            <w:shd w:val="clear" w:color="auto" w:fill="auto"/>
            <w:noWrap/>
            <w:vAlign w:val="bottom"/>
            <w:hideMark/>
          </w:tcPr>
          <w:p w:rsidR="006229F9" w:rsidRPr="0023733A" w:rsidRDefault="006229F9" w:rsidP="007D0AD0">
            <w:pPr>
              <w:rPr>
                <w:sz w:val="20"/>
              </w:rPr>
            </w:pPr>
            <w:r w:rsidRPr="0023733A">
              <w:rPr>
                <w:sz w:val="20"/>
              </w:rPr>
              <w:t>Sudan</w:t>
            </w:r>
          </w:p>
        </w:tc>
        <w:tc>
          <w:tcPr>
            <w:tcW w:w="1754" w:type="dxa"/>
            <w:tcBorders>
              <w:left w:val="single" w:sz="4" w:space="0" w:color="auto"/>
              <w:right w:val="single" w:sz="4" w:space="0" w:color="auto"/>
            </w:tcBorders>
            <w:shd w:val="clear" w:color="auto" w:fill="auto"/>
            <w:noWrap/>
            <w:vAlign w:val="bottom"/>
            <w:hideMark/>
          </w:tcPr>
          <w:p w:rsidR="006229F9" w:rsidRPr="0023733A" w:rsidRDefault="006229F9" w:rsidP="007D0AD0">
            <w:pPr>
              <w:rPr>
                <w:sz w:val="20"/>
              </w:rPr>
            </w:pPr>
            <w:proofErr w:type="spellStart"/>
            <w:r w:rsidRPr="0023733A">
              <w:rPr>
                <w:sz w:val="20"/>
              </w:rPr>
              <w:t>Rés</w:t>
            </w:r>
            <w:proofErr w:type="spellEnd"/>
            <w:r w:rsidRPr="0023733A">
              <w:rPr>
                <w:sz w:val="20"/>
              </w:rPr>
              <w:t>. 38 PP 1989</w:t>
            </w:r>
          </w:p>
        </w:tc>
        <w:tc>
          <w:tcPr>
            <w:tcW w:w="1694"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567,047.95</w:t>
            </w:r>
          </w:p>
        </w:tc>
        <w:tc>
          <w:tcPr>
            <w:tcW w:w="1463"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0.00</w:t>
            </w:r>
          </w:p>
        </w:tc>
        <w:tc>
          <w:tcPr>
            <w:tcW w:w="1360"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171,028.45</w:t>
            </w:r>
          </w:p>
        </w:tc>
        <w:tc>
          <w:tcPr>
            <w:tcW w:w="908"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0.00</w:t>
            </w:r>
          </w:p>
        </w:tc>
        <w:tc>
          <w:tcPr>
            <w:tcW w:w="1342"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-30,000.00</w:t>
            </w:r>
          </w:p>
        </w:tc>
        <w:tc>
          <w:tcPr>
            <w:tcW w:w="1360"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141,028.45</w:t>
            </w:r>
          </w:p>
        </w:tc>
      </w:tr>
      <w:tr w:rsidR="006229F9" w:rsidRPr="0023733A" w:rsidTr="007D0AD0">
        <w:trPr>
          <w:trHeight w:val="255"/>
          <w:jc w:val="center"/>
        </w:trPr>
        <w:tc>
          <w:tcPr>
            <w:tcW w:w="3459" w:type="dxa"/>
            <w:tcBorders>
              <w:left w:val="single" w:sz="4" w:space="0" w:color="auto"/>
              <w:right w:val="single" w:sz="4" w:space="0" w:color="auto"/>
            </w:tcBorders>
            <w:shd w:val="clear" w:color="auto" w:fill="auto"/>
            <w:noWrap/>
            <w:vAlign w:val="bottom"/>
            <w:hideMark/>
          </w:tcPr>
          <w:p w:rsidR="006229F9" w:rsidRPr="0023733A" w:rsidRDefault="006229F9" w:rsidP="007D0AD0">
            <w:pPr>
              <w:rPr>
                <w:sz w:val="20"/>
              </w:rPr>
            </w:pPr>
            <w:r w:rsidRPr="0023733A">
              <w:rPr>
                <w:sz w:val="20"/>
              </w:rPr>
              <w:t>Grenada</w:t>
            </w:r>
          </w:p>
        </w:tc>
        <w:tc>
          <w:tcPr>
            <w:tcW w:w="1754" w:type="dxa"/>
            <w:tcBorders>
              <w:left w:val="single" w:sz="4" w:space="0" w:color="auto"/>
              <w:right w:val="single" w:sz="4" w:space="0" w:color="auto"/>
            </w:tcBorders>
            <w:shd w:val="clear" w:color="auto" w:fill="auto"/>
            <w:noWrap/>
            <w:vAlign w:val="bottom"/>
            <w:hideMark/>
          </w:tcPr>
          <w:p w:rsidR="006229F9" w:rsidRPr="0023733A" w:rsidRDefault="006229F9" w:rsidP="007D0AD0">
            <w:pPr>
              <w:rPr>
                <w:sz w:val="20"/>
              </w:rPr>
            </w:pPr>
            <w:proofErr w:type="spellStart"/>
            <w:r w:rsidRPr="0023733A">
              <w:rPr>
                <w:sz w:val="20"/>
              </w:rPr>
              <w:t>Rés</w:t>
            </w:r>
            <w:proofErr w:type="spellEnd"/>
            <w:r w:rsidRPr="0023733A">
              <w:rPr>
                <w:sz w:val="20"/>
              </w:rPr>
              <w:t>. 41- 2008</w:t>
            </w:r>
          </w:p>
        </w:tc>
        <w:tc>
          <w:tcPr>
            <w:tcW w:w="1694"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662,554.65</w:t>
            </w:r>
          </w:p>
        </w:tc>
        <w:tc>
          <w:tcPr>
            <w:tcW w:w="1463"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265,236.44</w:t>
            </w:r>
          </w:p>
        </w:tc>
        <w:tc>
          <w:tcPr>
            <w:tcW w:w="1360"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0.00</w:t>
            </w:r>
          </w:p>
        </w:tc>
        <w:tc>
          <w:tcPr>
            <w:tcW w:w="908"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0.00</w:t>
            </w:r>
          </w:p>
        </w:tc>
        <w:tc>
          <w:tcPr>
            <w:tcW w:w="1342"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-26,203.44</w:t>
            </w:r>
          </w:p>
        </w:tc>
        <w:tc>
          <w:tcPr>
            <w:tcW w:w="1360"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239,033.00</w:t>
            </w:r>
          </w:p>
        </w:tc>
      </w:tr>
      <w:tr w:rsidR="006229F9" w:rsidRPr="0023733A" w:rsidTr="007D0AD0">
        <w:trPr>
          <w:trHeight w:val="255"/>
          <w:jc w:val="center"/>
        </w:trPr>
        <w:tc>
          <w:tcPr>
            <w:tcW w:w="3459" w:type="dxa"/>
            <w:tcBorders>
              <w:left w:val="single" w:sz="4" w:space="0" w:color="auto"/>
              <w:right w:val="single" w:sz="4" w:space="0" w:color="auto"/>
            </w:tcBorders>
            <w:shd w:val="clear" w:color="auto" w:fill="auto"/>
            <w:noWrap/>
            <w:vAlign w:val="bottom"/>
            <w:hideMark/>
          </w:tcPr>
          <w:p w:rsidR="006229F9" w:rsidRPr="0023733A" w:rsidRDefault="006229F9" w:rsidP="007D0AD0">
            <w:pPr>
              <w:rPr>
                <w:sz w:val="20"/>
              </w:rPr>
            </w:pPr>
            <w:r w:rsidRPr="0023733A">
              <w:rPr>
                <w:sz w:val="20"/>
              </w:rPr>
              <w:t>Bolivia</w:t>
            </w:r>
          </w:p>
        </w:tc>
        <w:tc>
          <w:tcPr>
            <w:tcW w:w="1754" w:type="dxa"/>
            <w:tcBorders>
              <w:left w:val="single" w:sz="4" w:space="0" w:color="auto"/>
              <w:right w:val="single" w:sz="4" w:space="0" w:color="auto"/>
            </w:tcBorders>
            <w:shd w:val="clear" w:color="auto" w:fill="auto"/>
            <w:noWrap/>
            <w:vAlign w:val="bottom"/>
            <w:hideMark/>
          </w:tcPr>
          <w:p w:rsidR="006229F9" w:rsidRPr="0023733A" w:rsidRDefault="006229F9" w:rsidP="007D0AD0">
            <w:pPr>
              <w:rPr>
                <w:sz w:val="20"/>
              </w:rPr>
            </w:pPr>
            <w:proofErr w:type="spellStart"/>
            <w:r w:rsidRPr="0023733A">
              <w:rPr>
                <w:sz w:val="20"/>
              </w:rPr>
              <w:t>Rés</w:t>
            </w:r>
            <w:proofErr w:type="spellEnd"/>
            <w:r w:rsidRPr="0023733A">
              <w:rPr>
                <w:sz w:val="20"/>
              </w:rPr>
              <w:t>. 41- 2009</w:t>
            </w:r>
          </w:p>
        </w:tc>
        <w:tc>
          <w:tcPr>
            <w:tcW w:w="1694"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6,515,226.72</w:t>
            </w:r>
          </w:p>
        </w:tc>
        <w:tc>
          <w:tcPr>
            <w:tcW w:w="1463"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3,887,528.48</w:t>
            </w:r>
          </w:p>
        </w:tc>
        <w:tc>
          <w:tcPr>
            <w:tcW w:w="1360"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0.00</w:t>
            </w:r>
          </w:p>
        </w:tc>
        <w:tc>
          <w:tcPr>
            <w:tcW w:w="908"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0.00</w:t>
            </w:r>
          </w:p>
        </w:tc>
        <w:tc>
          <w:tcPr>
            <w:tcW w:w="1342"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-328,462.28</w:t>
            </w:r>
          </w:p>
        </w:tc>
        <w:tc>
          <w:tcPr>
            <w:tcW w:w="1360"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3,559,066.20</w:t>
            </w:r>
          </w:p>
        </w:tc>
      </w:tr>
      <w:tr w:rsidR="006229F9" w:rsidRPr="0023733A" w:rsidTr="007D0AD0">
        <w:trPr>
          <w:trHeight w:val="255"/>
          <w:jc w:val="center"/>
        </w:trPr>
        <w:tc>
          <w:tcPr>
            <w:tcW w:w="3459" w:type="dxa"/>
            <w:tcBorders>
              <w:left w:val="single" w:sz="4" w:space="0" w:color="auto"/>
              <w:right w:val="single" w:sz="4" w:space="0" w:color="auto"/>
            </w:tcBorders>
            <w:shd w:val="clear" w:color="auto" w:fill="auto"/>
            <w:noWrap/>
            <w:vAlign w:val="bottom"/>
            <w:hideMark/>
          </w:tcPr>
          <w:p w:rsidR="006229F9" w:rsidRPr="0023733A" w:rsidRDefault="006229F9" w:rsidP="007D0AD0">
            <w:pPr>
              <w:rPr>
                <w:sz w:val="20"/>
              </w:rPr>
            </w:pPr>
            <w:r w:rsidRPr="0023733A">
              <w:rPr>
                <w:sz w:val="20"/>
              </w:rPr>
              <w:t>Benin</w:t>
            </w:r>
          </w:p>
        </w:tc>
        <w:tc>
          <w:tcPr>
            <w:tcW w:w="1754" w:type="dxa"/>
            <w:tcBorders>
              <w:left w:val="single" w:sz="4" w:space="0" w:color="auto"/>
              <w:right w:val="single" w:sz="4" w:space="0" w:color="auto"/>
            </w:tcBorders>
            <w:shd w:val="clear" w:color="auto" w:fill="auto"/>
            <w:noWrap/>
            <w:vAlign w:val="bottom"/>
            <w:hideMark/>
          </w:tcPr>
          <w:p w:rsidR="006229F9" w:rsidRPr="0023733A" w:rsidRDefault="006229F9" w:rsidP="007D0AD0">
            <w:pPr>
              <w:rPr>
                <w:sz w:val="20"/>
              </w:rPr>
            </w:pPr>
            <w:proofErr w:type="spellStart"/>
            <w:r w:rsidRPr="0023733A">
              <w:rPr>
                <w:sz w:val="20"/>
              </w:rPr>
              <w:t>Rés</w:t>
            </w:r>
            <w:proofErr w:type="spellEnd"/>
            <w:r w:rsidRPr="0023733A">
              <w:rPr>
                <w:sz w:val="20"/>
              </w:rPr>
              <w:t>. 41- 2011</w:t>
            </w:r>
          </w:p>
        </w:tc>
        <w:tc>
          <w:tcPr>
            <w:tcW w:w="1694"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462,317.50</w:t>
            </w:r>
          </w:p>
        </w:tc>
        <w:tc>
          <w:tcPr>
            <w:tcW w:w="1463"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201,625.42</w:t>
            </w:r>
          </w:p>
        </w:tc>
        <w:tc>
          <w:tcPr>
            <w:tcW w:w="1360"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0.00</w:t>
            </w:r>
          </w:p>
        </w:tc>
        <w:tc>
          <w:tcPr>
            <w:tcW w:w="908"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0.00</w:t>
            </w:r>
          </w:p>
        </w:tc>
        <w:tc>
          <w:tcPr>
            <w:tcW w:w="1342"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-43,448.68</w:t>
            </w:r>
          </w:p>
        </w:tc>
        <w:tc>
          <w:tcPr>
            <w:tcW w:w="1360"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158,176.74</w:t>
            </w:r>
          </w:p>
        </w:tc>
      </w:tr>
      <w:tr w:rsidR="006229F9" w:rsidRPr="0023733A" w:rsidTr="007D0AD0">
        <w:trPr>
          <w:trHeight w:val="255"/>
          <w:jc w:val="center"/>
        </w:trPr>
        <w:tc>
          <w:tcPr>
            <w:tcW w:w="3459" w:type="dxa"/>
            <w:tcBorders>
              <w:left w:val="single" w:sz="4" w:space="0" w:color="auto"/>
              <w:right w:val="single" w:sz="4" w:space="0" w:color="auto"/>
            </w:tcBorders>
            <w:shd w:val="clear" w:color="auto" w:fill="auto"/>
            <w:noWrap/>
            <w:vAlign w:val="bottom"/>
            <w:hideMark/>
          </w:tcPr>
          <w:p w:rsidR="006229F9" w:rsidRPr="0023733A" w:rsidRDefault="006229F9" w:rsidP="007D0AD0">
            <w:pPr>
              <w:rPr>
                <w:sz w:val="20"/>
              </w:rPr>
            </w:pPr>
            <w:r w:rsidRPr="0023733A">
              <w:rPr>
                <w:sz w:val="20"/>
              </w:rPr>
              <w:t>Tajikistan</w:t>
            </w:r>
          </w:p>
        </w:tc>
        <w:tc>
          <w:tcPr>
            <w:tcW w:w="1754" w:type="dxa"/>
            <w:tcBorders>
              <w:left w:val="single" w:sz="4" w:space="0" w:color="auto"/>
              <w:right w:val="single" w:sz="4" w:space="0" w:color="auto"/>
            </w:tcBorders>
            <w:shd w:val="clear" w:color="auto" w:fill="auto"/>
            <w:noWrap/>
            <w:vAlign w:val="bottom"/>
            <w:hideMark/>
          </w:tcPr>
          <w:p w:rsidR="006229F9" w:rsidRPr="0023733A" w:rsidRDefault="006229F9" w:rsidP="007D0AD0">
            <w:pPr>
              <w:rPr>
                <w:sz w:val="20"/>
              </w:rPr>
            </w:pPr>
            <w:proofErr w:type="spellStart"/>
            <w:r w:rsidRPr="0023733A">
              <w:rPr>
                <w:sz w:val="20"/>
              </w:rPr>
              <w:t>Rés</w:t>
            </w:r>
            <w:proofErr w:type="spellEnd"/>
            <w:r w:rsidRPr="0023733A">
              <w:rPr>
                <w:sz w:val="20"/>
              </w:rPr>
              <w:t>. 41- 2011</w:t>
            </w:r>
          </w:p>
        </w:tc>
        <w:tc>
          <w:tcPr>
            <w:tcW w:w="1694"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745,617.40</w:t>
            </w:r>
          </w:p>
        </w:tc>
        <w:tc>
          <w:tcPr>
            <w:tcW w:w="1463"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581,960.83</w:t>
            </w:r>
          </w:p>
        </w:tc>
        <w:tc>
          <w:tcPr>
            <w:tcW w:w="1360"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0.00</w:t>
            </w:r>
          </w:p>
        </w:tc>
        <w:tc>
          <w:tcPr>
            <w:tcW w:w="908"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0.00</w:t>
            </w:r>
          </w:p>
        </w:tc>
        <w:tc>
          <w:tcPr>
            <w:tcW w:w="1342"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-23,379.51</w:t>
            </w:r>
          </w:p>
        </w:tc>
        <w:tc>
          <w:tcPr>
            <w:tcW w:w="1360"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558,581.32</w:t>
            </w:r>
          </w:p>
        </w:tc>
      </w:tr>
      <w:tr w:rsidR="006229F9" w:rsidRPr="0023733A" w:rsidTr="007D0AD0">
        <w:trPr>
          <w:trHeight w:val="255"/>
          <w:jc w:val="center"/>
        </w:trPr>
        <w:tc>
          <w:tcPr>
            <w:tcW w:w="3459" w:type="dxa"/>
            <w:tcBorders>
              <w:left w:val="single" w:sz="4" w:space="0" w:color="auto"/>
              <w:right w:val="single" w:sz="4" w:space="0" w:color="auto"/>
            </w:tcBorders>
            <w:shd w:val="clear" w:color="auto" w:fill="auto"/>
            <w:noWrap/>
            <w:vAlign w:val="bottom"/>
            <w:hideMark/>
          </w:tcPr>
          <w:p w:rsidR="006229F9" w:rsidRPr="0023733A" w:rsidRDefault="006229F9" w:rsidP="007D0AD0">
            <w:pPr>
              <w:rPr>
                <w:sz w:val="20"/>
              </w:rPr>
            </w:pPr>
            <w:r w:rsidRPr="0023733A">
              <w:rPr>
                <w:sz w:val="20"/>
              </w:rPr>
              <w:t>Comoros</w:t>
            </w:r>
          </w:p>
        </w:tc>
        <w:tc>
          <w:tcPr>
            <w:tcW w:w="1754" w:type="dxa"/>
            <w:tcBorders>
              <w:left w:val="single" w:sz="4" w:space="0" w:color="auto"/>
              <w:right w:val="single" w:sz="4" w:space="0" w:color="auto"/>
            </w:tcBorders>
            <w:shd w:val="clear" w:color="auto" w:fill="auto"/>
            <w:noWrap/>
            <w:vAlign w:val="bottom"/>
            <w:hideMark/>
          </w:tcPr>
          <w:p w:rsidR="006229F9" w:rsidRPr="0023733A" w:rsidRDefault="006229F9" w:rsidP="007D0AD0">
            <w:pPr>
              <w:rPr>
                <w:sz w:val="20"/>
              </w:rPr>
            </w:pPr>
            <w:proofErr w:type="spellStart"/>
            <w:r w:rsidRPr="0023733A">
              <w:rPr>
                <w:sz w:val="20"/>
              </w:rPr>
              <w:t>Rés</w:t>
            </w:r>
            <w:proofErr w:type="spellEnd"/>
            <w:r w:rsidRPr="0023733A">
              <w:rPr>
                <w:sz w:val="20"/>
              </w:rPr>
              <w:t>. 41- 2012</w:t>
            </w:r>
          </w:p>
        </w:tc>
        <w:tc>
          <w:tcPr>
            <w:tcW w:w="1694"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376,005.93</w:t>
            </w:r>
          </w:p>
        </w:tc>
        <w:tc>
          <w:tcPr>
            <w:tcW w:w="1463"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257,497.88</w:t>
            </w:r>
          </w:p>
        </w:tc>
        <w:tc>
          <w:tcPr>
            <w:tcW w:w="1360"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0.00</w:t>
            </w:r>
          </w:p>
        </w:tc>
        <w:tc>
          <w:tcPr>
            <w:tcW w:w="908"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0.00</w:t>
            </w:r>
          </w:p>
        </w:tc>
        <w:tc>
          <w:tcPr>
            <w:tcW w:w="1342"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-23,701.61</w:t>
            </w:r>
          </w:p>
        </w:tc>
        <w:tc>
          <w:tcPr>
            <w:tcW w:w="1360"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233,796.27</w:t>
            </w:r>
          </w:p>
        </w:tc>
      </w:tr>
      <w:tr w:rsidR="006229F9" w:rsidRPr="0023733A" w:rsidTr="007D0AD0">
        <w:trPr>
          <w:trHeight w:val="255"/>
          <w:jc w:val="center"/>
        </w:trPr>
        <w:tc>
          <w:tcPr>
            <w:tcW w:w="3459" w:type="dxa"/>
            <w:tcBorders>
              <w:left w:val="single" w:sz="4" w:space="0" w:color="auto"/>
              <w:right w:val="single" w:sz="4" w:space="0" w:color="auto"/>
            </w:tcBorders>
            <w:shd w:val="clear" w:color="auto" w:fill="auto"/>
            <w:noWrap/>
            <w:vAlign w:val="bottom"/>
            <w:hideMark/>
          </w:tcPr>
          <w:p w:rsidR="006229F9" w:rsidRPr="0023733A" w:rsidRDefault="006229F9" w:rsidP="007D0AD0">
            <w:pPr>
              <w:rPr>
                <w:sz w:val="20"/>
              </w:rPr>
            </w:pPr>
            <w:r w:rsidRPr="0023733A">
              <w:rPr>
                <w:sz w:val="20"/>
              </w:rPr>
              <w:t>Central African Republic</w:t>
            </w:r>
          </w:p>
        </w:tc>
        <w:tc>
          <w:tcPr>
            <w:tcW w:w="1754" w:type="dxa"/>
            <w:tcBorders>
              <w:left w:val="single" w:sz="4" w:space="0" w:color="auto"/>
              <w:right w:val="single" w:sz="4" w:space="0" w:color="auto"/>
            </w:tcBorders>
            <w:shd w:val="clear" w:color="auto" w:fill="auto"/>
            <w:noWrap/>
            <w:vAlign w:val="bottom"/>
            <w:hideMark/>
          </w:tcPr>
          <w:p w:rsidR="006229F9" w:rsidRPr="0023733A" w:rsidRDefault="006229F9" w:rsidP="007D0AD0">
            <w:pPr>
              <w:rPr>
                <w:sz w:val="20"/>
              </w:rPr>
            </w:pPr>
            <w:proofErr w:type="spellStart"/>
            <w:r w:rsidRPr="0023733A">
              <w:rPr>
                <w:sz w:val="20"/>
              </w:rPr>
              <w:t>Rés</w:t>
            </w:r>
            <w:proofErr w:type="spellEnd"/>
            <w:r w:rsidRPr="0023733A">
              <w:rPr>
                <w:sz w:val="20"/>
              </w:rPr>
              <w:t>. 41- 2014</w:t>
            </w:r>
          </w:p>
        </w:tc>
        <w:tc>
          <w:tcPr>
            <w:tcW w:w="1694"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159,474.68</w:t>
            </w:r>
          </w:p>
        </w:tc>
        <w:tc>
          <w:tcPr>
            <w:tcW w:w="1463"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0.00</w:t>
            </w:r>
          </w:p>
        </w:tc>
        <w:tc>
          <w:tcPr>
            <w:tcW w:w="1360"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136,346.33</w:t>
            </w:r>
          </w:p>
        </w:tc>
        <w:tc>
          <w:tcPr>
            <w:tcW w:w="908"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0.00</w:t>
            </w:r>
          </w:p>
        </w:tc>
        <w:tc>
          <w:tcPr>
            <w:tcW w:w="1342"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-9,886.57</w:t>
            </w:r>
          </w:p>
        </w:tc>
        <w:tc>
          <w:tcPr>
            <w:tcW w:w="1360"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126,459.76</w:t>
            </w:r>
          </w:p>
        </w:tc>
      </w:tr>
      <w:tr w:rsidR="006229F9" w:rsidRPr="0023733A" w:rsidTr="007D0AD0">
        <w:trPr>
          <w:trHeight w:val="255"/>
          <w:jc w:val="center"/>
        </w:trPr>
        <w:tc>
          <w:tcPr>
            <w:tcW w:w="3459" w:type="dxa"/>
            <w:tcBorders>
              <w:left w:val="single" w:sz="4" w:space="0" w:color="auto"/>
              <w:right w:val="single" w:sz="4" w:space="0" w:color="auto"/>
            </w:tcBorders>
            <w:shd w:val="clear" w:color="auto" w:fill="auto"/>
            <w:noWrap/>
            <w:vAlign w:val="bottom"/>
            <w:hideMark/>
          </w:tcPr>
          <w:p w:rsidR="006229F9" w:rsidRPr="0023733A" w:rsidRDefault="006229F9" w:rsidP="007D0AD0">
            <w:pPr>
              <w:rPr>
                <w:sz w:val="20"/>
              </w:rPr>
            </w:pPr>
            <w:r w:rsidRPr="0023733A">
              <w:rPr>
                <w:sz w:val="20"/>
              </w:rPr>
              <w:t>Sierra Leone</w:t>
            </w:r>
          </w:p>
        </w:tc>
        <w:tc>
          <w:tcPr>
            <w:tcW w:w="1754" w:type="dxa"/>
            <w:tcBorders>
              <w:left w:val="single" w:sz="4" w:space="0" w:color="auto"/>
              <w:right w:val="single" w:sz="4" w:space="0" w:color="auto"/>
            </w:tcBorders>
            <w:shd w:val="clear" w:color="auto" w:fill="auto"/>
            <w:noWrap/>
            <w:vAlign w:val="bottom"/>
            <w:hideMark/>
          </w:tcPr>
          <w:p w:rsidR="006229F9" w:rsidRPr="0023733A" w:rsidRDefault="006229F9" w:rsidP="007D0AD0">
            <w:pPr>
              <w:rPr>
                <w:sz w:val="20"/>
              </w:rPr>
            </w:pPr>
            <w:proofErr w:type="spellStart"/>
            <w:r w:rsidRPr="0023733A">
              <w:rPr>
                <w:sz w:val="20"/>
              </w:rPr>
              <w:t>Rés</w:t>
            </w:r>
            <w:proofErr w:type="spellEnd"/>
            <w:r w:rsidRPr="0023733A">
              <w:rPr>
                <w:sz w:val="20"/>
              </w:rPr>
              <w:t>. 41- 2015</w:t>
            </w:r>
          </w:p>
        </w:tc>
        <w:tc>
          <w:tcPr>
            <w:tcW w:w="1694"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3,132,182.47</w:t>
            </w:r>
          </w:p>
        </w:tc>
        <w:tc>
          <w:tcPr>
            <w:tcW w:w="1463"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2,808,760.57</w:t>
            </w:r>
          </w:p>
        </w:tc>
        <w:tc>
          <w:tcPr>
            <w:tcW w:w="1360"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-2,808,760.57</w:t>
            </w:r>
          </w:p>
        </w:tc>
        <w:tc>
          <w:tcPr>
            <w:tcW w:w="908"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0.00</w:t>
            </w:r>
          </w:p>
        </w:tc>
        <w:tc>
          <w:tcPr>
            <w:tcW w:w="1342"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0.00</w:t>
            </w:r>
          </w:p>
        </w:tc>
        <w:tc>
          <w:tcPr>
            <w:tcW w:w="1360"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0.00</w:t>
            </w:r>
          </w:p>
        </w:tc>
      </w:tr>
      <w:tr w:rsidR="006229F9" w:rsidRPr="0023733A" w:rsidTr="007D0AD0">
        <w:trPr>
          <w:trHeight w:val="255"/>
          <w:jc w:val="center"/>
        </w:trPr>
        <w:tc>
          <w:tcPr>
            <w:tcW w:w="3459" w:type="dxa"/>
            <w:tcBorders>
              <w:left w:val="single" w:sz="4" w:space="0" w:color="auto"/>
              <w:right w:val="single" w:sz="4" w:space="0" w:color="auto"/>
            </w:tcBorders>
            <w:shd w:val="clear" w:color="auto" w:fill="auto"/>
            <w:noWrap/>
            <w:vAlign w:val="bottom"/>
            <w:hideMark/>
          </w:tcPr>
          <w:p w:rsidR="006229F9" w:rsidRPr="0023733A" w:rsidRDefault="006229F9" w:rsidP="007D0AD0">
            <w:pPr>
              <w:rPr>
                <w:sz w:val="20"/>
              </w:rPr>
            </w:pPr>
            <w:r w:rsidRPr="0023733A">
              <w:rPr>
                <w:sz w:val="20"/>
              </w:rPr>
              <w:t>Equatorial Guinea</w:t>
            </w:r>
          </w:p>
        </w:tc>
        <w:tc>
          <w:tcPr>
            <w:tcW w:w="1754" w:type="dxa"/>
            <w:tcBorders>
              <w:left w:val="single" w:sz="4" w:space="0" w:color="auto"/>
              <w:right w:val="single" w:sz="4" w:space="0" w:color="auto"/>
            </w:tcBorders>
            <w:shd w:val="clear" w:color="auto" w:fill="auto"/>
            <w:noWrap/>
            <w:vAlign w:val="bottom"/>
            <w:hideMark/>
          </w:tcPr>
          <w:p w:rsidR="006229F9" w:rsidRPr="0023733A" w:rsidRDefault="006229F9" w:rsidP="007D0AD0">
            <w:pPr>
              <w:rPr>
                <w:sz w:val="20"/>
              </w:rPr>
            </w:pPr>
            <w:proofErr w:type="spellStart"/>
            <w:r w:rsidRPr="0023733A">
              <w:rPr>
                <w:sz w:val="20"/>
              </w:rPr>
              <w:t>Rés</w:t>
            </w:r>
            <w:proofErr w:type="spellEnd"/>
            <w:r w:rsidRPr="0023733A">
              <w:rPr>
                <w:sz w:val="20"/>
              </w:rPr>
              <w:t>. 41- 2017</w:t>
            </w:r>
          </w:p>
        </w:tc>
        <w:tc>
          <w:tcPr>
            <w:tcW w:w="1694"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171,043.75</w:t>
            </w:r>
          </w:p>
        </w:tc>
        <w:tc>
          <w:tcPr>
            <w:tcW w:w="1463"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0.00</w:t>
            </w:r>
          </w:p>
        </w:tc>
        <w:tc>
          <w:tcPr>
            <w:tcW w:w="1360"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171,043.75</w:t>
            </w:r>
          </w:p>
        </w:tc>
        <w:tc>
          <w:tcPr>
            <w:tcW w:w="908"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0.00</w:t>
            </w:r>
          </w:p>
        </w:tc>
        <w:tc>
          <w:tcPr>
            <w:tcW w:w="1342"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-53,000.00</w:t>
            </w:r>
          </w:p>
        </w:tc>
        <w:tc>
          <w:tcPr>
            <w:tcW w:w="1360"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118,043.75</w:t>
            </w:r>
          </w:p>
        </w:tc>
      </w:tr>
      <w:tr w:rsidR="006229F9" w:rsidRPr="0023733A" w:rsidTr="007D0AD0">
        <w:trPr>
          <w:trHeight w:val="255"/>
          <w:jc w:val="center"/>
        </w:trPr>
        <w:tc>
          <w:tcPr>
            <w:tcW w:w="3459" w:type="dxa"/>
            <w:tcBorders>
              <w:left w:val="single" w:sz="4" w:space="0" w:color="auto"/>
              <w:right w:val="single" w:sz="4" w:space="0" w:color="auto"/>
            </w:tcBorders>
            <w:shd w:val="clear" w:color="auto" w:fill="auto"/>
            <w:noWrap/>
            <w:vAlign w:val="bottom"/>
            <w:hideMark/>
          </w:tcPr>
          <w:p w:rsidR="006229F9" w:rsidRPr="0023733A" w:rsidRDefault="006229F9" w:rsidP="007D0AD0">
            <w:pPr>
              <w:rPr>
                <w:sz w:val="20"/>
              </w:rPr>
            </w:pPr>
            <w:r w:rsidRPr="0023733A">
              <w:rPr>
                <w:sz w:val="20"/>
              </w:rPr>
              <w:t>Federation of Saint Kitts and Nevis</w:t>
            </w:r>
          </w:p>
        </w:tc>
        <w:tc>
          <w:tcPr>
            <w:tcW w:w="1754" w:type="dxa"/>
            <w:tcBorders>
              <w:left w:val="single" w:sz="4" w:space="0" w:color="auto"/>
              <w:right w:val="single" w:sz="4" w:space="0" w:color="auto"/>
            </w:tcBorders>
            <w:shd w:val="clear" w:color="auto" w:fill="auto"/>
            <w:noWrap/>
            <w:vAlign w:val="bottom"/>
            <w:hideMark/>
          </w:tcPr>
          <w:p w:rsidR="006229F9" w:rsidRPr="0023733A" w:rsidRDefault="006229F9" w:rsidP="007D0AD0">
            <w:pPr>
              <w:rPr>
                <w:sz w:val="20"/>
              </w:rPr>
            </w:pPr>
            <w:proofErr w:type="spellStart"/>
            <w:r w:rsidRPr="0023733A">
              <w:rPr>
                <w:sz w:val="20"/>
              </w:rPr>
              <w:t>Rés</w:t>
            </w:r>
            <w:proofErr w:type="spellEnd"/>
            <w:r w:rsidRPr="0023733A">
              <w:rPr>
                <w:sz w:val="20"/>
              </w:rPr>
              <w:t>. 41- 2017</w:t>
            </w:r>
          </w:p>
        </w:tc>
        <w:tc>
          <w:tcPr>
            <w:tcW w:w="1694"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251,777.75</w:t>
            </w:r>
          </w:p>
        </w:tc>
        <w:tc>
          <w:tcPr>
            <w:tcW w:w="1463"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0.00</w:t>
            </w:r>
          </w:p>
        </w:tc>
        <w:tc>
          <w:tcPr>
            <w:tcW w:w="1360"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251,777.75</w:t>
            </w:r>
          </w:p>
        </w:tc>
        <w:tc>
          <w:tcPr>
            <w:tcW w:w="908"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0.00</w:t>
            </w:r>
          </w:p>
        </w:tc>
        <w:tc>
          <w:tcPr>
            <w:tcW w:w="1342"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-53,662.50</w:t>
            </w:r>
          </w:p>
        </w:tc>
        <w:tc>
          <w:tcPr>
            <w:tcW w:w="1360"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198,115.25</w:t>
            </w:r>
          </w:p>
        </w:tc>
      </w:tr>
      <w:tr w:rsidR="006229F9" w:rsidRPr="0023733A" w:rsidTr="007D0AD0">
        <w:trPr>
          <w:trHeight w:val="255"/>
          <w:jc w:val="center"/>
        </w:trPr>
        <w:tc>
          <w:tcPr>
            <w:tcW w:w="3459" w:type="dxa"/>
            <w:tcBorders>
              <w:left w:val="single" w:sz="4" w:space="0" w:color="auto"/>
              <w:right w:val="single" w:sz="4" w:space="0" w:color="auto"/>
            </w:tcBorders>
            <w:shd w:val="clear" w:color="auto" w:fill="auto"/>
            <w:noWrap/>
            <w:vAlign w:val="bottom"/>
            <w:hideMark/>
          </w:tcPr>
          <w:p w:rsidR="006229F9" w:rsidRPr="0023733A" w:rsidRDefault="006229F9" w:rsidP="007D0AD0">
            <w:pPr>
              <w:rPr>
                <w:sz w:val="20"/>
              </w:rPr>
            </w:pPr>
            <w:r w:rsidRPr="0023733A">
              <w:rPr>
                <w:sz w:val="20"/>
              </w:rPr>
              <w:t>Somalia</w:t>
            </w:r>
          </w:p>
        </w:tc>
        <w:tc>
          <w:tcPr>
            <w:tcW w:w="1754" w:type="dxa"/>
            <w:tcBorders>
              <w:left w:val="single" w:sz="4" w:space="0" w:color="auto"/>
              <w:right w:val="single" w:sz="4" w:space="0" w:color="auto"/>
            </w:tcBorders>
            <w:shd w:val="clear" w:color="auto" w:fill="auto"/>
            <w:noWrap/>
            <w:vAlign w:val="bottom"/>
            <w:hideMark/>
          </w:tcPr>
          <w:p w:rsidR="006229F9" w:rsidRPr="0023733A" w:rsidRDefault="006229F9" w:rsidP="007D0AD0">
            <w:pPr>
              <w:rPr>
                <w:sz w:val="20"/>
              </w:rPr>
            </w:pPr>
            <w:proofErr w:type="spellStart"/>
            <w:r w:rsidRPr="0023733A">
              <w:rPr>
                <w:sz w:val="20"/>
              </w:rPr>
              <w:t>Rés</w:t>
            </w:r>
            <w:proofErr w:type="spellEnd"/>
            <w:r w:rsidRPr="0023733A">
              <w:rPr>
                <w:sz w:val="20"/>
              </w:rPr>
              <w:t>. 41- 2017</w:t>
            </w:r>
          </w:p>
        </w:tc>
        <w:tc>
          <w:tcPr>
            <w:tcW w:w="1694"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2,281,017.16</w:t>
            </w:r>
          </w:p>
        </w:tc>
        <w:tc>
          <w:tcPr>
            <w:tcW w:w="1463"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0.00</w:t>
            </w:r>
          </w:p>
        </w:tc>
        <w:tc>
          <w:tcPr>
            <w:tcW w:w="1360"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2,281,017.16</w:t>
            </w:r>
          </w:p>
        </w:tc>
        <w:tc>
          <w:tcPr>
            <w:tcW w:w="908"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0.00</w:t>
            </w:r>
          </w:p>
        </w:tc>
        <w:tc>
          <w:tcPr>
            <w:tcW w:w="1342"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-62,584.81</w:t>
            </w:r>
          </w:p>
        </w:tc>
        <w:tc>
          <w:tcPr>
            <w:tcW w:w="1360"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2,218,432.35</w:t>
            </w:r>
          </w:p>
        </w:tc>
      </w:tr>
      <w:tr w:rsidR="006229F9" w:rsidRPr="0023733A" w:rsidTr="007D0AD0">
        <w:trPr>
          <w:trHeight w:val="255"/>
          <w:jc w:val="center"/>
        </w:trPr>
        <w:tc>
          <w:tcPr>
            <w:tcW w:w="3459"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p>
        </w:tc>
        <w:tc>
          <w:tcPr>
            <w:tcW w:w="1754" w:type="dxa"/>
            <w:tcBorders>
              <w:left w:val="single" w:sz="4" w:space="0" w:color="auto"/>
              <w:right w:val="single" w:sz="4" w:space="0" w:color="auto"/>
            </w:tcBorders>
            <w:shd w:val="clear" w:color="auto" w:fill="auto"/>
            <w:noWrap/>
            <w:vAlign w:val="bottom"/>
            <w:hideMark/>
          </w:tcPr>
          <w:p w:rsidR="006229F9" w:rsidRPr="0023733A" w:rsidRDefault="006229F9" w:rsidP="007D0AD0">
            <w:pPr>
              <w:rPr>
                <w:rFonts w:ascii="Times New Roman" w:hAnsi="Times New Roman"/>
                <w:sz w:val="20"/>
              </w:rPr>
            </w:pPr>
          </w:p>
        </w:tc>
        <w:tc>
          <w:tcPr>
            <w:tcW w:w="1694" w:type="dxa"/>
            <w:tcBorders>
              <w:left w:val="single" w:sz="4" w:space="0" w:color="auto"/>
              <w:right w:val="single" w:sz="4" w:space="0" w:color="auto"/>
            </w:tcBorders>
            <w:shd w:val="clear" w:color="auto" w:fill="auto"/>
            <w:noWrap/>
            <w:vAlign w:val="bottom"/>
            <w:hideMark/>
          </w:tcPr>
          <w:p w:rsidR="006229F9" w:rsidRPr="0023733A" w:rsidRDefault="006229F9" w:rsidP="007D0AD0">
            <w:pPr>
              <w:rPr>
                <w:rFonts w:ascii="Times New Roman" w:hAnsi="Times New Roman"/>
                <w:sz w:val="20"/>
              </w:rPr>
            </w:pPr>
          </w:p>
        </w:tc>
        <w:tc>
          <w:tcPr>
            <w:tcW w:w="1463" w:type="dxa"/>
            <w:tcBorders>
              <w:left w:val="single" w:sz="4" w:space="0" w:color="auto"/>
              <w:right w:val="single" w:sz="4" w:space="0" w:color="auto"/>
            </w:tcBorders>
            <w:shd w:val="clear" w:color="auto" w:fill="auto"/>
            <w:noWrap/>
            <w:vAlign w:val="bottom"/>
            <w:hideMark/>
          </w:tcPr>
          <w:p w:rsidR="006229F9" w:rsidRPr="0023733A" w:rsidRDefault="006229F9" w:rsidP="007D0AD0">
            <w:pPr>
              <w:rPr>
                <w:rFonts w:ascii="Times New Roman" w:hAnsi="Times New Roman"/>
                <w:sz w:val="20"/>
              </w:rPr>
            </w:pPr>
          </w:p>
        </w:tc>
        <w:tc>
          <w:tcPr>
            <w:tcW w:w="1360" w:type="dxa"/>
            <w:tcBorders>
              <w:left w:val="single" w:sz="4" w:space="0" w:color="auto"/>
              <w:right w:val="single" w:sz="4" w:space="0" w:color="auto"/>
            </w:tcBorders>
            <w:shd w:val="clear" w:color="auto" w:fill="auto"/>
            <w:noWrap/>
            <w:vAlign w:val="bottom"/>
            <w:hideMark/>
          </w:tcPr>
          <w:p w:rsidR="006229F9" w:rsidRPr="0023733A" w:rsidRDefault="006229F9" w:rsidP="007D0AD0">
            <w:pPr>
              <w:rPr>
                <w:rFonts w:ascii="Times New Roman" w:hAnsi="Times New Roman"/>
                <w:sz w:val="20"/>
              </w:rPr>
            </w:pPr>
          </w:p>
        </w:tc>
        <w:tc>
          <w:tcPr>
            <w:tcW w:w="908" w:type="dxa"/>
            <w:tcBorders>
              <w:left w:val="single" w:sz="4" w:space="0" w:color="auto"/>
              <w:right w:val="single" w:sz="4" w:space="0" w:color="auto"/>
            </w:tcBorders>
            <w:shd w:val="clear" w:color="auto" w:fill="auto"/>
            <w:noWrap/>
            <w:vAlign w:val="bottom"/>
            <w:hideMark/>
          </w:tcPr>
          <w:p w:rsidR="006229F9" w:rsidRPr="0023733A" w:rsidRDefault="006229F9" w:rsidP="007D0AD0">
            <w:pPr>
              <w:rPr>
                <w:rFonts w:ascii="Times New Roman" w:hAnsi="Times New Roman"/>
                <w:sz w:val="20"/>
              </w:rPr>
            </w:pPr>
          </w:p>
        </w:tc>
        <w:tc>
          <w:tcPr>
            <w:tcW w:w="1342" w:type="dxa"/>
            <w:tcBorders>
              <w:left w:val="single" w:sz="4" w:space="0" w:color="auto"/>
              <w:right w:val="single" w:sz="4" w:space="0" w:color="auto"/>
            </w:tcBorders>
            <w:shd w:val="clear" w:color="auto" w:fill="auto"/>
            <w:noWrap/>
            <w:vAlign w:val="bottom"/>
            <w:hideMark/>
          </w:tcPr>
          <w:p w:rsidR="006229F9" w:rsidRPr="0023733A" w:rsidRDefault="006229F9" w:rsidP="007D0AD0">
            <w:pPr>
              <w:rPr>
                <w:rFonts w:ascii="Times New Roman" w:hAnsi="Times New Roman"/>
                <w:sz w:val="20"/>
              </w:rPr>
            </w:pPr>
          </w:p>
        </w:tc>
        <w:tc>
          <w:tcPr>
            <w:tcW w:w="1360" w:type="dxa"/>
            <w:tcBorders>
              <w:left w:val="single" w:sz="4" w:space="0" w:color="auto"/>
              <w:right w:val="single" w:sz="4" w:space="0" w:color="auto"/>
            </w:tcBorders>
            <w:shd w:val="clear" w:color="auto" w:fill="auto"/>
            <w:noWrap/>
            <w:vAlign w:val="bottom"/>
            <w:hideMark/>
          </w:tcPr>
          <w:p w:rsidR="006229F9" w:rsidRPr="0023733A" w:rsidRDefault="006229F9" w:rsidP="007D0AD0">
            <w:pPr>
              <w:rPr>
                <w:rFonts w:ascii="Times New Roman" w:hAnsi="Times New Roman"/>
                <w:sz w:val="20"/>
              </w:rPr>
            </w:pPr>
          </w:p>
        </w:tc>
      </w:tr>
      <w:tr w:rsidR="006229F9" w:rsidRPr="0023733A" w:rsidTr="007D0AD0">
        <w:trPr>
          <w:trHeight w:val="255"/>
          <w:jc w:val="center"/>
        </w:trPr>
        <w:tc>
          <w:tcPr>
            <w:tcW w:w="3459" w:type="dxa"/>
            <w:tcBorders>
              <w:left w:val="single" w:sz="4" w:space="0" w:color="auto"/>
              <w:right w:val="single" w:sz="4" w:space="0" w:color="auto"/>
            </w:tcBorders>
            <w:shd w:val="clear" w:color="auto" w:fill="auto"/>
            <w:noWrap/>
            <w:vAlign w:val="bottom"/>
            <w:hideMark/>
          </w:tcPr>
          <w:p w:rsidR="006229F9" w:rsidRPr="0023733A" w:rsidRDefault="006229F9" w:rsidP="006229F9">
            <w:pPr>
              <w:rPr>
                <w:b/>
                <w:bCs/>
                <w:sz w:val="20"/>
              </w:rPr>
            </w:pPr>
            <w:r w:rsidRPr="0023733A">
              <w:rPr>
                <w:b/>
                <w:bCs/>
                <w:sz w:val="20"/>
              </w:rPr>
              <w:t>Sector Members/Companies</w:t>
            </w:r>
          </w:p>
        </w:tc>
        <w:tc>
          <w:tcPr>
            <w:tcW w:w="1754" w:type="dxa"/>
            <w:tcBorders>
              <w:left w:val="single" w:sz="4" w:space="0" w:color="auto"/>
              <w:right w:val="single" w:sz="4" w:space="0" w:color="auto"/>
            </w:tcBorders>
            <w:shd w:val="clear" w:color="auto" w:fill="auto"/>
            <w:noWrap/>
            <w:vAlign w:val="bottom"/>
            <w:hideMark/>
          </w:tcPr>
          <w:p w:rsidR="006229F9" w:rsidRPr="0023733A" w:rsidRDefault="006229F9" w:rsidP="007D0AD0">
            <w:pPr>
              <w:jc w:val="center"/>
              <w:rPr>
                <w:b/>
                <w:bCs/>
                <w:sz w:val="20"/>
              </w:rPr>
            </w:pPr>
          </w:p>
        </w:tc>
        <w:tc>
          <w:tcPr>
            <w:tcW w:w="1694" w:type="dxa"/>
            <w:tcBorders>
              <w:left w:val="single" w:sz="4" w:space="0" w:color="auto"/>
              <w:right w:val="single" w:sz="4" w:space="0" w:color="auto"/>
            </w:tcBorders>
            <w:shd w:val="clear" w:color="auto" w:fill="auto"/>
            <w:noWrap/>
            <w:vAlign w:val="bottom"/>
            <w:hideMark/>
          </w:tcPr>
          <w:p w:rsidR="006229F9" w:rsidRPr="0023733A" w:rsidRDefault="006229F9" w:rsidP="007D0AD0">
            <w:pPr>
              <w:rPr>
                <w:rFonts w:ascii="Times New Roman" w:hAnsi="Times New Roman"/>
                <w:sz w:val="20"/>
              </w:rPr>
            </w:pPr>
          </w:p>
        </w:tc>
        <w:tc>
          <w:tcPr>
            <w:tcW w:w="1463" w:type="dxa"/>
            <w:tcBorders>
              <w:left w:val="single" w:sz="4" w:space="0" w:color="auto"/>
              <w:right w:val="single" w:sz="4" w:space="0" w:color="auto"/>
            </w:tcBorders>
            <w:shd w:val="clear" w:color="auto" w:fill="auto"/>
            <w:noWrap/>
            <w:vAlign w:val="bottom"/>
            <w:hideMark/>
          </w:tcPr>
          <w:p w:rsidR="006229F9" w:rsidRPr="0023733A" w:rsidRDefault="006229F9" w:rsidP="007D0AD0">
            <w:pPr>
              <w:rPr>
                <w:rFonts w:ascii="Times New Roman" w:hAnsi="Times New Roman"/>
                <w:sz w:val="20"/>
              </w:rPr>
            </w:pPr>
          </w:p>
        </w:tc>
        <w:tc>
          <w:tcPr>
            <w:tcW w:w="1360" w:type="dxa"/>
            <w:tcBorders>
              <w:left w:val="single" w:sz="4" w:space="0" w:color="auto"/>
              <w:right w:val="single" w:sz="4" w:space="0" w:color="auto"/>
            </w:tcBorders>
            <w:shd w:val="clear" w:color="auto" w:fill="auto"/>
            <w:noWrap/>
            <w:vAlign w:val="bottom"/>
            <w:hideMark/>
          </w:tcPr>
          <w:p w:rsidR="006229F9" w:rsidRPr="0023733A" w:rsidRDefault="006229F9" w:rsidP="007D0AD0">
            <w:pPr>
              <w:rPr>
                <w:rFonts w:ascii="Times New Roman" w:hAnsi="Times New Roman"/>
                <w:sz w:val="20"/>
              </w:rPr>
            </w:pPr>
          </w:p>
        </w:tc>
        <w:tc>
          <w:tcPr>
            <w:tcW w:w="908" w:type="dxa"/>
            <w:tcBorders>
              <w:left w:val="single" w:sz="4" w:space="0" w:color="auto"/>
              <w:right w:val="single" w:sz="4" w:space="0" w:color="auto"/>
            </w:tcBorders>
            <w:shd w:val="clear" w:color="auto" w:fill="auto"/>
            <w:noWrap/>
            <w:vAlign w:val="bottom"/>
            <w:hideMark/>
          </w:tcPr>
          <w:p w:rsidR="006229F9" w:rsidRPr="0023733A" w:rsidRDefault="006229F9" w:rsidP="007D0AD0">
            <w:pPr>
              <w:rPr>
                <w:rFonts w:ascii="Times New Roman" w:hAnsi="Times New Roman"/>
                <w:sz w:val="20"/>
              </w:rPr>
            </w:pPr>
          </w:p>
        </w:tc>
        <w:tc>
          <w:tcPr>
            <w:tcW w:w="1342" w:type="dxa"/>
            <w:tcBorders>
              <w:left w:val="single" w:sz="4" w:space="0" w:color="auto"/>
              <w:right w:val="single" w:sz="4" w:space="0" w:color="auto"/>
            </w:tcBorders>
            <w:shd w:val="clear" w:color="auto" w:fill="auto"/>
            <w:noWrap/>
            <w:vAlign w:val="bottom"/>
            <w:hideMark/>
          </w:tcPr>
          <w:p w:rsidR="006229F9" w:rsidRPr="0023733A" w:rsidRDefault="006229F9" w:rsidP="007D0AD0">
            <w:pPr>
              <w:rPr>
                <w:rFonts w:ascii="Times New Roman" w:hAnsi="Times New Roman"/>
                <w:sz w:val="20"/>
              </w:rPr>
            </w:pPr>
          </w:p>
        </w:tc>
        <w:tc>
          <w:tcPr>
            <w:tcW w:w="1360" w:type="dxa"/>
            <w:tcBorders>
              <w:left w:val="single" w:sz="4" w:space="0" w:color="auto"/>
              <w:right w:val="single" w:sz="4" w:space="0" w:color="auto"/>
            </w:tcBorders>
            <w:shd w:val="clear" w:color="auto" w:fill="auto"/>
            <w:noWrap/>
            <w:vAlign w:val="bottom"/>
            <w:hideMark/>
          </w:tcPr>
          <w:p w:rsidR="006229F9" w:rsidRPr="0023733A" w:rsidRDefault="006229F9" w:rsidP="007D0AD0">
            <w:pPr>
              <w:rPr>
                <w:rFonts w:ascii="Times New Roman" w:hAnsi="Times New Roman"/>
                <w:sz w:val="20"/>
              </w:rPr>
            </w:pPr>
          </w:p>
        </w:tc>
      </w:tr>
      <w:tr w:rsidR="006229F9" w:rsidRPr="0023733A" w:rsidTr="007D0AD0">
        <w:trPr>
          <w:trHeight w:val="255"/>
          <w:jc w:val="center"/>
        </w:trPr>
        <w:tc>
          <w:tcPr>
            <w:tcW w:w="3459" w:type="dxa"/>
            <w:tcBorders>
              <w:left w:val="single" w:sz="4" w:space="0" w:color="auto"/>
              <w:right w:val="single" w:sz="4" w:space="0" w:color="auto"/>
            </w:tcBorders>
            <w:shd w:val="clear" w:color="auto" w:fill="auto"/>
            <w:noWrap/>
            <w:vAlign w:val="bottom"/>
            <w:hideMark/>
          </w:tcPr>
          <w:p w:rsidR="006229F9" w:rsidRPr="0023733A" w:rsidRDefault="006229F9" w:rsidP="007D0AD0">
            <w:pPr>
              <w:rPr>
                <w:sz w:val="20"/>
              </w:rPr>
            </w:pPr>
            <w:r w:rsidRPr="0023733A">
              <w:rPr>
                <w:sz w:val="20"/>
              </w:rPr>
              <w:t>CYNAPSYS, Tunisia</w:t>
            </w:r>
          </w:p>
        </w:tc>
        <w:tc>
          <w:tcPr>
            <w:tcW w:w="1754" w:type="dxa"/>
            <w:tcBorders>
              <w:left w:val="single" w:sz="4" w:space="0" w:color="auto"/>
              <w:right w:val="single" w:sz="4" w:space="0" w:color="auto"/>
            </w:tcBorders>
            <w:shd w:val="clear" w:color="auto" w:fill="auto"/>
            <w:noWrap/>
            <w:vAlign w:val="bottom"/>
            <w:hideMark/>
          </w:tcPr>
          <w:p w:rsidR="006229F9" w:rsidRPr="0023733A" w:rsidRDefault="006229F9" w:rsidP="007D0AD0">
            <w:pPr>
              <w:rPr>
                <w:sz w:val="20"/>
              </w:rPr>
            </w:pPr>
            <w:proofErr w:type="spellStart"/>
            <w:r w:rsidRPr="0023733A">
              <w:rPr>
                <w:sz w:val="20"/>
              </w:rPr>
              <w:t>Rés</w:t>
            </w:r>
            <w:proofErr w:type="spellEnd"/>
            <w:r w:rsidRPr="0023733A">
              <w:rPr>
                <w:sz w:val="20"/>
              </w:rPr>
              <w:t>. 41 - 2012</w:t>
            </w:r>
          </w:p>
        </w:tc>
        <w:tc>
          <w:tcPr>
            <w:tcW w:w="1694"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6,070.25</w:t>
            </w:r>
          </w:p>
        </w:tc>
        <w:tc>
          <w:tcPr>
            <w:tcW w:w="1463"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1,101.50</w:t>
            </w:r>
          </w:p>
        </w:tc>
        <w:tc>
          <w:tcPr>
            <w:tcW w:w="1360"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-1,101.50</w:t>
            </w:r>
          </w:p>
        </w:tc>
        <w:tc>
          <w:tcPr>
            <w:tcW w:w="908"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0.00</w:t>
            </w:r>
          </w:p>
        </w:tc>
        <w:tc>
          <w:tcPr>
            <w:tcW w:w="1342"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0.00</w:t>
            </w:r>
          </w:p>
        </w:tc>
        <w:tc>
          <w:tcPr>
            <w:tcW w:w="1360"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0.00</w:t>
            </w:r>
          </w:p>
        </w:tc>
      </w:tr>
      <w:tr w:rsidR="006229F9" w:rsidRPr="0023733A" w:rsidTr="007D0AD0">
        <w:trPr>
          <w:trHeight w:val="255"/>
          <w:jc w:val="center"/>
        </w:trPr>
        <w:tc>
          <w:tcPr>
            <w:tcW w:w="3459" w:type="dxa"/>
            <w:tcBorders>
              <w:left w:val="single" w:sz="4" w:space="0" w:color="auto"/>
              <w:right w:val="single" w:sz="4" w:space="0" w:color="auto"/>
            </w:tcBorders>
            <w:shd w:val="clear" w:color="auto" w:fill="auto"/>
            <w:vAlign w:val="bottom"/>
            <w:hideMark/>
          </w:tcPr>
          <w:p w:rsidR="006229F9" w:rsidRPr="0023733A" w:rsidRDefault="006229F9" w:rsidP="007D0AD0">
            <w:pPr>
              <w:rPr>
                <w:sz w:val="20"/>
              </w:rPr>
            </w:pPr>
            <w:r w:rsidRPr="0023733A">
              <w:rPr>
                <w:sz w:val="20"/>
              </w:rPr>
              <w:t>Bay Microsystems Inc., United States</w:t>
            </w:r>
          </w:p>
        </w:tc>
        <w:tc>
          <w:tcPr>
            <w:tcW w:w="1754" w:type="dxa"/>
            <w:tcBorders>
              <w:left w:val="single" w:sz="4" w:space="0" w:color="auto"/>
              <w:right w:val="single" w:sz="4" w:space="0" w:color="auto"/>
            </w:tcBorders>
            <w:shd w:val="clear" w:color="auto" w:fill="auto"/>
            <w:noWrap/>
            <w:vAlign w:val="bottom"/>
            <w:hideMark/>
          </w:tcPr>
          <w:p w:rsidR="006229F9" w:rsidRPr="0023733A" w:rsidRDefault="006229F9" w:rsidP="007D0AD0">
            <w:pPr>
              <w:rPr>
                <w:sz w:val="20"/>
              </w:rPr>
            </w:pPr>
            <w:proofErr w:type="spellStart"/>
            <w:r w:rsidRPr="0023733A">
              <w:rPr>
                <w:sz w:val="20"/>
              </w:rPr>
              <w:t>Rés</w:t>
            </w:r>
            <w:proofErr w:type="spellEnd"/>
            <w:r w:rsidRPr="0023733A">
              <w:rPr>
                <w:sz w:val="20"/>
              </w:rPr>
              <w:t>. 41 - 2015</w:t>
            </w:r>
          </w:p>
        </w:tc>
        <w:tc>
          <w:tcPr>
            <w:tcW w:w="1694"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19,503.76</w:t>
            </w:r>
          </w:p>
        </w:tc>
        <w:tc>
          <w:tcPr>
            <w:tcW w:w="1463"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11,353.76</w:t>
            </w:r>
          </w:p>
        </w:tc>
        <w:tc>
          <w:tcPr>
            <w:tcW w:w="1360"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0.00</w:t>
            </w:r>
          </w:p>
        </w:tc>
        <w:tc>
          <w:tcPr>
            <w:tcW w:w="908"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0.00</w:t>
            </w:r>
          </w:p>
        </w:tc>
        <w:tc>
          <w:tcPr>
            <w:tcW w:w="1342"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-5,038.86</w:t>
            </w:r>
          </w:p>
        </w:tc>
        <w:tc>
          <w:tcPr>
            <w:tcW w:w="1360"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6,314.90</w:t>
            </w:r>
          </w:p>
        </w:tc>
      </w:tr>
      <w:tr w:rsidR="006229F9" w:rsidRPr="0023733A" w:rsidTr="007D0AD0">
        <w:trPr>
          <w:trHeight w:val="255"/>
          <w:jc w:val="center"/>
        </w:trPr>
        <w:tc>
          <w:tcPr>
            <w:tcW w:w="3459" w:type="dxa"/>
            <w:tcBorders>
              <w:left w:val="single" w:sz="4" w:space="0" w:color="auto"/>
              <w:right w:val="single" w:sz="4" w:space="0" w:color="auto"/>
            </w:tcBorders>
            <w:shd w:val="clear" w:color="auto" w:fill="auto"/>
            <w:vAlign w:val="bottom"/>
            <w:hideMark/>
          </w:tcPr>
          <w:p w:rsidR="006229F9" w:rsidRPr="0023733A" w:rsidRDefault="006229F9" w:rsidP="007D0AD0">
            <w:pPr>
              <w:rPr>
                <w:sz w:val="20"/>
              </w:rPr>
            </w:pPr>
            <w:proofErr w:type="spellStart"/>
            <w:r w:rsidRPr="0023733A">
              <w:rPr>
                <w:sz w:val="20"/>
              </w:rPr>
              <w:t>Ellipsat</w:t>
            </w:r>
            <w:proofErr w:type="spellEnd"/>
            <w:r w:rsidRPr="0023733A">
              <w:rPr>
                <w:sz w:val="20"/>
              </w:rPr>
              <w:t xml:space="preserve"> Inc., United States</w:t>
            </w:r>
          </w:p>
        </w:tc>
        <w:tc>
          <w:tcPr>
            <w:tcW w:w="1754" w:type="dxa"/>
            <w:tcBorders>
              <w:left w:val="single" w:sz="4" w:space="0" w:color="auto"/>
              <w:right w:val="single" w:sz="4" w:space="0" w:color="auto"/>
            </w:tcBorders>
            <w:shd w:val="clear" w:color="auto" w:fill="auto"/>
            <w:noWrap/>
            <w:vAlign w:val="bottom"/>
            <w:hideMark/>
          </w:tcPr>
          <w:p w:rsidR="006229F9" w:rsidRPr="0023733A" w:rsidRDefault="006229F9" w:rsidP="007D0AD0">
            <w:pPr>
              <w:rPr>
                <w:sz w:val="20"/>
              </w:rPr>
            </w:pPr>
            <w:proofErr w:type="spellStart"/>
            <w:r w:rsidRPr="0023733A">
              <w:rPr>
                <w:sz w:val="20"/>
              </w:rPr>
              <w:t>Rés</w:t>
            </w:r>
            <w:proofErr w:type="spellEnd"/>
            <w:r w:rsidRPr="0023733A">
              <w:rPr>
                <w:sz w:val="20"/>
              </w:rPr>
              <w:t>. 41 - 2016</w:t>
            </w:r>
          </w:p>
        </w:tc>
        <w:tc>
          <w:tcPr>
            <w:tcW w:w="1694"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37,865.90</w:t>
            </w:r>
          </w:p>
        </w:tc>
        <w:tc>
          <w:tcPr>
            <w:tcW w:w="1463"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32,865.90</w:t>
            </w:r>
          </w:p>
        </w:tc>
        <w:tc>
          <w:tcPr>
            <w:tcW w:w="1360"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-27,865.90</w:t>
            </w:r>
          </w:p>
        </w:tc>
        <w:tc>
          <w:tcPr>
            <w:tcW w:w="908"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0.00</w:t>
            </w:r>
          </w:p>
        </w:tc>
        <w:tc>
          <w:tcPr>
            <w:tcW w:w="1342"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-5,000.00</w:t>
            </w:r>
          </w:p>
        </w:tc>
        <w:tc>
          <w:tcPr>
            <w:tcW w:w="1360"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0.00</w:t>
            </w:r>
          </w:p>
        </w:tc>
      </w:tr>
      <w:tr w:rsidR="006229F9" w:rsidRPr="0023733A" w:rsidTr="007D0AD0">
        <w:trPr>
          <w:trHeight w:val="255"/>
          <w:jc w:val="center"/>
        </w:trPr>
        <w:tc>
          <w:tcPr>
            <w:tcW w:w="3459" w:type="dxa"/>
            <w:tcBorders>
              <w:left w:val="single" w:sz="4" w:space="0" w:color="auto"/>
              <w:right w:val="single" w:sz="4" w:space="0" w:color="auto"/>
            </w:tcBorders>
            <w:shd w:val="clear" w:color="auto" w:fill="auto"/>
            <w:vAlign w:val="bottom"/>
            <w:hideMark/>
          </w:tcPr>
          <w:p w:rsidR="006229F9" w:rsidRPr="0023733A" w:rsidRDefault="006229F9" w:rsidP="007D0AD0">
            <w:pPr>
              <w:rPr>
                <w:sz w:val="20"/>
                <w:lang w:val="es-ES_tradnl"/>
              </w:rPr>
            </w:pPr>
            <w:proofErr w:type="spellStart"/>
            <w:r w:rsidRPr="0023733A">
              <w:rPr>
                <w:sz w:val="20"/>
                <w:lang w:val="es-ES_tradnl"/>
              </w:rPr>
              <w:t>Marcatel</w:t>
            </w:r>
            <w:proofErr w:type="spellEnd"/>
            <w:r w:rsidRPr="0023733A">
              <w:rPr>
                <w:sz w:val="20"/>
                <w:lang w:val="es-ES_tradnl"/>
              </w:rPr>
              <w:t xml:space="preserve"> Com. S.A. de C.V., Mexico</w:t>
            </w:r>
          </w:p>
        </w:tc>
        <w:tc>
          <w:tcPr>
            <w:tcW w:w="1754" w:type="dxa"/>
            <w:tcBorders>
              <w:left w:val="single" w:sz="4" w:space="0" w:color="auto"/>
              <w:right w:val="single" w:sz="4" w:space="0" w:color="auto"/>
            </w:tcBorders>
            <w:shd w:val="clear" w:color="auto" w:fill="auto"/>
            <w:noWrap/>
            <w:vAlign w:val="bottom"/>
            <w:hideMark/>
          </w:tcPr>
          <w:p w:rsidR="006229F9" w:rsidRPr="0023733A" w:rsidRDefault="006229F9" w:rsidP="007D0AD0">
            <w:pPr>
              <w:rPr>
                <w:sz w:val="20"/>
              </w:rPr>
            </w:pPr>
            <w:proofErr w:type="spellStart"/>
            <w:r w:rsidRPr="0023733A">
              <w:rPr>
                <w:sz w:val="20"/>
              </w:rPr>
              <w:t>Rés</w:t>
            </w:r>
            <w:proofErr w:type="spellEnd"/>
            <w:r w:rsidRPr="0023733A">
              <w:rPr>
                <w:sz w:val="20"/>
              </w:rPr>
              <w:t>. 41 - 2016</w:t>
            </w:r>
          </w:p>
        </w:tc>
        <w:tc>
          <w:tcPr>
            <w:tcW w:w="1694"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4,392.35</w:t>
            </w:r>
          </w:p>
        </w:tc>
        <w:tc>
          <w:tcPr>
            <w:tcW w:w="1463"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2,404.85</w:t>
            </w:r>
          </w:p>
        </w:tc>
        <w:tc>
          <w:tcPr>
            <w:tcW w:w="1360"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0.00</w:t>
            </w:r>
          </w:p>
        </w:tc>
        <w:tc>
          <w:tcPr>
            <w:tcW w:w="908"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0.00</w:t>
            </w:r>
          </w:p>
        </w:tc>
        <w:tc>
          <w:tcPr>
            <w:tcW w:w="1342"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-1,987.50</w:t>
            </w:r>
          </w:p>
        </w:tc>
        <w:tc>
          <w:tcPr>
            <w:tcW w:w="1360"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417.35</w:t>
            </w:r>
          </w:p>
        </w:tc>
      </w:tr>
      <w:tr w:rsidR="006229F9" w:rsidRPr="0023733A" w:rsidTr="007D0AD0">
        <w:trPr>
          <w:trHeight w:val="255"/>
          <w:jc w:val="center"/>
        </w:trPr>
        <w:tc>
          <w:tcPr>
            <w:tcW w:w="3459" w:type="dxa"/>
            <w:tcBorders>
              <w:left w:val="single" w:sz="4" w:space="0" w:color="auto"/>
              <w:right w:val="single" w:sz="4" w:space="0" w:color="auto"/>
            </w:tcBorders>
            <w:shd w:val="clear" w:color="auto" w:fill="auto"/>
            <w:vAlign w:val="bottom"/>
            <w:hideMark/>
          </w:tcPr>
          <w:p w:rsidR="006229F9" w:rsidRPr="0023733A" w:rsidRDefault="006229F9" w:rsidP="007D0AD0">
            <w:pPr>
              <w:rPr>
                <w:sz w:val="20"/>
              </w:rPr>
            </w:pPr>
            <w:proofErr w:type="spellStart"/>
            <w:r w:rsidRPr="0023733A">
              <w:rPr>
                <w:sz w:val="20"/>
              </w:rPr>
              <w:t>Systel</w:t>
            </w:r>
            <w:proofErr w:type="spellEnd"/>
            <w:r w:rsidRPr="0023733A">
              <w:rPr>
                <w:sz w:val="20"/>
              </w:rPr>
              <w:t>, Egypt</w:t>
            </w:r>
          </w:p>
        </w:tc>
        <w:tc>
          <w:tcPr>
            <w:tcW w:w="1754" w:type="dxa"/>
            <w:tcBorders>
              <w:left w:val="single" w:sz="4" w:space="0" w:color="auto"/>
              <w:right w:val="single" w:sz="4" w:space="0" w:color="auto"/>
            </w:tcBorders>
            <w:shd w:val="clear" w:color="auto" w:fill="auto"/>
            <w:noWrap/>
            <w:vAlign w:val="bottom"/>
            <w:hideMark/>
          </w:tcPr>
          <w:p w:rsidR="006229F9" w:rsidRPr="0023733A" w:rsidRDefault="006229F9" w:rsidP="007D0AD0">
            <w:pPr>
              <w:rPr>
                <w:sz w:val="20"/>
              </w:rPr>
            </w:pPr>
            <w:proofErr w:type="spellStart"/>
            <w:r w:rsidRPr="0023733A">
              <w:rPr>
                <w:sz w:val="20"/>
              </w:rPr>
              <w:t>Rés</w:t>
            </w:r>
            <w:proofErr w:type="spellEnd"/>
            <w:r w:rsidRPr="0023733A">
              <w:rPr>
                <w:sz w:val="20"/>
              </w:rPr>
              <w:t>. 41 - 2016</w:t>
            </w:r>
          </w:p>
        </w:tc>
        <w:tc>
          <w:tcPr>
            <w:tcW w:w="1694"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47,918.25</w:t>
            </w:r>
          </w:p>
        </w:tc>
        <w:tc>
          <w:tcPr>
            <w:tcW w:w="1463"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44,079.20</w:t>
            </w:r>
          </w:p>
        </w:tc>
        <w:tc>
          <w:tcPr>
            <w:tcW w:w="1360"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0.00</w:t>
            </w:r>
          </w:p>
        </w:tc>
        <w:tc>
          <w:tcPr>
            <w:tcW w:w="908"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0.00</w:t>
            </w:r>
          </w:p>
        </w:tc>
        <w:tc>
          <w:tcPr>
            <w:tcW w:w="1342"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-3,937.50</w:t>
            </w:r>
          </w:p>
        </w:tc>
        <w:tc>
          <w:tcPr>
            <w:tcW w:w="1360"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40,141.70</w:t>
            </w:r>
          </w:p>
        </w:tc>
      </w:tr>
      <w:tr w:rsidR="006229F9" w:rsidRPr="0023733A" w:rsidTr="007D0AD0">
        <w:trPr>
          <w:trHeight w:val="255"/>
          <w:jc w:val="center"/>
        </w:trPr>
        <w:tc>
          <w:tcPr>
            <w:tcW w:w="3459" w:type="dxa"/>
            <w:tcBorders>
              <w:left w:val="single" w:sz="4" w:space="0" w:color="auto"/>
              <w:right w:val="single" w:sz="4" w:space="0" w:color="auto"/>
            </w:tcBorders>
            <w:shd w:val="clear" w:color="auto" w:fill="auto"/>
            <w:vAlign w:val="bottom"/>
            <w:hideMark/>
          </w:tcPr>
          <w:p w:rsidR="006229F9" w:rsidRPr="0023733A" w:rsidRDefault="006229F9" w:rsidP="007D0AD0">
            <w:pPr>
              <w:rPr>
                <w:sz w:val="20"/>
              </w:rPr>
            </w:pPr>
            <w:proofErr w:type="spellStart"/>
            <w:r w:rsidRPr="0023733A">
              <w:rPr>
                <w:sz w:val="20"/>
              </w:rPr>
              <w:t>Alphion</w:t>
            </w:r>
            <w:proofErr w:type="spellEnd"/>
            <w:r w:rsidRPr="0023733A">
              <w:rPr>
                <w:sz w:val="20"/>
              </w:rPr>
              <w:t xml:space="preserve"> Corporation, United States</w:t>
            </w:r>
          </w:p>
        </w:tc>
        <w:tc>
          <w:tcPr>
            <w:tcW w:w="1754" w:type="dxa"/>
            <w:tcBorders>
              <w:left w:val="single" w:sz="4" w:space="0" w:color="auto"/>
              <w:right w:val="single" w:sz="4" w:space="0" w:color="auto"/>
            </w:tcBorders>
            <w:shd w:val="clear" w:color="auto" w:fill="auto"/>
            <w:noWrap/>
            <w:vAlign w:val="bottom"/>
            <w:hideMark/>
          </w:tcPr>
          <w:p w:rsidR="006229F9" w:rsidRPr="0023733A" w:rsidRDefault="006229F9" w:rsidP="007D0AD0">
            <w:pPr>
              <w:rPr>
                <w:sz w:val="20"/>
              </w:rPr>
            </w:pPr>
            <w:proofErr w:type="spellStart"/>
            <w:r w:rsidRPr="0023733A">
              <w:rPr>
                <w:sz w:val="20"/>
              </w:rPr>
              <w:t>Rés</w:t>
            </w:r>
            <w:proofErr w:type="spellEnd"/>
            <w:r w:rsidRPr="0023733A">
              <w:rPr>
                <w:sz w:val="20"/>
              </w:rPr>
              <w:t>. 41 - 2017</w:t>
            </w:r>
          </w:p>
        </w:tc>
        <w:tc>
          <w:tcPr>
            <w:tcW w:w="1694"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11,657.35</w:t>
            </w:r>
          </w:p>
        </w:tc>
        <w:tc>
          <w:tcPr>
            <w:tcW w:w="1463"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0.00</w:t>
            </w:r>
          </w:p>
        </w:tc>
        <w:tc>
          <w:tcPr>
            <w:tcW w:w="1360"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11,657.35</w:t>
            </w:r>
          </w:p>
        </w:tc>
        <w:tc>
          <w:tcPr>
            <w:tcW w:w="908"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0.00</w:t>
            </w:r>
          </w:p>
        </w:tc>
        <w:tc>
          <w:tcPr>
            <w:tcW w:w="1342"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-10,600.00</w:t>
            </w:r>
          </w:p>
        </w:tc>
        <w:tc>
          <w:tcPr>
            <w:tcW w:w="1360"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1,057.35</w:t>
            </w:r>
          </w:p>
        </w:tc>
      </w:tr>
      <w:tr w:rsidR="006229F9" w:rsidRPr="0023733A" w:rsidTr="007D0AD0">
        <w:trPr>
          <w:trHeight w:val="255"/>
          <w:jc w:val="center"/>
        </w:trPr>
        <w:tc>
          <w:tcPr>
            <w:tcW w:w="3459" w:type="dxa"/>
            <w:tcBorders>
              <w:left w:val="single" w:sz="4" w:space="0" w:color="auto"/>
              <w:right w:val="single" w:sz="4" w:space="0" w:color="auto"/>
            </w:tcBorders>
            <w:shd w:val="clear" w:color="auto" w:fill="auto"/>
            <w:vAlign w:val="bottom"/>
            <w:hideMark/>
          </w:tcPr>
          <w:p w:rsidR="006229F9" w:rsidRPr="0023733A" w:rsidRDefault="006229F9" w:rsidP="007D0AD0">
            <w:pPr>
              <w:rPr>
                <w:sz w:val="20"/>
              </w:rPr>
            </w:pPr>
            <w:r w:rsidRPr="0023733A">
              <w:rPr>
                <w:sz w:val="20"/>
              </w:rPr>
              <w:t>INTTIC, Algeria</w:t>
            </w:r>
          </w:p>
        </w:tc>
        <w:tc>
          <w:tcPr>
            <w:tcW w:w="1754" w:type="dxa"/>
            <w:tcBorders>
              <w:left w:val="single" w:sz="4" w:space="0" w:color="auto"/>
              <w:right w:val="single" w:sz="4" w:space="0" w:color="auto"/>
            </w:tcBorders>
            <w:shd w:val="clear" w:color="auto" w:fill="auto"/>
            <w:noWrap/>
            <w:vAlign w:val="bottom"/>
            <w:hideMark/>
          </w:tcPr>
          <w:p w:rsidR="006229F9" w:rsidRPr="0023733A" w:rsidRDefault="006229F9" w:rsidP="007D0AD0">
            <w:pPr>
              <w:rPr>
                <w:sz w:val="20"/>
              </w:rPr>
            </w:pPr>
            <w:proofErr w:type="spellStart"/>
            <w:r w:rsidRPr="0023733A">
              <w:rPr>
                <w:sz w:val="20"/>
              </w:rPr>
              <w:t>Rés</w:t>
            </w:r>
            <w:proofErr w:type="spellEnd"/>
            <w:r w:rsidRPr="0023733A">
              <w:rPr>
                <w:sz w:val="20"/>
              </w:rPr>
              <w:t>. 41 - 2017</w:t>
            </w:r>
          </w:p>
        </w:tc>
        <w:tc>
          <w:tcPr>
            <w:tcW w:w="1694"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7,856.74</w:t>
            </w:r>
          </w:p>
        </w:tc>
        <w:tc>
          <w:tcPr>
            <w:tcW w:w="1463"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0.00</w:t>
            </w:r>
          </w:p>
        </w:tc>
        <w:tc>
          <w:tcPr>
            <w:tcW w:w="1360"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7,856.74</w:t>
            </w:r>
          </w:p>
        </w:tc>
        <w:tc>
          <w:tcPr>
            <w:tcW w:w="908"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0.00</w:t>
            </w:r>
          </w:p>
        </w:tc>
        <w:tc>
          <w:tcPr>
            <w:tcW w:w="1342"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-5,465.19</w:t>
            </w:r>
          </w:p>
        </w:tc>
        <w:tc>
          <w:tcPr>
            <w:tcW w:w="1360" w:type="dxa"/>
            <w:tcBorders>
              <w:left w:val="single" w:sz="4" w:space="0" w:color="auto"/>
              <w:right w:val="single" w:sz="4" w:space="0" w:color="auto"/>
            </w:tcBorders>
            <w:shd w:val="clear" w:color="auto" w:fill="auto"/>
            <w:noWrap/>
            <w:vAlign w:val="bottom"/>
            <w:hideMark/>
          </w:tcPr>
          <w:p w:rsidR="006229F9" w:rsidRPr="0023733A" w:rsidRDefault="006229F9" w:rsidP="007D0AD0">
            <w:pPr>
              <w:jc w:val="right"/>
              <w:rPr>
                <w:sz w:val="20"/>
              </w:rPr>
            </w:pPr>
            <w:r w:rsidRPr="0023733A">
              <w:rPr>
                <w:sz w:val="20"/>
              </w:rPr>
              <w:t>2,391.55</w:t>
            </w:r>
          </w:p>
        </w:tc>
      </w:tr>
      <w:tr w:rsidR="006229F9" w:rsidRPr="0023733A" w:rsidTr="007D0AD0">
        <w:trPr>
          <w:trHeight w:val="255"/>
          <w:jc w:val="center"/>
        </w:trPr>
        <w:tc>
          <w:tcPr>
            <w:tcW w:w="3459" w:type="dxa"/>
            <w:tcBorders>
              <w:left w:val="single" w:sz="4" w:space="0" w:color="auto"/>
              <w:bottom w:val="single" w:sz="4" w:space="0" w:color="auto"/>
              <w:right w:val="single" w:sz="4" w:space="0" w:color="auto"/>
            </w:tcBorders>
            <w:shd w:val="clear" w:color="auto" w:fill="auto"/>
            <w:vAlign w:val="bottom"/>
            <w:hideMark/>
          </w:tcPr>
          <w:p w:rsidR="006229F9" w:rsidRPr="0023733A" w:rsidRDefault="006229F9" w:rsidP="007D0AD0">
            <w:pPr>
              <w:jc w:val="right"/>
              <w:rPr>
                <w:sz w:val="20"/>
              </w:rPr>
            </w:pPr>
          </w:p>
        </w:tc>
        <w:tc>
          <w:tcPr>
            <w:tcW w:w="1754" w:type="dxa"/>
            <w:tcBorders>
              <w:left w:val="single" w:sz="4" w:space="0" w:color="auto"/>
              <w:bottom w:val="single" w:sz="4" w:space="0" w:color="auto"/>
              <w:right w:val="single" w:sz="4" w:space="0" w:color="auto"/>
            </w:tcBorders>
            <w:shd w:val="clear" w:color="auto" w:fill="auto"/>
            <w:noWrap/>
            <w:vAlign w:val="bottom"/>
            <w:hideMark/>
          </w:tcPr>
          <w:p w:rsidR="006229F9" w:rsidRPr="0023733A" w:rsidRDefault="006229F9" w:rsidP="007D0AD0">
            <w:pPr>
              <w:rPr>
                <w:rFonts w:ascii="Times New Roman" w:hAnsi="Times New Roman"/>
                <w:sz w:val="20"/>
              </w:rPr>
            </w:pPr>
          </w:p>
        </w:tc>
        <w:tc>
          <w:tcPr>
            <w:tcW w:w="1694" w:type="dxa"/>
            <w:tcBorders>
              <w:left w:val="single" w:sz="4" w:space="0" w:color="auto"/>
              <w:bottom w:val="single" w:sz="4" w:space="0" w:color="auto"/>
              <w:right w:val="single" w:sz="4" w:space="0" w:color="auto"/>
            </w:tcBorders>
            <w:shd w:val="clear" w:color="auto" w:fill="auto"/>
            <w:noWrap/>
            <w:vAlign w:val="bottom"/>
            <w:hideMark/>
          </w:tcPr>
          <w:p w:rsidR="006229F9" w:rsidRPr="0023733A" w:rsidRDefault="006229F9" w:rsidP="007D0AD0">
            <w:pPr>
              <w:rPr>
                <w:rFonts w:ascii="Times New Roman" w:hAnsi="Times New Roman"/>
                <w:sz w:val="20"/>
              </w:rPr>
            </w:pPr>
          </w:p>
        </w:tc>
        <w:tc>
          <w:tcPr>
            <w:tcW w:w="1463" w:type="dxa"/>
            <w:tcBorders>
              <w:left w:val="single" w:sz="4" w:space="0" w:color="auto"/>
              <w:bottom w:val="single" w:sz="4" w:space="0" w:color="auto"/>
              <w:right w:val="single" w:sz="4" w:space="0" w:color="auto"/>
            </w:tcBorders>
            <w:shd w:val="clear" w:color="auto" w:fill="auto"/>
            <w:noWrap/>
            <w:vAlign w:val="bottom"/>
            <w:hideMark/>
          </w:tcPr>
          <w:p w:rsidR="006229F9" w:rsidRPr="0023733A" w:rsidRDefault="006229F9" w:rsidP="007D0AD0">
            <w:pPr>
              <w:rPr>
                <w:rFonts w:ascii="Times New Roman" w:hAnsi="Times New Roman"/>
                <w:sz w:val="20"/>
              </w:rPr>
            </w:pPr>
          </w:p>
        </w:tc>
        <w:tc>
          <w:tcPr>
            <w:tcW w:w="1360" w:type="dxa"/>
            <w:tcBorders>
              <w:left w:val="single" w:sz="4" w:space="0" w:color="auto"/>
              <w:bottom w:val="single" w:sz="4" w:space="0" w:color="auto"/>
              <w:right w:val="single" w:sz="4" w:space="0" w:color="auto"/>
            </w:tcBorders>
            <w:shd w:val="clear" w:color="auto" w:fill="auto"/>
            <w:noWrap/>
            <w:vAlign w:val="bottom"/>
            <w:hideMark/>
          </w:tcPr>
          <w:p w:rsidR="006229F9" w:rsidRPr="0023733A" w:rsidRDefault="006229F9" w:rsidP="007D0AD0">
            <w:pPr>
              <w:rPr>
                <w:rFonts w:ascii="Times New Roman" w:hAnsi="Times New Roman"/>
                <w:sz w:val="20"/>
              </w:rPr>
            </w:pPr>
          </w:p>
        </w:tc>
        <w:tc>
          <w:tcPr>
            <w:tcW w:w="908" w:type="dxa"/>
            <w:tcBorders>
              <w:left w:val="single" w:sz="4" w:space="0" w:color="auto"/>
              <w:bottom w:val="single" w:sz="4" w:space="0" w:color="auto"/>
              <w:right w:val="single" w:sz="4" w:space="0" w:color="auto"/>
            </w:tcBorders>
            <w:shd w:val="clear" w:color="auto" w:fill="auto"/>
            <w:noWrap/>
            <w:vAlign w:val="bottom"/>
            <w:hideMark/>
          </w:tcPr>
          <w:p w:rsidR="006229F9" w:rsidRPr="0023733A" w:rsidRDefault="006229F9" w:rsidP="007D0AD0">
            <w:pPr>
              <w:rPr>
                <w:rFonts w:ascii="Times New Roman" w:hAnsi="Times New Roman"/>
                <w:sz w:val="20"/>
              </w:rPr>
            </w:pPr>
          </w:p>
        </w:tc>
        <w:tc>
          <w:tcPr>
            <w:tcW w:w="1342" w:type="dxa"/>
            <w:tcBorders>
              <w:left w:val="single" w:sz="4" w:space="0" w:color="auto"/>
              <w:bottom w:val="single" w:sz="4" w:space="0" w:color="auto"/>
              <w:right w:val="single" w:sz="4" w:space="0" w:color="auto"/>
            </w:tcBorders>
            <w:shd w:val="clear" w:color="auto" w:fill="auto"/>
            <w:noWrap/>
            <w:vAlign w:val="bottom"/>
            <w:hideMark/>
          </w:tcPr>
          <w:p w:rsidR="006229F9" w:rsidRPr="0023733A" w:rsidRDefault="006229F9" w:rsidP="007D0AD0">
            <w:pPr>
              <w:rPr>
                <w:rFonts w:ascii="Times New Roman" w:hAnsi="Times New Roman"/>
                <w:sz w:val="20"/>
              </w:rPr>
            </w:pPr>
          </w:p>
        </w:tc>
        <w:tc>
          <w:tcPr>
            <w:tcW w:w="1360" w:type="dxa"/>
            <w:tcBorders>
              <w:left w:val="single" w:sz="4" w:space="0" w:color="auto"/>
              <w:bottom w:val="single" w:sz="4" w:space="0" w:color="auto"/>
              <w:right w:val="single" w:sz="4" w:space="0" w:color="auto"/>
            </w:tcBorders>
            <w:shd w:val="clear" w:color="auto" w:fill="auto"/>
            <w:noWrap/>
            <w:vAlign w:val="bottom"/>
            <w:hideMark/>
          </w:tcPr>
          <w:p w:rsidR="006229F9" w:rsidRPr="0023733A" w:rsidRDefault="006229F9" w:rsidP="007D0AD0">
            <w:pPr>
              <w:rPr>
                <w:rFonts w:ascii="Times New Roman" w:hAnsi="Times New Roman"/>
                <w:sz w:val="20"/>
              </w:rPr>
            </w:pPr>
          </w:p>
        </w:tc>
      </w:tr>
      <w:tr w:rsidR="006229F9" w:rsidRPr="0023733A" w:rsidTr="007D0AD0">
        <w:trPr>
          <w:trHeight w:val="255"/>
          <w:jc w:val="center"/>
        </w:trPr>
        <w:tc>
          <w:tcPr>
            <w:tcW w:w="34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9F9" w:rsidRPr="0023733A" w:rsidRDefault="006229F9" w:rsidP="007D0AD0">
            <w:pPr>
              <w:rPr>
                <w:b/>
                <w:bCs/>
                <w:color w:val="000000"/>
                <w:sz w:val="20"/>
              </w:rPr>
            </w:pPr>
            <w:r w:rsidRPr="0023733A">
              <w:rPr>
                <w:b/>
                <w:bCs/>
                <w:color w:val="000000"/>
                <w:sz w:val="20"/>
              </w:rPr>
              <w:t>Total at 31 December 2017</w:t>
            </w:r>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9F9" w:rsidRPr="0023733A" w:rsidRDefault="006229F9" w:rsidP="007D0AD0">
            <w:pPr>
              <w:rPr>
                <w:b/>
                <w:bCs/>
                <w:color w:val="000000"/>
                <w:sz w:val="20"/>
              </w:rPr>
            </w:pPr>
          </w:p>
        </w:tc>
        <w:tc>
          <w:tcPr>
            <w:tcW w:w="1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9F9" w:rsidRPr="0023733A" w:rsidRDefault="006229F9" w:rsidP="007D0AD0">
            <w:pPr>
              <w:jc w:val="right"/>
              <w:rPr>
                <w:b/>
                <w:bCs/>
                <w:sz w:val="20"/>
              </w:rPr>
            </w:pPr>
            <w:r w:rsidRPr="0023733A">
              <w:rPr>
                <w:b/>
                <w:bCs/>
                <w:sz w:val="20"/>
              </w:rPr>
              <w:t>15,459,530.56</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9F9" w:rsidRPr="0023733A" w:rsidRDefault="006229F9" w:rsidP="007D0AD0">
            <w:pPr>
              <w:jc w:val="right"/>
              <w:rPr>
                <w:b/>
                <w:bCs/>
                <w:sz w:val="20"/>
                <w:u w:val="single"/>
              </w:rPr>
            </w:pPr>
            <w:r w:rsidRPr="0023733A">
              <w:rPr>
                <w:b/>
                <w:bCs/>
                <w:sz w:val="20"/>
                <w:u w:val="single"/>
              </w:rPr>
              <w:t>8,094,414.83</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9F9" w:rsidRPr="0023733A" w:rsidRDefault="006229F9" w:rsidP="007D0AD0">
            <w:pPr>
              <w:jc w:val="right"/>
              <w:rPr>
                <w:b/>
                <w:bCs/>
                <w:sz w:val="20"/>
              </w:rPr>
            </w:pPr>
            <w:r w:rsidRPr="0023733A">
              <w:rPr>
                <w:b/>
                <w:bCs/>
                <w:sz w:val="20"/>
              </w:rPr>
              <w:t>192,999.56</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9F9" w:rsidRPr="0023733A" w:rsidRDefault="006229F9" w:rsidP="007D0AD0">
            <w:pPr>
              <w:jc w:val="right"/>
              <w:rPr>
                <w:b/>
                <w:bCs/>
                <w:sz w:val="20"/>
              </w:rPr>
            </w:pPr>
            <w:r w:rsidRPr="0023733A">
              <w:rPr>
                <w:b/>
                <w:bCs/>
                <w:sz w:val="20"/>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9F9" w:rsidRPr="0023733A" w:rsidRDefault="006229F9" w:rsidP="007D0AD0">
            <w:pPr>
              <w:jc w:val="right"/>
              <w:rPr>
                <w:b/>
                <w:bCs/>
                <w:sz w:val="20"/>
              </w:rPr>
            </w:pPr>
            <w:r w:rsidRPr="0023733A">
              <w:rPr>
                <w:b/>
                <w:bCs/>
                <w:sz w:val="20"/>
              </w:rPr>
              <w:t>-686,358.45</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9F9" w:rsidRPr="0023733A" w:rsidRDefault="006229F9" w:rsidP="007D0AD0">
            <w:pPr>
              <w:jc w:val="right"/>
              <w:rPr>
                <w:b/>
                <w:bCs/>
                <w:sz w:val="20"/>
                <w:u w:val="single"/>
              </w:rPr>
            </w:pPr>
            <w:r w:rsidRPr="0023733A">
              <w:rPr>
                <w:b/>
                <w:bCs/>
                <w:sz w:val="20"/>
                <w:u w:val="single"/>
              </w:rPr>
              <w:t>7,601,055.94</w:t>
            </w:r>
          </w:p>
        </w:tc>
      </w:tr>
    </w:tbl>
    <w:p w:rsidR="00DF1EA0" w:rsidRDefault="00DF1EA0">
      <w:r>
        <w:br w:type="page"/>
      </w:r>
    </w:p>
    <w:tbl>
      <w:tblPr>
        <w:tblW w:w="13372" w:type="dxa"/>
        <w:jc w:val="center"/>
        <w:tblLook w:val="04A0" w:firstRow="1" w:lastRow="0" w:firstColumn="1" w:lastColumn="0" w:noHBand="0" w:noVBand="1"/>
      </w:tblPr>
      <w:tblGrid>
        <w:gridCol w:w="3459"/>
        <w:gridCol w:w="1635"/>
        <w:gridCol w:w="1812"/>
        <w:gridCol w:w="1490"/>
        <w:gridCol w:w="1361"/>
        <w:gridCol w:w="1173"/>
        <w:gridCol w:w="1054"/>
        <w:gridCol w:w="1388"/>
      </w:tblGrid>
      <w:tr w:rsidR="006229F9" w:rsidRPr="006C2A66" w:rsidTr="00CF2CE4">
        <w:trPr>
          <w:trHeight w:val="255"/>
          <w:jc w:val="center"/>
        </w:trPr>
        <w:tc>
          <w:tcPr>
            <w:tcW w:w="11980" w:type="dxa"/>
            <w:gridSpan w:val="7"/>
            <w:tcBorders>
              <w:top w:val="nil"/>
              <w:left w:val="nil"/>
              <w:bottom w:val="nil"/>
              <w:right w:val="nil"/>
            </w:tcBorders>
            <w:shd w:val="clear" w:color="auto" w:fill="auto"/>
            <w:noWrap/>
            <w:vAlign w:val="bottom"/>
            <w:hideMark/>
          </w:tcPr>
          <w:p w:rsidR="006229F9" w:rsidRPr="00D456CF" w:rsidRDefault="006229F9" w:rsidP="00705F65">
            <w:pPr>
              <w:spacing w:after="120"/>
              <w:ind w:right="-1449"/>
              <w:jc w:val="center"/>
              <w:rPr>
                <w:b/>
                <w:bCs/>
                <w:sz w:val="28"/>
                <w:szCs w:val="28"/>
              </w:rPr>
            </w:pPr>
            <w:r w:rsidRPr="00D456CF">
              <w:rPr>
                <w:b/>
                <w:bCs/>
                <w:sz w:val="28"/>
                <w:szCs w:val="28"/>
              </w:rPr>
              <w:t>A</w:t>
            </w:r>
            <w:r w:rsidR="00D456CF">
              <w:rPr>
                <w:b/>
                <w:bCs/>
                <w:sz w:val="28"/>
                <w:szCs w:val="28"/>
              </w:rPr>
              <w:t>mounts due in respect of cancelled special arrears accounts</w:t>
            </w:r>
            <w:r w:rsidR="00D456CF">
              <w:rPr>
                <w:b/>
                <w:bCs/>
                <w:sz w:val="28"/>
                <w:szCs w:val="28"/>
              </w:rPr>
              <w:br/>
              <w:t>(repayment agreements cancelled for non-payment)</w:t>
            </w:r>
          </w:p>
        </w:tc>
        <w:tc>
          <w:tcPr>
            <w:tcW w:w="1387" w:type="dxa"/>
            <w:tcBorders>
              <w:top w:val="nil"/>
              <w:left w:val="nil"/>
              <w:bottom w:val="nil"/>
              <w:right w:val="nil"/>
            </w:tcBorders>
            <w:shd w:val="clear" w:color="auto" w:fill="auto"/>
            <w:noWrap/>
            <w:vAlign w:val="bottom"/>
            <w:hideMark/>
          </w:tcPr>
          <w:p w:rsidR="006229F9" w:rsidRPr="006C2A66" w:rsidRDefault="006229F9" w:rsidP="00705F65">
            <w:pPr>
              <w:spacing w:after="120"/>
              <w:jc w:val="center"/>
              <w:rPr>
                <w:b/>
                <w:bCs/>
                <w:sz w:val="20"/>
              </w:rPr>
            </w:pPr>
          </w:p>
        </w:tc>
      </w:tr>
      <w:tr w:rsidR="006229F9" w:rsidRPr="006C2A66" w:rsidTr="00CF2CE4">
        <w:trPr>
          <w:trHeight w:val="255"/>
          <w:jc w:val="center"/>
        </w:trPr>
        <w:tc>
          <w:tcPr>
            <w:tcW w:w="3459" w:type="dxa"/>
            <w:tcBorders>
              <w:top w:val="single" w:sz="4" w:space="0" w:color="auto"/>
              <w:left w:val="single" w:sz="4" w:space="0" w:color="auto"/>
              <w:bottom w:val="nil"/>
              <w:right w:val="single" w:sz="4" w:space="0" w:color="auto"/>
            </w:tcBorders>
            <w:shd w:val="clear" w:color="auto" w:fill="auto"/>
            <w:noWrap/>
            <w:vAlign w:val="bottom"/>
            <w:hideMark/>
          </w:tcPr>
          <w:p w:rsidR="006229F9" w:rsidRPr="006C2A66" w:rsidRDefault="006229F9" w:rsidP="007D0AD0">
            <w:pPr>
              <w:jc w:val="center"/>
              <w:rPr>
                <w:rFonts w:ascii="Times New Roman" w:hAnsi="Times New Roman"/>
                <w:sz w:val="20"/>
              </w:rPr>
            </w:pPr>
          </w:p>
        </w:tc>
        <w:tc>
          <w:tcPr>
            <w:tcW w:w="1634" w:type="dxa"/>
            <w:tcBorders>
              <w:top w:val="single" w:sz="4" w:space="0" w:color="auto"/>
              <w:left w:val="single" w:sz="4" w:space="0" w:color="auto"/>
              <w:bottom w:val="nil"/>
              <w:right w:val="single" w:sz="4" w:space="0" w:color="auto"/>
            </w:tcBorders>
            <w:shd w:val="clear" w:color="auto" w:fill="auto"/>
            <w:noWrap/>
            <w:vAlign w:val="bottom"/>
            <w:hideMark/>
          </w:tcPr>
          <w:p w:rsidR="006229F9" w:rsidRPr="006C2A66" w:rsidRDefault="006229F9" w:rsidP="007D0AD0">
            <w:pPr>
              <w:jc w:val="center"/>
              <w:rPr>
                <w:b/>
                <w:bCs/>
                <w:color w:val="000000"/>
                <w:sz w:val="20"/>
              </w:rPr>
            </w:pPr>
            <w:r w:rsidRPr="006C2A66">
              <w:rPr>
                <w:b/>
                <w:bCs/>
                <w:color w:val="000000"/>
                <w:sz w:val="20"/>
              </w:rPr>
              <w:t>PP Resolutions</w:t>
            </w:r>
          </w:p>
        </w:tc>
        <w:tc>
          <w:tcPr>
            <w:tcW w:w="1811" w:type="dxa"/>
            <w:tcBorders>
              <w:top w:val="single" w:sz="4" w:space="0" w:color="auto"/>
              <w:left w:val="single" w:sz="4" w:space="0" w:color="auto"/>
              <w:bottom w:val="nil"/>
              <w:right w:val="single" w:sz="4" w:space="0" w:color="auto"/>
            </w:tcBorders>
            <w:shd w:val="clear" w:color="auto" w:fill="auto"/>
            <w:noWrap/>
            <w:vAlign w:val="bottom"/>
            <w:hideMark/>
          </w:tcPr>
          <w:p w:rsidR="006229F9" w:rsidRPr="006C2A66" w:rsidRDefault="006229F9" w:rsidP="007D0AD0">
            <w:pPr>
              <w:jc w:val="center"/>
              <w:rPr>
                <w:b/>
                <w:bCs/>
                <w:color w:val="000000"/>
                <w:sz w:val="20"/>
              </w:rPr>
            </w:pPr>
            <w:r w:rsidRPr="006C2A66">
              <w:rPr>
                <w:b/>
                <w:bCs/>
                <w:color w:val="000000"/>
                <w:sz w:val="20"/>
              </w:rPr>
              <w:t>Transfer to</w:t>
            </w:r>
          </w:p>
        </w:tc>
        <w:tc>
          <w:tcPr>
            <w:tcW w:w="1489" w:type="dxa"/>
            <w:tcBorders>
              <w:top w:val="single" w:sz="4" w:space="0" w:color="auto"/>
              <w:left w:val="single" w:sz="4" w:space="0" w:color="auto"/>
              <w:bottom w:val="nil"/>
              <w:right w:val="single" w:sz="4" w:space="0" w:color="auto"/>
            </w:tcBorders>
            <w:shd w:val="clear" w:color="auto" w:fill="auto"/>
            <w:noWrap/>
            <w:vAlign w:val="bottom"/>
            <w:hideMark/>
          </w:tcPr>
          <w:p w:rsidR="006229F9" w:rsidRPr="006C2A66" w:rsidRDefault="006229F9" w:rsidP="007D0AD0">
            <w:pPr>
              <w:jc w:val="center"/>
              <w:rPr>
                <w:b/>
                <w:bCs/>
                <w:color w:val="000000"/>
                <w:sz w:val="20"/>
              </w:rPr>
            </w:pPr>
            <w:r w:rsidRPr="006C2A66">
              <w:rPr>
                <w:b/>
                <w:bCs/>
                <w:color w:val="000000"/>
                <w:sz w:val="20"/>
              </w:rPr>
              <w:t>Balance at</w:t>
            </w:r>
          </w:p>
        </w:tc>
        <w:tc>
          <w:tcPr>
            <w:tcW w:w="1360" w:type="dxa"/>
            <w:tcBorders>
              <w:top w:val="single" w:sz="4" w:space="0" w:color="auto"/>
              <w:left w:val="single" w:sz="4" w:space="0" w:color="auto"/>
              <w:bottom w:val="nil"/>
              <w:right w:val="single" w:sz="4" w:space="0" w:color="auto"/>
            </w:tcBorders>
            <w:shd w:val="clear" w:color="auto" w:fill="auto"/>
            <w:vAlign w:val="bottom"/>
            <w:hideMark/>
          </w:tcPr>
          <w:p w:rsidR="006229F9" w:rsidRPr="006C2A66" w:rsidRDefault="006229F9" w:rsidP="007D0AD0">
            <w:pPr>
              <w:jc w:val="center"/>
              <w:rPr>
                <w:b/>
                <w:bCs/>
                <w:sz w:val="20"/>
              </w:rPr>
            </w:pPr>
            <w:r w:rsidRPr="006C2A66">
              <w:rPr>
                <w:b/>
                <w:bCs/>
                <w:sz w:val="20"/>
              </w:rPr>
              <w:t>Movements</w:t>
            </w:r>
          </w:p>
        </w:tc>
        <w:tc>
          <w:tcPr>
            <w:tcW w:w="1173" w:type="dxa"/>
            <w:tcBorders>
              <w:top w:val="single" w:sz="4" w:space="0" w:color="auto"/>
              <w:left w:val="single" w:sz="4" w:space="0" w:color="auto"/>
              <w:bottom w:val="nil"/>
              <w:right w:val="single" w:sz="4" w:space="0" w:color="auto"/>
            </w:tcBorders>
            <w:shd w:val="clear" w:color="auto" w:fill="auto"/>
            <w:noWrap/>
            <w:vAlign w:val="bottom"/>
            <w:hideMark/>
          </w:tcPr>
          <w:p w:rsidR="006229F9" w:rsidRPr="006C2A66" w:rsidRDefault="006229F9" w:rsidP="007D0AD0">
            <w:pPr>
              <w:jc w:val="center"/>
              <w:rPr>
                <w:b/>
                <w:bCs/>
                <w:sz w:val="20"/>
              </w:rPr>
            </w:pPr>
            <w:r w:rsidRPr="006C2A66">
              <w:rPr>
                <w:b/>
                <w:bCs/>
                <w:sz w:val="20"/>
              </w:rPr>
              <w:t>Interest</w:t>
            </w:r>
          </w:p>
        </w:tc>
        <w:tc>
          <w:tcPr>
            <w:tcW w:w="1054" w:type="dxa"/>
            <w:tcBorders>
              <w:top w:val="single" w:sz="4" w:space="0" w:color="auto"/>
              <w:left w:val="single" w:sz="4" w:space="0" w:color="auto"/>
              <w:bottom w:val="nil"/>
              <w:right w:val="single" w:sz="4" w:space="0" w:color="auto"/>
            </w:tcBorders>
            <w:shd w:val="clear" w:color="auto" w:fill="auto"/>
            <w:noWrap/>
            <w:vAlign w:val="bottom"/>
            <w:hideMark/>
          </w:tcPr>
          <w:p w:rsidR="006229F9" w:rsidRPr="006C2A66" w:rsidRDefault="006229F9" w:rsidP="007D0AD0">
            <w:pPr>
              <w:jc w:val="center"/>
              <w:rPr>
                <w:b/>
                <w:bCs/>
                <w:sz w:val="20"/>
              </w:rPr>
            </w:pPr>
            <w:r w:rsidRPr="006C2A66">
              <w:rPr>
                <w:b/>
                <w:bCs/>
                <w:sz w:val="20"/>
              </w:rPr>
              <w:t>Payments</w:t>
            </w:r>
          </w:p>
        </w:tc>
        <w:tc>
          <w:tcPr>
            <w:tcW w:w="1387" w:type="dxa"/>
            <w:tcBorders>
              <w:top w:val="single" w:sz="4" w:space="0" w:color="auto"/>
              <w:left w:val="single" w:sz="4" w:space="0" w:color="auto"/>
              <w:bottom w:val="nil"/>
              <w:right w:val="single" w:sz="4" w:space="0" w:color="auto"/>
            </w:tcBorders>
            <w:shd w:val="clear" w:color="auto" w:fill="auto"/>
            <w:noWrap/>
            <w:vAlign w:val="bottom"/>
            <w:hideMark/>
          </w:tcPr>
          <w:p w:rsidR="006229F9" w:rsidRPr="006C2A66" w:rsidRDefault="006229F9" w:rsidP="007D0AD0">
            <w:pPr>
              <w:jc w:val="center"/>
              <w:rPr>
                <w:b/>
                <w:bCs/>
                <w:sz w:val="20"/>
              </w:rPr>
            </w:pPr>
            <w:r w:rsidRPr="006C2A66">
              <w:rPr>
                <w:b/>
                <w:bCs/>
                <w:sz w:val="20"/>
              </w:rPr>
              <w:t>Balance at</w:t>
            </w:r>
          </w:p>
        </w:tc>
      </w:tr>
      <w:tr w:rsidR="006229F9" w:rsidRPr="006C2A66" w:rsidTr="00CF2CE4">
        <w:trPr>
          <w:trHeight w:val="255"/>
          <w:jc w:val="center"/>
        </w:trPr>
        <w:tc>
          <w:tcPr>
            <w:tcW w:w="3459"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jc w:val="center"/>
              <w:rPr>
                <w:b/>
                <w:bCs/>
                <w:color w:val="000000"/>
                <w:sz w:val="20"/>
              </w:rPr>
            </w:pPr>
            <w:r w:rsidRPr="006C2A66">
              <w:rPr>
                <w:b/>
                <w:bCs/>
                <w:color w:val="000000"/>
                <w:sz w:val="20"/>
              </w:rPr>
              <w:t>Member States - Sector Members/</w:t>
            </w:r>
          </w:p>
        </w:tc>
        <w:tc>
          <w:tcPr>
            <w:tcW w:w="1634"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jc w:val="center"/>
              <w:rPr>
                <w:b/>
                <w:bCs/>
                <w:color w:val="000000"/>
                <w:sz w:val="20"/>
              </w:rPr>
            </w:pPr>
          </w:p>
        </w:tc>
        <w:tc>
          <w:tcPr>
            <w:tcW w:w="1811"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jc w:val="center"/>
              <w:rPr>
                <w:b/>
                <w:bCs/>
                <w:color w:val="000000"/>
                <w:sz w:val="20"/>
              </w:rPr>
            </w:pPr>
            <w:r w:rsidRPr="006C2A66">
              <w:rPr>
                <w:b/>
                <w:bCs/>
                <w:color w:val="000000"/>
                <w:sz w:val="20"/>
              </w:rPr>
              <w:t>Cancelled Special</w:t>
            </w:r>
          </w:p>
        </w:tc>
        <w:tc>
          <w:tcPr>
            <w:tcW w:w="1489"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jc w:val="center"/>
              <w:rPr>
                <w:b/>
                <w:bCs/>
                <w:color w:val="000000"/>
                <w:sz w:val="20"/>
              </w:rPr>
            </w:pPr>
            <w:r w:rsidRPr="006C2A66">
              <w:rPr>
                <w:b/>
                <w:bCs/>
                <w:color w:val="000000"/>
                <w:sz w:val="20"/>
              </w:rPr>
              <w:t>31.12.2016</w:t>
            </w:r>
          </w:p>
        </w:tc>
        <w:tc>
          <w:tcPr>
            <w:tcW w:w="1360"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jc w:val="center"/>
              <w:rPr>
                <w:b/>
                <w:bCs/>
                <w:sz w:val="20"/>
              </w:rPr>
            </w:pPr>
            <w:r w:rsidRPr="006C2A66">
              <w:rPr>
                <w:b/>
                <w:bCs/>
                <w:sz w:val="20"/>
              </w:rPr>
              <w:t>2017</w:t>
            </w:r>
          </w:p>
        </w:tc>
        <w:tc>
          <w:tcPr>
            <w:tcW w:w="1173"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jc w:val="center"/>
              <w:rPr>
                <w:b/>
                <w:bCs/>
                <w:sz w:val="20"/>
              </w:rPr>
            </w:pPr>
            <w:r w:rsidRPr="006C2A66">
              <w:rPr>
                <w:b/>
                <w:bCs/>
                <w:sz w:val="20"/>
              </w:rPr>
              <w:t>2017</w:t>
            </w:r>
          </w:p>
        </w:tc>
        <w:tc>
          <w:tcPr>
            <w:tcW w:w="1054"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jc w:val="center"/>
              <w:rPr>
                <w:b/>
                <w:bCs/>
                <w:sz w:val="20"/>
              </w:rPr>
            </w:pPr>
            <w:r w:rsidRPr="006C2A66">
              <w:rPr>
                <w:b/>
                <w:bCs/>
                <w:sz w:val="20"/>
              </w:rPr>
              <w:t>2017</w:t>
            </w:r>
          </w:p>
        </w:tc>
        <w:tc>
          <w:tcPr>
            <w:tcW w:w="1387"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jc w:val="center"/>
              <w:rPr>
                <w:b/>
                <w:bCs/>
                <w:color w:val="000000"/>
                <w:sz w:val="20"/>
              </w:rPr>
            </w:pPr>
            <w:r w:rsidRPr="006C2A66">
              <w:rPr>
                <w:b/>
                <w:bCs/>
                <w:color w:val="000000"/>
                <w:sz w:val="20"/>
              </w:rPr>
              <w:t>31.12.2017</w:t>
            </w:r>
          </w:p>
        </w:tc>
      </w:tr>
      <w:tr w:rsidR="006229F9" w:rsidRPr="006C2A66" w:rsidTr="00CF2CE4">
        <w:trPr>
          <w:trHeight w:val="255"/>
          <w:jc w:val="center"/>
        </w:trPr>
        <w:tc>
          <w:tcPr>
            <w:tcW w:w="3459"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jc w:val="center"/>
              <w:rPr>
                <w:b/>
                <w:bCs/>
                <w:color w:val="000000"/>
                <w:sz w:val="20"/>
              </w:rPr>
            </w:pPr>
            <w:r w:rsidRPr="006C2A66">
              <w:rPr>
                <w:b/>
                <w:bCs/>
                <w:color w:val="000000"/>
                <w:sz w:val="20"/>
              </w:rPr>
              <w:t>Companies</w:t>
            </w:r>
          </w:p>
        </w:tc>
        <w:tc>
          <w:tcPr>
            <w:tcW w:w="1634"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rPr>
                <w:b/>
                <w:bCs/>
                <w:color w:val="000000"/>
                <w:sz w:val="20"/>
              </w:rPr>
            </w:pPr>
            <w:r w:rsidRPr="006C2A66">
              <w:rPr>
                <w:b/>
                <w:bCs/>
                <w:color w:val="000000"/>
                <w:sz w:val="20"/>
              </w:rPr>
              <w:t xml:space="preserve"> </w:t>
            </w:r>
          </w:p>
        </w:tc>
        <w:tc>
          <w:tcPr>
            <w:tcW w:w="1811"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jc w:val="center"/>
              <w:rPr>
                <w:b/>
                <w:bCs/>
                <w:color w:val="000000"/>
                <w:sz w:val="20"/>
              </w:rPr>
            </w:pPr>
            <w:r w:rsidRPr="006C2A66">
              <w:rPr>
                <w:b/>
                <w:bCs/>
                <w:color w:val="000000"/>
                <w:sz w:val="20"/>
              </w:rPr>
              <w:t>Arrears Account</w:t>
            </w:r>
          </w:p>
        </w:tc>
        <w:tc>
          <w:tcPr>
            <w:tcW w:w="1489"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jc w:val="center"/>
              <w:rPr>
                <w:b/>
                <w:bCs/>
                <w:color w:val="000000"/>
                <w:sz w:val="20"/>
              </w:rPr>
            </w:pPr>
          </w:p>
        </w:tc>
        <w:tc>
          <w:tcPr>
            <w:tcW w:w="1360"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rPr>
                <w:rFonts w:ascii="Times New Roman" w:hAnsi="Times New Roman"/>
                <w:sz w:val="20"/>
              </w:rPr>
            </w:pPr>
          </w:p>
        </w:tc>
        <w:tc>
          <w:tcPr>
            <w:tcW w:w="1173"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rPr>
                <w:rFonts w:ascii="Times New Roman" w:hAnsi="Times New Roman"/>
                <w:sz w:val="20"/>
              </w:rPr>
            </w:pPr>
          </w:p>
        </w:tc>
        <w:tc>
          <w:tcPr>
            <w:tcW w:w="1054"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rPr>
                <w:rFonts w:ascii="Times New Roman" w:hAnsi="Times New Roman"/>
                <w:sz w:val="20"/>
              </w:rPr>
            </w:pPr>
          </w:p>
        </w:tc>
        <w:tc>
          <w:tcPr>
            <w:tcW w:w="1387"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rPr>
                <w:rFonts w:ascii="Times New Roman" w:hAnsi="Times New Roman"/>
                <w:sz w:val="20"/>
              </w:rPr>
            </w:pPr>
          </w:p>
        </w:tc>
      </w:tr>
      <w:tr w:rsidR="006229F9" w:rsidRPr="006C2A66" w:rsidTr="00CF2CE4">
        <w:trPr>
          <w:trHeight w:val="255"/>
          <w:jc w:val="center"/>
        </w:trPr>
        <w:tc>
          <w:tcPr>
            <w:tcW w:w="3459" w:type="dxa"/>
            <w:tcBorders>
              <w:top w:val="nil"/>
              <w:left w:val="single" w:sz="4" w:space="0" w:color="auto"/>
              <w:bottom w:val="single" w:sz="4" w:space="0" w:color="auto"/>
              <w:right w:val="single" w:sz="4" w:space="0" w:color="auto"/>
            </w:tcBorders>
            <w:shd w:val="clear" w:color="auto" w:fill="auto"/>
            <w:noWrap/>
            <w:vAlign w:val="bottom"/>
            <w:hideMark/>
          </w:tcPr>
          <w:p w:rsidR="006229F9" w:rsidRPr="006C2A66" w:rsidRDefault="006229F9" w:rsidP="007D0AD0">
            <w:pPr>
              <w:rPr>
                <w:rFonts w:ascii="Times New Roman" w:hAnsi="Times New Roman"/>
                <w:sz w:val="20"/>
              </w:rPr>
            </w:pPr>
          </w:p>
        </w:tc>
        <w:tc>
          <w:tcPr>
            <w:tcW w:w="1634" w:type="dxa"/>
            <w:tcBorders>
              <w:top w:val="nil"/>
              <w:left w:val="single" w:sz="4" w:space="0" w:color="auto"/>
              <w:bottom w:val="single" w:sz="4" w:space="0" w:color="auto"/>
              <w:right w:val="single" w:sz="4" w:space="0" w:color="auto"/>
            </w:tcBorders>
            <w:shd w:val="clear" w:color="auto" w:fill="auto"/>
            <w:noWrap/>
            <w:vAlign w:val="bottom"/>
            <w:hideMark/>
          </w:tcPr>
          <w:p w:rsidR="006229F9" w:rsidRPr="006C2A66" w:rsidRDefault="006229F9" w:rsidP="007D0AD0">
            <w:pPr>
              <w:jc w:val="center"/>
              <w:rPr>
                <w:rFonts w:ascii="Times New Roman" w:hAnsi="Times New Roman"/>
                <w:sz w:val="20"/>
              </w:rPr>
            </w:pPr>
          </w:p>
        </w:tc>
        <w:tc>
          <w:tcPr>
            <w:tcW w:w="1811" w:type="dxa"/>
            <w:tcBorders>
              <w:top w:val="nil"/>
              <w:left w:val="single" w:sz="4" w:space="0" w:color="auto"/>
              <w:bottom w:val="single" w:sz="4" w:space="0" w:color="auto"/>
              <w:right w:val="single" w:sz="4" w:space="0" w:color="auto"/>
            </w:tcBorders>
            <w:shd w:val="clear" w:color="auto" w:fill="auto"/>
            <w:noWrap/>
            <w:vAlign w:val="bottom"/>
            <w:hideMark/>
          </w:tcPr>
          <w:p w:rsidR="006229F9" w:rsidRPr="006C2A66" w:rsidRDefault="006229F9" w:rsidP="007D0AD0">
            <w:pPr>
              <w:rPr>
                <w:rFonts w:ascii="Times New Roman" w:hAnsi="Times New Roman"/>
                <w:sz w:val="20"/>
              </w:rPr>
            </w:pPr>
          </w:p>
        </w:tc>
        <w:tc>
          <w:tcPr>
            <w:tcW w:w="1489" w:type="dxa"/>
            <w:tcBorders>
              <w:top w:val="nil"/>
              <w:left w:val="single" w:sz="4" w:space="0" w:color="auto"/>
              <w:bottom w:val="single" w:sz="4" w:space="0" w:color="auto"/>
              <w:right w:val="single" w:sz="4" w:space="0" w:color="auto"/>
            </w:tcBorders>
            <w:shd w:val="clear" w:color="auto" w:fill="auto"/>
            <w:noWrap/>
            <w:vAlign w:val="bottom"/>
            <w:hideMark/>
          </w:tcPr>
          <w:p w:rsidR="006229F9" w:rsidRPr="006C2A66" w:rsidRDefault="006229F9" w:rsidP="007D0AD0">
            <w:pPr>
              <w:jc w:val="center"/>
              <w:rPr>
                <w:rFonts w:ascii="Times New Roman" w:hAnsi="Times New Roman"/>
                <w:sz w:val="20"/>
              </w:rPr>
            </w:pP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6229F9" w:rsidRPr="006C2A66" w:rsidRDefault="006229F9" w:rsidP="007D0AD0">
            <w:pPr>
              <w:rPr>
                <w:rFonts w:ascii="Times New Roman" w:hAnsi="Times New Roman"/>
                <w:sz w:val="20"/>
              </w:rPr>
            </w:pPr>
          </w:p>
        </w:tc>
        <w:tc>
          <w:tcPr>
            <w:tcW w:w="1173" w:type="dxa"/>
            <w:tcBorders>
              <w:top w:val="nil"/>
              <w:left w:val="single" w:sz="4" w:space="0" w:color="auto"/>
              <w:bottom w:val="single" w:sz="4" w:space="0" w:color="auto"/>
              <w:right w:val="single" w:sz="4" w:space="0" w:color="auto"/>
            </w:tcBorders>
            <w:shd w:val="clear" w:color="auto" w:fill="auto"/>
            <w:noWrap/>
            <w:vAlign w:val="bottom"/>
            <w:hideMark/>
          </w:tcPr>
          <w:p w:rsidR="006229F9" w:rsidRPr="006C2A66" w:rsidRDefault="006229F9" w:rsidP="007D0AD0">
            <w:pPr>
              <w:rPr>
                <w:rFonts w:ascii="Times New Roman" w:hAnsi="Times New Roman"/>
                <w:sz w:val="20"/>
              </w:rPr>
            </w:pPr>
          </w:p>
        </w:tc>
        <w:tc>
          <w:tcPr>
            <w:tcW w:w="1054" w:type="dxa"/>
            <w:tcBorders>
              <w:top w:val="nil"/>
              <w:left w:val="single" w:sz="4" w:space="0" w:color="auto"/>
              <w:bottom w:val="single" w:sz="4" w:space="0" w:color="auto"/>
              <w:right w:val="single" w:sz="4" w:space="0" w:color="auto"/>
            </w:tcBorders>
            <w:shd w:val="clear" w:color="auto" w:fill="auto"/>
            <w:noWrap/>
            <w:vAlign w:val="bottom"/>
            <w:hideMark/>
          </w:tcPr>
          <w:p w:rsidR="006229F9" w:rsidRPr="006C2A66" w:rsidRDefault="006229F9" w:rsidP="007D0AD0">
            <w:pPr>
              <w:rPr>
                <w:rFonts w:ascii="Times New Roman" w:hAnsi="Times New Roman"/>
                <w:sz w:val="20"/>
              </w:rPr>
            </w:pPr>
          </w:p>
        </w:tc>
        <w:tc>
          <w:tcPr>
            <w:tcW w:w="1387" w:type="dxa"/>
            <w:tcBorders>
              <w:top w:val="nil"/>
              <w:left w:val="single" w:sz="4" w:space="0" w:color="auto"/>
              <w:bottom w:val="single" w:sz="4" w:space="0" w:color="auto"/>
              <w:right w:val="single" w:sz="4" w:space="0" w:color="auto"/>
            </w:tcBorders>
            <w:shd w:val="clear" w:color="auto" w:fill="auto"/>
            <w:noWrap/>
            <w:vAlign w:val="bottom"/>
            <w:hideMark/>
          </w:tcPr>
          <w:p w:rsidR="006229F9" w:rsidRPr="006C2A66" w:rsidRDefault="006229F9" w:rsidP="007D0AD0">
            <w:pPr>
              <w:rPr>
                <w:rFonts w:ascii="Times New Roman" w:hAnsi="Times New Roman"/>
                <w:sz w:val="20"/>
              </w:rPr>
            </w:pPr>
          </w:p>
        </w:tc>
      </w:tr>
      <w:tr w:rsidR="006229F9" w:rsidRPr="006C2A66" w:rsidTr="00CF2CE4">
        <w:trPr>
          <w:trHeight w:val="255"/>
          <w:jc w:val="center"/>
        </w:trPr>
        <w:tc>
          <w:tcPr>
            <w:tcW w:w="3459" w:type="dxa"/>
            <w:tcBorders>
              <w:top w:val="single" w:sz="4" w:space="0" w:color="auto"/>
              <w:left w:val="single" w:sz="4" w:space="0" w:color="auto"/>
              <w:bottom w:val="nil"/>
              <w:right w:val="single" w:sz="4" w:space="0" w:color="auto"/>
            </w:tcBorders>
            <w:shd w:val="clear" w:color="auto" w:fill="auto"/>
            <w:noWrap/>
            <w:vAlign w:val="bottom"/>
            <w:hideMark/>
          </w:tcPr>
          <w:p w:rsidR="006229F9" w:rsidRPr="006C2A66" w:rsidRDefault="006229F9" w:rsidP="006229F9">
            <w:pPr>
              <w:rPr>
                <w:b/>
                <w:bCs/>
                <w:color w:val="000000"/>
                <w:sz w:val="20"/>
              </w:rPr>
            </w:pPr>
            <w:r w:rsidRPr="006C2A66">
              <w:rPr>
                <w:b/>
                <w:bCs/>
                <w:color w:val="000000"/>
                <w:sz w:val="20"/>
              </w:rPr>
              <w:t>Member States</w:t>
            </w:r>
          </w:p>
        </w:tc>
        <w:tc>
          <w:tcPr>
            <w:tcW w:w="1634" w:type="dxa"/>
            <w:tcBorders>
              <w:top w:val="single" w:sz="4" w:space="0" w:color="auto"/>
              <w:left w:val="single" w:sz="4" w:space="0" w:color="auto"/>
              <w:bottom w:val="nil"/>
              <w:right w:val="single" w:sz="4" w:space="0" w:color="auto"/>
            </w:tcBorders>
            <w:shd w:val="clear" w:color="auto" w:fill="auto"/>
            <w:noWrap/>
            <w:vAlign w:val="bottom"/>
            <w:hideMark/>
          </w:tcPr>
          <w:p w:rsidR="006229F9" w:rsidRPr="006C2A66" w:rsidRDefault="006229F9" w:rsidP="007D0AD0">
            <w:pPr>
              <w:jc w:val="center"/>
              <w:rPr>
                <w:b/>
                <w:bCs/>
                <w:color w:val="000000"/>
                <w:sz w:val="20"/>
              </w:rPr>
            </w:pPr>
          </w:p>
        </w:tc>
        <w:tc>
          <w:tcPr>
            <w:tcW w:w="1811" w:type="dxa"/>
            <w:tcBorders>
              <w:top w:val="single" w:sz="4" w:space="0" w:color="auto"/>
              <w:left w:val="single" w:sz="4" w:space="0" w:color="auto"/>
              <w:bottom w:val="nil"/>
              <w:right w:val="single" w:sz="4" w:space="0" w:color="auto"/>
            </w:tcBorders>
            <w:shd w:val="clear" w:color="auto" w:fill="auto"/>
            <w:noWrap/>
            <w:vAlign w:val="bottom"/>
            <w:hideMark/>
          </w:tcPr>
          <w:p w:rsidR="006229F9" w:rsidRPr="006C2A66" w:rsidRDefault="006229F9" w:rsidP="007D0AD0">
            <w:pPr>
              <w:rPr>
                <w:rFonts w:ascii="Times New Roman" w:hAnsi="Times New Roman"/>
                <w:sz w:val="20"/>
              </w:rPr>
            </w:pPr>
          </w:p>
        </w:tc>
        <w:tc>
          <w:tcPr>
            <w:tcW w:w="1489" w:type="dxa"/>
            <w:tcBorders>
              <w:top w:val="single" w:sz="4" w:space="0" w:color="auto"/>
              <w:left w:val="single" w:sz="4" w:space="0" w:color="auto"/>
              <w:bottom w:val="nil"/>
              <w:right w:val="single" w:sz="4" w:space="0" w:color="auto"/>
            </w:tcBorders>
            <w:shd w:val="clear" w:color="auto" w:fill="auto"/>
            <w:noWrap/>
            <w:vAlign w:val="bottom"/>
            <w:hideMark/>
          </w:tcPr>
          <w:p w:rsidR="006229F9" w:rsidRPr="006C2A66" w:rsidRDefault="006229F9" w:rsidP="007D0AD0">
            <w:pPr>
              <w:jc w:val="center"/>
              <w:rPr>
                <w:rFonts w:ascii="Times New Roman" w:hAnsi="Times New Roman"/>
                <w:sz w:val="20"/>
              </w:rPr>
            </w:pPr>
          </w:p>
        </w:tc>
        <w:tc>
          <w:tcPr>
            <w:tcW w:w="1360" w:type="dxa"/>
            <w:tcBorders>
              <w:top w:val="single" w:sz="4" w:space="0" w:color="auto"/>
              <w:left w:val="single" w:sz="4" w:space="0" w:color="auto"/>
              <w:bottom w:val="nil"/>
              <w:right w:val="single" w:sz="4" w:space="0" w:color="auto"/>
            </w:tcBorders>
            <w:shd w:val="clear" w:color="auto" w:fill="auto"/>
            <w:noWrap/>
            <w:vAlign w:val="bottom"/>
            <w:hideMark/>
          </w:tcPr>
          <w:p w:rsidR="006229F9" w:rsidRPr="006C2A66" w:rsidRDefault="006229F9" w:rsidP="007D0AD0">
            <w:pPr>
              <w:rPr>
                <w:rFonts w:ascii="Times New Roman" w:hAnsi="Times New Roman"/>
                <w:sz w:val="20"/>
              </w:rPr>
            </w:pPr>
          </w:p>
        </w:tc>
        <w:tc>
          <w:tcPr>
            <w:tcW w:w="1173" w:type="dxa"/>
            <w:tcBorders>
              <w:top w:val="single" w:sz="4" w:space="0" w:color="auto"/>
              <w:left w:val="single" w:sz="4" w:space="0" w:color="auto"/>
              <w:bottom w:val="nil"/>
              <w:right w:val="single" w:sz="4" w:space="0" w:color="auto"/>
            </w:tcBorders>
            <w:shd w:val="clear" w:color="auto" w:fill="auto"/>
            <w:noWrap/>
            <w:vAlign w:val="bottom"/>
            <w:hideMark/>
          </w:tcPr>
          <w:p w:rsidR="006229F9" w:rsidRPr="006C2A66" w:rsidRDefault="006229F9" w:rsidP="007D0AD0">
            <w:pPr>
              <w:rPr>
                <w:rFonts w:ascii="Times New Roman" w:hAnsi="Times New Roman"/>
                <w:sz w:val="20"/>
              </w:rPr>
            </w:pPr>
          </w:p>
        </w:tc>
        <w:tc>
          <w:tcPr>
            <w:tcW w:w="1054" w:type="dxa"/>
            <w:tcBorders>
              <w:top w:val="single" w:sz="4" w:space="0" w:color="auto"/>
              <w:left w:val="single" w:sz="4" w:space="0" w:color="auto"/>
              <w:bottom w:val="nil"/>
              <w:right w:val="single" w:sz="4" w:space="0" w:color="auto"/>
            </w:tcBorders>
            <w:shd w:val="clear" w:color="auto" w:fill="auto"/>
            <w:noWrap/>
            <w:vAlign w:val="bottom"/>
            <w:hideMark/>
          </w:tcPr>
          <w:p w:rsidR="006229F9" w:rsidRPr="006C2A66" w:rsidRDefault="006229F9" w:rsidP="007D0AD0">
            <w:pPr>
              <w:rPr>
                <w:rFonts w:ascii="Times New Roman" w:hAnsi="Times New Roman"/>
                <w:sz w:val="20"/>
              </w:rPr>
            </w:pPr>
          </w:p>
        </w:tc>
        <w:tc>
          <w:tcPr>
            <w:tcW w:w="1387" w:type="dxa"/>
            <w:tcBorders>
              <w:top w:val="single" w:sz="4" w:space="0" w:color="auto"/>
              <w:left w:val="single" w:sz="4" w:space="0" w:color="auto"/>
              <w:bottom w:val="nil"/>
              <w:right w:val="single" w:sz="4" w:space="0" w:color="auto"/>
            </w:tcBorders>
            <w:shd w:val="clear" w:color="auto" w:fill="auto"/>
            <w:noWrap/>
            <w:vAlign w:val="bottom"/>
            <w:hideMark/>
          </w:tcPr>
          <w:p w:rsidR="006229F9" w:rsidRPr="006C2A66" w:rsidRDefault="006229F9" w:rsidP="007D0AD0">
            <w:pPr>
              <w:rPr>
                <w:rFonts w:ascii="Times New Roman" w:hAnsi="Times New Roman"/>
                <w:sz w:val="20"/>
              </w:rPr>
            </w:pPr>
          </w:p>
        </w:tc>
      </w:tr>
      <w:tr w:rsidR="006229F9" w:rsidRPr="006C2A66" w:rsidTr="00CF2CE4">
        <w:trPr>
          <w:trHeight w:val="255"/>
          <w:jc w:val="center"/>
        </w:trPr>
        <w:tc>
          <w:tcPr>
            <w:tcW w:w="3459"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rPr>
                <w:rFonts w:ascii="Times New Roman" w:hAnsi="Times New Roman"/>
                <w:sz w:val="20"/>
              </w:rPr>
            </w:pPr>
          </w:p>
        </w:tc>
        <w:tc>
          <w:tcPr>
            <w:tcW w:w="1634"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jc w:val="center"/>
              <w:rPr>
                <w:rFonts w:ascii="Times New Roman" w:hAnsi="Times New Roman"/>
                <w:sz w:val="20"/>
              </w:rPr>
            </w:pPr>
          </w:p>
        </w:tc>
        <w:tc>
          <w:tcPr>
            <w:tcW w:w="1811"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rPr>
                <w:rFonts w:ascii="Times New Roman" w:hAnsi="Times New Roman"/>
                <w:sz w:val="20"/>
              </w:rPr>
            </w:pPr>
          </w:p>
        </w:tc>
        <w:tc>
          <w:tcPr>
            <w:tcW w:w="1489"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rPr>
                <w:rFonts w:ascii="Times New Roman" w:hAnsi="Times New Roman"/>
                <w:sz w:val="20"/>
              </w:rPr>
            </w:pPr>
          </w:p>
        </w:tc>
        <w:tc>
          <w:tcPr>
            <w:tcW w:w="1360"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rPr>
                <w:rFonts w:ascii="Times New Roman" w:hAnsi="Times New Roman"/>
                <w:sz w:val="20"/>
              </w:rPr>
            </w:pPr>
          </w:p>
        </w:tc>
        <w:tc>
          <w:tcPr>
            <w:tcW w:w="1173"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rPr>
                <w:rFonts w:ascii="Times New Roman" w:hAnsi="Times New Roman"/>
                <w:sz w:val="20"/>
              </w:rPr>
            </w:pPr>
          </w:p>
        </w:tc>
        <w:tc>
          <w:tcPr>
            <w:tcW w:w="1054"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rPr>
                <w:rFonts w:ascii="Times New Roman" w:hAnsi="Times New Roman"/>
                <w:sz w:val="20"/>
              </w:rPr>
            </w:pPr>
          </w:p>
        </w:tc>
        <w:tc>
          <w:tcPr>
            <w:tcW w:w="1387"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rPr>
                <w:rFonts w:ascii="Times New Roman" w:hAnsi="Times New Roman"/>
                <w:sz w:val="20"/>
              </w:rPr>
            </w:pPr>
          </w:p>
        </w:tc>
      </w:tr>
      <w:tr w:rsidR="006229F9" w:rsidRPr="006C2A66" w:rsidTr="00CF2CE4">
        <w:trPr>
          <w:trHeight w:val="255"/>
          <w:jc w:val="center"/>
        </w:trPr>
        <w:tc>
          <w:tcPr>
            <w:tcW w:w="3459"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rPr>
                <w:sz w:val="20"/>
              </w:rPr>
            </w:pPr>
            <w:r w:rsidRPr="006C2A66">
              <w:rPr>
                <w:sz w:val="20"/>
              </w:rPr>
              <w:t>Liberia</w:t>
            </w:r>
          </w:p>
        </w:tc>
        <w:tc>
          <w:tcPr>
            <w:tcW w:w="1634"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rPr>
                <w:sz w:val="20"/>
              </w:rPr>
            </w:pPr>
            <w:proofErr w:type="spellStart"/>
            <w:r w:rsidRPr="006C2A66">
              <w:rPr>
                <w:sz w:val="20"/>
              </w:rPr>
              <w:t>Rés</w:t>
            </w:r>
            <w:proofErr w:type="spellEnd"/>
            <w:r w:rsidRPr="006C2A66">
              <w:rPr>
                <w:sz w:val="20"/>
              </w:rPr>
              <w:t>. 38 PP 1989</w:t>
            </w:r>
          </w:p>
        </w:tc>
        <w:tc>
          <w:tcPr>
            <w:tcW w:w="1811"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jc w:val="right"/>
              <w:rPr>
                <w:sz w:val="20"/>
              </w:rPr>
            </w:pPr>
            <w:r w:rsidRPr="006C2A66">
              <w:rPr>
                <w:sz w:val="20"/>
              </w:rPr>
              <w:t>1,001,829.30</w:t>
            </w:r>
          </w:p>
        </w:tc>
        <w:tc>
          <w:tcPr>
            <w:tcW w:w="1489"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jc w:val="right"/>
              <w:rPr>
                <w:sz w:val="20"/>
              </w:rPr>
            </w:pPr>
            <w:r w:rsidRPr="006C2A66">
              <w:rPr>
                <w:sz w:val="20"/>
              </w:rPr>
              <w:t>2,630,741.60</w:t>
            </w:r>
          </w:p>
        </w:tc>
        <w:tc>
          <w:tcPr>
            <w:tcW w:w="1360"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jc w:val="right"/>
              <w:rPr>
                <w:sz w:val="20"/>
              </w:rPr>
            </w:pPr>
            <w:r w:rsidRPr="006C2A66">
              <w:rPr>
                <w:sz w:val="20"/>
              </w:rPr>
              <w:t>0.00</w:t>
            </w:r>
          </w:p>
        </w:tc>
        <w:tc>
          <w:tcPr>
            <w:tcW w:w="1173"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jc w:val="right"/>
              <w:rPr>
                <w:sz w:val="20"/>
              </w:rPr>
            </w:pPr>
            <w:r w:rsidRPr="006C2A66">
              <w:rPr>
                <w:sz w:val="20"/>
              </w:rPr>
              <w:t>157,844.50</w:t>
            </w:r>
          </w:p>
        </w:tc>
        <w:tc>
          <w:tcPr>
            <w:tcW w:w="1054"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jc w:val="right"/>
              <w:rPr>
                <w:sz w:val="20"/>
              </w:rPr>
            </w:pPr>
            <w:r w:rsidRPr="006C2A66">
              <w:rPr>
                <w:sz w:val="20"/>
              </w:rPr>
              <w:t>0.00</w:t>
            </w:r>
          </w:p>
        </w:tc>
        <w:tc>
          <w:tcPr>
            <w:tcW w:w="1387"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jc w:val="right"/>
              <w:rPr>
                <w:sz w:val="20"/>
              </w:rPr>
            </w:pPr>
            <w:r w:rsidRPr="006C2A66">
              <w:rPr>
                <w:sz w:val="20"/>
              </w:rPr>
              <w:t>2,788,586.10</w:t>
            </w:r>
          </w:p>
        </w:tc>
      </w:tr>
      <w:tr w:rsidR="006229F9" w:rsidRPr="006C2A66" w:rsidTr="00CF2CE4">
        <w:trPr>
          <w:trHeight w:val="255"/>
          <w:jc w:val="center"/>
        </w:trPr>
        <w:tc>
          <w:tcPr>
            <w:tcW w:w="3459"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rPr>
                <w:sz w:val="20"/>
              </w:rPr>
            </w:pPr>
            <w:r w:rsidRPr="006C2A66">
              <w:rPr>
                <w:sz w:val="20"/>
              </w:rPr>
              <w:t>Congo (Republic of the)</w:t>
            </w:r>
          </w:p>
        </w:tc>
        <w:tc>
          <w:tcPr>
            <w:tcW w:w="1634"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rPr>
                <w:sz w:val="20"/>
              </w:rPr>
            </w:pPr>
            <w:proofErr w:type="spellStart"/>
            <w:r w:rsidRPr="006C2A66">
              <w:rPr>
                <w:sz w:val="20"/>
              </w:rPr>
              <w:t>Rés</w:t>
            </w:r>
            <w:proofErr w:type="spellEnd"/>
            <w:r w:rsidRPr="006C2A66">
              <w:rPr>
                <w:sz w:val="20"/>
              </w:rPr>
              <w:t>. 41 - 2015</w:t>
            </w:r>
          </w:p>
        </w:tc>
        <w:tc>
          <w:tcPr>
            <w:tcW w:w="1811"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jc w:val="right"/>
              <w:rPr>
                <w:sz w:val="20"/>
              </w:rPr>
            </w:pPr>
            <w:r w:rsidRPr="006C2A66">
              <w:rPr>
                <w:sz w:val="20"/>
              </w:rPr>
              <w:t>1,258,821.17</w:t>
            </w:r>
          </w:p>
        </w:tc>
        <w:tc>
          <w:tcPr>
            <w:tcW w:w="1489"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jc w:val="right"/>
              <w:rPr>
                <w:sz w:val="20"/>
              </w:rPr>
            </w:pPr>
            <w:r w:rsidRPr="006C2A66">
              <w:rPr>
                <w:sz w:val="20"/>
              </w:rPr>
              <w:t>1,347,693.92</w:t>
            </w:r>
          </w:p>
        </w:tc>
        <w:tc>
          <w:tcPr>
            <w:tcW w:w="1360"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jc w:val="right"/>
              <w:rPr>
                <w:sz w:val="20"/>
              </w:rPr>
            </w:pPr>
            <w:r w:rsidRPr="006C2A66">
              <w:rPr>
                <w:sz w:val="20"/>
              </w:rPr>
              <w:t>0.00</w:t>
            </w:r>
          </w:p>
        </w:tc>
        <w:tc>
          <w:tcPr>
            <w:tcW w:w="1173"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jc w:val="right"/>
              <w:rPr>
                <w:sz w:val="20"/>
              </w:rPr>
            </w:pPr>
            <w:r w:rsidRPr="006C2A66">
              <w:rPr>
                <w:sz w:val="20"/>
              </w:rPr>
              <w:t>80,861.65</w:t>
            </w:r>
          </w:p>
        </w:tc>
        <w:tc>
          <w:tcPr>
            <w:tcW w:w="1054"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jc w:val="right"/>
              <w:rPr>
                <w:sz w:val="20"/>
              </w:rPr>
            </w:pPr>
            <w:r w:rsidRPr="006C2A66">
              <w:rPr>
                <w:sz w:val="20"/>
              </w:rPr>
              <w:t>0.00</w:t>
            </w:r>
          </w:p>
        </w:tc>
        <w:tc>
          <w:tcPr>
            <w:tcW w:w="1387"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jc w:val="right"/>
              <w:rPr>
                <w:sz w:val="20"/>
              </w:rPr>
            </w:pPr>
            <w:r w:rsidRPr="006C2A66">
              <w:rPr>
                <w:sz w:val="20"/>
              </w:rPr>
              <w:t>1,428,555.57</w:t>
            </w:r>
          </w:p>
        </w:tc>
      </w:tr>
      <w:tr w:rsidR="006229F9" w:rsidRPr="006C2A66" w:rsidTr="00CF2CE4">
        <w:trPr>
          <w:trHeight w:val="255"/>
          <w:jc w:val="center"/>
        </w:trPr>
        <w:tc>
          <w:tcPr>
            <w:tcW w:w="3459"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rPr>
                <w:sz w:val="20"/>
              </w:rPr>
            </w:pPr>
            <w:r w:rsidRPr="006C2A66">
              <w:rPr>
                <w:sz w:val="20"/>
              </w:rPr>
              <w:t>Guinea-Bissau</w:t>
            </w:r>
          </w:p>
        </w:tc>
        <w:tc>
          <w:tcPr>
            <w:tcW w:w="1634"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rPr>
                <w:sz w:val="20"/>
              </w:rPr>
            </w:pPr>
            <w:proofErr w:type="spellStart"/>
            <w:r w:rsidRPr="006C2A66">
              <w:rPr>
                <w:sz w:val="20"/>
              </w:rPr>
              <w:t>Rés</w:t>
            </w:r>
            <w:proofErr w:type="spellEnd"/>
            <w:r w:rsidRPr="006C2A66">
              <w:rPr>
                <w:sz w:val="20"/>
              </w:rPr>
              <w:t>. 41 - 2015</w:t>
            </w:r>
          </w:p>
        </w:tc>
        <w:tc>
          <w:tcPr>
            <w:tcW w:w="1811"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jc w:val="right"/>
              <w:rPr>
                <w:sz w:val="20"/>
              </w:rPr>
            </w:pPr>
            <w:r w:rsidRPr="006C2A66">
              <w:rPr>
                <w:sz w:val="20"/>
              </w:rPr>
              <w:t>3,867,914.36</w:t>
            </w:r>
          </w:p>
        </w:tc>
        <w:tc>
          <w:tcPr>
            <w:tcW w:w="1489"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jc w:val="right"/>
              <w:rPr>
                <w:sz w:val="20"/>
              </w:rPr>
            </w:pPr>
            <w:r w:rsidRPr="006C2A66">
              <w:rPr>
                <w:sz w:val="20"/>
              </w:rPr>
              <w:t>4,099,989.21</w:t>
            </w:r>
          </w:p>
        </w:tc>
        <w:tc>
          <w:tcPr>
            <w:tcW w:w="1360"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jc w:val="right"/>
              <w:rPr>
                <w:sz w:val="20"/>
              </w:rPr>
            </w:pPr>
            <w:r w:rsidRPr="006C2A66">
              <w:rPr>
                <w:sz w:val="20"/>
              </w:rPr>
              <w:t>0.00</w:t>
            </w:r>
          </w:p>
        </w:tc>
        <w:tc>
          <w:tcPr>
            <w:tcW w:w="1173"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jc w:val="right"/>
              <w:rPr>
                <w:sz w:val="20"/>
              </w:rPr>
            </w:pPr>
            <w:r w:rsidRPr="006C2A66">
              <w:rPr>
                <w:sz w:val="20"/>
              </w:rPr>
              <w:t>245,999.35</w:t>
            </w:r>
          </w:p>
        </w:tc>
        <w:tc>
          <w:tcPr>
            <w:tcW w:w="1054"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jc w:val="right"/>
              <w:rPr>
                <w:sz w:val="20"/>
              </w:rPr>
            </w:pPr>
            <w:r w:rsidRPr="006C2A66">
              <w:rPr>
                <w:sz w:val="20"/>
              </w:rPr>
              <w:t>0.00</w:t>
            </w:r>
          </w:p>
        </w:tc>
        <w:tc>
          <w:tcPr>
            <w:tcW w:w="1387"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jc w:val="right"/>
              <w:rPr>
                <w:sz w:val="20"/>
              </w:rPr>
            </w:pPr>
            <w:r w:rsidRPr="006C2A66">
              <w:rPr>
                <w:sz w:val="20"/>
              </w:rPr>
              <w:t>4,345,988.56</w:t>
            </w:r>
          </w:p>
        </w:tc>
      </w:tr>
      <w:tr w:rsidR="006229F9" w:rsidRPr="006C2A66" w:rsidTr="00CF2CE4">
        <w:trPr>
          <w:trHeight w:val="255"/>
          <w:jc w:val="center"/>
        </w:trPr>
        <w:tc>
          <w:tcPr>
            <w:tcW w:w="3459"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rPr>
                <w:sz w:val="20"/>
              </w:rPr>
            </w:pPr>
            <w:r w:rsidRPr="006C2A66">
              <w:rPr>
                <w:sz w:val="20"/>
              </w:rPr>
              <w:t>Somalia</w:t>
            </w:r>
          </w:p>
        </w:tc>
        <w:tc>
          <w:tcPr>
            <w:tcW w:w="1634"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rPr>
                <w:sz w:val="20"/>
              </w:rPr>
            </w:pPr>
            <w:proofErr w:type="spellStart"/>
            <w:r w:rsidRPr="006C2A66">
              <w:rPr>
                <w:sz w:val="20"/>
              </w:rPr>
              <w:t>Rés</w:t>
            </w:r>
            <w:proofErr w:type="spellEnd"/>
            <w:r w:rsidRPr="006C2A66">
              <w:rPr>
                <w:sz w:val="20"/>
              </w:rPr>
              <w:t>. 41 - 2015</w:t>
            </w:r>
          </w:p>
        </w:tc>
        <w:tc>
          <w:tcPr>
            <w:tcW w:w="1811"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jc w:val="right"/>
              <w:rPr>
                <w:sz w:val="20"/>
              </w:rPr>
            </w:pPr>
            <w:r w:rsidRPr="006C2A66">
              <w:rPr>
                <w:sz w:val="20"/>
              </w:rPr>
              <w:t>2,123,547.13</w:t>
            </w:r>
          </w:p>
        </w:tc>
        <w:tc>
          <w:tcPr>
            <w:tcW w:w="1489"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jc w:val="right"/>
              <w:rPr>
                <w:sz w:val="20"/>
              </w:rPr>
            </w:pPr>
            <w:r w:rsidRPr="006C2A66">
              <w:rPr>
                <w:sz w:val="20"/>
              </w:rPr>
              <w:t>2,218,664.36</w:t>
            </w:r>
          </w:p>
        </w:tc>
        <w:tc>
          <w:tcPr>
            <w:tcW w:w="1360"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jc w:val="right"/>
              <w:rPr>
                <w:sz w:val="20"/>
              </w:rPr>
            </w:pPr>
            <w:r w:rsidRPr="006C2A66">
              <w:rPr>
                <w:sz w:val="20"/>
              </w:rPr>
              <w:t>-2,218,664.36</w:t>
            </w:r>
          </w:p>
        </w:tc>
        <w:tc>
          <w:tcPr>
            <w:tcW w:w="1173"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jc w:val="right"/>
              <w:rPr>
                <w:sz w:val="20"/>
              </w:rPr>
            </w:pPr>
            <w:r w:rsidRPr="006C2A66">
              <w:rPr>
                <w:sz w:val="20"/>
              </w:rPr>
              <w:t>0.00</w:t>
            </w:r>
          </w:p>
        </w:tc>
        <w:tc>
          <w:tcPr>
            <w:tcW w:w="1054"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jc w:val="right"/>
              <w:rPr>
                <w:sz w:val="20"/>
              </w:rPr>
            </w:pPr>
            <w:r w:rsidRPr="006C2A66">
              <w:rPr>
                <w:sz w:val="20"/>
              </w:rPr>
              <w:t>0.00</w:t>
            </w:r>
          </w:p>
        </w:tc>
        <w:tc>
          <w:tcPr>
            <w:tcW w:w="1387"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jc w:val="right"/>
              <w:rPr>
                <w:sz w:val="20"/>
              </w:rPr>
            </w:pPr>
            <w:r w:rsidRPr="006C2A66">
              <w:rPr>
                <w:sz w:val="20"/>
              </w:rPr>
              <w:t>0.00</w:t>
            </w:r>
          </w:p>
        </w:tc>
      </w:tr>
      <w:tr w:rsidR="006229F9" w:rsidRPr="006C2A66" w:rsidTr="00CF2CE4">
        <w:trPr>
          <w:trHeight w:val="255"/>
          <w:jc w:val="center"/>
        </w:trPr>
        <w:tc>
          <w:tcPr>
            <w:tcW w:w="3459"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rPr>
                <w:sz w:val="20"/>
              </w:rPr>
            </w:pPr>
            <w:r w:rsidRPr="006C2A66">
              <w:rPr>
                <w:sz w:val="20"/>
              </w:rPr>
              <w:t>Central African Republic</w:t>
            </w:r>
          </w:p>
        </w:tc>
        <w:tc>
          <w:tcPr>
            <w:tcW w:w="1634"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rPr>
                <w:sz w:val="20"/>
              </w:rPr>
            </w:pPr>
            <w:proofErr w:type="spellStart"/>
            <w:r w:rsidRPr="006C2A66">
              <w:rPr>
                <w:sz w:val="20"/>
              </w:rPr>
              <w:t>Rés</w:t>
            </w:r>
            <w:proofErr w:type="spellEnd"/>
            <w:r w:rsidRPr="006C2A66">
              <w:rPr>
                <w:sz w:val="20"/>
              </w:rPr>
              <w:t>. 41 - 2016</w:t>
            </w:r>
          </w:p>
        </w:tc>
        <w:tc>
          <w:tcPr>
            <w:tcW w:w="1811"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jc w:val="right"/>
              <w:rPr>
                <w:sz w:val="20"/>
              </w:rPr>
            </w:pPr>
            <w:r w:rsidRPr="006C2A66">
              <w:rPr>
                <w:sz w:val="20"/>
              </w:rPr>
              <w:t>136,346.33</w:t>
            </w:r>
          </w:p>
        </w:tc>
        <w:tc>
          <w:tcPr>
            <w:tcW w:w="1489"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jc w:val="right"/>
              <w:rPr>
                <w:sz w:val="20"/>
              </w:rPr>
            </w:pPr>
            <w:r w:rsidRPr="006C2A66">
              <w:rPr>
                <w:sz w:val="20"/>
              </w:rPr>
              <w:t>136,346.33</w:t>
            </w:r>
          </w:p>
        </w:tc>
        <w:tc>
          <w:tcPr>
            <w:tcW w:w="1360"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jc w:val="right"/>
              <w:rPr>
                <w:sz w:val="20"/>
              </w:rPr>
            </w:pPr>
            <w:r w:rsidRPr="006C2A66">
              <w:rPr>
                <w:sz w:val="20"/>
              </w:rPr>
              <w:t>-136,346.33</w:t>
            </w:r>
          </w:p>
        </w:tc>
        <w:tc>
          <w:tcPr>
            <w:tcW w:w="1173"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jc w:val="right"/>
              <w:rPr>
                <w:sz w:val="20"/>
              </w:rPr>
            </w:pPr>
            <w:r w:rsidRPr="006C2A66">
              <w:rPr>
                <w:sz w:val="20"/>
              </w:rPr>
              <w:t>0.00</w:t>
            </w:r>
          </w:p>
        </w:tc>
        <w:tc>
          <w:tcPr>
            <w:tcW w:w="1054"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jc w:val="right"/>
              <w:rPr>
                <w:sz w:val="20"/>
              </w:rPr>
            </w:pPr>
            <w:r w:rsidRPr="006C2A66">
              <w:rPr>
                <w:sz w:val="20"/>
              </w:rPr>
              <w:t>0.00</w:t>
            </w:r>
          </w:p>
        </w:tc>
        <w:tc>
          <w:tcPr>
            <w:tcW w:w="1387"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jc w:val="right"/>
              <w:rPr>
                <w:sz w:val="20"/>
              </w:rPr>
            </w:pPr>
            <w:r w:rsidRPr="006C2A66">
              <w:rPr>
                <w:sz w:val="20"/>
              </w:rPr>
              <w:t>0.00</w:t>
            </w:r>
          </w:p>
        </w:tc>
      </w:tr>
      <w:tr w:rsidR="006229F9" w:rsidRPr="006C2A66" w:rsidTr="00CF2CE4">
        <w:trPr>
          <w:trHeight w:val="255"/>
          <w:jc w:val="center"/>
        </w:trPr>
        <w:tc>
          <w:tcPr>
            <w:tcW w:w="3459"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rPr>
                <w:sz w:val="20"/>
              </w:rPr>
            </w:pPr>
            <w:r w:rsidRPr="006C2A66">
              <w:rPr>
                <w:sz w:val="20"/>
              </w:rPr>
              <w:t>Gambia</w:t>
            </w:r>
          </w:p>
        </w:tc>
        <w:tc>
          <w:tcPr>
            <w:tcW w:w="1634"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rPr>
                <w:sz w:val="20"/>
              </w:rPr>
            </w:pPr>
            <w:proofErr w:type="spellStart"/>
            <w:r w:rsidRPr="006C2A66">
              <w:rPr>
                <w:sz w:val="20"/>
              </w:rPr>
              <w:t>Rés</w:t>
            </w:r>
            <w:proofErr w:type="spellEnd"/>
            <w:r w:rsidRPr="006C2A66">
              <w:rPr>
                <w:sz w:val="20"/>
              </w:rPr>
              <w:t>. 41 - 2016</w:t>
            </w:r>
          </w:p>
        </w:tc>
        <w:tc>
          <w:tcPr>
            <w:tcW w:w="1811"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jc w:val="right"/>
              <w:rPr>
                <w:sz w:val="20"/>
              </w:rPr>
            </w:pPr>
            <w:r w:rsidRPr="006C2A66">
              <w:rPr>
                <w:sz w:val="20"/>
              </w:rPr>
              <w:t>192,014.03</w:t>
            </w:r>
          </w:p>
        </w:tc>
        <w:tc>
          <w:tcPr>
            <w:tcW w:w="1489"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jc w:val="right"/>
              <w:rPr>
                <w:sz w:val="20"/>
              </w:rPr>
            </w:pPr>
            <w:r w:rsidRPr="006C2A66">
              <w:rPr>
                <w:sz w:val="20"/>
              </w:rPr>
              <w:t>194,862.23</w:t>
            </w:r>
          </w:p>
        </w:tc>
        <w:tc>
          <w:tcPr>
            <w:tcW w:w="1360"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jc w:val="right"/>
              <w:rPr>
                <w:sz w:val="20"/>
              </w:rPr>
            </w:pPr>
            <w:r w:rsidRPr="006C2A66">
              <w:rPr>
                <w:sz w:val="20"/>
              </w:rPr>
              <w:t>0.00</w:t>
            </w:r>
          </w:p>
        </w:tc>
        <w:tc>
          <w:tcPr>
            <w:tcW w:w="1173"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jc w:val="right"/>
              <w:rPr>
                <w:sz w:val="20"/>
              </w:rPr>
            </w:pPr>
            <w:r w:rsidRPr="006C2A66">
              <w:rPr>
                <w:sz w:val="20"/>
              </w:rPr>
              <w:t>11,691.75</w:t>
            </w:r>
          </w:p>
        </w:tc>
        <w:tc>
          <w:tcPr>
            <w:tcW w:w="1054"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jc w:val="right"/>
              <w:rPr>
                <w:sz w:val="20"/>
              </w:rPr>
            </w:pPr>
            <w:r w:rsidRPr="006C2A66">
              <w:rPr>
                <w:sz w:val="20"/>
              </w:rPr>
              <w:t>0.00</w:t>
            </w:r>
          </w:p>
        </w:tc>
        <w:tc>
          <w:tcPr>
            <w:tcW w:w="1387"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jc w:val="right"/>
              <w:rPr>
                <w:sz w:val="20"/>
              </w:rPr>
            </w:pPr>
            <w:r w:rsidRPr="006C2A66">
              <w:rPr>
                <w:sz w:val="20"/>
              </w:rPr>
              <w:t>206,553.98</w:t>
            </w:r>
          </w:p>
        </w:tc>
      </w:tr>
      <w:tr w:rsidR="006229F9" w:rsidRPr="006C2A66" w:rsidTr="00CF2CE4">
        <w:trPr>
          <w:trHeight w:val="255"/>
          <w:jc w:val="center"/>
        </w:trPr>
        <w:tc>
          <w:tcPr>
            <w:tcW w:w="3459"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rPr>
                <w:sz w:val="20"/>
              </w:rPr>
            </w:pPr>
            <w:r w:rsidRPr="006C2A66">
              <w:rPr>
                <w:sz w:val="20"/>
              </w:rPr>
              <w:t>Nicaragua</w:t>
            </w:r>
          </w:p>
        </w:tc>
        <w:tc>
          <w:tcPr>
            <w:tcW w:w="1634"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rPr>
                <w:sz w:val="20"/>
              </w:rPr>
            </w:pPr>
            <w:proofErr w:type="spellStart"/>
            <w:r w:rsidRPr="006C2A66">
              <w:rPr>
                <w:sz w:val="20"/>
              </w:rPr>
              <w:t>Rés</w:t>
            </w:r>
            <w:proofErr w:type="spellEnd"/>
            <w:r w:rsidRPr="006C2A66">
              <w:rPr>
                <w:sz w:val="20"/>
              </w:rPr>
              <w:t>. 41 - 2016</w:t>
            </w:r>
          </w:p>
        </w:tc>
        <w:tc>
          <w:tcPr>
            <w:tcW w:w="1811"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jc w:val="right"/>
              <w:rPr>
                <w:sz w:val="20"/>
              </w:rPr>
            </w:pPr>
            <w:r w:rsidRPr="006C2A66">
              <w:rPr>
                <w:sz w:val="20"/>
              </w:rPr>
              <w:t>1,462,488.98</w:t>
            </w:r>
          </w:p>
        </w:tc>
        <w:tc>
          <w:tcPr>
            <w:tcW w:w="1489"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jc w:val="right"/>
              <w:rPr>
                <w:sz w:val="20"/>
              </w:rPr>
            </w:pPr>
            <w:r w:rsidRPr="006C2A66">
              <w:rPr>
                <w:sz w:val="20"/>
              </w:rPr>
              <w:t>1,549,994.58</w:t>
            </w:r>
          </w:p>
        </w:tc>
        <w:tc>
          <w:tcPr>
            <w:tcW w:w="1360"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jc w:val="right"/>
              <w:rPr>
                <w:sz w:val="20"/>
              </w:rPr>
            </w:pPr>
            <w:r w:rsidRPr="006C2A66">
              <w:rPr>
                <w:sz w:val="20"/>
              </w:rPr>
              <w:t>0.00</w:t>
            </w:r>
          </w:p>
        </w:tc>
        <w:tc>
          <w:tcPr>
            <w:tcW w:w="1173"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jc w:val="right"/>
              <w:rPr>
                <w:sz w:val="20"/>
              </w:rPr>
            </w:pPr>
            <w:r w:rsidRPr="006C2A66">
              <w:rPr>
                <w:sz w:val="20"/>
              </w:rPr>
              <w:t>92,999.70</w:t>
            </w:r>
          </w:p>
        </w:tc>
        <w:tc>
          <w:tcPr>
            <w:tcW w:w="1054"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jc w:val="right"/>
              <w:rPr>
                <w:sz w:val="20"/>
              </w:rPr>
            </w:pPr>
            <w:r w:rsidRPr="006C2A66">
              <w:rPr>
                <w:sz w:val="20"/>
              </w:rPr>
              <w:t>0.00</w:t>
            </w:r>
          </w:p>
        </w:tc>
        <w:tc>
          <w:tcPr>
            <w:tcW w:w="1387"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jc w:val="right"/>
              <w:rPr>
                <w:sz w:val="20"/>
              </w:rPr>
            </w:pPr>
            <w:r w:rsidRPr="006C2A66">
              <w:rPr>
                <w:sz w:val="20"/>
              </w:rPr>
              <w:t>1,642,994.28</w:t>
            </w:r>
          </w:p>
        </w:tc>
      </w:tr>
      <w:tr w:rsidR="006229F9" w:rsidRPr="006C2A66" w:rsidTr="00CF2CE4">
        <w:trPr>
          <w:trHeight w:val="255"/>
          <w:jc w:val="center"/>
        </w:trPr>
        <w:tc>
          <w:tcPr>
            <w:tcW w:w="3459"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rPr>
                <w:sz w:val="20"/>
              </w:rPr>
            </w:pPr>
            <w:r w:rsidRPr="006C2A66">
              <w:rPr>
                <w:sz w:val="20"/>
              </w:rPr>
              <w:t>Sudan</w:t>
            </w:r>
          </w:p>
        </w:tc>
        <w:tc>
          <w:tcPr>
            <w:tcW w:w="1634"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rPr>
                <w:sz w:val="20"/>
              </w:rPr>
            </w:pPr>
            <w:proofErr w:type="spellStart"/>
            <w:r w:rsidRPr="006C2A66">
              <w:rPr>
                <w:sz w:val="20"/>
              </w:rPr>
              <w:t>Rés</w:t>
            </w:r>
            <w:proofErr w:type="spellEnd"/>
            <w:r w:rsidRPr="006C2A66">
              <w:rPr>
                <w:sz w:val="20"/>
              </w:rPr>
              <w:t>. 41 - 2016</w:t>
            </w:r>
          </w:p>
        </w:tc>
        <w:tc>
          <w:tcPr>
            <w:tcW w:w="1811"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jc w:val="right"/>
              <w:rPr>
                <w:sz w:val="20"/>
              </w:rPr>
            </w:pPr>
            <w:r w:rsidRPr="006C2A66">
              <w:rPr>
                <w:sz w:val="20"/>
              </w:rPr>
              <w:t>171,028.45</w:t>
            </w:r>
          </w:p>
        </w:tc>
        <w:tc>
          <w:tcPr>
            <w:tcW w:w="1489"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jc w:val="right"/>
              <w:rPr>
                <w:sz w:val="20"/>
              </w:rPr>
            </w:pPr>
            <w:r w:rsidRPr="006C2A66">
              <w:rPr>
                <w:sz w:val="20"/>
              </w:rPr>
              <w:t>171,028.45</w:t>
            </w:r>
          </w:p>
        </w:tc>
        <w:tc>
          <w:tcPr>
            <w:tcW w:w="1360"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jc w:val="right"/>
              <w:rPr>
                <w:sz w:val="20"/>
              </w:rPr>
            </w:pPr>
            <w:r w:rsidRPr="006C2A66">
              <w:rPr>
                <w:sz w:val="20"/>
              </w:rPr>
              <w:t>-171,028.45</w:t>
            </w:r>
          </w:p>
        </w:tc>
        <w:tc>
          <w:tcPr>
            <w:tcW w:w="1173"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jc w:val="right"/>
              <w:rPr>
                <w:sz w:val="20"/>
              </w:rPr>
            </w:pPr>
            <w:r w:rsidRPr="006C2A66">
              <w:rPr>
                <w:sz w:val="20"/>
              </w:rPr>
              <w:t>0.00</w:t>
            </w:r>
          </w:p>
        </w:tc>
        <w:tc>
          <w:tcPr>
            <w:tcW w:w="1054"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jc w:val="right"/>
              <w:rPr>
                <w:sz w:val="20"/>
              </w:rPr>
            </w:pPr>
            <w:r w:rsidRPr="006C2A66">
              <w:rPr>
                <w:sz w:val="20"/>
              </w:rPr>
              <w:t>0.00</w:t>
            </w:r>
          </w:p>
        </w:tc>
        <w:tc>
          <w:tcPr>
            <w:tcW w:w="1387"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jc w:val="right"/>
              <w:rPr>
                <w:sz w:val="20"/>
              </w:rPr>
            </w:pPr>
            <w:r w:rsidRPr="006C2A66">
              <w:rPr>
                <w:sz w:val="20"/>
              </w:rPr>
              <w:t>0.00</w:t>
            </w:r>
          </w:p>
        </w:tc>
      </w:tr>
      <w:tr w:rsidR="006229F9" w:rsidRPr="006C2A66" w:rsidTr="00CF2CE4">
        <w:trPr>
          <w:trHeight w:val="255"/>
          <w:jc w:val="center"/>
        </w:trPr>
        <w:tc>
          <w:tcPr>
            <w:tcW w:w="3459"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rPr>
                <w:sz w:val="20"/>
              </w:rPr>
            </w:pPr>
            <w:r w:rsidRPr="006C2A66">
              <w:rPr>
                <w:sz w:val="20"/>
              </w:rPr>
              <w:t>Sierra Leone</w:t>
            </w:r>
          </w:p>
        </w:tc>
        <w:tc>
          <w:tcPr>
            <w:tcW w:w="1634"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rPr>
                <w:sz w:val="20"/>
              </w:rPr>
            </w:pPr>
            <w:proofErr w:type="spellStart"/>
            <w:r w:rsidRPr="006C2A66">
              <w:rPr>
                <w:sz w:val="20"/>
              </w:rPr>
              <w:t>Rés</w:t>
            </w:r>
            <w:proofErr w:type="spellEnd"/>
            <w:r w:rsidRPr="006C2A66">
              <w:rPr>
                <w:sz w:val="20"/>
              </w:rPr>
              <w:t>. 41- 2017</w:t>
            </w:r>
          </w:p>
        </w:tc>
        <w:tc>
          <w:tcPr>
            <w:tcW w:w="1811"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jc w:val="right"/>
              <w:rPr>
                <w:sz w:val="20"/>
              </w:rPr>
            </w:pPr>
            <w:r w:rsidRPr="006C2A66">
              <w:rPr>
                <w:sz w:val="20"/>
              </w:rPr>
              <w:t>2,744,076.19</w:t>
            </w:r>
          </w:p>
        </w:tc>
        <w:tc>
          <w:tcPr>
            <w:tcW w:w="1489"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jc w:val="right"/>
              <w:rPr>
                <w:sz w:val="20"/>
              </w:rPr>
            </w:pPr>
            <w:r w:rsidRPr="006C2A66">
              <w:rPr>
                <w:sz w:val="20"/>
              </w:rPr>
              <w:t>0.00</w:t>
            </w:r>
          </w:p>
        </w:tc>
        <w:tc>
          <w:tcPr>
            <w:tcW w:w="1360"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jc w:val="right"/>
              <w:rPr>
                <w:sz w:val="20"/>
              </w:rPr>
            </w:pPr>
            <w:r w:rsidRPr="006C2A66">
              <w:rPr>
                <w:sz w:val="20"/>
              </w:rPr>
              <w:t>2,744,076.19</w:t>
            </w:r>
          </w:p>
        </w:tc>
        <w:tc>
          <w:tcPr>
            <w:tcW w:w="1173"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jc w:val="right"/>
              <w:rPr>
                <w:sz w:val="20"/>
              </w:rPr>
            </w:pPr>
            <w:r w:rsidRPr="006C2A66">
              <w:rPr>
                <w:sz w:val="20"/>
              </w:rPr>
              <w:t>0.00</w:t>
            </w:r>
          </w:p>
        </w:tc>
        <w:tc>
          <w:tcPr>
            <w:tcW w:w="1054"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jc w:val="right"/>
              <w:rPr>
                <w:sz w:val="20"/>
              </w:rPr>
            </w:pPr>
            <w:r w:rsidRPr="006C2A66">
              <w:rPr>
                <w:sz w:val="20"/>
              </w:rPr>
              <w:t>0.00</w:t>
            </w:r>
          </w:p>
        </w:tc>
        <w:tc>
          <w:tcPr>
            <w:tcW w:w="1387"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jc w:val="right"/>
              <w:rPr>
                <w:sz w:val="20"/>
              </w:rPr>
            </w:pPr>
            <w:r w:rsidRPr="006C2A66">
              <w:rPr>
                <w:sz w:val="20"/>
              </w:rPr>
              <w:t>2,744,076.19</w:t>
            </w:r>
          </w:p>
        </w:tc>
      </w:tr>
      <w:tr w:rsidR="006229F9" w:rsidRPr="006C2A66" w:rsidTr="00CF2CE4">
        <w:trPr>
          <w:trHeight w:val="255"/>
          <w:jc w:val="center"/>
        </w:trPr>
        <w:tc>
          <w:tcPr>
            <w:tcW w:w="3459"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jc w:val="right"/>
              <w:rPr>
                <w:sz w:val="20"/>
              </w:rPr>
            </w:pPr>
          </w:p>
        </w:tc>
        <w:tc>
          <w:tcPr>
            <w:tcW w:w="1634"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rPr>
                <w:rFonts w:ascii="Times New Roman" w:hAnsi="Times New Roman"/>
                <w:sz w:val="20"/>
              </w:rPr>
            </w:pPr>
          </w:p>
        </w:tc>
        <w:tc>
          <w:tcPr>
            <w:tcW w:w="1811"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rPr>
                <w:rFonts w:ascii="Times New Roman" w:hAnsi="Times New Roman"/>
                <w:sz w:val="20"/>
              </w:rPr>
            </w:pPr>
          </w:p>
        </w:tc>
        <w:tc>
          <w:tcPr>
            <w:tcW w:w="1489"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rPr>
                <w:rFonts w:ascii="Times New Roman" w:hAnsi="Times New Roman"/>
                <w:sz w:val="20"/>
              </w:rPr>
            </w:pPr>
          </w:p>
        </w:tc>
        <w:tc>
          <w:tcPr>
            <w:tcW w:w="1360"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rPr>
                <w:rFonts w:ascii="Times New Roman" w:hAnsi="Times New Roman"/>
                <w:sz w:val="20"/>
              </w:rPr>
            </w:pPr>
          </w:p>
        </w:tc>
        <w:tc>
          <w:tcPr>
            <w:tcW w:w="1173"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rPr>
                <w:rFonts w:ascii="Times New Roman" w:hAnsi="Times New Roman"/>
                <w:sz w:val="20"/>
              </w:rPr>
            </w:pPr>
          </w:p>
        </w:tc>
        <w:tc>
          <w:tcPr>
            <w:tcW w:w="1054"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rPr>
                <w:rFonts w:ascii="Times New Roman" w:hAnsi="Times New Roman"/>
                <w:sz w:val="20"/>
              </w:rPr>
            </w:pPr>
          </w:p>
        </w:tc>
        <w:tc>
          <w:tcPr>
            <w:tcW w:w="1387"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rPr>
                <w:rFonts w:ascii="Times New Roman" w:hAnsi="Times New Roman"/>
                <w:sz w:val="20"/>
              </w:rPr>
            </w:pPr>
          </w:p>
        </w:tc>
      </w:tr>
      <w:tr w:rsidR="006229F9" w:rsidRPr="006C2A66" w:rsidTr="00CF2CE4">
        <w:trPr>
          <w:trHeight w:val="255"/>
          <w:jc w:val="center"/>
        </w:trPr>
        <w:tc>
          <w:tcPr>
            <w:tcW w:w="3459"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6229F9">
            <w:pPr>
              <w:rPr>
                <w:b/>
                <w:bCs/>
                <w:sz w:val="20"/>
              </w:rPr>
            </w:pPr>
            <w:r w:rsidRPr="006C2A66">
              <w:rPr>
                <w:b/>
                <w:bCs/>
                <w:sz w:val="20"/>
              </w:rPr>
              <w:t>Sector Members/Companies</w:t>
            </w:r>
          </w:p>
        </w:tc>
        <w:tc>
          <w:tcPr>
            <w:tcW w:w="1634"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jc w:val="center"/>
              <w:rPr>
                <w:b/>
                <w:bCs/>
                <w:sz w:val="20"/>
              </w:rPr>
            </w:pPr>
          </w:p>
        </w:tc>
        <w:tc>
          <w:tcPr>
            <w:tcW w:w="1811"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rPr>
                <w:rFonts w:ascii="Times New Roman" w:hAnsi="Times New Roman"/>
                <w:sz w:val="20"/>
              </w:rPr>
            </w:pPr>
          </w:p>
        </w:tc>
        <w:tc>
          <w:tcPr>
            <w:tcW w:w="1489"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rPr>
                <w:rFonts w:ascii="Times New Roman" w:hAnsi="Times New Roman"/>
                <w:sz w:val="20"/>
              </w:rPr>
            </w:pPr>
          </w:p>
        </w:tc>
        <w:tc>
          <w:tcPr>
            <w:tcW w:w="1360"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rPr>
                <w:rFonts w:ascii="Times New Roman" w:hAnsi="Times New Roman"/>
                <w:sz w:val="20"/>
              </w:rPr>
            </w:pPr>
          </w:p>
        </w:tc>
        <w:tc>
          <w:tcPr>
            <w:tcW w:w="1173"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rPr>
                <w:rFonts w:ascii="Times New Roman" w:hAnsi="Times New Roman"/>
                <w:sz w:val="20"/>
              </w:rPr>
            </w:pPr>
          </w:p>
        </w:tc>
        <w:tc>
          <w:tcPr>
            <w:tcW w:w="1054"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rPr>
                <w:rFonts w:ascii="Times New Roman" w:hAnsi="Times New Roman"/>
                <w:sz w:val="20"/>
              </w:rPr>
            </w:pPr>
          </w:p>
        </w:tc>
        <w:tc>
          <w:tcPr>
            <w:tcW w:w="1387"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rPr>
                <w:rFonts w:ascii="Times New Roman" w:hAnsi="Times New Roman"/>
                <w:sz w:val="20"/>
              </w:rPr>
            </w:pPr>
          </w:p>
        </w:tc>
      </w:tr>
      <w:tr w:rsidR="006229F9" w:rsidRPr="006C2A66" w:rsidTr="00CF2CE4">
        <w:trPr>
          <w:trHeight w:val="255"/>
          <w:jc w:val="center"/>
        </w:trPr>
        <w:tc>
          <w:tcPr>
            <w:tcW w:w="3459"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rPr>
                <w:rFonts w:ascii="Times New Roman" w:hAnsi="Times New Roman"/>
                <w:sz w:val="20"/>
              </w:rPr>
            </w:pPr>
          </w:p>
        </w:tc>
        <w:tc>
          <w:tcPr>
            <w:tcW w:w="1634"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jc w:val="center"/>
              <w:rPr>
                <w:rFonts w:ascii="Times New Roman" w:hAnsi="Times New Roman"/>
                <w:sz w:val="20"/>
              </w:rPr>
            </w:pPr>
          </w:p>
        </w:tc>
        <w:tc>
          <w:tcPr>
            <w:tcW w:w="1811"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rPr>
                <w:rFonts w:ascii="Times New Roman" w:hAnsi="Times New Roman"/>
                <w:sz w:val="20"/>
              </w:rPr>
            </w:pPr>
          </w:p>
        </w:tc>
        <w:tc>
          <w:tcPr>
            <w:tcW w:w="1489"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rPr>
                <w:rFonts w:ascii="Times New Roman" w:hAnsi="Times New Roman"/>
                <w:sz w:val="20"/>
              </w:rPr>
            </w:pPr>
          </w:p>
        </w:tc>
        <w:tc>
          <w:tcPr>
            <w:tcW w:w="1360"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rPr>
                <w:rFonts w:ascii="Times New Roman" w:hAnsi="Times New Roman"/>
                <w:sz w:val="20"/>
              </w:rPr>
            </w:pPr>
          </w:p>
        </w:tc>
        <w:tc>
          <w:tcPr>
            <w:tcW w:w="1173"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rPr>
                <w:rFonts w:ascii="Times New Roman" w:hAnsi="Times New Roman"/>
                <w:sz w:val="20"/>
              </w:rPr>
            </w:pPr>
          </w:p>
        </w:tc>
        <w:tc>
          <w:tcPr>
            <w:tcW w:w="1054"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rPr>
                <w:rFonts w:ascii="Times New Roman" w:hAnsi="Times New Roman"/>
                <w:sz w:val="20"/>
              </w:rPr>
            </w:pPr>
          </w:p>
        </w:tc>
        <w:tc>
          <w:tcPr>
            <w:tcW w:w="1387"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rPr>
                <w:rFonts w:ascii="Times New Roman" w:hAnsi="Times New Roman"/>
                <w:sz w:val="20"/>
              </w:rPr>
            </w:pPr>
          </w:p>
        </w:tc>
      </w:tr>
      <w:tr w:rsidR="006229F9" w:rsidRPr="006C2A66" w:rsidTr="00CF2CE4">
        <w:trPr>
          <w:trHeight w:val="255"/>
          <w:jc w:val="center"/>
        </w:trPr>
        <w:tc>
          <w:tcPr>
            <w:tcW w:w="3459"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rPr>
                <w:sz w:val="20"/>
              </w:rPr>
            </w:pPr>
            <w:r w:rsidRPr="006C2A66">
              <w:rPr>
                <w:sz w:val="20"/>
              </w:rPr>
              <w:t>TIT, Lebanon</w:t>
            </w:r>
          </w:p>
        </w:tc>
        <w:tc>
          <w:tcPr>
            <w:tcW w:w="1634"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rPr>
                <w:sz w:val="20"/>
              </w:rPr>
            </w:pPr>
            <w:proofErr w:type="spellStart"/>
            <w:r w:rsidRPr="006C2A66">
              <w:rPr>
                <w:sz w:val="20"/>
              </w:rPr>
              <w:t>Rés</w:t>
            </w:r>
            <w:proofErr w:type="spellEnd"/>
            <w:r w:rsidRPr="006C2A66">
              <w:rPr>
                <w:sz w:val="20"/>
              </w:rPr>
              <w:t>. 41 - 2008</w:t>
            </w:r>
          </w:p>
        </w:tc>
        <w:tc>
          <w:tcPr>
            <w:tcW w:w="1811"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jc w:val="right"/>
              <w:rPr>
                <w:sz w:val="20"/>
              </w:rPr>
            </w:pPr>
            <w:r w:rsidRPr="006C2A66">
              <w:rPr>
                <w:sz w:val="20"/>
              </w:rPr>
              <w:t>25,000.00</w:t>
            </w:r>
          </w:p>
        </w:tc>
        <w:tc>
          <w:tcPr>
            <w:tcW w:w="1489"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jc w:val="right"/>
              <w:rPr>
                <w:sz w:val="20"/>
              </w:rPr>
            </w:pPr>
            <w:r w:rsidRPr="006C2A66">
              <w:rPr>
                <w:sz w:val="20"/>
              </w:rPr>
              <w:t>39,846.15</w:t>
            </w:r>
          </w:p>
        </w:tc>
        <w:tc>
          <w:tcPr>
            <w:tcW w:w="1360"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jc w:val="right"/>
              <w:rPr>
                <w:sz w:val="20"/>
              </w:rPr>
            </w:pPr>
            <w:r w:rsidRPr="006C2A66">
              <w:rPr>
                <w:sz w:val="20"/>
              </w:rPr>
              <w:t>0.00</w:t>
            </w:r>
          </w:p>
        </w:tc>
        <w:tc>
          <w:tcPr>
            <w:tcW w:w="1173"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jc w:val="right"/>
              <w:rPr>
                <w:sz w:val="20"/>
              </w:rPr>
            </w:pPr>
            <w:r w:rsidRPr="006C2A66">
              <w:rPr>
                <w:sz w:val="20"/>
              </w:rPr>
              <w:t>2,390.75</w:t>
            </w:r>
          </w:p>
        </w:tc>
        <w:tc>
          <w:tcPr>
            <w:tcW w:w="1054"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jc w:val="right"/>
              <w:rPr>
                <w:sz w:val="20"/>
              </w:rPr>
            </w:pPr>
            <w:r w:rsidRPr="006C2A66">
              <w:rPr>
                <w:sz w:val="20"/>
              </w:rPr>
              <w:t>0.00</w:t>
            </w:r>
          </w:p>
        </w:tc>
        <w:tc>
          <w:tcPr>
            <w:tcW w:w="1387"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jc w:val="right"/>
              <w:rPr>
                <w:sz w:val="20"/>
              </w:rPr>
            </w:pPr>
            <w:r w:rsidRPr="006C2A66">
              <w:rPr>
                <w:sz w:val="20"/>
              </w:rPr>
              <w:t>42,236.90</w:t>
            </w:r>
          </w:p>
        </w:tc>
      </w:tr>
      <w:tr w:rsidR="006229F9" w:rsidRPr="006C2A66" w:rsidTr="00CF2CE4">
        <w:trPr>
          <w:trHeight w:val="255"/>
          <w:jc w:val="center"/>
        </w:trPr>
        <w:tc>
          <w:tcPr>
            <w:tcW w:w="3459"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rPr>
                <w:sz w:val="20"/>
              </w:rPr>
            </w:pPr>
            <w:r w:rsidRPr="006C2A66">
              <w:rPr>
                <w:sz w:val="20"/>
              </w:rPr>
              <w:t>Cameroon Telecomm., Cameroon</w:t>
            </w:r>
          </w:p>
        </w:tc>
        <w:tc>
          <w:tcPr>
            <w:tcW w:w="1634"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rPr>
                <w:sz w:val="20"/>
              </w:rPr>
            </w:pPr>
            <w:proofErr w:type="spellStart"/>
            <w:r w:rsidRPr="006C2A66">
              <w:rPr>
                <w:sz w:val="20"/>
              </w:rPr>
              <w:t>Rés</w:t>
            </w:r>
            <w:proofErr w:type="spellEnd"/>
            <w:r w:rsidRPr="006C2A66">
              <w:rPr>
                <w:sz w:val="20"/>
              </w:rPr>
              <w:t>. 41 - 2014</w:t>
            </w:r>
          </w:p>
        </w:tc>
        <w:tc>
          <w:tcPr>
            <w:tcW w:w="1811"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jc w:val="right"/>
              <w:rPr>
                <w:sz w:val="20"/>
              </w:rPr>
            </w:pPr>
            <w:r w:rsidRPr="006C2A66">
              <w:rPr>
                <w:sz w:val="20"/>
              </w:rPr>
              <w:t>149,588.50</w:t>
            </w:r>
          </w:p>
        </w:tc>
        <w:tc>
          <w:tcPr>
            <w:tcW w:w="1489"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jc w:val="right"/>
              <w:rPr>
                <w:sz w:val="20"/>
              </w:rPr>
            </w:pPr>
            <w:r w:rsidRPr="006C2A66">
              <w:rPr>
                <w:sz w:val="20"/>
              </w:rPr>
              <w:t>150,722.50</w:t>
            </w:r>
          </w:p>
        </w:tc>
        <w:tc>
          <w:tcPr>
            <w:tcW w:w="1360"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jc w:val="right"/>
              <w:rPr>
                <w:sz w:val="20"/>
              </w:rPr>
            </w:pPr>
            <w:r w:rsidRPr="006C2A66">
              <w:rPr>
                <w:sz w:val="20"/>
              </w:rPr>
              <w:t>0.00</w:t>
            </w:r>
          </w:p>
        </w:tc>
        <w:tc>
          <w:tcPr>
            <w:tcW w:w="1173"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jc w:val="right"/>
              <w:rPr>
                <w:sz w:val="20"/>
              </w:rPr>
            </w:pPr>
            <w:r w:rsidRPr="006C2A66">
              <w:rPr>
                <w:sz w:val="20"/>
              </w:rPr>
              <w:t>9,043.35</w:t>
            </w:r>
          </w:p>
        </w:tc>
        <w:tc>
          <w:tcPr>
            <w:tcW w:w="1054"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jc w:val="right"/>
              <w:rPr>
                <w:sz w:val="20"/>
              </w:rPr>
            </w:pPr>
            <w:r w:rsidRPr="006C2A66">
              <w:rPr>
                <w:sz w:val="20"/>
              </w:rPr>
              <w:t>0.00</w:t>
            </w:r>
          </w:p>
        </w:tc>
        <w:tc>
          <w:tcPr>
            <w:tcW w:w="1387"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jc w:val="right"/>
              <w:rPr>
                <w:sz w:val="20"/>
              </w:rPr>
            </w:pPr>
            <w:r w:rsidRPr="006C2A66">
              <w:rPr>
                <w:sz w:val="20"/>
              </w:rPr>
              <w:t>159,765.85</w:t>
            </w:r>
          </w:p>
        </w:tc>
      </w:tr>
      <w:tr w:rsidR="006229F9" w:rsidRPr="006C2A66" w:rsidTr="00CF2CE4">
        <w:trPr>
          <w:trHeight w:val="255"/>
          <w:jc w:val="center"/>
        </w:trPr>
        <w:tc>
          <w:tcPr>
            <w:tcW w:w="3459"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rPr>
                <w:sz w:val="20"/>
              </w:rPr>
            </w:pPr>
            <w:proofErr w:type="spellStart"/>
            <w:r w:rsidRPr="006C2A66">
              <w:rPr>
                <w:sz w:val="20"/>
              </w:rPr>
              <w:t>Ellipsat</w:t>
            </w:r>
            <w:proofErr w:type="spellEnd"/>
            <w:r w:rsidRPr="006C2A66">
              <w:rPr>
                <w:sz w:val="20"/>
              </w:rPr>
              <w:t xml:space="preserve"> Inc., United States</w:t>
            </w:r>
          </w:p>
        </w:tc>
        <w:tc>
          <w:tcPr>
            <w:tcW w:w="1634"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rPr>
                <w:sz w:val="20"/>
              </w:rPr>
            </w:pPr>
            <w:proofErr w:type="spellStart"/>
            <w:r w:rsidRPr="006C2A66">
              <w:rPr>
                <w:sz w:val="20"/>
              </w:rPr>
              <w:t>Rés</w:t>
            </w:r>
            <w:proofErr w:type="spellEnd"/>
            <w:r w:rsidRPr="006C2A66">
              <w:rPr>
                <w:sz w:val="20"/>
              </w:rPr>
              <w:t>. 41 - 2015</w:t>
            </w:r>
          </w:p>
        </w:tc>
        <w:tc>
          <w:tcPr>
            <w:tcW w:w="1811"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jc w:val="right"/>
              <w:rPr>
                <w:sz w:val="20"/>
              </w:rPr>
            </w:pPr>
            <w:r w:rsidRPr="006C2A66">
              <w:rPr>
                <w:sz w:val="20"/>
              </w:rPr>
              <w:t>27,865.90</w:t>
            </w:r>
          </w:p>
        </w:tc>
        <w:tc>
          <w:tcPr>
            <w:tcW w:w="1489"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jc w:val="right"/>
              <w:rPr>
                <w:sz w:val="20"/>
              </w:rPr>
            </w:pPr>
            <w:r w:rsidRPr="006C2A66">
              <w:rPr>
                <w:sz w:val="20"/>
              </w:rPr>
              <w:t>0.00</w:t>
            </w:r>
          </w:p>
        </w:tc>
        <w:tc>
          <w:tcPr>
            <w:tcW w:w="1360"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jc w:val="right"/>
              <w:rPr>
                <w:sz w:val="20"/>
              </w:rPr>
            </w:pPr>
            <w:r w:rsidRPr="006C2A66">
              <w:rPr>
                <w:sz w:val="20"/>
              </w:rPr>
              <w:t>27,865.90</w:t>
            </w:r>
          </w:p>
        </w:tc>
        <w:tc>
          <w:tcPr>
            <w:tcW w:w="1173"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jc w:val="right"/>
              <w:rPr>
                <w:sz w:val="20"/>
              </w:rPr>
            </w:pPr>
            <w:r w:rsidRPr="006C2A66">
              <w:rPr>
                <w:sz w:val="20"/>
              </w:rPr>
              <w:t>0.00</w:t>
            </w:r>
          </w:p>
        </w:tc>
        <w:tc>
          <w:tcPr>
            <w:tcW w:w="1054"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jc w:val="right"/>
              <w:rPr>
                <w:sz w:val="20"/>
              </w:rPr>
            </w:pPr>
            <w:r w:rsidRPr="006C2A66">
              <w:rPr>
                <w:sz w:val="20"/>
              </w:rPr>
              <w:t>0.00</w:t>
            </w:r>
          </w:p>
        </w:tc>
        <w:tc>
          <w:tcPr>
            <w:tcW w:w="1387"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jc w:val="right"/>
              <w:rPr>
                <w:sz w:val="20"/>
              </w:rPr>
            </w:pPr>
            <w:r w:rsidRPr="006C2A66">
              <w:rPr>
                <w:sz w:val="20"/>
              </w:rPr>
              <w:t>27,865.90</w:t>
            </w:r>
          </w:p>
        </w:tc>
      </w:tr>
      <w:tr w:rsidR="006229F9" w:rsidRPr="006C2A66" w:rsidTr="00CF2CE4">
        <w:trPr>
          <w:trHeight w:val="510"/>
          <w:jc w:val="center"/>
        </w:trPr>
        <w:tc>
          <w:tcPr>
            <w:tcW w:w="3459" w:type="dxa"/>
            <w:tcBorders>
              <w:top w:val="nil"/>
              <w:left w:val="single" w:sz="4" w:space="0" w:color="auto"/>
              <w:bottom w:val="nil"/>
              <w:right w:val="single" w:sz="4" w:space="0" w:color="auto"/>
            </w:tcBorders>
            <w:shd w:val="clear" w:color="auto" w:fill="auto"/>
            <w:vAlign w:val="bottom"/>
            <w:hideMark/>
          </w:tcPr>
          <w:p w:rsidR="006229F9" w:rsidRPr="006C2A66" w:rsidRDefault="006229F9" w:rsidP="007D0AD0">
            <w:pPr>
              <w:rPr>
                <w:sz w:val="20"/>
              </w:rPr>
            </w:pPr>
            <w:proofErr w:type="spellStart"/>
            <w:r w:rsidRPr="006C2A66">
              <w:rPr>
                <w:sz w:val="20"/>
              </w:rPr>
              <w:t>Apprentissages</w:t>
            </w:r>
            <w:proofErr w:type="spellEnd"/>
            <w:r w:rsidRPr="006C2A66">
              <w:rPr>
                <w:sz w:val="20"/>
              </w:rPr>
              <w:t xml:space="preserve"> sans </w:t>
            </w:r>
            <w:proofErr w:type="spellStart"/>
            <w:r w:rsidRPr="006C2A66">
              <w:rPr>
                <w:sz w:val="20"/>
              </w:rPr>
              <w:t>Frontières</w:t>
            </w:r>
            <w:proofErr w:type="spellEnd"/>
            <w:r w:rsidRPr="006C2A66">
              <w:rPr>
                <w:sz w:val="20"/>
              </w:rPr>
              <w:t>, Switzerland</w:t>
            </w:r>
          </w:p>
        </w:tc>
        <w:tc>
          <w:tcPr>
            <w:tcW w:w="1634"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rPr>
                <w:sz w:val="20"/>
              </w:rPr>
            </w:pPr>
            <w:proofErr w:type="spellStart"/>
            <w:r w:rsidRPr="006C2A66">
              <w:rPr>
                <w:sz w:val="20"/>
              </w:rPr>
              <w:t>Rés</w:t>
            </w:r>
            <w:proofErr w:type="spellEnd"/>
            <w:r w:rsidRPr="006C2A66">
              <w:rPr>
                <w:sz w:val="20"/>
              </w:rPr>
              <w:t>. 41 - 2016</w:t>
            </w:r>
          </w:p>
        </w:tc>
        <w:tc>
          <w:tcPr>
            <w:tcW w:w="1811"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jc w:val="right"/>
              <w:rPr>
                <w:sz w:val="20"/>
              </w:rPr>
            </w:pPr>
            <w:r w:rsidRPr="006C2A66">
              <w:rPr>
                <w:sz w:val="20"/>
              </w:rPr>
              <w:t>6,658.15</w:t>
            </w:r>
          </w:p>
        </w:tc>
        <w:tc>
          <w:tcPr>
            <w:tcW w:w="1489"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jc w:val="right"/>
              <w:rPr>
                <w:sz w:val="20"/>
              </w:rPr>
            </w:pPr>
            <w:r w:rsidRPr="006C2A66">
              <w:rPr>
                <w:sz w:val="20"/>
              </w:rPr>
              <w:t>6,857.90</w:t>
            </w:r>
          </w:p>
        </w:tc>
        <w:tc>
          <w:tcPr>
            <w:tcW w:w="1360"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jc w:val="right"/>
              <w:rPr>
                <w:sz w:val="20"/>
              </w:rPr>
            </w:pPr>
          </w:p>
        </w:tc>
        <w:tc>
          <w:tcPr>
            <w:tcW w:w="1173"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jc w:val="right"/>
              <w:rPr>
                <w:sz w:val="20"/>
              </w:rPr>
            </w:pPr>
            <w:r w:rsidRPr="006C2A66">
              <w:rPr>
                <w:sz w:val="20"/>
              </w:rPr>
              <w:t>411.50</w:t>
            </w:r>
          </w:p>
        </w:tc>
        <w:tc>
          <w:tcPr>
            <w:tcW w:w="1054"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jc w:val="right"/>
              <w:rPr>
                <w:sz w:val="20"/>
              </w:rPr>
            </w:pPr>
            <w:r w:rsidRPr="006C2A66">
              <w:rPr>
                <w:sz w:val="20"/>
              </w:rPr>
              <w:t>0.00</w:t>
            </w:r>
          </w:p>
        </w:tc>
        <w:tc>
          <w:tcPr>
            <w:tcW w:w="1387" w:type="dxa"/>
            <w:tcBorders>
              <w:top w:val="nil"/>
              <w:left w:val="single" w:sz="4" w:space="0" w:color="auto"/>
              <w:bottom w:val="nil"/>
              <w:right w:val="single" w:sz="4" w:space="0" w:color="auto"/>
            </w:tcBorders>
            <w:shd w:val="clear" w:color="auto" w:fill="auto"/>
            <w:noWrap/>
            <w:vAlign w:val="bottom"/>
            <w:hideMark/>
          </w:tcPr>
          <w:p w:rsidR="006229F9" w:rsidRPr="006C2A66" w:rsidRDefault="006229F9" w:rsidP="007D0AD0">
            <w:pPr>
              <w:jc w:val="right"/>
              <w:rPr>
                <w:sz w:val="20"/>
              </w:rPr>
            </w:pPr>
            <w:r w:rsidRPr="006C2A66">
              <w:rPr>
                <w:sz w:val="20"/>
              </w:rPr>
              <w:t>7,269.40</w:t>
            </w:r>
          </w:p>
        </w:tc>
      </w:tr>
      <w:tr w:rsidR="006229F9" w:rsidRPr="006C2A66" w:rsidTr="00CF2CE4">
        <w:trPr>
          <w:trHeight w:val="255"/>
          <w:jc w:val="center"/>
        </w:trPr>
        <w:tc>
          <w:tcPr>
            <w:tcW w:w="3459" w:type="dxa"/>
            <w:tcBorders>
              <w:top w:val="nil"/>
              <w:left w:val="single" w:sz="4" w:space="0" w:color="auto"/>
              <w:bottom w:val="single" w:sz="4" w:space="0" w:color="auto"/>
              <w:right w:val="single" w:sz="4" w:space="0" w:color="auto"/>
            </w:tcBorders>
            <w:shd w:val="clear" w:color="auto" w:fill="auto"/>
            <w:vAlign w:val="bottom"/>
            <w:hideMark/>
          </w:tcPr>
          <w:p w:rsidR="006229F9" w:rsidRPr="006C2A66" w:rsidRDefault="006229F9" w:rsidP="007D0AD0">
            <w:pPr>
              <w:jc w:val="right"/>
              <w:rPr>
                <w:sz w:val="20"/>
              </w:rPr>
            </w:pPr>
          </w:p>
        </w:tc>
        <w:tc>
          <w:tcPr>
            <w:tcW w:w="1634" w:type="dxa"/>
            <w:tcBorders>
              <w:top w:val="nil"/>
              <w:left w:val="single" w:sz="4" w:space="0" w:color="auto"/>
              <w:bottom w:val="single" w:sz="4" w:space="0" w:color="auto"/>
              <w:right w:val="single" w:sz="4" w:space="0" w:color="auto"/>
            </w:tcBorders>
            <w:shd w:val="clear" w:color="auto" w:fill="auto"/>
            <w:noWrap/>
            <w:vAlign w:val="bottom"/>
            <w:hideMark/>
          </w:tcPr>
          <w:p w:rsidR="006229F9" w:rsidRPr="006C2A66" w:rsidRDefault="006229F9" w:rsidP="007D0AD0">
            <w:pPr>
              <w:rPr>
                <w:rFonts w:ascii="Times New Roman" w:hAnsi="Times New Roman"/>
                <w:sz w:val="20"/>
              </w:rPr>
            </w:pPr>
          </w:p>
        </w:tc>
        <w:tc>
          <w:tcPr>
            <w:tcW w:w="1811" w:type="dxa"/>
            <w:tcBorders>
              <w:top w:val="nil"/>
              <w:left w:val="single" w:sz="4" w:space="0" w:color="auto"/>
              <w:bottom w:val="single" w:sz="4" w:space="0" w:color="auto"/>
              <w:right w:val="single" w:sz="4" w:space="0" w:color="auto"/>
            </w:tcBorders>
            <w:shd w:val="clear" w:color="auto" w:fill="auto"/>
            <w:noWrap/>
            <w:vAlign w:val="bottom"/>
            <w:hideMark/>
          </w:tcPr>
          <w:p w:rsidR="006229F9" w:rsidRPr="006C2A66" w:rsidRDefault="006229F9" w:rsidP="007D0AD0">
            <w:pPr>
              <w:rPr>
                <w:rFonts w:ascii="Times New Roman" w:hAnsi="Times New Roman"/>
                <w:sz w:val="20"/>
              </w:rPr>
            </w:pPr>
          </w:p>
        </w:tc>
        <w:tc>
          <w:tcPr>
            <w:tcW w:w="1489" w:type="dxa"/>
            <w:tcBorders>
              <w:top w:val="nil"/>
              <w:left w:val="single" w:sz="4" w:space="0" w:color="auto"/>
              <w:bottom w:val="single" w:sz="4" w:space="0" w:color="auto"/>
              <w:right w:val="single" w:sz="4" w:space="0" w:color="auto"/>
            </w:tcBorders>
            <w:shd w:val="clear" w:color="auto" w:fill="auto"/>
            <w:noWrap/>
            <w:vAlign w:val="bottom"/>
            <w:hideMark/>
          </w:tcPr>
          <w:p w:rsidR="006229F9" w:rsidRPr="006C2A66" w:rsidRDefault="006229F9" w:rsidP="007D0AD0">
            <w:pPr>
              <w:rPr>
                <w:rFonts w:ascii="Times New Roman" w:hAnsi="Times New Roman"/>
                <w:sz w:val="20"/>
              </w:rPr>
            </w:pP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6229F9" w:rsidRPr="006C2A66" w:rsidRDefault="006229F9" w:rsidP="007D0AD0">
            <w:pPr>
              <w:rPr>
                <w:rFonts w:ascii="Times New Roman" w:hAnsi="Times New Roman"/>
                <w:sz w:val="20"/>
              </w:rPr>
            </w:pPr>
          </w:p>
        </w:tc>
        <w:tc>
          <w:tcPr>
            <w:tcW w:w="1173" w:type="dxa"/>
            <w:tcBorders>
              <w:top w:val="nil"/>
              <w:left w:val="single" w:sz="4" w:space="0" w:color="auto"/>
              <w:bottom w:val="single" w:sz="4" w:space="0" w:color="auto"/>
              <w:right w:val="single" w:sz="4" w:space="0" w:color="auto"/>
            </w:tcBorders>
            <w:shd w:val="clear" w:color="auto" w:fill="auto"/>
            <w:noWrap/>
            <w:vAlign w:val="bottom"/>
            <w:hideMark/>
          </w:tcPr>
          <w:p w:rsidR="006229F9" w:rsidRPr="006C2A66" w:rsidRDefault="006229F9" w:rsidP="007D0AD0">
            <w:pPr>
              <w:rPr>
                <w:rFonts w:ascii="Times New Roman" w:hAnsi="Times New Roman"/>
                <w:sz w:val="20"/>
              </w:rPr>
            </w:pPr>
          </w:p>
        </w:tc>
        <w:tc>
          <w:tcPr>
            <w:tcW w:w="1054" w:type="dxa"/>
            <w:tcBorders>
              <w:top w:val="nil"/>
              <w:left w:val="single" w:sz="4" w:space="0" w:color="auto"/>
              <w:bottom w:val="single" w:sz="4" w:space="0" w:color="auto"/>
              <w:right w:val="single" w:sz="4" w:space="0" w:color="auto"/>
            </w:tcBorders>
            <w:shd w:val="clear" w:color="auto" w:fill="auto"/>
            <w:noWrap/>
            <w:vAlign w:val="bottom"/>
            <w:hideMark/>
          </w:tcPr>
          <w:p w:rsidR="006229F9" w:rsidRPr="006C2A66" w:rsidRDefault="006229F9" w:rsidP="007D0AD0">
            <w:pPr>
              <w:rPr>
                <w:rFonts w:ascii="Times New Roman" w:hAnsi="Times New Roman"/>
                <w:sz w:val="20"/>
              </w:rPr>
            </w:pPr>
          </w:p>
        </w:tc>
        <w:tc>
          <w:tcPr>
            <w:tcW w:w="1387" w:type="dxa"/>
            <w:tcBorders>
              <w:top w:val="nil"/>
              <w:left w:val="single" w:sz="4" w:space="0" w:color="auto"/>
              <w:bottom w:val="single" w:sz="4" w:space="0" w:color="auto"/>
              <w:right w:val="single" w:sz="4" w:space="0" w:color="auto"/>
            </w:tcBorders>
            <w:shd w:val="clear" w:color="auto" w:fill="auto"/>
            <w:noWrap/>
            <w:vAlign w:val="bottom"/>
            <w:hideMark/>
          </w:tcPr>
          <w:p w:rsidR="006229F9" w:rsidRPr="006C2A66" w:rsidRDefault="006229F9" w:rsidP="007D0AD0">
            <w:pPr>
              <w:rPr>
                <w:rFonts w:ascii="Times New Roman" w:hAnsi="Times New Roman"/>
                <w:sz w:val="20"/>
              </w:rPr>
            </w:pPr>
          </w:p>
        </w:tc>
      </w:tr>
      <w:tr w:rsidR="006229F9" w:rsidRPr="006C2A66" w:rsidTr="00CF2CE4">
        <w:trPr>
          <w:trHeight w:val="255"/>
          <w:jc w:val="center"/>
        </w:trPr>
        <w:tc>
          <w:tcPr>
            <w:tcW w:w="34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9F9" w:rsidRPr="006C2A66" w:rsidRDefault="006229F9" w:rsidP="007D0AD0">
            <w:pPr>
              <w:rPr>
                <w:b/>
                <w:bCs/>
                <w:sz w:val="20"/>
              </w:rPr>
            </w:pPr>
            <w:r w:rsidRPr="006C2A66">
              <w:rPr>
                <w:b/>
                <w:bCs/>
                <w:sz w:val="20"/>
              </w:rPr>
              <w:t>Total at 31 December 2017</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9F9" w:rsidRPr="006C2A66" w:rsidRDefault="006229F9" w:rsidP="007D0AD0">
            <w:pPr>
              <w:rPr>
                <w:b/>
                <w:bCs/>
                <w:sz w:val="20"/>
              </w:rPr>
            </w:pPr>
          </w:p>
        </w:tc>
        <w:tc>
          <w:tcPr>
            <w:tcW w:w="18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9F9" w:rsidRPr="006C2A66" w:rsidRDefault="006229F9" w:rsidP="007D0AD0">
            <w:pPr>
              <w:jc w:val="right"/>
              <w:rPr>
                <w:b/>
                <w:bCs/>
                <w:sz w:val="20"/>
              </w:rPr>
            </w:pPr>
            <w:r w:rsidRPr="006C2A66">
              <w:rPr>
                <w:b/>
                <w:bCs/>
                <w:sz w:val="20"/>
              </w:rPr>
              <w:t>13,167,178.49</w:t>
            </w:r>
          </w:p>
        </w:tc>
        <w:tc>
          <w:tcPr>
            <w:tcW w:w="1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9F9" w:rsidRPr="006C2A66" w:rsidRDefault="006229F9" w:rsidP="007D0AD0">
            <w:pPr>
              <w:jc w:val="right"/>
              <w:rPr>
                <w:b/>
                <w:bCs/>
                <w:sz w:val="20"/>
                <w:u w:val="single"/>
              </w:rPr>
            </w:pPr>
            <w:r w:rsidRPr="006C2A66">
              <w:rPr>
                <w:b/>
                <w:bCs/>
                <w:sz w:val="20"/>
                <w:u w:val="single"/>
              </w:rPr>
              <w:t>12,546,747.23</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9F9" w:rsidRPr="006C2A66" w:rsidRDefault="006229F9" w:rsidP="007D0AD0">
            <w:pPr>
              <w:jc w:val="right"/>
              <w:rPr>
                <w:b/>
                <w:bCs/>
                <w:sz w:val="20"/>
              </w:rPr>
            </w:pPr>
            <w:r w:rsidRPr="006C2A66">
              <w:rPr>
                <w:b/>
                <w:bCs/>
                <w:sz w:val="20"/>
              </w:rPr>
              <w:t>245,902.95</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9F9" w:rsidRPr="006C2A66" w:rsidRDefault="006229F9" w:rsidP="007D0AD0">
            <w:pPr>
              <w:jc w:val="right"/>
              <w:rPr>
                <w:b/>
                <w:bCs/>
                <w:sz w:val="20"/>
              </w:rPr>
            </w:pPr>
            <w:r w:rsidRPr="006C2A66">
              <w:rPr>
                <w:b/>
                <w:bCs/>
                <w:sz w:val="20"/>
              </w:rPr>
              <w:t>601,242.55</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9F9" w:rsidRPr="006C2A66" w:rsidRDefault="006229F9" w:rsidP="007D0AD0">
            <w:pPr>
              <w:jc w:val="right"/>
              <w:rPr>
                <w:b/>
                <w:bCs/>
                <w:sz w:val="20"/>
              </w:rPr>
            </w:pPr>
            <w:r w:rsidRPr="006C2A66">
              <w:rPr>
                <w:b/>
                <w:bCs/>
                <w:sz w:val="20"/>
              </w:rPr>
              <w:t>0.00</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9F9" w:rsidRPr="006C2A66" w:rsidRDefault="006229F9" w:rsidP="007D0AD0">
            <w:pPr>
              <w:jc w:val="right"/>
              <w:rPr>
                <w:b/>
                <w:bCs/>
                <w:sz w:val="20"/>
                <w:u w:val="single"/>
              </w:rPr>
            </w:pPr>
            <w:r w:rsidRPr="006C2A66">
              <w:rPr>
                <w:b/>
                <w:bCs/>
                <w:sz w:val="20"/>
                <w:u w:val="single"/>
              </w:rPr>
              <w:t>13,393,892.73</w:t>
            </w:r>
          </w:p>
        </w:tc>
      </w:tr>
    </w:tbl>
    <w:p w:rsidR="006229F9" w:rsidRDefault="006229F9" w:rsidP="008D7198"/>
    <w:p w:rsidR="008D7198" w:rsidRPr="000131DC" w:rsidRDefault="008D7198" w:rsidP="008D7198">
      <w:pPr>
        <w:rPr>
          <w:lang w:val="en-US"/>
        </w:rPr>
        <w:sectPr w:rsidR="008D7198" w:rsidRPr="000131DC" w:rsidSect="005A70E3">
          <w:pgSz w:w="15840" w:h="12240" w:orient="landscape"/>
          <w:pgMar w:top="568" w:right="720" w:bottom="720" w:left="720" w:header="278" w:footer="709" w:gutter="0"/>
          <w:cols w:space="708"/>
          <w:docGrid w:linePitch="360"/>
        </w:sectPr>
      </w:pPr>
      <w:bookmarkStart w:id="161" w:name="RANGE!A41:P68"/>
      <w:bookmarkEnd w:id="161"/>
    </w:p>
    <w:tbl>
      <w:tblPr>
        <w:tblW w:w="10457" w:type="dxa"/>
        <w:tblLook w:val="04A0" w:firstRow="1" w:lastRow="0" w:firstColumn="1" w:lastColumn="0" w:noHBand="0" w:noVBand="1"/>
      </w:tblPr>
      <w:tblGrid>
        <w:gridCol w:w="3132"/>
        <w:gridCol w:w="4466"/>
        <w:gridCol w:w="1323"/>
        <w:gridCol w:w="1536"/>
      </w:tblGrid>
      <w:tr w:rsidR="00996A87" w:rsidRPr="00996A87" w:rsidTr="00D65B8C">
        <w:trPr>
          <w:trHeight w:val="690"/>
        </w:trPr>
        <w:tc>
          <w:tcPr>
            <w:tcW w:w="10457"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996A87" w:rsidRPr="0057403D" w:rsidRDefault="00996A87" w:rsidP="0057403D">
            <w:pPr>
              <w:jc w:val="center"/>
              <w:rPr>
                <w:rFonts w:asciiTheme="minorHAnsi" w:hAnsiTheme="minorHAnsi"/>
                <w:b/>
                <w:bCs/>
                <w:sz w:val="28"/>
                <w:szCs w:val="28"/>
              </w:rPr>
            </w:pPr>
            <w:r w:rsidRPr="0057403D">
              <w:rPr>
                <w:rFonts w:asciiTheme="minorHAnsi" w:hAnsiTheme="minorHAnsi"/>
                <w:b/>
                <w:bCs/>
                <w:sz w:val="28"/>
                <w:szCs w:val="28"/>
              </w:rPr>
              <w:t>A</w:t>
            </w:r>
            <w:r w:rsidR="0057403D" w:rsidRPr="0057403D">
              <w:rPr>
                <w:rFonts w:asciiTheme="minorHAnsi" w:hAnsiTheme="minorHAnsi"/>
                <w:b/>
                <w:bCs/>
                <w:sz w:val="28"/>
                <w:szCs w:val="28"/>
              </w:rPr>
              <w:t>mounts due in respect of invoices established for satellite network filings</w:t>
            </w:r>
          </w:p>
        </w:tc>
      </w:tr>
      <w:tr w:rsidR="00996A87" w:rsidRPr="00996A87" w:rsidTr="00D65B8C">
        <w:trPr>
          <w:trHeight w:val="150"/>
        </w:trPr>
        <w:tc>
          <w:tcPr>
            <w:tcW w:w="3132" w:type="dxa"/>
            <w:tcBorders>
              <w:top w:val="nil"/>
              <w:left w:val="single" w:sz="4" w:space="0" w:color="auto"/>
              <w:bottom w:val="nil"/>
              <w:right w:val="single" w:sz="4" w:space="0" w:color="auto"/>
            </w:tcBorders>
            <w:shd w:val="clear" w:color="auto" w:fill="auto"/>
            <w:noWrap/>
            <w:vAlign w:val="bottom"/>
            <w:hideMark/>
          </w:tcPr>
          <w:p w:rsidR="00996A87" w:rsidRPr="00996A87" w:rsidRDefault="00996A87" w:rsidP="00D65B8C">
            <w:pPr>
              <w:snapToGrid w:val="0"/>
              <w:spacing w:before="0"/>
              <w:jc w:val="center"/>
              <w:rPr>
                <w:rFonts w:asciiTheme="minorHAnsi" w:hAnsiTheme="minorHAnsi"/>
                <w:sz w:val="22"/>
                <w:szCs w:val="18"/>
              </w:rPr>
            </w:pPr>
          </w:p>
        </w:tc>
        <w:tc>
          <w:tcPr>
            <w:tcW w:w="4466" w:type="dxa"/>
            <w:tcBorders>
              <w:top w:val="nil"/>
              <w:left w:val="nil"/>
              <w:bottom w:val="nil"/>
              <w:right w:val="single" w:sz="4" w:space="0" w:color="auto"/>
            </w:tcBorders>
            <w:shd w:val="clear" w:color="auto" w:fill="auto"/>
            <w:noWrap/>
            <w:vAlign w:val="bottom"/>
            <w:hideMark/>
          </w:tcPr>
          <w:p w:rsidR="00996A87" w:rsidRPr="00996A87" w:rsidRDefault="00996A87" w:rsidP="00D65B8C">
            <w:pPr>
              <w:snapToGrid w:val="0"/>
              <w:spacing w:before="0"/>
              <w:jc w:val="center"/>
              <w:rPr>
                <w:rFonts w:asciiTheme="minorHAnsi" w:hAnsiTheme="minorHAnsi"/>
                <w:sz w:val="22"/>
                <w:szCs w:val="18"/>
              </w:rPr>
            </w:pPr>
          </w:p>
        </w:tc>
        <w:tc>
          <w:tcPr>
            <w:tcW w:w="1323" w:type="dxa"/>
            <w:tcBorders>
              <w:top w:val="nil"/>
              <w:left w:val="nil"/>
              <w:bottom w:val="nil"/>
              <w:right w:val="single" w:sz="4" w:space="0" w:color="auto"/>
            </w:tcBorders>
            <w:shd w:val="clear" w:color="auto" w:fill="auto"/>
            <w:noWrap/>
            <w:vAlign w:val="bottom"/>
            <w:hideMark/>
          </w:tcPr>
          <w:p w:rsidR="00996A87" w:rsidRPr="00996A87" w:rsidRDefault="00996A87" w:rsidP="00D65B8C">
            <w:pPr>
              <w:snapToGrid w:val="0"/>
              <w:spacing w:before="0"/>
              <w:jc w:val="center"/>
              <w:rPr>
                <w:rFonts w:asciiTheme="minorHAnsi" w:hAnsiTheme="minorHAnsi"/>
                <w:sz w:val="22"/>
                <w:szCs w:val="18"/>
              </w:rPr>
            </w:pPr>
          </w:p>
        </w:tc>
        <w:tc>
          <w:tcPr>
            <w:tcW w:w="1536" w:type="dxa"/>
            <w:tcBorders>
              <w:top w:val="nil"/>
              <w:left w:val="nil"/>
              <w:bottom w:val="nil"/>
              <w:right w:val="single" w:sz="4" w:space="0" w:color="auto"/>
            </w:tcBorders>
            <w:shd w:val="clear" w:color="auto" w:fill="auto"/>
            <w:noWrap/>
            <w:vAlign w:val="bottom"/>
            <w:hideMark/>
          </w:tcPr>
          <w:p w:rsidR="00996A87" w:rsidRPr="00996A87" w:rsidRDefault="00996A87" w:rsidP="00D65B8C">
            <w:pPr>
              <w:snapToGrid w:val="0"/>
              <w:spacing w:before="0"/>
              <w:jc w:val="center"/>
              <w:rPr>
                <w:rFonts w:asciiTheme="minorHAnsi" w:hAnsiTheme="minorHAnsi"/>
                <w:sz w:val="22"/>
                <w:szCs w:val="18"/>
              </w:rPr>
            </w:pPr>
          </w:p>
        </w:tc>
      </w:tr>
      <w:tr w:rsidR="00996A87" w:rsidRPr="00996A87" w:rsidTr="00D65B8C">
        <w:trPr>
          <w:trHeight w:val="300"/>
        </w:trPr>
        <w:tc>
          <w:tcPr>
            <w:tcW w:w="3132" w:type="dxa"/>
            <w:tcBorders>
              <w:top w:val="nil"/>
              <w:left w:val="single" w:sz="4" w:space="0" w:color="auto"/>
              <w:bottom w:val="nil"/>
              <w:right w:val="single" w:sz="4" w:space="0" w:color="auto"/>
            </w:tcBorders>
            <w:shd w:val="clear" w:color="auto" w:fill="auto"/>
            <w:noWrap/>
            <w:vAlign w:val="bottom"/>
            <w:hideMark/>
          </w:tcPr>
          <w:p w:rsidR="00996A87" w:rsidRPr="00996A87" w:rsidRDefault="00996A87" w:rsidP="00D65B8C">
            <w:pPr>
              <w:snapToGrid w:val="0"/>
              <w:spacing w:before="0"/>
              <w:jc w:val="center"/>
              <w:rPr>
                <w:rFonts w:asciiTheme="minorHAnsi" w:hAnsiTheme="minorHAnsi"/>
                <w:b/>
                <w:bCs/>
                <w:sz w:val="22"/>
                <w:szCs w:val="18"/>
              </w:rPr>
            </w:pPr>
            <w:r w:rsidRPr="00996A87">
              <w:rPr>
                <w:rFonts w:asciiTheme="minorHAnsi" w:hAnsiTheme="minorHAnsi"/>
                <w:b/>
                <w:bCs/>
                <w:sz w:val="22"/>
                <w:szCs w:val="18"/>
              </w:rPr>
              <w:t>Notifying Administration</w:t>
            </w:r>
          </w:p>
        </w:tc>
        <w:tc>
          <w:tcPr>
            <w:tcW w:w="4466" w:type="dxa"/>
            <w:tcBorders>
              <w:top w:val="nil"/>
              <w:left w:val="nil"/>
              <w:bottom w:val="nil"/>
              <w:right w:val="single" w:sz="4" w:space="0" w:color="auto"/>
            </w:tcBorders>
            <w:shd w:val="clear" w:color="auto" w:fill="auto"/>
            <w:noWrap/>
            <w:vAlign w:val="bottom"/>
            <w:hideMark/>
          </w:tcPr>
          <w:p w:rsidR="00996A87" w:rsidRPr="00996A87" w:rsidRDefault="00996A87" w:rsidP="00D65B8C">
            <w:pPr>
              <w:snapToGrid w:val="0"/>
              <w:spacing w:before="0"/>
              <w:jc w:val="center"/>
              <w:rPr>
                <w:rFonts w:asciiTheme="minorHAnsi" w:hAnsiTheme="minorHAnsi"/>
                <w:b/>
                <w:bCs/>
                <w:sz w:val="22"/>
                <w:szCs w:val="18"/>
              </w:rPr>
            </w:pPr>
            <w:r w:rsidRPr="00996A87">
              <w:rPr>
                <w:rFonts w:asciiTheme="minorHAnsi" w:hAnsiTheme="minorHAnsi"/>
                <w:b/>
                <w:bCs/>
                <w:sz w:val="22"/>
                <w:szCs w:val="18"/>
              </w:rPr>
              <w:t>Operating Entity</w:t>
            </w:r>
          </w:p>
        </w:tc>
        <w:tc>
          <w:tcPr>
            <w:tcW w:w="1323" w:type="dxa"/>
            <w:tcBorders>
              <w:top w:val="nil"/>
              <w:left w:val="nil"/>
              <w:bottom w:val="nil"/>
              <w:right w:val="single" w:sz="4" w:space="0" w:color="auto"/>
            </w:tcBorders>
            <w:shd w:val="clear" w:color="auto" w:fill="auto"/>
            <w:noWrap/>
            <w:vAlign w:val="bottom"/>
            <w:hideMark/>
          </w:tcPr>
          <w:p w:rsidR="00996A87" w:rsidRPr="00996A87" w:rsidRDefault="00996A87" w:rsidP="00D65B8C">
            <w:pPr>
              <w:snapToGrid w:val="0"/>
              <w:spacing w:before="0"/>
              <w:jc w:val="center"/>
              <w:rPr>
                <w:rFonts w:asciiTheme="minorHAnsi" w:hAnsiTheme="minorHAnsi"/>
                <w:b/>
                <w:bCs/>
                <w:sz w:val="22"/>
                <w:szCs w:val="18"/>
              </w:rPr>
            </w:pPr>
            <w:r w:rsidRPr="00996A87">
              <w:rPr>
                <w:rFonts w:asciiTheme="minorHAnsi" w:hAnsiTheme="minorHAnsi"/>
                <w:b/>
                <w:bCs/>
                <w:sz w:val="22"/>
                <w:szCs w:val="18"/>
              </w:rPr>
              <w:t>Year</w:t>
            </w:r>
          </w:p>
        </w:tc>
        <w:tc>
          <w:tcPr>
            <w:tcW w:w="1536" w:type="dxa"/>
            <w:tcBorders>
              <w:top w:val="nil"/>
              <w:left w:val="nil"/>
              <w:bottom w:val="nil"/>
              <w:right w:val="single" w:sz="4" w:space="0" w:color="auto"/>
            </w:tcBorders>
            <w:shd w:val="clear" w:color="auto" w:fill="auto"/>
            <w:noWrap/>
            <w:vAlign w:val="bottom"/>
            <w:hideMark/>
          </w:tcPr>
          <w:p w:rsidR="00996A87" w:rsidRPr="00996A87" w:rsidRDefault="00996A87" w:rsidP="00D65B8C">
            <w:pPr>
              <w:snapToGrid w:val="0"/>
              <w:spacing w:before="0"/>
              <w:jc w:val="center"/>
              <w:rPr>
                <w:rFonts w:asciiTheme="minorHAnsi" w:hAnsiTheme="minorHAnsi"/>
                <w:b/>
                <w:bCs/>
                <w:sz w:val="22"/>
                <w:szCs w:val="18"/>
              </w:rPr>
            </w:pPr>
            <w:r w:rsidRPr="00996A87">
              <w:rPr>
                <w:rFonts w:asciiTheme="minorHAnsi" w:hAnsiTheme="minorHAnsi"/>
                <w:b/>
                <w:bCs/>
                <w:sz w:val="22"/>
                <w:szCs w:val="18"/>
              </w:rPr>
              <w:t>Amount due</w:t>
            </w:r>
          </w:p>
        </w:tc>
      </w:tr>
      <w:tr w:rsidR="00996A87" w:rsidRPr="00996A87" w:rsidTr="00D65B8C">
        <w:trPr>
          <w:trHeight w:val="195"/>
        </w:trPr>
        <w:tc>
          <w:tcPr>
            <w:tcW w:w="3132" w:type="dxa"/>
            <w:tcBorders>
              <w:top w:val="nil"/>
              <w:left w:val="single" w:sz="4" w:space="0" w:color="auto"/>
              <w:bottom w:val="single" w:sz="4" w:space="0" w:color="auto"/>
              <w:right w:val="single" w:sz="4" w:space="0" w:color="auto"/>
            </w:tcBorders>
            <w:shd w:val="clear" w:color="auto" w:fill="auto"/>
            <w:noWrap/>
            <w:vAlign w:val="bottom"/>
            <w:hideMark/>
          </w:tcPr>
          <w:p w:rsidR="00996A87" w:rsidRPr="00996A87" w:rsidRDefault="00996A87" w:rsidP="00D65B8C">
            <w:pPr>
              <w:snapToGrid w:val="0"/>
              <w:spacing w:before="0"/>
              <w:jc w:val="center"/>
              <w:rPr>
                <w:rFonts w:asciiTheme="minorHAnsi" w:hAnsiTheme="minorHAnsi"/>
                <w:sz w:val="22"/>
                <w:szCs w:val="18"/>
              </w:rPr>
            </w:pPr>
          </w:p>
        </w:tc>
        <w:tc>
          <w:tcPr>
            <w:tcW w:w="4466" w:type="dxa"/>
            <w:tcBorders>
              <w:top w:val="nil"/>
              <w:left w:val="nil"/>
              <w:bottom w:val="single" w:sz="4" w:space="0" w:color="auto"/>
              <w:right w:val="single" w:sz="4" w:space="0" w:color="auto"/>
            </w:tcBorders>
            <w:shd w:val="clear" w:color="auto" w:fill="auto"/>
            <w:noWrap/>
            <w:vAlign w:val="bottom"/>
            <w:hideMark/>
          </w:tcPr>
          <w:p w:rsidR="00996A87" w:rsidRPr="00996A87" w:rsidRDefault="00996A87" w:rsidP="00D65B8C">
            <w:pPr>
              <w:snapToGrid w:val="0"/>
              <w:spacing w:before="0"/>
              <w:jc w:val="center"/>
              <w:rPr>
                <w:rFonts w:asciiTheme="minorHAnsi" w:hAnsiTheme="minorHAnsi"/>
                <w:sz w:val="22"/>
                <w:szCs w:val="18"/>
              </w:rPr>
            </w:pPr>
          </w:p>
        </w:tc>
        <w:tc>
          <w:tcPr>
            <w:tcW w:w="1323" w:type="dxa"/>
            <w:tcBorders>
              <w:top w:val="nil"/>
              <w:left w:val="nil"/>
              <w:bottom w:val="single" w:sz="4" w:space="0" w:color="auto"/>
              <w:right w:val="single" w:sz="4" w:space="0" w:color="auto"/>
            </w:tcBorders>
            <w:shd w:val="clear" w:color="auto" w:fill="auto"/>
            <w:noWrap/>
            <w:vAlign w:val="bottom"/>
            <w:hideMark/>
          </w:tcPr>
          <w:p w:rsidR="00996A87" w:rsidRPr="00996A87" w:rsidRDefault="00996A87" w:rsidP="00D65B8C">
            <w:pPr>
              <w:snapToGrid w:val="0"/>
              <w:spacing w:before="0"/>
              <w:jc w:val="center"/>
              <w:rPr>
                <w:rFonts w:asciiTheme="minorHAnsi" w:hAnsiTheme="minorHAnsi"/>
                <w:sz w:val="22"/>
                <w:szCs w:val="18"/>
              </w:rPr>
            </w:pPr>
          </w:p>
        </w:tc>
        <w:tc>
          <w:tcPr>
            <w:tcW w:w="1536" w:type="dxa"/>
            <w:tcBorders>
              <w:top w:val="nil"/>
              <w:left w:val="nil"/>
              <w:bottom w:val="single" w:sz="4" w:space="0" w:color="auto"/>
              <w:right w:val="single" w:sz="4" w:space="0" w:color="auto"/>
            </w:tcBorders>
            <w:shd w:val="clear" w:color="auto" w:fill="auto"/>
            <w:noWrap/>
            <w:vAlign w:val="bottom"/>
            <w:hideMark/>
          </w:tcPr>
          <w:p w:rsidR="00996A87" w:rsidRPr="00996A87" w:rsidRDefault="00996A87" w:rsidP="00D65B8C">
            <w:pPr>
              <w:snapToGrid w:val="0"/>
              <w:spacing w:before="0"/>
              <w:jc w:val="center"/>
              <w:rPr>
                <w:rFonts w:asciiTheme="minorHAnsi" w:hAnsiTheme="minorHAnsi"/>
                <w:sz w:val="22"/>
                <w:szCs w:val="18"/>
              </w:rPr>
            </w:pPr>
          </w:p>
        </w:tc>
      </w:tr>
      <w:tr w:rsidR="00996A87" w:rsidRPr="00996A87" w:rsidTr="00D65B8C">
        <w:trPr>
          <w:trHeight w:val="900"/>
        </w:trPr>
        <w:tc>
          <w:tcPr>
            <w:tcW w:w="3132" w:type="dxa"/>
            <w:tcBorders>
              <w:top w:val="nil"/>
              <w:left w:val="single" w:sz="4" w:space="0" w:color="auto"/>
              <w:bottom w:val="nil"/>
              <w:right w:val="single" w:sz="4" w:space="0" w:color="auto"/>
            </w:tcBorders>
            <w:shd w:val="clear" w:color="auto" w:fill="auto"/>
            <w:noWrap/>
            <w:hideMark/>
          </w:tcPr>
          <w:p w:rsidR="00996A87" w:rsidRPr="00996A87" w:rsidRDefault="00996A87" w:rsidP="007D7862">
            <w:pPr>
              <w:snapToGrid w:val="0"/>
              <w:spacing w:before="0"/>
              <w:rPr>
                <w:rFonts w:asciiTheme="minorHAnsi" w:hAnsiTheme="minorHAnsi"/>
                <w:b/>
                <w:bCs/>
                <w:sz w:val="22"/>
                <w:szCs w:val="18"/>
              </w:rPr>
            </w:pPr>
            <w:r w:rsidRPr="00996A87">
              <w:rPr>
                <w:rFonts w:asciiTheme="minorHAnsi" w:hAnsiTheme="minorHAnsi"/>
                <w:b/>
                <w:bCs/>
                <w:sz w:val="22"/>
                <w:szCs w:val="18"/>
              </w:rPr>
              <w:t>Canada</w:t>
            </w:r>
          </w:p>
        </w:tc>
        <w:tc>
          <w:tcPr>
            <w:tcW w:w="4466" w:type="dxa"/>
            <w:tcBorders>
              <w:top w:val="nil"/>
              <w:left w:val="nil"/>
              <w:bottom w:val="nil"/>
              <w:right w:val="single" w:sz="4" w:space="0" w:color="auto"/>
            </w:tcBorders>
            <w:shd w:val="clear" w:color="auto" w:fill="auto"/>
            <w:hideMark/>
          </w:tcPr>
          <w:p w:rsidR="00996A87" w:rsidRPr="00996A87" w:rsidRDefault="00996A87" w:rsidP="007D7862">
            <w:pPr>
              <w:snapToGrid w:val="0"/>
              <w:spacing w:before="0"/>
              <w:rPr>
                <w:rFonts w:asciiTheme="minorHAnsi" w:hAnsiTheme="minorHAnsi"/>
                <w:sz w:val="22"/>
                <w:szCs w:val="18"/>
              </w:rPr>
            </w:pPr>
            <w:r w:rsidRPr="00996A87">
              <w:rPr>
                <w:rFonts w:asciiTheme="minorHAnsi" w:hAnsiTheme="minorHAnsi"/>
                <w:sz w:val="22"/>
                <w:szCs w:val="18"/>
              </w:rPr>
              <w:t>Space Services Directorate Engineering, Planning &amp; Standards Branch, Ontario</w:t>
            </w:r>
          </w:p>
        </w:tc>
        <w:tc>
          <w:tcPr>
            <w:tcW w:w="1323" w:type="dxa"/>
            <w:tcBorders>
              <w:top w:val="nil"/>
              <w:left w:val="nil"/>
              <w:bottom w:val="nil"/>
              <w:right w:val="single" w:sz="4" w:space="0" w:color="auto"/>
            </w:tcBorders>
            <w:shd w:val="clear" w:color="auto" w:fill="auto"/>
            <w:noWrap/>
            <w:hideMark/>
          </w:tcPr>
          <w:p w:rsidR="00996A87" w:rsidRPr="00996A87" w:rsidRDefault="00996A87" w:rsidP="00D65B8C">
            <w:pPr>
              <w:snapToGrid w:val="0"/>
              <w:spacing w:before="0"/>
              <w:jc w:val="center"/>
              <w:rPr>
                <w:rFonts w:asciiTheme="minorHAnsi" w:hAnsiTheme="minorHAnsi"/>
                <w:sz w:val="22"/>
                <w:szCs w:val="18"/>
              </w:rPr>
            </w:pPr>
            <w:r w:rsidRPr="00996A87">
              <w:rPr>
                <w:rFonts w:asciiTheme="minorHAnsi" w:hAnsiTheme="minorHAnsi"/>
                <w:sz w:val="22"/>
                <w:szCs w:val="18"/>
              </w:rPr>
              <w:t>2010</w:t>
            </w:r>
          </w:p>
        </w:tc>
        <w:tc>
          <w:tcPr>
            <w:tcW w:w="1536" w:type="dxa"/>
            <w:tcBorders>
              <w:top w:val="nil"/>
              <w:left w:val="nil"/>
              <w:bottom w:val="nil"/>
              <w:right w:val="single" w:sz="4" w:space="0" w:color="auto"/>
            </w:tcBorders>
            <w:shd w:val="clear" w:color="auto" w:fill="auto"/>
            <w:noWrap/>
            <w:hideMark/>
          </w:tcPr>
          <w:p w:rsidR="00996A87" w:rsidRPr="00996A87" w:rsidRDefault="00996A87" w:rsidP="00D65B8C">
            <w:pPr>
              <w:snapToGrid w:val="0"/>
              <w:spacing w:before="0"/>
              <w:jc w:val="right"/>
              <w:rPr>
                <w:rFonts w:asciiTheme="minorHAnsi" w:hAnsiTheme="minorHAnsi"/>
                <w:sz w:val="22"/>
                <w:szCs w:val="18"/>
              </w:rPr>
            </w:pPr>
            <w:r w:rsidRPr="00996A87">
              <w:rPr>
                <w:rFonts w:asciiTheme="minorHAnsi" w:hAnsiTheme="minorHAnsi"/>
                <w:sz w:val="22"/>
                <w:szCs w:val="18"/>
              </w:rPr>
              <w:t>14,613.50</w:t>
            </w:r>
          </w:p>
        </w:tc>
      </w:tr>
      <w:tr w:rsidR="00996A87" w:rsidRPr="00996A87" w:rsidTr="00D65B8C">
        <w:trPr>
          <w:trHeight w:val="900"/>
        </w:trPr>
        <w:tc>
          <w:tcPr>
            <w:tcW w:w="3132" w:type="dxa"/>
            <w:tcBorders>
              <w:top w:val="nil"/>
              <w:left w:val="single" w:sz="4" w:space="0" w:color="auto"/>
              <w:bottom w:val="nil"/>
              <w:right w:val="single" w:sz="4" w:space="0" w:color="auto"/>
            </w:tcBorders>
            <w:shd w:val="clear" w:color="auto" w:fill="auto"/>
            <w:noWrap/>
            <w:hideMark/>
          </w:tcPr>
          <w:p w:rsidR="00996A87" w:rsidRPr="00996A87" w:rsidRDefault="00996A87" w:rsidP="007D7862">
            <w:pPr>
              <w:snapToGrid w:val="0"/>
              <w:spacing w:before="0"/>
              <w:rPr>
                <w:rFonts w:asciiTheme="minorHAnsi" w:hAnsiTheme="minorHAnsi"/>
                <w:b/>
                <w:bCs/>
                <w:sz w:val="22"/>
                <w:szCs w:val="18"/>
              </w:rPr>
            </w:pPr>
            <w:r w:rsidRPr="00996A87">
              <w:rPr>
                <w:rFonts w:asciiTheme="minorHAnsi" w:hAnsiTheme="minorHAnsi"/>
                <w:b/>
                <w:bCs/>
                <w:sz w:val="22"/>
                <w:szCs w:val="18"/>
              </w:rPr>
              <w:t>Iran</w:t>
            </w:r>
          </w:p>
        </w:tc>
        <w:tc>
          <w:tcPr>
            <w:tcW w:w="4466" w:type="dxa"/>
            <w:tcBorders>
              <w:top w:val="nil"/>
              <w:left w:val="nil"/>
              <w:bottom w:val="nil"/>
              <w:right w:val="single" w:sz="4" w:space="0" w:color="auto"/>
            </w:tcBorders>
            <w:shd w:val="clear" w:color="auto" w:fill="auto"/>
            <w:hideMark/>
          </w:tcPr>
          <w:p w:rsidR="00996A87" w:rsidRPr="00996A87" w:rsidRDefault="00996A87" w:rsidP="007D7862">
            <w:pPr>
              <w:snapToGrid w:val="0"/>
              <w:spacing w:before="0"/>
              <w:rPr>
                <w:rFonts w:asciiTheme="minorHAnsi" w:hAnsiTheme="minorHAnsi"/>
                <w:sz w:val="22"/>
                <w:szCs w:val="18"/>
              </w:rPr>
            </w:pPr>
            <w:r w:rsidRPr="00996A87">
              <w:rPr>
                <w:rFonts w:asciiTheme="minorHAnsi" w:hAnsiTheme="minorHAnsi"/>
                <w:sz w:val="22"/>
                <w:szCs w:val="18"/>
              </w:rPr>
              <w:t>Ministry of Information &amp; Communication Technology (MICT), Tehran</w:t>
            </w:r>
          </w:p>
        </w:tc>
        <w:tc>
          <w:tcPr>
            <w:tcW w:w="1323" w:type="dxa"/>
            <w:tcBorders>
              <w:top w:val="nil"/>
              <w:left w:val="nil"/>
              <w:bottom w:val="nil"/>
              <w:right w:val="single" w:sz="4" w:space="0" w:color="auto"/>
            </w:tcBorders>
            <w:shd w:val="clear" w:color="auto" w:fill="auto"/>
            <w:noWrap/>
            <w:hideMark/>
          </w:tcPr>
          <w:p w:rsidR="00996A87" w:rsidRPr="00996A87" w:rsidRDefault="00996A87" w:rsidP="00D65B8C">
            <w:pPr>
              <w:snapToGrid w:val="0"/>
              <w:spacing w:before="0"/>
              <w:jc w:val="center"/>
              <w:rPr>
                <w:rFonts w:asciiTheme="minorHAnsi" w:hAnsiTheme="minorHAnsi"/>
                <w:sz w:val="22"/>
                <w:szCs w:val="18"/>
              </w:rPr>
            </w:pPr>
            <w:r w:rsidRPr="00996A87">
              <w:rPr>
                <w:rFonts w:asciiTheme="minorHAnsi" w:hAnsiTheme="minorHAnsi"/>
                <w:sz w:val="22"/>
                <w:szCs w:val="18"/>
              </w:rPr>
              <w:t>2012</w:t>
            </w:r>
          </w:p>
        </w:tc>
        <w:tc>
          <w:tcPr>
            <w:tcW w:w="1536" w:type="dxa"/>
            <w:tcBorders>
              <w:top w:val="nil"/>
              <w:left w:val="nil"/>
              <w:bottom w:val="nil"/>
              <w:right w:val="single" w:sz="4" w:space="0" w:color="auto"/>
            </w:tcBorders>
            <w:shd w:val="clear" w:color="auto" w:fill="auto"/>
            <w:noWrap/>
            <w:hideMark/>
          </w:tcPr>
          <w:p w:rsidR="00996A87" w:rsidRPr="00996A87" w:rsidRDefault="00996A87" w:rsidP="00D65B8C">
            <w:pPr>
              <w:snapToGrid w:val="0"/>
              <w:spacing w:before="0"/>
              <w:jc w:val="right"/>
              <w:rPr>
                <w:rFonts w:asciiTheme="minorHAnsi" w:hAnsiTheme="minorHAnsi"/>
                <w:sz w:val="22"/>
                <w:szCs w:val="18"/>
              </w:rPr>
            </w:pPr>
            <w:r w:rsidRPr="00996A87">
              <w:rPr>
                <w:rFonts w:asciiTheme="minorHAnsi" w:hAnsiTheme="minorHAnsi"/>
                <w:sz w:val="22"/>
                <w:szCs w:val="18"/>
              </w:rPr>
              <w:t>3,315.15</w:t>
            </w:r>
          </w:p>
        </w:tc>
      </w:tr>
      <w:tr w:rsidR="00996A87" w:rsidRPr="00996A87" w:rsidTr="00D65B8C">
        <w:trPr>
          <w:trHeight w:val="600"/>
        </w:trPr>
        <w:tc>
          <w:tcPr>
            <w:tcW w:w="3132" w:type="dxa"/>
            <w:tcBorders>
              <w:top w:val="nil"/>
              <w:left w:val="single" w:sz="4" w:space="0" w:color="auto"/>
              <w:bottom w:val="nil"/>
              <w:right w:val="single" w:sz="4" w:space="0" w:color="auto"/>
            </w:tcBorders>
            <w:shd w:val="clear" w:color="auto" w:fill="auto"/>
            <w:noWrap/>
            <w:hideMark/>
          </w:tcPr>
          <w:p w:rsidR="00996A87" w:rsidRPr="00996A87" w:rsidRDefault="00996A87" w:rsidP="007D7862">
            <w:pPr>
              <w:snapToGrid w:val="0"/>
              <w:spacing w:before="0"/>
              <w:rPr>
                <w:rFonts w:asciiTheme="minorHAnsi" w:hAnsiTheme="minorHAnsi"/>
                <w:b/>
                <w:bCs/>
                <w:sz w:val="22"/>
                <w:szCs w:val="18"/>
              </w:rPr>
            </w:pPr>
            <w:r w:rsidRPr="00996A87">
              <w:rPr>
                <w:rFonts w:asciiTheme="minorHAnsi" w:hAnsiTheme="minorHAnsi"/>
                <w:b/>
                <w:bCs/>
                <w:sz w:val="22"/>
                <w:szCs w:val="18"/>
              </w:rPr>
              <w:t>Nigeria</w:t>
            </w:r>
          </w:p>
        </w:tc>
        <w:tc>
          <w:tcPr>
            <w:tcW w:w="4466" w:type="dxa"/>
            <w:tcBorders>
              <w:top w:val="nil"/>
              <w:left w:val="nil"/>
              <w:bottom w:val="nil"/>
              <w:right w:val="single" w:sz="4" w:space="0" w:color="auto"/>
            </w:tcBorders>
            <w:shd w:val="clear" w:color="auto" w:fill="auto"/>
            <w:hideMark/>
          </w:tcPr>
          <w:p w:rsidR="00996A87" w:rsidRPr="00996A87" w:rsidRDefault="00996A87" w:rsidP="007D7862">
            <w:pPr>
              <w:snapToGrid w:val="0"/>
              <w:spacing w:before="0"/>
              <w:rPr>
                <w:rFonts w:asciiTheme="minorHAnsi" w:hAnsiTheme="minorHAnsi"/>
                <w:sz w:val="22"/>
                <w:szCs w:val="18"/>
              </w:rPr>
            </w:pPr>
            <w:r w:rsidRPr="00996A87">
              <w:rPr>
                <w:rFonts w:asciiTheme="minorHAnsi" w:hAnsiTheme="minorHAnsi"/>
                <w:sz w:val="22"/>
                <w:szCs w:val="18"/>
              </w:rPr>
              <w:t>Federal Ministry of Communication Technology, Abuja</w:t>
            </w:r>
          </w:p>
        </w:tc>
        <w:tc>
          <w:tcPr>
            <w:tcW w:w="1323" w:type="dxa"/>
            <w:tcBorders>
              <w:top w:val="nil"/>
              <w:left w:val="nil"/>
              <w:bottom w:val="nil"/>
              <w:right w:val="single" w:sz="4" w:space="0" w:color="auto"/>
            </w:tcBorders>
            <w:shd w:val="clear" w:color="auto" w:fill="auto"/>
            <w:noWrap/>
            <w:hideMark/>
          </w:tcPr>
          <w:p w:rsidR="00996A87" w:rsidRPr="00996A87" w:rsidRDefault="00996A87" w:rsidP="00D65B8C">
            <w:pPr>
              <w:snapToGrid w:val="0"/>
              <w:spacing w:before="0"/>
              <w:jc w:val="center"/>
              <w:rPr>
                <w:rFonts w:asciiTheme="minorHAnsi" w:hAnsiTheme="minorHAnsi"/>
                <w:sz w:val="22"/>
                <w:szCs w:val="18"/>
              </w:rPr>
            </w:pPr>
            <w:r w:rsidRPr="00996A87">
              <w:rPr>
                <w:rFonts w:asciiTheme="minorHAnsi" w:hAnsiTheme="minorHAnsi"/>
                <w:sz w:val="22"/>
                <w:szCs w:val="18"/>
              </w:rPr>
              <w:t>2012</w:t>
            </w:r>
          </w:p>
        </w:tc>
        <w:tc>
          <w:tcPr>
            <w:tcW w:w="1536" w:type="dxa"/>
            <w:tcBorders>
              <w:top w:val="nil"/>
              <w:left w:val="nil"/>
              <w:bottom w:val="nil"/>
              <w:right w:val="single" w:sz="4" w:space="0" w:color="auto"/>
            </w:tcBorders>
            <w:shd w:val="clear" w:color="auto" w:fill="auto"/>
            <w:noWrap/>
            <w:hideMark/>
          </w:tcPr>
          <w:p w:rsidR="00996A87" w:rsidRPr="00996A87" w:rsidRDefault="00996A87" w:rsidP="00D65B8C">
            <w:pPr>
              <w:snapToGrid w:val="0"/>
              <w:spacing w:before="0"/>
              <w:jc w:val="right"/>
              <w:rPr>
                <w:rFonts w:asciiTheme="minorHAnsi" w:hAnsiTheme="minorHAnsi"/>
                <w:sz w:val="22"/>
                <w:szCs w:val="18"/>
              </w:rPr>
            </w:pPr>
            <w:r w:rsidRPr="00996A87">
              <w:rPr>
                <w:rFonts w:asciiTheme="minorHAnsi" w:hAnsiTheme="minorHAnsi"/>
                <w:sz w:val="22"/>
                <w:szCs w:val="18"/>
              </w:rPr>
              <w:t>2,049.00</w:t>
            </w:r>
          </w:p>
        </w:tc>
      </w:tr>
      <w:tr w:rsidR="00996A87" w:rsidRPr="00996A87" w:rsidTr="00D65B8C">
        <w:trPr>
          <w:trHeight w:val="630"/>
        </w:trPr>
        <w:tc>
          <w:tcPr>
            <w:tcW w:w="3132" w:type="dxa"/>
            <w:tcBorders>
              <w:top w:val="nil"/>
              <w:left w:val="single" w:sz="4" w:space="0" w:color="auto"/>
              <w:bottom w:val="nil"/>
              <w:right w:val="single" w:sz="4" w:space="0" w:color="auto"/>
            </w:tcBorders>
            <w:shd w:val="clear" w:color="auto" w:fill="auto"/>
            <w:noWrap/>
            <w:hideMark/>
          </w:tcPr>
          <w:p w:rsidR="00996A87" w:rsidRPr="00996A87" w:rsidRDefault="00996A87" w:rsidP="007D7862">
            <w:pPr>
              <w:snapToGrid w:val="0"/>
              <w:spacing w:before="0"/>
              <w:rPr>
                <w:rFonts w:asciiTheme="minorHAnsi" w:hAnsiTheme="minorHAnsi"/>
                <w:b/>
                <w:bCs/>
                <w:sz w:val="22"/>
                <w:szCs w:val="18"/>
              </w:rPr>
            </w:pPr>
            <w:r w:rsidRPr="00996A87">
              <w:rPr>
                <w:rFonts w:asciiTheme="minorHAnsi" w:hAnsiTheme="minorHAnsi"/>
                <w:b/>
                <w:bCs/>
                <w:sz w:val="22"/>
                <w:szCs w:val="18"/>
              </w:rPr>
              <w:t>Russian Federation</w:t>
            </w:r>
          </w:p>
        </w:tc>
        <w:tc>
          <w:tcPr>
            <w:tcW w:w="4466" w:type="dxa"/>
            <w:tcBorders>
              <w:top w:val="nil"/>
              <w:left w:val="nil"/>
              <w:bottom w:val="nil"/>
              <w:right w:val="single" w:sz="4" w:space="0" w:color="auto"/>
            </w:tcBorders>
            <w:shd w:val="clear" w:color="auto" w:fill="auto"/>
            <w:hideMark/>
          </w:tcPr>
          <w:p w:rsidR="00996A87" w:rsidRPr="00996A87" w:rsidRDefault="00996A87" w:rsidP="007D7862">
            <w:pPr>
              <w:snapToGrid w:val="0"/>
              <w:spacing w:before="0"/>
              <w:rPr>
                <w:rFonts w:asciiTheme="minorHAnsi" w:hAnsiTheme="minorHAnsi"/>
                <w:sz w:val="22"/>
                <w:szCs w:val="18"/>
              </w:rPr>
            </w:pPr>
            <w:r w:rsidRPr="00996A87">
              <w:rPr>
                <w:rFonts w:asciiTheme="minorHAnsi" w:hAnsiTheme="minorHAnsi"/>
                <w:sz w:val="22"/>
                <w:szCs w:val="18"/>
              </w:rPr>
              <w:t>EA SAT Closed Joint Stock Company, Moscow</w:t>
            </w:r>
          </w:p>
        </w:tc>
        <w:tc>
          <w:tcPr>
            <w:tcW w:w="1323" w:type="dxa"/>
            <w:tcBorders>
              <w:top w:val="nil"/>
              <w:left w:val="nil"/>
              <w:bottom w:val="nil"/>
              <w:right w:val="single" w:sz="4" w:space="0" w:color="auto"/>
            </w:tcBorders>
            <w:shd w:val="clear" w:color="auto" w:fill="auto"/>
            <w:noWrap/>
            <w:hideMark/>
          </w:tcPr>
          <w:p w:rsidR="00996A87" w:rsidRPr="00996A87" w:rsidRDefault="00996A87" w:rsidP="00D65B8C">
            <w:pPr>
              <w:snapToGrid w:val="0"/>
              <w:spacing w:before="0"/>
              <w:jc w:val="center"/>
              <w:rPr>
                <w:rFonts w:asciiTheme="minorHAnsi" w:hAnsiTheme="minorHAnsi"/>
                <w:sz w:val="22"/>
                <w:szCs w:val="18"/>
              </w:rPr>
            </w:pPr>
            <w:r w:rsidRPr="00996A87">
              <w:rPr>
                <w:rFonts w:asciiTheme="minorHAnsi" w:hAnsiTheme="minorHAnsi"/>
                <w:sz w:val="22"/>
                <w:szCs w:val="18"/>
              </w:rPr>
              <w:t>2014</w:t>
            </w:r>
          </w:p>
        </w:tc>
        <w:tc>
          <w:tcPr>
            <w:tcW w:w="1536" w:type="dxa"/>
            <w:tcBorders>
              <w:top w:val="nil"/>
              <w:left w:val="nil"/>
              <w:bottom w:val="nil"/>
              <w:right w:val="single" w:sz="4" w:space="0" w:color="auto"/>
            </w:tcBorders>
            <w:shd w:val="clear" w:color="auto" w:fill="auto"/>
            <w:noWrap/>
            <w:hideMark/>
          </w:tcPr>
          <w:p w:rsidR="00996A87" w:rsidRPr="00996A87" w:rsidRDefault="00996A87" w:rsidP="00D65B8C">
            <w:pPr>
              <w:snapToGrid w:val="0"/>
              <w:spacing w:before="0"/>
              <w:jc w:val="right"/>
              <w:rPr>
                <w:rFonts w:asciiTheme="minorHAnsi" w:hAnsiTheme="minorHAnsi"/>
                <w:sz w:val="22"/>
                <w:szCs w:val="18"/>
              </w:rPr>
            </w:pPr>
            <w:r w:rsidRPr="00996A87">
              <w:rPr>
                <w:rFonts w:asciiTheme="minorHAnsi" w:hAnsiTheme="minorHAnsi"/>
                <w:sz w:val="22"/>
                <w:szCs w:val="18"/>
              </w:rPr>
              <w:t>87,926.95</w:t>
            </w:r>
          </w:p>
        </w:tc>
      </w:tr>
      <w:tr w:rsidR="00996A87" w:rsidRPr="00996A87" w:rsidTr="00D65B8C">
        <w:trPr>
          <w:trHeight w:val="630"/>
        </w:trPr>
        <w:tc>
          <w:tcPr>
            <w:tcW w:w="3132" w:type="dxa"/>
            <w:tcBorders>
              <w:top w:val="nil"/>
              <w:left w:val="single" w:sz="4" w:space="0" w:color="auto"/>
              <w:bottom w:val="nil"/>
              <w:right w:val="single" w:sz="4" w:space="0" w:color="auto"/>
            </w:tcBorders>
            <w:shd w:val="clear" w:color="auto" w:fill="auto"/>
            <w:noWrap/>
            <w:hideMark/>
          </w:tcPr>
          <w:p w:rsidR="00996A87" w:rsidRPr="00996A87" w:rsidRDefault="00996A87" w:rsidP="007D7862">
            <w:pPr>
              <w:snapToGrid w:val="0"/>
              <w:spacing w:before="0"/>
              <w:rPr>
                <w:rFonts w:asciiTheme="minorHAnsi" w:hAnsiTheme="minorHAnsi"/>
                <w:b/>
                <w:bCs/>
                <w:sz w:val="22"/>
                <w:szCs w:val="18"/>
              </w:rPr>
            </w:pPr>
          </w:p>
        </w:tc>
        <w:tc>
          <w:tcPr>
            <w:tcW w:w="4466" w:type="dxa"/>
            <w:tcBorders>
              <w:top w:val="nil"/>
              <w:left w:val="nil"/>
              <w:bottom w:val="nil"/>
              <w:right w:val="single" w:sz="4" w:space="0" w:color="auto"/>
            </w:tcBorders>
            <w:shd w:val="clear" w:color="auto" w:fill="auto"/>
            <w:hideMark/>
          </w:tcPr>
          <w:p w:rsidR="00996A87" w:rsidRPr="00996A87" w:rsidRDefault="00996A87" w:rsidP="007D7862">
            <w:pPr>
              <w:snapToGrid w:val="0"/>
              <w:spacing w:before="0"/>
              <w:rPr>
                <w:rFonts w:asciiTheme="minorHAnsi" w:hAnsiTheme="minorHAnsi"/>
                <w:sz w:val="22"/>
                <w:szCs w:val="18"/>
              </w:rPr>
            </w:pPr>
            <w:r w:rsidRPr="00996A87">
              <w:rPr>
                <w:rFonts w:asciiTheme="minorHAnsi" w:hAnsiTheme="minorHAnsi"/>
                <w:sz w:val="22"/>
                <w:szCs w:val="18"/>
              </w:rPr>
              <w:t>Global Information Systems GIS, Moscow</w:t>
            </w:r>
          </w:p>
        </w:tc>
        <w:tc>
          <w:tcPr>
            <w:tcW w:w="1323" w:type="dxa"/>
            <w:tcBorders>
              <w:top w:val="nil"/>
              <w:left w:val="nil"/>
              <w:bottom w:val="nil"/>
              <w:right w:val="single" w:sz="4" w:space="0" w:color="auto"/>
            </w:tcBorders>
            <w:shd w:val="clear" w:color="auto" w:fill="auto"/>
            <w:noWrap/>
            <w:hideMark/>
          </w:tcPr>
          <w:p w:rsidR="00996A87" w:rsidRPr="00996A87" w:rsidRDefault="00996A87" w:rsidP="00D65B8C">
            <w:pPr>
              <w:snapToGrid w:val="0"/>
              <w:spacing w:before="0"/>
              <w:jc w:val="center"/>
              <w:rPr>
                <w:rFonts w:asciiTheme="minorHAnsi" w:hAnsiTheme="minorHAnsi"/>
                <w:sz w:val="22"/>
                <w:szCs w:val="18"/>
              </w:rPr>
            </w:pPr>
            <w:r w:rsidRPr="00996A87">
              <w:rPr>
                <w:rFonts w:asciiTheme="minorHAnsi" w:hAnsiTheme="minorHAnsi"/>
                <w:sz w:val="22"/>
                <w:szCs w:val="18"/>
              </w:rPr>
              <w:t>2003</w:t>
            </w:r>
          </w:p>
        </w:tc>
        <w:tc>
          <w:tcPr>
            <w:tcW w:w="1536" w:type="dxa"/>
            <w:tcBorders>
              <w:top w:val="nil"/>
              <w:left w:val="nil"/>
              <w:bottom w:val="nil"/>
              <w:right w:val="single" w:sz="4" w:space="0" w:color="auto"/>
            </w:tcBorders>
            <w:shd w:val="clear" w:color="auto" w:fill="auto"/>
            <w:noWrap/>
            <w:hideMark/>
          </w:tcPr>
          <w:p w:rsidR="00996A87" w:rsidRPr="00996A87" w:rsidRDefault="00996A87" w:rsidP="00D65B8C">
            <w:pPr>
              <w:snapToGrid w:val="0"/>
              <w:spacing w:before="0"/>
              <w:jc w:val="right"/>
              <w:rPr>
                <w:rFonts w:asciiTheme="minorHAnsi" w:hAnsiTheme="minorHAnsi"/>
                <w:sz w:val="22"/>
                <w:szCs w:val="18"/>
              </w:rPr>
            </w:pPr>
            <w:r w:rsidRPr="00996A87">
              <w:rPr>
                <w:rFonts w:asciiTheme="minorHAnsi" w:hAnsiTheme="minorHAnsi"/>
                <w:sz w:val="22"/>
                <w:szCs w:val="18"/>
              </w:rPr>
              <w:t>354,759.86</w:t>
            </w:r>
          </w:p>
        </w:tc>
      </w:tr>
      <w:tr w:rsidR="00996A87" w:rsidRPr="00996A87" w:rsidTr="00D65B8C">
        <w:trPr>
          <w:trHeight w:val="630"/>
        </w:trPr>
        <w:tc>
          <w:tcPr>
            <w:tcW w:w="3132" w:type="dxa"/>
            <w:tcBorders>
              <w:top w:val="nil"/>
              <w:left w:val="single" w:sz="4" w:space="0" w:color="auto"/>
              <w:bottom w:val="nil"/>
              <w:right w:val="single" w:sz="4" w:space="0" w:color="auto"/>
            </w:tcBorders>
            <w:shd w:val="clear" w:color="auto" w:fill="auto"/>
            <w:noWrap/>
            <w:hideMark/>
          </w:tcPr>
          <w:p w:rsidR="00996A87" w:rsidRPr="00996A87" w:rsidRDefault="00996A87" w:rsidP="007D7862">
            <w:pPr>
              <w:snapToGrid w:val="0"/>
              <w:spacing w:before="0"/>
              <w:rPr>
                <w:rFonts w:asciiTheme="minorHAnsi" w:hAnsiTheme="minorHAnsi"/>
                <w:b/>
                <w:bCs/>
                <w:sz w:val="22"/>
                <w:szCs w:val="18"/>
              </w:rPr>
            </w:pPr>
            <w:r w:rsidRPr="00996A87">
              <w:rPr>
                <w:rFonts w:asciiTheme="minorHAnsi" w:hAnsiTheme="minorHAnsi"/>
                <w:b/>
                <w:bCs/>
                <w:sz w:val="22"/>
                <w:szCs w:val="18"/>
              </w:rPr>
              <w:t>United States of America</w:t>
            </w:r>
          </w:p>
        </w:tc>
        <w:tc>
          <w:tcPr>
            <w:tcW w:w="4466" w:type="dxa"/>
            <w:tcBorders>
              <w:top w:val="nil"/>
              <w:left w:val="nil"/>
              <w:bottom w:val="nil"/>
              <w:right w:val="single" w:sz="4" w:space="0" w:color="auto"/>
            </w:tcBorders>
            <w:shd w:val="clear" w:color="auto" w:fill="auto"/>
            <w:hideMark/>
          </w:tcPr>
          <w:p w:rsidR="00996A87" w:rsidRPr="00996A87" w:rsidRDefault="00996A87" w:rsidP="007D7862">
            <w:pPr>
              <w:snapToGrid w:val="0"/>
              <w:spacing w:before="0"/>
              <w:rPr>
                <w:rFonts w:asciiTheme="minorHAnsi" w:hAnsiTheme="minorHAnsi"/>
                <w:sz w:val="22"/>
                <w:szCs w:val="18"/>
              </w:rPr>
            </w:pPr>
            <w:r w:rsidRPr="00996A87">
              <w:rPr>
                <w:rFonts w:asciiTheme="minorHAnsi" w:hAnsiTheme="minorHAnsi"/>
                <w:sz w:val="22"/>
                <w:szCs w:val="18"/>
              </w:rPr>
              <w:t xml:space="preserve">Leading Technologies, LLC c/o </w:t>
            </w:r>
            <w:proofErr w:type="spellStart"/>
            <w:r w:rsidRPr="00996A87">
              <w:rPr>
                <w:rFonts w:asciiTheme="minorHAnsi" w:hAnsiTheme="minorHAnsi"/>
                <w:sz w:val="22"/>
                <w:szCs w:val="18"/>
              </w:rPr>
              <w:t>SWANsat</w:t>
            </w:r>
            <w:proofErr w:type="spellEnd"/>
            <w:r w:rsidRPr="00996A87">
              <w:rPr>
                <w:rFonts w:asciiTheme="minorHAnsi" w:hAnsiTheme="minorHAnsi"/>
                <w:sz w:val="22"/>
                <w:szCs w:val="18"/>
              </w:rPr>
              <w:t xml:space="preserve"> Holdings, LLC, La Mirada CA</w:t>
            </w:r>
          </w:p>
        </w:tc>
        <w:tc>
          <w:tcPr>
            <w:tcW w:w="1323" w:type="dxa"/>
            <w:tcBorders>
              <w:top w:val="nil"/>
              <w:left w:val="nil"/>
              <w:bottom w:val="nil"/>
              <w:right w:val="single" w:sz="4" w:space="0" w:color="auto"/>
            </w:tcBorders>
            <w:shd w:val="clear" w:color="auto" w:fill="auto"/>
            <w:noWrap/>
            <w:hideMark/>
          </w:tcPr>
          <w:p w:rsidR="00996A87" w:rsidRPr="00996A87" w:rsidRDefault="00996A87" w:rsidP="00D65B8C">
            <w:pPr>
              <w:snapToGrid w:val="0"/>
              <w:spacing w:before="0"/>
              <w:jc w:val="center"/>
              <w:rPr>
                <w:rFonts w:asciiTheme="minorHAnsi" w:hAnsiTheme="minorHAnsi"/>
                <w:sz w:val="22"/>
                <w:szCs w:val="18"/>
              </w:rPr>
            </w:pPr>
            <w:r w:rsidRPr="00996A87">
              <w:rPr>
                <w:rFonts w:asciiTheme="minorHAnsi" w:hAnsiTheme="minorHAnsi"/>
                <w:sz w:val="22"/>
                <w:szCs w:val="18"/>
              </w:rPr>
              <w:t>2008-2009</w:t>
            </w:r>
          </w:p>
        </w:tc>
        <w:tc>
          <w:tcPr>
            <w:tcW w:w="1536" w:type="dxa"/>
            <w:tcBorders>
              <w:top w:val="nil"/>
              <w:left w:val="nil"/>
              <w:bottom w:val="nil"/>
              <w:right w:val="single" w:sz="4" w:space="0" w:color="auto"/>
            </w:tcBorders>
            <w:shd w:val="clear" w:color="auto" w:fill="auto"/>
            <w:noWrap/>
            <w:hideMark/>
          </w:tcPr>
          <w:p w:rsidR="00996A87" w:rsidRPr="00996A87" w:rsidRDefault="00996A87" w:rsidP="00D65B8C">
            <w:pPr>
              <w:snapToGrid w:val="0"/>
              <w:spacing w:before="0"/>
              <w:jc w:val="right"/>
              <w:rPr>
                <w:rFonts w:asciiTheme="minorHAnsi" w:hAnsiTheme="minorHAnsi"/>
                <w:sz w:val="22"/>
                <w:szCs w:val="18"/>
              </w:rPr>
            </w:pPr>
            <w:r w:rsidRPr="00996A87">
              <w:rPr>
                <w:rFonts w:asciiTheme="minorHAnsi" w:hAnsiTheme="minorHAnsi"/>
                <w:sz w:val="22"/>
                <w:szCs w:val="18"/>
              </w:rPr>
              <w:t>121,313.60</w:t>
            </w:r>
          </w:p>
        </w:tc>
      </w:tr>
      <w:tr w:rsidR="00996A87" w:rsidRPr="00996A87" w:rsidTr="00D65B8C">
        <w:trPr>
          <w:trHeight w:val="510"/>
        </w:trPr>
        <w:tc>
          <w:tcPr>
            <w:tcW w:w="3132" w:type="dxa"/>
            <w:tcBorders>
              <w:top w:val="nil"/>
              <w:left w:val="single" w:sz="4" w:space="0" w:color="auto"/>
              <w:bottom w:val="single" w:sz="4" w:space="0" w:color="auto"/>
              <w:right w:val="single" w:sz="4" w:space="0" w:color="auto"/>
            </w:tcBorders>
            <w:shd w:val="clear" w:color="auto" w:fill="auto"/>
            <w:noWrap/>
            <w:vAlign w:val="bottom"/>
            <w:hideMark/>
          </w:tcPr>
          <w:p w:rsidR="00996A87" w:rsidRPr="00996A87" w:rsidRDefault="00996A87" w:rsidP="007D7862">
            <w:pPr>
              <w:snapToGrid w:val="0"/>
              <w:spacing w:before="0"/>
              <w:rPr>
                <w:rFonts w:asciiTheme="minorHAnsi" w:hAnsiTheme="minorHAnsi"/>
                <w:b/>
                <w:bCs/>
                <w:sz w:val="22"/>
                <w:szCs w:val="18"/>
              </w:rPr>
            </w:pPr>
            <w:r w:rsidRPr="00996A87">
              <w:rPr>
                <w:rFonts w:asciiTheme="minorHAnsi" w:hAnsiTheme="minorHAnsi"/>
                <w:b/>
                <w:bCs/>
                <w:sz w:val="22"/>
                <w:szCs w:val="18"/>
              </w:rPr>
              <w:t>Total Arrears at 31.12.2017</w:t>
            </w:r>
          </w:p>
        </w:tc>
        <w:tc>
          <w:tcPr>
            <w:tcW w:w="4466" w:type="dxa"/>
            <w:tcBorders>
              <w:top w:val="nil"/>
              <w:left w:val="nil"/>
              <w:bottom w:val="single" w:sz="4" w:space="0" w:color="auto"/>
              <w:right w:val="single" w:sz="4" w:space="0" w:color="auto"/>
            </w:tcBorders>
            <w:shd w:val="clear" w:color="auto" w:fill="auto"/>
            <w:noWrap/>
            <w:vAlign w:val="bottom"/>
            <w:hideMark/>
          </w:tcPr>
          <w:p w:rsidR="00996A87" w:rsidRPr="00996A87" w:rsidRDefault="00996A87" w:rsidP="007D7862">
            <w:pPr>
              <w:snapToGrid w:val="0"/>
              <w:spacing w:before="0"/>
              <w:rPr>
                <w:rFonts w:asciiTheme="minorHAnsi" w:hAnsiTheme="minorHAnsi"/>
                <w:sz w:val="22"/>
                <w:szCs w:val="18"/>
              </w:rPr>
            </w:pPr>
          </w:p>
        </w:tc>
        <w:tc>
          <w:tcPr>
            <w:tcW w:w="1323" w:type="dxa"/>
            <w:tcBorders>
              <w:top w:val="nil"/>
              <w:left w:val="nil"/>
              <w:bottom w:val="single" w:sz="4" w:space="0" w:color="auto"/>
              <w:right w:val="single" w:sz="4" w:space="0" w:color="auto"/>
            </w:tcBorders>
            <w:shd w:val="clear" w:color="auto" w:fill="auto"/>
            <w:noWrap/>
            <w:vAlign w:val="bottom"/>
            <w:hideMark/>
          </w:tcPr>
          <w:p w:rsidR="00996A87" w:rsidRPr="00996A87" w:rsidRDefault="00996A87" w:rsidP="00D65B8C">
            <w:pPr>
              <w:snapToGrid w:val="0"/>
              <w:spacing w:before="0"/>
              <w:jc w:val="center"/>
              <w:rPr>
                <w:rFonts w:asciiTheme="minorHAnsi" w:hAnsiTheme="minorHAnsi"/>
                <w:sz w:val="22"/>
                <w:szCs w:val="18"/>
              </w:rPr>
            </w:pPr>
          </w:p>
        </w:tc>
        <w:tc>
          <w:tcPr>
            <w:tcW w:w="1536" w:type="dxa"/>
            <w:tcBorders>
              <w:top w:val="nil"/>
              <w:left w:val="nil"/>
              <w:bottom w:val="single" w:sz="4" w:space="0" w:color="auto"/>
              <w:right w:val="single" w:sz="4" w:space="0" w:color="auto"/>
            </w:tcBorders>
            <w:shd w:val="clear" w:color="auto" w:fill="auto"/>
            <w:noWrap/>
            <w:vAlign w:val="bottom"/>
            <w:hideMark/>
          </w:tcPr>
          <w:p w:rsidR="00996A87" w:rsidRPr="00996A87" w:rsidRDefault="00996A87" w:rsidP="00D65B8C">
            <w:pPr>
              <w:snapToGrid w:val="0"/>
              <w:spacing w:before="0"/>
              <w:jc w:val="right"/>
              <w:rPr>
                <w:rFonts w:asciiTheme="minorHAnsi" w:hAnsiTheme="minorHAnsi"/>
                <w:b/>
                <w:bCs/>
                <w:sz w:val="22"/>
                <w:szCs w:val="18"/>
              </w:rPr>
            </w:pPr>
            <w:r w:rsidRPr="00996A87">
              <w:rPr>
                <w:rFonts w:asciiTheme="minorHAnsi" w:hAnsiTheme="minorHAnsi"/>
                <w:b/>
                <w:bCs/>
                <w:sz w:val="22"/>
                <w:szCs w:val="18"/>
              </w:rPr>
              <w:t>583,978.06</w:t>
            </w:r>
          </w:p>
        </w:tc>
      </w:tr>
    </w:tbl>
    <w:p w:rsidR="00996A87" w:rsidRPr="00996A87" w:rsidRDefault="00996A87" w:rsidP="000131DC">
      <w:pPr>
        <w:rPr>
          <w:rFonts w:asciiTheme="minorHAnsi" w:hAnsiTheme="minorHAnsi"/>
          <w:sz w:val="22"/>
          <w:szCs w:val="18"/>
          <w:lang w:val="fr-CH"/>
        </w:rPr>
      </w:pPr>
    </w:p>
    <w:tbl>
      <w:tblPr>
        <w:tblW w:w="10457" w:type="dxa"/>
        <w:tblLook w:val="04A0" w:firstRow="1" w:lastRow="0" w:firstColumn="1" w:lastColumn="0" w:noHBand="0" w:noVBand="1"/>
      </w:tblPr>
      <w:tblGrid>
        <w:gridCol w:w="3309"/>
        <w:gridCol w:w="4722"/>
        <w:gridCol w:w="807"/>
        <w:gridCol w:w="1619"/>
      </w:tblGrid>
      <w:tr w:rsidR="00996A87" w:rsidRPr="00996A87" w:rsidTr="007D7862">
        <w:trPr>
          <w:trHeight w:val="690"/>
        </w:trPr>
        <w:tc>
          <w:tcPr>
            <w:tcW w:w="10457"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996A87" w:rsidRPr="0057403D" w:rsidRDefault="00996A87" w:rsidP="0057403D">
            <w:pPr>
              <w:jc w:val="center"/>
              <w:rPr>
                <w:rFonts w:asciiTheme="minorHAnsi" w:hAnsiTheme="minorHAnsi"/>
                <w:b/>
                <w:bCs/>
                <w:sz w:val="28"/>
                <w:szCs w:val="28"/>
              </w:rPr>
            </w:pPr>
            <w:r w:rsidRPr="0057403D">
              <w:rPr>
                <w:rFonts w:asciiTheme="minorHAnsi" w:hAnsiTheme="minorHAnsi"/>
                <w:b/>
                <w:bCs/>
                <w:sz w:val="28"/>
                <w:szCs w:val="28"/>
              </w:rPr>
              <w:t>A</w:t>
            </w:r>
            <w:r w:rsidR="0057403D" w:rsidRPr="0057403D">
              <w:rPr>
                <w:rFonts w:asciiTheme="minorHAnsi" w:hAnsiTheme="minorHAnsi"/>
                <w:b/>
                <w:bCs/>
                <w:sz w:val="28"/>
                <w:szCs w:val="28"/>
              </w:rPr>
              <w:t>mounts due in respect of miscellaneous invoices</w:t>
            </w:r>
          </w:p>
        </w:tc>
      </w:tr>
      <w:tr w:rsidR="00996A87" w:rsidRPr="00996A87" w:rsidTr="007D7862">
        <w:trPr>
          <w:trHeight w:val="150"/>
        </w:trPr>
        <w:tc>
          <w:tcPr>
            <w:tcW w:w="3309" w:type="dxa"/>
            <w:tcBorders>
              <w:top w:val="nil"/>
              <w:left w:val="single" w:sz="4" w:space="0" w:color="auto"/>
              <w:bottom w:val="nil"/>
              <w:right w:val="single" w:sz="4" w:space="0" w:color="auto"/>
            </w:tcBorders>
            <w:shd w:val="clear" w:color="auto" w:fill="auto"/>
            <w:noWrap/>
            <w:vAlign w:val="bottom"/>
            <w:hideMark/>
          </w:tcPr>
          <w:p w:rsidR="00996A87" w:rsidRPr="00996A87" w:rsidRDefault="00996A87" w:rsidP="00D65B8C">
            <w:pPr>
              <w:snapToGrid w:val="0"/>
              <w:spacing w:before="0"/>
              <w:rPr>
                <w:rFonts w:asciiTheme="minorHAnsi" w:hAnsiTheme="minorHAnsi"/>
                <w:sz w:val="22"/>
                <w:szCs w:val="18"/>
              </w:rPr>
            </w:pPr>
            <w:r w:rsidRPr="00996A87">
              <w:rPr>
                <w:rFonts w:asciiTheme="minorHAnsi" w:hAnsiTheme="minorHAnsi"/>
                <w:sz w:val="22"/>
                <w:szCs w:val="18"/>
              </w:rPr>
              <w:t> </w:t>
            </w:r>
          </w:p>
        </w:tc>
        <w:tc>
          <w:tcPr>
            <w:tcW w:w="4722" w:type="dxa"/>
            <w:tcBorders>
              <w:top w:val="nil"/>
              <w:left w:val="nil"/>
              <w:bottom w:val="nil"/>
              <w:right w:val="single" w:sz="4" w:space="0" w:color="auto"/>
            </w:tcBorders>
            <w:shd w:val="clear" w:color="auto" w:fill="auto"/>
            <w:noWrap/>
            <w:vAlign w:val="bottom"/>
            <w:hideMark/>
          </w:tcPr>
          <w:p w:rsidR="00996A87" w:rsidRPr="00996A87" w:rsidRDefault="00996A87" w:rsidP="00D65B8C">
            <w:pPr>
              <w:snapToGrid w:val="0"/>
              <w:spacing w:before="0"/>
              <w:rPr>
                <w:rFonts w:asciiTheme="minorHAnsi" w:hAnsiTheme="minorHAnsi"/>
                <w:sz w:val="22"/>
                <w:szCs w:val="18"/>
              </w:rPr>
            </w:pPr>
            <w:r w:rsidRPr="00996A87">
              <w:rPr>
                <w:rFonts w:asciiTheme="minorHAnsi" w:hAnsiTheme="minorHAnsi"/>
                <w:sz w:val="22"/>
                <w:szCs w:val="18"/>
              </w:rPr>
              <w:t> </w:t>
            </w:r>
          </w:p>
        </w:tc>
        <w:tc>
          <w:tcPr>
            <w:tcW w:w="807" w:type="dxa"/>
            <w:tcBorders>
              <w:top w:val="nil"/>
              <w:left w:val="nil"/>
              <w:bottom w:val="nil"/>
              <w:right w:val="single" w:sz="4" w:space="0" w:color="auto"/>
            </w:tcBorders>
            <w:shd w:val="clear" w:color="auto" w:fill="auto"/>
            <w:noWrap/>
            <w:vAlign w:val="bottom"/>
            <w:hideMark/>
          </w:tcPr>
          <w:p w:rsidR="00996A87" w:rsidRPr="00996A87" w:rsidRDefault="00996A87" w:rsidP="00D65B8C">
            <w:pPr>
              <w:snapToGrid w:val="0"/>
              <w:spacing w:before="0"/>
              <w:rPr>
                <w:rFonts w:asciiTheme="minorHAnsi" w:hAnsiTheme="minorHAnsi"/>
                <w:sz w:val="22"/>
                <w:szCs w:val="18"/>
              </w:rPr>
            </w:pPr>
            <w:r w:rsidRPr="00996A87">
              <w:rPr>
                <w:rFonts w:asciiTheme="minorHAnsi" w:hAnsiTheme="minorHAnsi"/>
                <w:sz w:val="22"/>
                <w:szCs w:val="18"/>
              </w:rPr>
              <w:t> </w:t>
            </w:r>
          </w:p>
        </w:tc>
        <w:tc>
          <w:tcPr>
            <w:tcW w:w="1619" w:type="dxa"/>
            <w:tcBorders>
              <w:top w:val="nil"/>
              <w:left w:val="nil"/>
              <w:bottom w:val="nil"/>
              <w:right w:val="single" w:sz="4" w:space="0" w:color="auto"/>
            </w:tcBorders>
            <w:shd w:val="clear" w:color="auto" w:fill="auto"/>
            <w:noWrap/>
            <w:vAlign w:val="bottom"/>
            <w:hideMark/>
          </w:tcPr>
          <w:p w:rsidR="00996A87" w:rsidRPr="00996A87" w:rsidRDefault="00996A87" w:rsidP="00D65B8C">
            <w:pPr>
              <w:snapToGrid w:val="0"/>
              <w:spacing w:before="0"/>
              <w:rPr>
                <w:rFonts w:asciiTheme="minorHAnsi" w:hAnsiTheme="minorHAnsi"/>
                <w:sz w:val="22"/>
                <w:szCs w:val="18"/>
              </w:rPr>
            </w:pPr>
            <w:r w:rsidRPr="00996A87">
              <w:rPr>
                <w:rFonts w:asciiTheme="minorHAnsi" w:hAnsiTheme="minorHAnsi"/>
                <w:sz w:val="22"/>
                <w:szCs w:val="18"/>
              </w:rPr>
              <w:t> </w:t>
            </w:r>
          </w:p>
        </w:tc>
      </w:tr>
      <w:tr w:rsidR="00996A87" w:rsidRPr="00996A87" w:rsidTr="007D7862">
        <w:trPr>
          <w:trHeight w:val="300"/>
        </w:trPr>
        <w:tc>
          <w:tcPr>
            <w:tcW w:w="3309" w:type="dxa"/>
            <w:tcBorders>
              <w:top w:val="nil"/>
              <w:left w:val="single" w:sz="4" w:space="0" w:color="auto"/>
              <w:bottom w:val="nil"/>
              <w:right w:val="single" w:sz="4" w:space="0" w:color="auto"/>
            </w:tcBorders>
            <w:shd w:val="clear" w:color="auto" w:fill="auto"/>
            <w:noWrap/>
            <w:vAlign w:val="bottom"/>
            <w:hideMark/>
          </w:tcPr>
          <w:p w:rsidR="00996A87" w:rsidRPr="00996A87" w:rsidRDefault="00996A87" w:rsidP="00D65B8C">
            <w:pPr>
              <w:snapToGrid w:val="0"/>
              <w:spacing w:before="0"/>
              <w:jc w:val="center"/>
              <w:rPr>
                <w:rFonts w:asciiTheme="minorHAnsi" w:hAnsiTheme="minorHAnsi"/>
                <w:b/>
                <w:bCs/>
                <w:sz w:val="22"/>
                <w:szCs w:val="18"/>
              </w:rPr>
            </w:pPr>
            <w:r w:rsidRPr="00996A87">
              <w:rPr>
                <w:rFonts w:asciiTheme="minorHAnsi" w:hAnsiTheme="minorHAnsi"/>
                <w:b/>
                <w:bCs/>
                <w:sz w:val="22"/>
                <w:szCs w:val="18"/>
              </w:rPr>
              <w:t>Country</w:t>
            </w:r>
          </w:p>
        </w:tc>
        <w:tc>
          <w:tcPr>
            <w:tcW w:w="4722" w:type="dxa"/>
            <w:tcBorders>
              <w:top w:val="nil"/>
              <w:left w:val="nil"/>
              <w:bottom w:val="nil"/>
              <w:right w:val="single" w:sz="4" w:space="0" w:color="auto"/>
            </w:tcBorders>
            <w:shd w:val="clear" w:color="auto" w:fill="auto"/>
            <w:noWrap/>
            <w:vAlign w:val="bottom"/>
            <w:hideMark/>
          </w:tcPr>
          <w:p w:rsidR="00996A87" w:rsidRPr="00996A87" w:rsidRDefault="00996A87" w:rsidP="00D65B8C">
            <w:pPr>
              <w:snapToGrid w:val="0"/>
              <w:spacing w:before="0"/>
              <w:jc w:val="center"/>
              <w:rPr>
                <w:rFonts w:asciiTheme="minorHAnsi" w:hAnsiTheme="minorHAnsi"/>
                <w:b/>
                <w:bCs/>
                <w:sz w:val="22"/>
                <w:szCs w:val="18"/>
              </w:rPr>
            </w:pPr>
            <w:r w:rsidRPr="00996A87">
              <w:rPr>
                <w:rFonts w:asciiTheme="minorHAnsi" w:hAnsiTheme="minorHAnsi"/>
                <w:b/>
                <w:bCs/>
                <w:sz w:val="22"/>
                <w:szCs w:val="18"/>
              </w:rPr>
              <w:t>Entity</w:t>
            </w:r>
          </w:p>
        </w:tc>
        <w:tc>
          <w:tcPr>
            <w:tcW w:w="807" w:type="dxa"/>
            <w:tcBorders>
              <w:top w:val="nil"/>
              <w:left w:val="nil"/>
              <w:bottom w:val="nil"/>
              <w:right w:val="single" w:sz="4" w:space="0" w:color="auto"/>
            </w:tcBorders>
            <w:shd w:val="clear" w:color="auto" w:fill="auto"/>
            <w:noWrap/>
            <w:vAlign w:val="bottom"/>
            <w:hideMark/>
          </w:tcPr>
          <w:p w:rsidR="00996A87" w:rsidRPr="00996A87" w:rsidRDefault="00996A87" w:rsidP="00D65B8C">
            <w:pPr>
              <w:snapToGrid w:val="0"/>
              <w:spacing w:before="0"/>
              <w:jc w:val="center"/>
              <w:rPr>
                <w:rFonts w:asciiTheme="minorHAnsi" w:hAnsiTheme="minorHAnsi"/>
                <w:b/>
                <w:bCs/>
                <w:sz w:val="22"/>
                <w:szCs w:val="18"/>
              </w:rPr>
            </w:pPr>
            <w:r w:rsidRPr="00996A87">
              <w:rPr>
                <w:rFonts w:asciiTheme="minorHAnsi" w:hAnsiTheme="minorHAnsi"/>
                <w:b/>
                <w:bCs/>
                <w:sz w:val="22"/>
                <w:szCs w:val="18"/>
              </w:rPr>
              <w:t>Year</w:t>
            </w:r>
          </w:p>
        </w:tc>
        <w:tc>
          <w:tcPr>
            <w:tcW w:w="1619" w:type="dxa"/>
            <w:tcBorders>
              <w:top w:val="nil"/>
              <w:left w:val="nil"/>
              <w:bottom w:val="nil"/>
              <w:right w:val="single" w:sz="4" w:space="0" w:color="auto"/>
            </w:tcBorders>
            <w:shd w:val="clear" w:color="auto" w:fill="auto"/>
            <w:noWrap/>
            <w:vAlign w:val="bottom"/>
            <w:hideMark/>
          </w:tcPr>
          <w:p w:rsidR="00996A87" w:rsidRPr="00996A87" w:rsidRDefault="00996A87" w:rsidP="00D65B8C">
            <w:pPr>
              <w:snapToGrid w:val="0"/>
              <w:spacing w:before="0"/>
              <w:jc w:val="center"/>
              <w:rPr>
                <w:rFonts w:asciiTheme="minorHAnsi" w:hAnsiTheme="minorHAnsi"/>
                <w:b/>
                <w:bCs/>
                <w:sz w:val="22"/>
                <w:szCs w:val="18"/>
              </w:rPr>
            </w:pPr>
            <w:r w:rsidRPr="00996A87">
              <w:rPr>
                <w:rFonts w:asciiTheme="minorHAnsi" w:hAnsiTheme="minorHAnsi"/>
                <w:b/>
                <w:bCs/>
                <w:sz w:val="22"/>
                <w:szCs w:val="18"/>
              </w:rPr>
              <w:t>Amount due</w:t>
            </w:r>
          </w:p>
        </w:tc>
      </w:tr>
      <w:tr w:rsidR="00996A87" w:rsidRPr="00996A87" w:rsidTr="007D7862">
        <w:trPr>
          <w:trHeight w:val="195"/>
        </w:trPr>
        <w:tc>
          <w:tcPr>
            <w:tcW w:w="3309" w:type="dxa"/>
            <w:tcBorders>
              <w:top w:val="nil"/>
              <w:left w:val="single" w:sz="4" w:space="0" w:color="auto"/>
              <w:bottom w:val="single" w:sz="4" w:space="0" w:color="auto"/>
              <w:right w:val="single" w:sz="4" w:space="0" w:color="auto"/>
            </w:tcBorders>
            <w:shd w:val="clear" w:color="auto" w:fill="auto"/>
            <w:noWrap/>
            <w:vAlign w:val="bottom"/>
            <w:hideMark/>
          </w:tcPr>
          <w:p w:rsidR="00996A87" w:rsidRPr="00996A87" w:rsidRDefault="00996A87" w:rsidP="00D65B8C">
            <w:pPr>
              <w:snapToGrid w:val="0"/>
              <w:spacing w:before="0"/>
              <w:rPr>
                <w:rFonts w:asciiTheme="minorHAnsi" w:hAnsiTheme="minorHAnsi"/>
                <w:sz w:val="22"/>
                <w:szCs w:val="18"/>
              </w:rPr>
            </w:pPr>
            <w:r w:rsidRPr="00996A87">
              <w:rPr>
                <w:rFonts w:asciiTheme="minorHAnsi" w:hAnsiTheme="minorHAnsi"/>
                <w:sz w:val="22"/>
                <w:szCs w:val="18"/>
              </w:rPr>
              <w:t> </w:t>
            </w:r>
          </w:p>
        </w:tc>
        <w:tc>
          <w:tcPr>
            <w:tcW w:w="4722" w:type="dxa"/>
            <w:tcBorders>
              <w:top w:val="nil"/>
              <w:left w:val="nil"/>
              <w:bottom w:val="single" w:sz="4" w:space="0" w:color="auto"/>
              <w:right w:val="single" w:sz="4" w:space="0" w:color="auto"/>
            </w:tcBorders>
            <w:shd w:val="clear" w:color="auto" w:fill="auto"/>
            <w:noWrap/>
            <w:vAlign w:val="bottom"/>
            <w:hideMark/>
          </w:tcPr>
          <w:p w:rsidR="00996A87" w:rsidRPr="00996A87" w:rsidRDefault="00996A87" w:rsidP="00D65B8C">
            <w:pPr>
              <w:snapToGrid w:val="0"/>
              <w:spacing w:before="0"/>
              <w:rPr>
                <w:rFonts w:asciiTheme="minorHAnsi" w:hAnsiTheme="minorHAnsi"/>
                <w:sz w:val="22"/>
                <w:szCs w:val="18"/>
              </w:rPr>
            </w:pPr>
            <w:r w:rsidRPr="00996A87">
              <w:rPr>
                <w:rFonts w:asciiTheme="minorHAnsi" w:hAnsiTheme="minorHAnsi"/>
                <w:sz w:val="22"/>
                <w:szCs w:val="18"/>
              </w:rPr>
              <w:t> </w:t>
            </w:r>
          </w:p>
        </w:tc>
        <w:tc>
          <w:tcPr>
            <w:tcW w:w="807" w:type="dxa"/>
            <w:tcBorders>
              <w:top w:val="nil"/>
              <w:left w:val="nil"/>
              <w:bottom w:val="single" w:sz="4" w:space="0" w:color="auto"/>
              <w:right w:val="single" w:sz="4" w:space="0" w:color="auto"/>
            </w:tcBorders>
            <w:shd w:val="clear" w:color="auto" w:fill="auto"/>
            <w:noWrap/>
            <w:vAlign w:val="bottom"/>
            <w:hideMark/>
          </w:tcPr>
          <w:p w:rsidR="00996A87" w:rsidRPr="00996A87" w:rsidRDefault="00996A87" w:rsidP="00D65B8C">
            <w:pPr>
              <w:snapToGrid w:val="0"/>
              <w:spacing w:before="0"/>
              <w:rPr>
                <w:rFonts w:asciiTheme="minorHAnsi" w:hAnsiTheme="minorHAnsi"/>
                <w:sz w:val="22"/>
                <w:szCs w:val="18"/>
              </w:rPr>
            </w:pPr>
            <w:r w:rsidRPr="00996A87">
              <w:rPr>
                <w:rFonts w:asciiTheme="minorHAnsi" w:hAnsiTheme="minorHAnsi"/>
                <w:sz w:val="22"/>
                <w:szCs w:val="18"/>
              </w:rPr>
              <w:t> </w:t>
            </w:r>
          </w:p>
        </w:tc>
        <w:tc>
          <w:tcPr>
            <w:tcW w:w="1619" w:type="dxa"/>
            <w:tcBorders>
              <w:top w:val="nil"/>
              <w:left w:val="nil"/>
              <w:bottom w:val="single" w:sz="4" w:space="0" w:color="auto"/>
              <w:right w:val="single" w:sz="4" w:space="0" w:color="auto"/>
            </w:tcBorders>
            <w:shd w:val="clear" w:color="auto" w:fill="auto"/>
            <w:noWrap/>
            <w:vAlign w:val="bottom"/>
            <w:hideMark/>
          </w:tcPr>
          <w:p w:rsidR="00996A87" w:rsidRPr="00996A87" w:rsidRDefault="00996A87" w:rsidP="00D65B8C">
            <w:pPr>
              <w:snapToGrid w:val="0"/>
              <w:spacing w:before="0"/>
              <w:rPr>
                <w:rFonts w:asciiTheme="minorHAnsi" w:hAnsiTheme="minorHAnsi"/>
                <w:sz w:val="22"/>
                <w:szCs w:val="18"/>
              </w:rPr>
            </w:pPr>
            <w:r w:rsidRPr="00996A87">
              <w:rPr>
                <w:rFonts w:asciiTheme="minorHAnsi" w:hAnsiTheme="minorHAnsi"/>
                <w:sz w:val="22"/>
                <w:szCs w:val="18"/>
              </w:rPr>
              <w:t> </w:t>
            </w:r>
          </w:p>
        </w:tc>
      </w:tr>
      <w:tr w:rsidR="00996A87" w:rsidRPr="00996A87" w:rsidTr="007D7862">
        <w:trPr>
          <w:trHeight w:val="300"/>
        </w:trPr>
        <w:tc>
          <w:tcPr>
            <w:tcW w:w="3309" w:type="dxa"/>
            <w:tcBorders>
              <w:top w:val="nil"/>
              <w:left w:val="single" w:sz="4" w:space="0" w:color="auto"/>
              <w:bottom w:val="nil"/>
              <w:right w:val="single" w:sz="4" w:space="0" w:color="auto"/>
            </w:tcBorders>
            <w:shd w:val="clear" w:color="auto" w:fill="auto"/>
            <w:noWrap/>
            <w:hideMark/>
          </w:tcPr>
          <w:p w:rsidR="00996A87" w:rsidRPr="00996A87" w:rsidRDefault="00996A87" w:rsidP="00D65B8C">
            <w:pPr>
              <w:snapToGrid w:val="0"/>
              <w:spacing w:before="0"/>
              <w:rPr>
                <w:rFonts w:asciiTheme="minorHAnsi" w:hAnsiTheme="minorHAnsi"/>
                <w:b/>
                <w:bCs/>
                <w:sz w:val="22"/>
                <w:szCs w:val="18"/>
              </w:rPr>
            </w:pPr>
            <w:r w:rsidRPr="00996A87">
              <w:rPr>
                <w:rFonts w:asciiTheme="minorHAnsi" w:hAnsiTheme="minorHAnsi"/>
                <w:b/>
                <w:bCs/>
                <w:sz w:val="22"/>
                <w:szCs w:val="18"/>
              </w:rPr>
              <w:t>Saudi Arabia</w:t>
            </w:r>
          </w:p>
        </w:tc>
        <w:tc>
          <w:tcPr>
            <w:tcW w:w="4722" w:type="dxa"/>
            <w:tcBorders>
              <w:top w:val="nil"/>
              <w:left w:val="nil"/>
              <w:bottom w:val="nil"/>
              <w:right w:val="single" w:sz="4" w:space="0" w:color="auto"/>
            </w:tcBorders>
            <w:shd w:val="clear" w:color="auto" w:fill="auto"/>
            <w:noWrap/>
            <w:hideMark/>
          </w:tcPr>
          <w:p w:rsidR="00996A87" w:rsidRPr="00996A87" w:rsidRDefault="00996A87" w:rsidP="00D65B8C">
            <w:pPr>
              <w:snapToGrid w:val="0"/>
              <w:spacing w:before="0"/>
              <w:rPr>
                <w:rFonts w:asciiTheme="minorHAnsi" w:hAnsiTheme="minorHAnsi"/>
                <w:sz w:val="22"/>
                <w:szCs w:val="18"/>
              </w:rPr>
            </w:pPr>
            <w:r w:rsidRPr="00996A87">
              <w:rPr>
                <w:rFonts w:asciiTheme="minorHAnsi" w:hAnsiTheme="minorHAnsi"/>
                <w:sz w:val="22"/>
                <w:szCs w:val="18"/>
              </w:rPr>
              <w:t>Saudi Telecom, Riyadh</w:t>
            </w:r>
          </w:p>
        </w:tc>
        <w:tc>
          <w:tcPr>
            <w:tcW w:w="807" w:type="dxa"/>
            <w:tcBorders>
              <w:top w:val="nil"/>
              <w:left w:val="nil"/>
              <w:bottom w:val="nil"/>
              <w:right w:val="single" w:sz="4" w:space="0" w:color="auto"/>
            </w:tcBorders>
            <w:shd w:val="clear" w:color="auto" w:fill="auto"/>
            <w:noWrap/>
            <w:hideMark/>
          </w:tcPr>
          <w:p w:rsidR="00996A87" w:rsidRPr="00996A87" w:rsidRDefault="00996A87" w:rsidP="00D65B8C">
            <w:pPr>
              <w:snapToGrid w:val="0"/>
              <w:spacing w:before="0"/>
              <w:jc w:val="center"/>
              <w:rPr>
                <w:rFonts w:asciiTheme="minorHAnsi" w:hAnsiTheme="minorHAnsi"/>
                <w:sz w:val="22"/>
                <w:szCs w:val="18"/>
              </w:rPr>
            </w:pPr>
            <w:r w:rsidRPr="00996A87">
              <w:rPr>
                <w:rFonts w:asciiTheme="minorHAnsi" w:hAnsiTheme="minorHAnsi"/>
                <w:sz w:val="22"/>
                <w:szCs w:val="18"/>
              </w:rPr>
              <w:t>2010</w:t>
            </w:r>
          </w:p>
        </w:tc>
        <w:tc>
          <w:tcPr>
            <w:tcW w:w="1619" w:type="dxa"/>
            <w:tcBorders>
              <w:top w:val="nil"/>
              <w:left w:val="nil"/>
              <w:bottom w:val="nil"/>
              <w:right w:val="single" w:sz="4" w:space="0" w:color="auto"/>
            </w:tcBorders>
            <w:shd w:val="clear" w:color="auto" w:fill="auto"/>
            <w:noWrap/>
            <w:hideMark/>
          </w:tcPr>
          <w:p w:rsidR="00996A87" w:rsidRPr="00996A87" w:rsidRDefault="00996A87" w:rsidP="00D65B8C">
            <w:pPr>
              <w:snapToGrid w:val="0"/>
              <w:spacing w:before="0"/>
              <w:jc w:val="right"/>
              <w:rPr>
                <w:rFonts w:asciiTheme="minorHAnsi" w:hAnsiTheme="minorHAnsi"/>
                <w:sz w:val="22"/>
                <w:szCs w:val="18"/>
              </w:rPr>
            </w:pPr>
            <w:r w:rsidRPr="00996A87">
              <w:rPr>
                <w:rFonts w:asciiTheme="minorHAnsi" w:hAnsiTheme="minorHAnsi"/>
                <w:sz w:val="22"/>
                <w:szCs w:val="18"/>
              </w:rPr>
              <w:t>62,560.00</w:t>
            </w:r>
          </w:p>
        </w:tc>
      </w:tr>
      <w:tr w:rsidR="00996A87" w:rsidRPr="00996A87" w:rsidTr="007D7862">
        <w:trPr>
          <w:trHeight w:val="600"/>
        </w:trPr>
        <w:tc>
          <w:tcPr>
            <w:tcW w:w="3309" w:type="dxa"/>
            <w:tcBorders>
              <w:top w:val="nil"/>
              <w:left w:val="single" w:sz="4" w:space="0" w:color="auto"/>
              <w:bottom w:val="nil"/>
              <w:right w:val="nil"/>
            </w:tcBorders>
            <w:shd w:val="clear" w:color="auto" w:fill="auto"/>
            <w:noWrap/>
            <w:hideMark/>
          </w:tcPr>
          <w:p w:rsidR="00996A87" w:rsidRPr="00996A87" w:rsidRDefault="00996A87" w:rsidP="007D7862">
            <w:pPr>
              <w:snapToGrid w:val="0"/>
              <w:rPr>
                <w:rFonts w:asciiTheme="minorHAnsi" w:hAnsiTheme="minorHAnsi"/>
                <w:b/>
                <w:bCs/>
                <w:sz w:val="22"/>
                <w:szCs w:val="18"/>
              </w:rPr>
            </w:pPr>
            <w:r w:rsidRPr="00996A87">
              <w:rPr>
                <w:rFonts w:asciiTheme="minorHAnsi" w:hAnsiTheme="minorHAnsi"/>
                <w:b/>
                <w:bCs/>
                <w:sz w:val="22"/>
                <w:szCs w:val="18"/>
              </w:rPr>
              <w:t>Turkmenistan</w:t>
            </w:r>
          </w:p>
        </w:tc>
        <w:tc>
          <w:tcPr>
            <w:tcW w:w="4722" w:type="dxa"/>
            <w:tcBorders>
              <w:top w:val="nil"/>
              <w:left w:val="single" w:sz="4" w:space="0" w:color="auto"/>
              <w:bottom w:val="nil"/>
              <w:right w:val="single" w:sz="4" w:space="0" w:color="auto"/>
            </w:tcBorders>
            <w:shd w:val="clear" w:color="auto" w:fill="auto"/>
            <w:hideMark/>
          </w:tcPr>
          <w:p w:rsidR="00996A87" w:rsidRPr="00996A87" w:rsidRDefault="00996A87" w:rsidP="007D7862">
            <w:pPr>
              <w:snapToGrid w:val="0"/>
              <w:rPr>
                <w:rFonts w:asciiTheme="minorHAnsi" w:hAnsiTheme="minorHAnsi"/>
                <w:sz w:val="22"/>
                <w:szCs w:val="18"/>
              </w:rPr>
            </w:pPr>
            <w:r w:rsidRPr="00996A87">
              <w:rPr>
                <w:rFonts w:asciiTheme="minorHAnsi" w:hAnsiTheme="minorHAnsi"/>
                <w:sz w:val="22"/>
                <w:szCs w:val="18"/>
              </w:rPr>
              <w:t>Ministry of Foreign Affairs of Turkmenistan, Ashgabat</w:t>
            </w:r>
          </w:p>
        </w:tc>
        <w:tc>
          <w:tcPr>
            <w:tcW w:w="807" w:type="dxa"/>
            <w:tcBorders>
              <w:top w:val="nil"/>
              <w:left w:val="nil"/>
              <w:bottom w:val="nil"/>
              <w:right w:val="single" w:sz="4" w:space="0" w:color="auto"/>
            </w:tcBorders>
            <w:shd w:val="clear" w:color="auto" w:fill="auto"/>
            <w:noWrap/>
            <w:hideMark/>
          </w:tcPr>
          <w:p w:rsidR="00996A87" w:rsidRPr="00996A87" w:rsidRDefault="00996A87" w:rsidP="007D7862">
            <w:pPr>
              <w:snapToGrid w:val="0"/>
              <w:jc w:val="center"/>
              <w:rPr>
                <w:rFonts w:asciiTheme="minorHAnsi" w:hAnsiTheme="minorHAnsi"/>
                <w:sz w:val="22"/>
                <w:szCs w:val="18"/>
              </w:rPr>
            </w:pPr>
            <w:r w:rsidRPr="00996A87">
              <w:rPr>
                <w:rFonts w:asciiTheme="minorHAnsi" w:hAnsiTheme="minorHAnsi"/>
                <w:sz w:val="22"/>
                <w:szCs w:val="18"/>
              </w:rPr>
              <w:t>2015</w:t>
            </w:r>
          </w:p>
        </w:tc>
        <w:tc>
          <w:tcPr>
            <w:tcW w:w="1619" w:type="dxa"/>
            <w:tcBorders>
              <w:top w:val="nil"/>
              <w:left w:val="nil"/>
              <w:bottom w:val="nil"/>
              <w:right w:val="single" w:sz="4" w:space="0" w:color="auto"/>
            </w:tcBorders>
            <w:shd w:val="clear" w:color="auto" w:fill="auto"/>
            <w:noWrap/>
            <w:hideMark/>
          </w:tcPr>
          <w:p w:rsidR="00996A87" w:rsidRPr="00996A87" w:rsidRDefault="00996A87" w:rsidP="007D7862">
            <w:pPr>
              <w:snapToGrid w:val="0"/>
              <w:jc w:val="right"/>
              <w:rPr>
                <w:rFonts w:asciiTheme="minorHAnsi" w:hAnsiTheme="minorHAnsi"/>
                <w:sz w:val="22"/>
                <w:szCs w:val="18"/>
              </w:rPr>
            </w:pPr>
            <w:r w:rsidRPr="00996A87">
              <w:rPr>
                <w:rFonts w:asciiTheme="minorHAnsi" w:hAnsiTheme="minorHAnsi"/>
                <w:sz w:val="22"/>
                <w:szCs w:val="18"/>
              </w:rPr>
              <w:t>3,200.95</w:t>
            </w:r>
          </w:p>
        </w:tc>
      </w:tr>
      <w:tr w:rsidR="00996A87" w:rsidRPr="00996A87" w:rsidTr="007D7862">
        <w:trPr>
          <w:trHeight w:val="165"/>
        </w:trPr>
        <w:tc>
          <w:tcPr>
            <w:tcW w:w="3309" w:type="dxa"/>
            <w:tcBorders>
              <w:top w:val="nil"/>
              <w:left w:val="single" w:sz="4" w:space="0" w:color="auto"/>
              <w:bottom w:val="nil"/>
              <w:right w:val="single" w:sz="4" w:space="0" w:color="auto"/>
            </w:tcBorders>
            <w:shd w:val="clear" w:color="auto" w:fill="auto"/>
            <w:noWrap/>
            <w:vAlign w:val="bottom"/>
            <w:hideMark/>
          </w:tcPr>
          <w:p w:rsidR="00996A87" w:rsidRPr="00996A87" w:rsidRDefault="00996A87" w:rsidP="00D65B8C">
            <w:pPr>
              <w:snapToGrid w:val="0"/>
              <w:spacing w:before="0"/>
              <w:rPr>
                <w:rFonts w:asciiTheme="minorHAnsi" w:hAnsiTheme="minorHAnsi"/>
                <w:sz w:val="22"/>
                <w:szCs w:val="18"/>
              </w:rPr>
            </w:pPr>
            <w:r w:rsidRPr="00996A87">
              <w:rPr>
                <w:rFonts w:asciiTheme="minorHAnsi" w:hAnsiTheme="minorHAnsi"/>
                <w:sz w:val="22"/>
                <w:szCs w:val="18"/>
              </w:rPr>
              <w:t> </w:t>
            </w:r>
          </w:p>
        </w:tc>
        <w:tc>
          <w:tcPr>
            <w:tcW w:w="4722" w:type="dxa"/>
            <w:tcBorders>
              <w:top w:val="nil"/>
              <w:left w:val="nil"/>
              <w:bottom w:val="nil"/>
              <w:right w:val="single" w:sz="4" w:space="0" w:color="auto"/>
            </w:tcBorders>
            <w:shd w:val="clear" w:color="auto" w:fill="auto"/>
            <w:noWrap/>
            <w:vAlign w:val="bottom"/>
            <w:hideMark/>
          </w:tcPr>
          <w:p w:rsidR="00996A87" w:rsidRPr="00996A87" w:rsidRDefault="00996A87" w:rsidP="00D65B8C">
            <w:pPr>
              <w:snapToGrid w:val="0"/>
              <w:spacing w:before="0"/>
              <w:rPr>
                <w:rFonts w:asciiTheme="minorHAnsi" w:hAnsiTheme="minorHAnsi"/>
                <w:sz w:val="22"/>
                <w:szCs w:val="18"/>
              </w:rPr>
            </w:pPr>
            <w:r w:rsidRPr="00996A87">
              <w:rPr>
                <w:rFonts w:asciiTheme="minorHAnsi" w:hAnsiTheme="minorHAnsi"/>
                <w:sz w:val="22"/>
                <w:szCs w:val="18"/>
              </w:rPr>
              <w:t> </w:t>
            </w:r>
          </w:p>
        </w:tc>
        <w:tc>
          <w:tcPr>
            <w:tcW w:w="807" w:type="dxa"/>
            <w:tcBorders>
              <w:top w:val="nil"/>
              <w:left w:val="nil"/>
              <w:bottom w:val="nil"/>
              <w:right w:val="single" w:sz="4" w:space="0" w:color="auto"/>
            </w:tcBorders>
            <w:shd w:val="clear" w:color="auto" w:fill="auto"/>
            <w:noWrap/>
            <w:vAlign w:val="bottom"/>
            <w:hideMark/>
          </w:tcPr>
          <w:p w:rsidR="00996A87" w:rsidRPr="00996A87" w:rsidRDefault="00996A87" w:rsidP="00D65B8C">
            <w:pPr>
              <w:snapToGrid w:val="0"/>
              <w:spacing w:before="0"/>
              <w:rPr>
                <w:rFonts w:asciiTheme="minorHAnsi" w:hAnsiTheme="minorHAnsi"/>
                <w:sz w:val="22"/>
                <w:szCs w:val="18"/>
              </w:rPr>
            </w:pPr>
            <w:r w:rsidRPr="00996A87">
              <w:rPr>
                <w:rFonts w:asciiTheme="minorHAnsi" w:hAnsiTheme="minorHAnsi"/>
                <w:sz w:val="22"/>
                <w:szCs w:val="18"/>
              </w:rPr>
              <w:t> </w:t>
            </w:r>
          </w:p>
        </w:tc>
        <w:tc>
          <w:tcPr>
            <w:tcW w:w="1619" w:type="dxa"/>
            <w:tcBorders>
              <w:top w:val="nil"/>
              <w:left w:val="nil"/>
              <w:bottom w:val="nil"/>
              <w:right w:val="single" w:sz="4" w:space="0" w:color="auto"/>
            </w:tcBorders>
            <w:shd w:val="clear" w:color="auto" w:fill="auto"/>
            <w:noWrap/>
            <w:vAlign w:val="bottom"/>
            <w:hideMark/>
          </w:tcPr>
          <w:p w:rsidR="00996A87" w:rsidRPr="00996A87" w:rsidRDefault="00996A87" w:rsidP="00D65B8C">
            <w:pPr>
              <w:snapToGrid w:val="0"/>
              <w:spacing w:before="0"/>
              <w:jc w:val="right"/>
              <w:rPr>
                <w:rFonts w:asciiTheme="minorHAnsi" w:hAnsiTheme="minorHAnsi"/>
                <w:sz w:val="22"/>
                <w:szCs w:val="18"/>
              </w:rPr>
            </w:pPr>
            <w:r w:rsidRPr="00996A87">
              <w:rPr>
                <w:rFonts w:asciiTheme="minorHAnsi" w:hAnsiTheme="minorHAnsi"/>
                <w:sz w:val="22"/>
                <w:szCs w:val="18"/>
              </w:rPr>
              <w:t> </w:t>
            </w:r>
          </w:p>
        </w:tc>
      </w:tr>
      <w:tr w:rsidR="00996A87" w:rsidRPr="00996A87" w:rsidTr="007D7862">
        <w:trPr>
          <w:trHeight w:val="300"/>
        </w:trPr>
        <w:tc>
          <w:tcPr>
            <w:tcW w:w="3309" w:type="dxa"/>
            <w:tcBorders>
              <w:top w:val="nil"/>
              <w:left w:val="single" w:sz="4" w:space="0" w:color="auto"/>
              <w:bottom w:val="single" w:sz="4" w:space="0" w:color="auto"/>
              <w:right w:val="single" w:sz="4" w:space="0" w:color="auto"/>
            </w:tcBorders>
            <w:shd w:val="clear" w:color="auto" w:fill="auto"/>
            <w:noWrap/>
            <w:vAlign w:val="bottom"/>
            <w:hideMark/>
          </w:tcPr>
          <w:p w:rsidR="00996A87" w:rsidRPr="00996A87" w:rsidRDefault="00996A87" w:rsidP="00D65B8C">
            <w:pPr>
              <w:snapToGrid w:val="0"/>
              <w:spacing w:before="0"/>
              <w:rPr>
                <w:rFonts w:asciiTheme="minorHAnsi" w:hAnsiTheme="minorHAnsi"/>
                <w:b/>
                <w:bCs/>
                <w:sz w:val="22"/>
                <w:szCs w:val="18"/>
              </w:rPr>
            </w:pPr>
            <w:r w:rsidRPr="00996A87">
              <w:rPr>
                <w:rFonts w:asciiTheme="minorHAnsi" w:hAnsiTheme="minorHAnsi"/>
                <w:b/>
                <w:bCs/>
                <w:sz w:val="22"/>
                <w:szCs w:val="18"/>
              </w:rPr>
              <w:t>Total Arrears at 31.12.2017</w:t>
            </w:r>
          </w:p>
        </w:tc>
        <w:tc>
          <w:tcPr>
            <w:tcW w:w="4722" w:type="dxa"/>
            <w:tcBorders>
              <w:top w:val="nil"/>
              <w:left w:val="nil"/>
              <w:bottom w:val="single" w:sz="4" w:space="0" w:color="auto"/>
              <w:right w:val="single" w:sz="4" w:space="0" w:color="auto"/>
            </w:tcBorders>
            <w:shd w:val="clear" w:color="auto" w:fill="auto"/>
            <w:noWrap/>
            <w:vAlign w:val="bottom"/>
            <w:hideMark/>
          </w:tcPr>
          <w:p w:rsidR="00996A87" w:rsidRPr="00996A87" w:rsidRDefault="00996A87" w:rsidP="00D65B8C">
            <w:pPr>
              <w:snapToGrid w:val="0"/>
              <w:spacing w:before="0"/>
              <w:rPr>
                <w:rFonts w:asciiTheme="minorHAnsi" w:hAnsiTheme="minorHAnsi"/>
                <w:sz w:val="22"/>
                <w:szCs w:val="18"/>
              </w:rPr>
            </w:pPr>
            <w:r w:rsidRPr="00996A87">
              <w:rPr>
                <w:rFonts w:asciiTheme="minorHAnsi" w:hAnsiTheme="minorHAnsi"/>
                <w:sz w:val="22"/>
                <w:szCs w:val="18"/>
              </w:rPr>
              <w:t> </w:t>
            </w:r>
          </w:p>
        </w:tc>
        <w:tc>
          <w:tcPr>
            <w:tcW w:w="807" w:type="dxa"/>
            <w:tcBorders>
              <w:top w:val="nil"/>
              <w:left w:val="nil"/>
              <w:bottom w:val="single" w:sz="4" w:space="0" w:color="auto"/>
              <w:right w:val="single" w:sz="4" w:space="0" w:color="auto"/>
            </w:tcBorders>
            <w:shd w:val="clear" w:color="auto" w:fill="auto"/>
            <w:noWrap/>
            <w:vAlign w:val="bottom"/>
            <w:hideMark/>
          </w:tcPr>
          <w:p w:rsidR="00996A87" w:rsidRPr="00996A87" w:rsidRDefault="00996A87" w:rsidP="00D65B8C">
            <w:pPr>
              <w:snapToGrid w:val="0"/>
              <w:spacing w:before="0"/>
              <w:rPr>
                <w:rFonts w:asciiTheme="minorHAnsi" w:hAnsiTheme="minorHAnsi"/>
                <w:sz w:val="22"/>
                <w:szCs w:val="18"/>
              </w:rPr>
            </w:pPr>
            <w:r w:rsidRPr="00996A87">
              <w:rPr>
                <w:rFonts w:asciiTheme="minorHAnsi" w:hAnsiTheme="minorHAnsi"/>
                <w:sz w:val="22"/>
                <w:szCs w:val="18"/>
              </w:rPr>
              <w:t> </w:t>
            </w:r>
          </w:p>
        </w:tc>
        <w:tc>
          <w:tcPr>
            <w:tcW w:w="1619" w:type="dxa"/>
            <w:tcBorders>
              <w:top w:val="nil"/>
              <w:left w:val="nil"/>
              <w:bottom w:val="single" w:sz="4" w:space="0" w:color="auto"/>
              <w:right w:val="single" w:sz="4" w:space="0" w:color="auto"/>
            </w:tcBorders>
            <w:shd w:val="clear" w:color="auto" w:fill="auto"/>
            <w:noWrap/>
            <w:vAlign w:val="bottom"/>
            <w:hideMark/>
          </w:tcPr>
          <w:p w:rsidR="00996A87" w:rsidRPr="00996A87" w:rsidRDefault="00996A87" w:rsidP="00D65B8C">
            <w:pPr>
              <w:snapToGrid w:val="0"/>
              <w:spacing w:before="0"/>
              <w:jc w:val="right"/>
              <w:rPr>
                <w:rFonts w:asciiTheme="minorHAnsi" w:hAnsiTheme="minorHAnsi"/>
                <w:b/>
                <w:bCs/>
                <w:sz w:val="22"/>
                <w:szCs w:val="18"/>
              </w:rPr>
            </w:pPr>
            <w:r w:rsidRPr="00996A87">
              <w:rPr>
                <w:rFonts w:asciiTheme="minorHAnsi" w:hAnsiTheme="minorHAnsi"/>
                <w:b/>
                <w:bCs/>
                <w:sz w:val="22"/>
                <w:szCs w:val="18"/>
              </w:rPr>
              <w:t>65,760.95</w:t>
            </w:r>
          </w:p>
        </w:tc>
      </w:tr>
    </w:tbl>
    <w:p w:rsidR="00FE2624" w:rsidRDefault="00FE2624" w:rsidP="000131DC">
      <w:pPr>
        <w:rPr>
          <w:lang w:val="fr-CH"/>
        </w:rPr>
      </w:pPr>
    </w:p>
    <w:p w:rsidR="00FE2624" w:rsidRDefault="00FE2624">
      <w:pPr>
        <w:tabs>
          <w:tab w:val="clear" w:pos="567"/>
          <w:tab w:val="clear" w:pos="1134"/>
          <w:tab w:val="clear" w:pos="1701"/>
          <w:tab w:val="clear" w:pos="2268"/>
          <w:tab w:val="clear" w:pos="2835"/>
        </w:tabs>
        <w:overflowPunct/>
        <w:autoSpaceDE/>
        <w:autoSpaceDN/>
        <w:adjustRightInd/>
        <w:spacing w:before="0"/>
        <w:textAlignment w:val="auto"/>
        <w:rPr>
          <w:lang w:val="fr-CH"/>
        </w:rPr>
      </w:pPr>
      <w:r>
        <w:rPr>
          <w:lang w:val="fr-CH"/>
        </w:rPr>
        <w:br w:type="page"/>
      </w:r>
    </w:p>
    <w:p w:rsidR="0029191C" w:rsidRDefault="0029191C" w:rsidP="000131DC">
      <w:pPr>
        <w:rPr>
          <w:lang w:val="fr-CH"/>
        </w:rPr>
      </w:pPr>
    </w:p>
    <w:tbl>
      <w:tblPr>
        <w:tblW w:w="8941" w:type="dxa"/>
        <w:jc w:val="center"/>
        <w:tblLook w:val="04A0" w:firstRow="1" w:lastRow="0" w:firstColumn="1" w:lastColumn="0" w:noHBand="0" w:noVBand="1"/>
      </w:tblPr>
      <w:tblGrid>
        <w:gridCol w:w="4350"/>
        <w:gridCol w:w="266"/>
        <w:gridCol w:w="4325"/>
      </w:tblGrid>
      <w:tr w:rsidR="00996A87" w:rsidRPr="00BD7A69" w:rsidTr="00D456CF">
        <w:trPr>
          <w:trHeight w:val="300"/>
          <w:jc w:val="center"/>
        </w:trPr>
        <w:tc>
          <w:tcPr>
            <w:tcW w:w="8941" w:type="dxa"/>
            <w:gridSpan w:val="3"/>
            <w:tcBorders>
              <w:top w:val="nil"/>
              <w:left w:val="nil"/>
              <w:bottom w:val="nil"/>
              <w:right w:val="nil"/>
            </w:tcBorders>
            <w:shd w:val="clear" w:color="auto" w:fill="auto"/>
            <w:noWrap/>
            <w:vAlign w:val="bottom"/>
            <w:hideMark/>
          </w:tcPr>
          <w:p w:rsidR="00996A87" w:rsidRPr="00D456CF" w:rsidRDefault="00996A87" w:rsidP="00B03B00">
            <w:pPr>
              <w:spacing w:after="120"/>
              <w:jc w:val="center"/>
              <w:rPr>
                <w:b/>
                <w:bCs/>
                <w:color w:val="000000"/>
                <w:sz w:val="28"/>
                <w:szCs w:val="28"/>
              </w:rPr>
            </w:pPr>
            <w:r w:rsidRPr="00D456CF">
              <w:rPr>
                <w:b/>
                <w:bCs/>
                <w:color w:val="000000"/>
                <w:sz w:val="28"/>
                <w:szCs w:val="28"/>
              </w:rPr>
              <w:t>S</w:t>
            </w:r>
            <w:r w:rsidR="00B03B00">
              <w:rPr>
                <w:b/>
                <w:bCs/>
                <w:color w:val="000000"/>
                <w:sz w:val="28"/>
                <w:szCs w:val="28"/>
              </w:rPr>
              <w:t>ummary:  Situation of arrears at 31 December 2017</w:t>
            </w:r>
          </w:p>
        </w:tc>
      </w:tr>
      <w:tr w:rsidR="00996A87" w:rsidRPr="00BD7A69" w:rsidTr="00D456CF">
        <w:trPr>
          <w:trHeight w:val="300"/>
          <w:jc w:val="center"/>
        </w:trPr>
        <w:tc>
          <w:tcPr>
            <w:tcW w:w="4350" w:type="dxa"/>
            <w:tcBorders>
              <w:top w:val="single" w:sz="4" w:space="0" w:color="auto"/>
              <w:left w:val="single" w:sz="4" w:space="0" w:color="auto"/>
              <w:bottom w:val="single" w:sz="4" w:space="0" w:color="auto"/>
              <w:right w:val="nil"/>
            </w:tcBorders>
            <w:shd w:val="clear" w:color="auto" w:fill="auto"/>
            <w:noWrap/>
            <w:vAlign w:val="bottom"/>
            <w:hideMark/>
          </w:tcPr>
          <w:p w:rsidR="00996A87" w:rsidRPr="00996A87" w:rsidRDefault="00996A87" w:rsidP="007D0AD0">
            <w:pPr>
              <w:rPr>
                <w:b/>
                <w:bCs/>
                <w:sz w:val="22"/>
                <w:szCs w:val="18"/>
              </w:rPr>
            </w:pPr>
            <w:r w:rsidRPr="00996A87">
              <w:rPr>
                <w:b/>
                <w:bCs/>
                <w:sz w:val="22"/>
                <w:szCs w:val="18"/>
              </w:rPr>
              <w:t>AMOUNTS DUE</w:t>
            </w:r>
          </w:p>
        </w:tc>
        <w:tc>
          <w:tcPr>
            <w:tcW w:w="266" w:type="dxa"/>
            <w:tcBorders>
              <w:top w:val="single" w:sz="4" w:space="0" w:color="auto"/>
              <w:left w:val="nil"/>
              <w:bottom w:val="single" w:sz="4" w:space="0" w:color="auto"/>
              <w:right w:val="nil"/>
            </w:tcBorders>
            <w:shd w:val="clear" w:color="auto" w:fill="auto"/>
            <w:noWrap/>
            <w:vAlign w:val="bottom"/>
            <w:hideMark/>
          </w:tcPr>
          <w:p w:rsidR="00996A87" w:rsidRPr="00996A87" w:rsidRDefault="00996A87" w:rsidP="007D0AD0">
            <w:pPr>
              <w:jc w:val="center"/>
              <w:rPr>
                <w:sz w:val="22"/>
                <w:szCs w:val="18"/>
              </w:rPr>
            </w:pPr>
            <w:r w:rsidRPr="00996A87">
              <w:rPr>
                <w:sz w:val="22"/>
                <w:szCs w:val="18"/>
              </w:rPr>
              <w:t> </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A87" w:rsidRPr="00996A87" w:rsidRDefault="00996A87" w:rsidP="007D0AD0">
            <w:pPr>
              <w:jc w:val="center"/>
              <w:rPr>
                <w:b/>
                <w:bCs/>
                <w:sz w:val="22"/>
                <w:szCs w:val="18"/>
              </w:rPr>
            </w:pPr>
            <w:r w:rsidRPr="00996A87">
              <w:rPr>
                <w:b/>
                <w:bCs/>
                <w:sz w:val="22"/>
                <w:szCs w:val="18"/>
              </w:rPr>
              <w:t>CHF</w:t>
            </w:r>
          </w:p>
        </w:tc>
      </w:tr>
      <w:tr w:rsidR="00996A87" w:rsidRPr="00BD7A69" w:rsidTr="00D456CF">
        <w:trPr>
          <w:trHeight w:val="300"/>
          <w:jc w:val="center"/>
        </w:trPr>
        <w:tc>
          <w:tcPr>
            <w:tcW w:w="4350" w:type="dxa"/>
            <w:tcBorders>
              <w:top w:val="nil"/>
              <w:left w:val="single" w:sz="4" w:space="0" w:color="auto"/>
              <w:bottom w:val="nil"/>
              <w:right w:val="nil"/>
            </w:tcBorders>
            <w:shd w:val="clear" w:color="auto" w:fill="auto"/>
            <w:noWrap/>
            <w:vAlign w:val="bottom"/>
            <w:hideMark/>
          </w:tcPr>
          <w:p w:rsidR="00996A87" w:rsidRPr="00996A87" w:rsidRDefault="00996A87" w:rsidP="007D0AD0">
            <w:pPr>
              <w:rPr>
                <w:sz w:val="22"/>
                <w:szCs w:val="18"/>
              </w:rPr>
            </w:pPr>
            <w:r w:rsidRPr="00996A87">
              <w:rPr>
                <w:sz w:val="22"/>
                <w:szCs w:val="18"/>
              </w:rPr>
              <w:t xml:space="preserve">Contributions </w:t>
            </w:r>
          </w:p>
        </w:tc>
        <w:tc>
          <w:tcPr>
            <w:tcW w:w="266" w:type="dxa"/>
            <w:tcBorders>
              <w:top w:val="nil"/>
              <w:left w:val="nil"/>
              <w:bottom w:val="nil"/>
              <w:right w:val="single" w:sz="4" w:space="0" w:color="auto"/>
            </w:tcBorders>
            <w:shd w:val="clear" w:color="auto" w:fill="auto"/>
            <w:noWrap/>
            <w:vAlign w:val="bottom"/>
            <w:hideMark/>
          </w:tcPr>
          <w:p w:rsidR="00996A87" w:rsidRPr="00996A87" w:rsidRDefault="00996A87" w:rsidP="007D0AD0">
            <w:pPr>
              <w:jc w:val="center"/>
              <w:rPr>
                <w:sz w:val="22"/>
                <w:szCs w:val="18"/>
              </w:rPr>
            </w:pPr>
            <w:r w:rsidRPr="00996A87">
              <w:rPr>
                <w:sz w:val="22"/>
                <w:szCs w:val="18"/>
              </w:rPr>
              <w:t> </w:t>
            </w:r>
          </w:p>
        </w:tc>
        <w:tc>
          <w:tcPr>
            <w:tcW w:w="4325" w:type="dxa"/>
            <w:tcBorders>
              <w:top w:val="nil"/>
              <w:left w:val="nil"/>
              <w:bottom w:val="nil"/>
              <w:right w:val="single" w:sz="4" w:space="0" w:color="auto"/>
            </w:tcBorders>
            <w:shd w:val="clear" w:color="auto" w:fill="auto"/>
            <w:vAlign w:val="bottom"/>
            <w:hideMark/>
          </w:tcPr>
          <w:p w:rsidR="00996A87" w:rsidRPr="00996A87" w:rsidRDefault="00996A87" w:rsidP="007D0AD0">
            <w:pPr>
              <w:jc w:val="right"/>
              <w:rPr>
                <w:b/>
                <w:bCs/>
                <w:sz w:val="22"/>
                <w:szCs w:val="18"/>
              </w:rPr>
            </w:pPr>
            <w:r w:rsidRPr="00996A87">
              <w:rPr>
                <w:b/>
                <w:bCs/>
                <w:sz w:val="22"/>
                <w:szCs w:val="18"/>
              </w:rPr>
              <w:t>23,577,289.48</w:t>
            </w:r>
          </w:p>
        </w:tc>
      </w:tr>
      <w:tr w:rsidR="00996A87" w:rsidRPr="00BD7A69" w:rsidTr="00D456CF">
        <w:trPr>
          <w:trHeight w:val="300"/>
          <w:jc w:val="center"/>
        </w:trPr>
        <w:tc>
          <w:tcPr>
            <w:tcW w:w="4350" w:type="dxa"/>
            <w:tcBorders>
              <w:top w:val="nil"/>
              <w:left w:val="single" w:sz="4" w:space="0" w:color="auto"/>
              <w:bottom w:val="nil"/>
              <w:right w:val="nil"/>
            </w:tcBorders>
            <w:shd w:val="clear" w:color="auto" w:fill="auto"/>
            <w:noWrap/>
            <w:vAlign w:val="bottom"/>
            <w:hideMark/>
          </w:tcPr>
          <w:p w:rsidR="00996A87" w:rsidRPr="00996A87" w:rsidRDefault="00996A87" w:rsidP="007D0AD0">
            <w:pPr>
              <w:rPr>
                <w:sz w:val="22"/>
                <w:szCs w:val="18"/>
              </w:rPr>
            </w:pPr>
            <w:r w:rsidRPr="00996A87">
              <w:rPr>
                <w:sz w:val="22"/>
                <w:szCs w:val="18"/>
              </w:rPr>
              <w:t xml:space="preserve">Publications </w:t>
            </w:r>
          </w:p>
        </w:tc>
        <w:tc>
          <w:tcPr>
            <w:tcW w:w="266" w:type="dxa"/>
            <w:tcBorders>
              <w:top w:val="nil"/>
              <w:left w:val="nil"/>
              <w:bottom w:val="nil"/>
              <w:right w:val="single" w:sz="4" w:space="0" w:color="auto"/>
            </w:tcBorders>
            <w:shd w:val="clear" w:color="auto" w:fill="auto"/>
            <w:noWrap/>
            <w:vAlign w:val="bottom"/>
            <w:hideMark/>
          </w:tcPr>
          <w:p w:rsidR="00996A87" w:rsidRPr="00996A87" w:rsidRDefault="00996A87" w:rsidP="007D0AD0">
            <w:pPr>
              <w:jc w:val="center"/>
              <w:rPr>
                <w:sz w:val="22"/>
                <w:szCs w:val="18"/>
              </w:rPr>
            </w:pPr>
            <w:r w:rsidRPr="00996A87">
              <w:rPr>
                <w:sz w:val="22"/>
                <w:szCs w:val="18"/>
              </w:rPr>
              <w:t> </w:t>
            </w:r>
          </w:p>
        </w:tc>
        <w:tc>
          <w:tcPr>
            <w:tcW w:w="4325" w:type="dxa"/>
            <w:tcBorders>
              <w:top w:val="nil"/>
              <w:left w:val="nil"/>
              <w:bottom w:val="nil"/>
              <w:right w:val="single" w:sz="4" w:space="0" w:color="auto"/>
            </w:tcBorders>
            <w:shd w:val="clear" w:color="auto" w:fill="auto"/>
            <w:vAlign w:val="bottom"/>
            <w:hideMark/>
          </w:tcPr>
          <w:p w:rsidR="00996A87" w:rsidRPr="00996A87" w:rsidRDefault="00996A87" w:rsidP="007D0AD0">
            <w:pPr>
              <w:jc w:val="right"/>
              <w:rPr>
                <w:b/>
                <w:bCs/>
                <w:sz w:val="22"/>
                <w:szCs w:val="18"/>
              </w:rPr>
            </w:pPr>
            <w:r w:rsidRPr="00996A87">
              <w:rPr>
                <w:b/>
                <w:bCs/>
                <w:sz w:val="22"/>
                <w:szCs w:val="18"/>
              </w:rPr>
              <w:t>42,185.20</w:t>
            </w:r>
          </w:p>
        </w:tc>
      </w:tr>
      <w:tr w:rsidR="00996A87" w:rsidRPr="00BD7A69" w:rsidTr="00D456CF">
        <w:trPr>
          <w:trHeight w:val="300"/>
          <w:jc w:val="center"/>
        </w:trPr>
        <w:tc>
          <w:tcPr>
            <w:tcW w:w="4616" w:type="dxa"/>
            <w:gridSpan w:val="2"/>
            <w:tcBorders>
              <w:top w:val="nil"/>
              <w:left w:val="single" w:sz="4" w:space="0" w:color="auto"/>
              <w:bottom w:val="nil"/>
              <w:right w:val="single" w:sz="4" w:space="0" w:color="000000"/>
            </w:tcBorders>
            <w:shd w:val="clear" w:color="auto" w:fill="auto"/>
            <w:noWrap/>
            <w:vAlign w:val="bottom"/>
            <w:hideMark/>
          </w:tcPr>
          <w:p w:rsidR="00996A87" w:rsidRPr="00996A87" w:rsidRDefault="00996A87" w:rsidP="007D0AD0">
            <w:pPr>
              <w:rPr>
                <w:sz w:val="22"/>
                <w:szCs w:val="18"/>
              </w:rPr>
            </w:pPr>
            <w:r w:rsidRPr="00996A87">
              <w:rPr>
                <w:sz w:val="22"/>
                <w:szCs w:val="18"/>
              </w:rPr>
              <w:t>Special Arrears Accounts (Repayment Agreements)</w:t>
            </w:r>
          </w:p>
        </w:tc>
        <w:tc>
          <w:tcPr>
            <w:tcW w:w="4325" w:type="dxa"/>
            <w:tcBorders>
              <w:top w:val="nil"/>
              <w:left w:val="nil"/>
              <w:bottom w:val="nil"/>
              <w:right w:val="single" w:sz="4" w:space="0" w:color="auto"/>
            </w:tcBorders>
            <w:shd w:val="clear" w:color="auto" w:fill="auto"/>
            <w:vAlign w:val="bottom"/>
            <w:hideMark/>
          </w:tcPr>
          <w:p w:rsidR="00996A87" w:rsidRPr="00996A87" w:rsidRDefault="00996A87" w:rsidP="007D0AD0">
            <w:pPr>
              <w:jc w:val="right"/>
              <w:rPr>
                <w:b/>
                <w:bCs/>
                <w:sz w:val="22"/>
                <w:szCs w:val="18"/>
              </w:rPr>
            </w:pPr>
            <w:r w:rsidRPr="00996A87">
              <w:rPr>
                <w:b/>
                <w:bCs/>
                <w:sz w:val="22"/>
                <w:szCs w:val="18"/>
              </w:rPr>
              <w:t>7,601,055.94</w:t>
            </w:r>
          </w:p>
        </w:tc>
      </w:tr>
      <w:tr w:rsidR="00996A87" w:rsidRPr="00BD7A69" w:rsidTr="00D456CF">
        <w:trPr>
          <w:trHeight w:val="555"/>
          <w:jc w:val="center"/>
        </w:trPr>
        <w:tc>
          <w:tcPr>
            <w:tcW w:w="4616" w:type="dxa"/>
            <w:gridSpan w:val="2"/>
            <w:tcBorders>
              <w:top w:val="nil"/>
              <w:left w:val="single" w:sz="4" w:space="0" w:color="auto"/>
              <w:bottom w:val="nil"/>
              <w:right w:val="single" w:sz="4" w:space="0" w:color="000000"/>
            </w:tcBorders>
            <w:shd w:val="clear" w:color="auto" w:fill="auto"/>
            <w:vAlign w:val="bottom"/>
            <w:hideMark/>
          </w:tcPr>
          <w:p w:rsidR="00996A87" w:rsidRPr="00996A87" w:rsidRDefault="00996A87" w:rsidP="007D0AD0">
            <w:pPr>
              <w:rPr>
                <w:sz w:val="22"/>
                <w:szCs w:val="18"/>
              </w:rPr>
            </w:pPr>
            <w:r w:rsidRPr="00996A87">
              <w:rPr>
                <w:sz w:val="22"/>
                <w:szCs w:val="18"/>
              </w:rPr>
              <w:t>Cancelled Special Arrears Accounts (Repayment Agreements Cancelled for non-payment)</w:t>
            </w:r>
          </w:p>
        </w:tc>
        <w:tc>
          <w:tcPr>
            <w:tcW w:w="4325" w:type="dxa"/>
            <w:tcBorders>
              <w:top w:val="nil"/>
              <w:left w:val="nil"/>
              <w:bottom w:val="nil"/>
              <w:right w:val="single" w:sz="4" w:space="0" w:color="auto"/>
            </w:tcBorders>
            <w:shd w:val="clear" w:color="auto" w:fill="auto"/>
            <w:vAlign w:val="bottom"/>
            <w:hideMark/>
          </w:tcPr>
          <w:p w:rsidR="00996A87" w:rsidRPr="00996A87" w:rsidRDefault="00996A87" w:rsidP="007D0AD0">
            <w:pPr>
              <w:jc w:val="right"/>
              <w:rPr>
                <w:b/>
                <w:bCs/>
                <w:sz w:val="22"/>
                <w:szCs w:val="18"/>
              </w:rPr>
            </w:pPr>
            <w:r w:rsidRPr="00996A87">
              <w:rPr>
                <w:b/>
                <w:bCs/>
                <w:sz w:val="22"/>
                <w:szCs w:val="18"/>
              </w:rPr>
              <w:t>13,393,892.73</w:t>
            </w:r>
          </w:p>
        </w:tc>
      </w:tr>
      <w:tr w:rsidR="00996A87" w:rsidRPr="00BD7A69" w:rsidTr="00D456CF">
        <w:trPr>
          <w:trHeight w:val="300"/>
          <w:jc w:val="center"/>
        </w:trPr>
        <w:tc>
          <w:tcPr>
            <w:tcW w:w="4616" w:type="dxa"/>
            <w:gridSpan w:val="2"/>
            <w:tcBorders>
              <w:top w:val="nil"/>
              <w:left w:val="single" w:sz="4" w:space="0" w:color="auto"/>
              <w:bottom w:val="nil"/>
              <w:right w:val="single" w:sz="4" w:space="0" w:color="000000"/>
            </w:tcBorders>
            <w:shd w:val="clear" w:color="auto" w:fill="auto"/>
            <w:noWrap/>
            <w:vAlign w:val="bottom"/>
            <w:hideMark/>
          </w:tcPr>
          <w:p w:rsidR="00996A87" w:rsidRPr="00996A87" w:rsidRDefault="00996A87" w:rsidP="007D0AD0">
            <w:pPr>
              <w:rPr>
                <w:sz w:val="22"/>
                <w:szCs w:val="18"/>
              </w:rPr>
            </w:pPr>
            <w:r w:rsidRPr="00996A87">
              <w:rPr>
                <w:sz w:val="22"/>
                <w:szCs w:val="18"/>
              </w:rPr>
              <w:t>Satellite Network Filings</w:t>
            </w:r>
          </w:p>
        </w:tc>
        <w:tc>
          <w:tcPr>
            <w:tcW w:w="4325" w:type="dxa"/>
            <w:tcBorders>
              <w:top w:val="nil"/>
              <w:left w:val="nil"/>
              <w:bottom w:val="nil"/>
              <w:right w:val="single" w:sz="4" w:space="0" w:color="auto"/>
            </w:tcBorders>
            <w:shd w:val="clear" w:color="auto" w:fill="auto"/>
            <w:vAlign w:val="bottom"/>
            <w:hideMark/>
          </w:tcPr>
          <w:p w:rsidR="00996A87" w:rsidRPr="00996A87" w:rsidRDefault="00996A87" w:rsidP="007D0AD0">
            <w:pPr>
              <w:jc w:val="right"/>
              <w:rPr>
                <w:b/>
                <w:bCs/>
                <w:sz w:val="22"/>
                <w:szCs w:val="18"/>
              </w:rPr>
            </w:pPr>
            <w:r w:rsidRPr="00996A87">
              <w:rPr>
                <w:b/>
                <w:bCs/>
                <w:sz w:val="22"/>
                <w:szCs w:val="18"/>
              </w:rPr>
              <w:t>583,978.06</w:t>
            </w:r>
          </w:p>
        </w:tc>
      </w:tr>
      <w:tr w:rsidR="00996A87" w:rsidRPr="00BD7A69" w:rsidTr="00D456CF">
        <w:trPr>
          <w:trHeight w:val="300"/>
          <w:jc w:val="center"/>
        </w:trPr>
        <w:tc>
          <w:tcPr>
            <w:tcW w:w="4616" w:type="dxa"/>
            <w:gridSpan w:val="2"/>
            <w:tcBorders>
              <w:top w:val="nil"/>
              <w:left w:val="single" w:sz="4" w:space="0" w:color="auto"/>
              <w:bottom w:val="nil"/>
              <w:right w:val="single" w:sz="4" w:space="0" w:color="000000"/>
            </w:tcBorders>
            <w:shd w:val="clear" w:color="auto" w:fill="auto"/>
            <w:noWrap/>
            <w:vAlign w:val="bottom"/>
            <w:hideMark/>
          </w:tcPr>
          <w:p w:rsidR="00996A87" w:rsidRPr="00996A87" w:rsidRDefault="00996A87" w:rsidP="007D0AD0">
            <w:pPr>
              <w:rPr>
                <w:sz w:val="22"/>
                <w:szCs w:val="18"/>
              </w:rPr>
            </w:pPr>
            <w:r w:rsidRPr="00996A87">
              <w:rPr>
                <w:sz w:val="22"/>
                <w:szCs w:val="18"/>
              </w:rPr>
              <w:t>Miscellaneous Invoices</w:t>
            </w:r>
          </w:p>
        </w:tc>
        <w:tc>
          <w:tcPr>
            <w:tcW w:w="4325" w:type="dxa"/>
            <w:tcBorders>
              <w:top w:val="nil"/>
              <w:left w:val="nil"/>
              <w:bottom w:val="nil"/>
              <w:right w:val="single" w:sz="4" w:space="0" w:color="auto"/>
            </w:tcBorders>
            <w:shd w:val="clear" w:color="auto" w:fill="auto"/>
            <w:vAlign w:val="bottom"/>
            <w:hideMark/>
          </w:tcPr>
          <w:p w:rsidR="00996A87" w:rsidRPr="00996A87" w:rsidRDefault="00996A87" w:rsidP="007D0AD0">
            <w:pPr>
              <w:jc w:val="right"/>
              <w:rPr>
                <w:b/>
                <w:bCs/>
                <w:sz w:val="22"/>
                <w:szCs w:val="18"/>
              </w:rPr>
            </w:pPr>
            <w:r w:rsidRPr="00996A87">
              <w:rPr>
                <w:b/>
                <w:bCs/>
                <w:sz w:val="22"/>
                <w:szCs w:val="18"/>
              </w:rPr>
              <w:t>65,760.95</w:t>
            </w:r>
          </w:p>
        </w:tc>
      </w:tr>
      <w:tr w:rsidR="00996A87" w:rsidRPr="00BD7A69" w:rsidTr="00D456CF">
        <w:trPr>
          <w:trHeight w:val="480"/>
          <w:jc w:val="center"/>
        </w:trPr>
        <w:tc>
          <w:tcPr>
            <w:tcW w:w="4350" w:type="dxa"/>
            <w:tcBorders>
              <w:top w:val="single" w:sz="4" w:space="0" w:color="auto"/>
              <w:left w:val="single" w:sz="4" w:space="0" w:color="auto"/>
              <w:bottom w:val="single" w:sz="4" w:space="0" w:color="auto"/>
              <w:right w:val="nil"/>
            </w:tcBorders>
            <w:shd w:val="clear" w:color="auto" w:fill="auto"/>
            <w:noWrap/>
            <w:vAlign w:val="bottom"/>
            <w:hideMark/>
          </w:tcPr>
          <w:p w:rsidR="00996A87" w:rsidRPr="00996A87" w:rsidRDefault="00996A87" w:rsidP="007D0AD0">
            <w:pPr>
              <w:rPr>
                <w:b/>
                <w:bCs/>
                <w:sz w:val="22"/>
                <w:szCs w:val="18"/>
                <w:u w:val="single"/>
              </w:rPr>
            </w:pPr>
            <w:r w:rsidRPr="00996A87">
              <w:rPr>
                <w:b/>
                <w:bCs/>
                <w:sz w:val="22"/>
                <w:szCs w:val="18"/>
                <w:u w:val="single"/>
              </w:rPr>
              <w:t>TOTAL ARREARS</w:t>
            </w:r>
          </w:p>
        </w:tc>
        <w:tc>
          <w:tcPr>
            <w:tcW w:w="266" w:type="dxa"/>
            <w:tcBorders>
              <w:top w:val="single" w:sz="4" w:space="0" w:color="auto"/>
              <w:left w:val="nil"/>
              <w:bottom w:val="single" w:sz="4" w:space="0" w:color="auto"/>
              <w:right w:val="single" w:sz="4" w:space="0" w:color="auto"/>
            </w:tcBorders>
            <w:shd w:val="clear" w:color="auto" w:fill="auto"/>
            <w:noWrap/>
            <w:vAlign w:val="bottom"/>
            <w:hideMark/>
          </w:tcPr>
          <w:p w:rsidR="00996A87" w:rsidRPr="00996A87" w:rsidRDefault="00996A87" w:rsidP="007D0AD0">
            <w:pPr>
              <w:jc w:val="center"/>
              <w:rPr>
                <w:sz w:val="22"/>
                <w:szCs w:val="18"/>
              </w:rPr>
            </w:pPr>
            <w:r w:rsidRPr="00996A87">
              <w:rPr>
                <w:sz w:val="22"/>
                <w:szCs w:val="18"/>
              </w:rPr>
              <w:t> </w:t>
            </w:r>
          </w:p>
        </w:tc>
        <w:tc>
          <w:tcPr>
            <w:tcW w:w="4325" w:type="dxa"/>
            <w:tcBorders>
              <w:top w:val="single" w:sz="4" w:space="0" w:color="auto"/>
              <w:left w:val="nil"/>
              <w:bottom w:val="single" w:sz="4" w:space="0" w:color="auto"/>
              <w:right w:val="single" w:sz="4" w:space="0" w:color="auto"/>
            </w:tcBorders>
            <w:shd w:val="clear" w:color="auto" w:fill="auto"/>
            <w:vAlign w:val="bottom"/>
            <w:hideMark/>
          </w:tcPr>
          <w:p w:rsidR="00996A87" w:rsidRPr="00996A87" w:rsidRDefault="00996A87" w:rsidP="007D0AD0">
            <w:pPr>
              <w:jc w:val="right"/>
              <w:rPr>
                <w:b/>
                <w:bCs/>
                <w:sz w:val="22"/>
                <w:szCs w:val="18"/>
                <w:u w:val="single"/>
              </w:rPr>
            </w:pPr>
            <w:r w:rsidRPr="00996A87">
              <w:rPr>
                <w:b/>
                <w:bCs/>
                <w:sz w:val="22"/>
                <w:szCs w:val="18"/>
                <w:u w:val="single"/>
              </w:rPr>
              <w:t>45,264,162.36</w:t>
            </w:r>
          </w:p>
        </w:tc>
      </w:tr>
    </w:tbl>
    <w:p w:rsidR="008D7198" w:rsidRDefault="008D7198" w:rsidP="008D7198">
      <w:pPr>
        <w:rPr>
          <w:lang w:val="en-US"/>
        </w:rPr>
      </w:pPr>
    </w:p>
    <w:p w:rsidR="00FE2624" w:rsidRPr="000131DC" w:rsidRDefault="00FE2624" w:rsidP="008D7198">
      <w:pPr>
        <w:rPr>
          <w:lang w:val="en-US"/>
        </w:rPr>
      </w:pPr>
    </w:p>
    <w:p w:rsidR="005A1428" w:rsidRDefault="005A1428">
      <w:pPr>
        <w:tabs>
          <w:tab w:val="clear" w:pos="567"/>
          <w:tab w:val="clear" w:pos="1134"/>
          <w:tab w:val="clear" w:pos="1701"/>
          <w:tab w:val="clear" w:pos="2268"/>
          <w:tab w:val="clear" w:pos="2835"/>
        </w:tabs>
        <w:overflowPunct/>
        <w:autoSpaceDE/>
        <w:autoSpaceDN/>
        <w:adjustRightInd/>
        <w:spacing w:before="0"/>
        <w:textAlignment w:val="auto"/>
        <w:rPr>
          <w:lang w:val="en-US"/>
        </w:rPr>
      </w:pPr>
      <w:r>
        <w:rPr>
          <w:lang w:val="en-US"/>
        </w:rPr>
        <w:br w:type="page"/>
      </w:r>
    </w:p>
    <w:p w:rsidR="005A1428" w:rsidRDefault="005A1428" w:rsidP="005A1428">
      <w:pPr>
        <w:pStyle w:val="AnnexNo"/>
        <w:snapToGrid w:val="0"/>
        <w:spacing w:before="0"/>
        <w:rPr>
          <w:w w:val="105"/>
          <w:lang w:val="en-US"/>
        </w:rPr>
      </w:pPr>
    </w:p>
    <w:p w:rsidR="005A1428" w:rsidRDefault="005A1428" w:rsidP="005A1428">
      <w:pPr>
        <w:pStyle w:val="AnnexNo"/>
        <w:snapToGrid w:val="0"/>
        <w:spacing w:before="0"/>
        <w:rPr>
          <w:w w:val="105"/>
          <w:lang w:val="en-US"/>
        </w:rPr>
      </w:pPr>
    </w:p>
    <w:p w:rsidR="00D24B7D" w:rsidRPr="001C2A98" w:rsidRDefault="00104965" w:rsidP="004D6371">
      <w:pPr>
        <w:pStyle w:val="AnnexNo"/>
        <w:snapToGrid w:val="0"/>
        <w:spacing w:before="0"/>
        <w:rPr>
          <w:b/>
          <w:w w:val="105"/>
          <w:lang w:val="en-US"/>
        </w:rPr>
      </w:pPr>
      <w:r>
        <w:rPr>
          <w:w w:val="105"/>
          <w:lang w:val="en-US"/>
        </w:rPr>
        <w:t>A</w:t>
      </w:r>
      <w:r w:rsidR="00D24B7D" w:rsidRPr="001C2A98">
        <w:rPr>
          <w:w w:val="105"/>
          <w:lang w:val="en-US"/>
        </w:rPr>
        <w:t xml:space="preserve">NNEX </w:t>
      </w:r>
      <w:bookmarkEnd w:id="159"/>
      <w:bookmarkEnd w:id="160"/>
      <w:r w:rsidR="004D6371">
        <w:rPr>
          <w:w w:val="105"/>
          <w:lang w:val="en-US"/>
        </w:rPr>
        <w:t>C</w:t>
      </w:r>
    </w:p>
    <w:p w:rsidR="00D24B7D" w:rsidRDefault="00D24B7D" w:rsidP="007B2ED3">
      <w:pPr>
        <w:pStyle w:val="Annextitle"/>
        <w:rPr>
          <w:lang w:val="en-US"/>
        </w:rPr>
      </w:pPr>
      <w:r>
        <w:rPr>
          <w:lang w:val="en-US"/>
        </w:rPr>
        <w:t>L</w:t>
      </w:r>
      <w:r w:rsidR="00DF48D6">
        <w:rPr>
          <w:lang w:val="en-US"/>
        </w:rPr>
        <w:t xml:space="preserve">ist of debtors at </w:t>
      </w:r>
      <w:r>
        <w:rPr>
          <w:lang w:val="en-US"/>
        </w:rPr>
        <w:t>31</w:t>
      </w:r>
      <w:r w:rsidR="007B2ED3">
        <w:rPr>
          <w:lang w:val="en-US"/>
        </w:rPr>
        <w:t xml:space="preserve"> December 2017</w:t>
      </w:r>
      <w:r>
        <w:rPr>
          <w:lang w:val="en-US"/>
        </w:rPr>
        <w:t xml:space="preserve"> </w:t>
      </w:r>
      <w:r w:rsidR="00DF48D6">
        <w:rPr>
          <w:lang w:val="en-US"/>
        </w:rPr>
        <w:t>for closed ITU TELECOM events</w:t>
      </w:r>
    </w:p>
    <w:p w:rsidR="00D24B7D" w:rsidRDefault="00D24B7D" w:rsidP="000A4A07">
      <w:pPr>
        <w:snapToGrid w:val="0"/>
        <w:spacing w:after="120"/>
        <w:jc w:val="center"/>
        <w:rPr>
          <w:lang w:val="en-US"/>
        </w:rPr>
      </w:pPr>
      <w:r>
        <w:rPr>
          <w:lang w:val="en-US"/>
        </w:rPr>
        <w:t>(This list does not take into account payments received after 31.12.</w:t>
      </w:r>
      <w:r w:rsidR="00111BDD">
        <w:rPr>
          <w:lang w:val="en-US"/>
        </w:rPr>
        <w:t>201</w:t>
      </w:r>
      <w:r w:rsidR="000A4A07">
        <w:rPr>
          <w:lang w:val="en-US"/>
        </w:rPr>
        <w:t>7</w:t>
      </w:r>
      <w:r>
        <w:rPr>
          <w:lang w:val="en-US"/>
        </w:rPr>
        <w:t>)</w:t>
      </w:r>
    </w:p>
    <w:tbl>
      <w:tblPr>
        <w:tblW w:w="9303" w:type="dxa"/>
        <w:tblInd w:w="562" w:type="dxa"/>
        <w:tblLook w:val="04A0" w:firstRow="1" w:lastRow="0" w:firstColumn="1" w:lastColumn="0" w:noHBand="0" w:noVBand="1"/>
      </w:tblPr>
      <w:tblGrid>
        <w:gridCol w:w="1729"/>
        <w:gridCol w:w="1260"/>
        <w:gridCol w:w="2769"/>
        <w:gridCol w:w="1260"/>
        <w:gridCol w:w="1172"/>
        <w:gridCol w:w="1113"/>
      </w:tblGrid>
      <w:tr w:rsidR="003B1FBE" w:rsidRPr="003B1FBE" w:rsidTr="0000231C">
        <w:trPr>
          <w:trHeight w:val="489"/>
        </w:trPr>
        <w:tc>
          <w:tcPr>
            <w:tcW w:w="1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20"/>
                <w:lang w:val="en-US" w:eastAsia="zh-CN"/>
              </w:rPr>
            </w:pPr>
            <w:r w:rsidRPr="00E363D6">
              <w:rPr>
                <w:rFonts w:asciiTheme="minorHAnsi" w:hAnsiTheme="minorHAnsi" w:cs="Arial"/>
                <w:b/>
                <w:bCs/>
                <w:sz w:val="20"/>
                <w:lang w:val="en-US" w:eastAsia="zh-CN"/>
              </w:rPr>
              <w:t>Event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20"/>
                <w:lang w:val="en-US" w:eastAsia="zh-CN"/>
              </w:rPr>
            </w:pPr>
            <w:r w:rsidRPr="00E363D6">
              <w:rPr>
                <w:rFonts w:asciiTheme="minorHAnsi" w:hAnsiTheme="minorHAnsi" w:cs="Arial"/>
                <w:b/>
                <w:bCs/>
                <w:sz w:val="20"/>
                <w:lang w:val="en-US" w:eastAsia="zh-CN"/>
              </w:rPr>
              <w:t>Country</w:t>
            </w:r>
          </w:p>
        </w:tc>
        <w:tc>
          <w:tcPr>
            <w:tcW w:w="2769" w:type="dxa"/>
            <w:tcBorders>
              <w:top w:val="single" w:sz="4" w:space="0" w:color="auto"/>
              <w:left w:val="nil"/>
              <w:bottom w:val="single" w:sz="4" w:space="0" w:color="auto"/>
              <w:right w:val="single" w:sz="4" w:space="0" w:color="auto"/>
            </w:tcBorders>
            <w:shd w:val="clear" w:color="auto" w:fill="auto"/>
            <w:vAlign w:val="center"/>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20"/>
                <w:lang w:val="en-US" w:eastAsia="zh-CN"/>
              </w:rPr>
            </w:pPr>
            <w:r w:rsidRPr="00E363D6">
              <w:rPr>
                <w:rFonts w:asciiTheme="minorHAnsi" w:hAnsiTheme="minorHAnsi" w:cs="Arial"/>
                <w:b/>
                <w:bCs/>
                <w:sz w:val="20"/>
                <w:lang w:val="en-US" w:eastAsia="zh-CN"/>
              </w:rPr>
              <w:t>Company</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20"/>
                <w:lang w:val="en-US" w:eastAsia="zh-CN"/>
              </w:rPr>
            </w:pPr>
            <w:r w:rsidRPr="00E363D6">
              <w:rPr>
                <w:rFonts w:asciiTheme="minorHAnsi" w:hAnsiTheme="minorHAnsi" w:cs="Arial"/>
                <w:b/>
                <w:bCs/>
                <w:sz w:val="20"/>
                <w:lang w:val="en-US" w:eastAsia="zh-CN"/>
              </w:rPr>
              <w:t>Amount invoiced</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20"/>
                <w:lang w:val="en-US" w:eastAsia="zh-CN"/>
              </w:rPr>
            </w:pPr>
            <w:r w:rsidRPr="00E363D6">
              <w:rPr>
                <w:rFonts w:asciiTheme="minorHAnsi" w:hAnsiTheme="minorHAnsi" w:cs="Arial"/>
                <w:b/>
                <w:bCs/>
                <w:sz w:val="20"/>
                <w:lang w:val="en-US" w:eastAsia="zh-CN"/>
              </w:rPr>
              <w:t>Payment received</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20"/>
                <w:lang w:val="en-US" w:eastAsia="zh-CN"/>
              </w:rPr>
            </w:pPr>
            <w:r w:rsidRPr="00E363D6">
              <w:rPr>
                <w:rFonts w:asciiTheme="minorHAnsi" w:hAnsiTheme="minorHAnsi" w:cs="Arial"/>
                <w:b/>
                <w:bCs/>
                <w:sz w:val="20"/>
                <w:lang w:val="en-US" w:eastAsia="zh-CN"/>
              </w:rPr>
              <w:t>Balance due</w:t>
            </w:r>
          </w:p>
        </w:tc>
      </w:tr>
      <w:tr w:rsidR="003B1FBE" w:rsidRPr="003B1FBE" w:rsidTr="0000231C">
        <w:trPr>
          <w:trHeight w:val="257"/>
        </w:trPr>
        <w:tc>
          <w:tcPr>
            <w:tcW w:w="1729" w:type="dxa"/>
            <w:tcBorders>
              <w:top w:val="nil"/>
              <w:left w:val="single" w:sz="4" w:space="0" w:color="auto"/>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20"/>
                <w:lang w:val="en-US" w:eastAsia="zh-CN"/>
              </w:rPr>
            </w:pPr>
            <w:r w:rsidRPr="00E363D6">
              <w:rPr>
                <w:rFonts w:asciiTheme="minorHAnsi" w:hAnsiTheme="minorHAnsi" w:cs="Arial"/>
                <w:b/>
                <w:bCs/>
                <w:sz w:val="20"/>
                <w:lang w:val="en-US" w:eastAsia="zh-CN"/>
              </w:rPr>
              <w:t> </w:t>
            </w:r>
          </w:p>
        </w:tc>
        <w:tc>
          <w:tcPr>
            <w:tcW w:w="1260"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20"/>
                <w:lang w:val="en-US" w:eastAsia="zh-CN"/>
              </w:rPr>
            </w:pPr>
            <w:r w:rsidRPr="00E363D6">
              <w:rPr>
                <w:rFonts w:asciiTheme="minorHAnsi" w:hAnsiTheme="minorHAnsi" w:cs="Arial"/>
                <w:b/>
                <w:bCs/>
                <w:sz w:val="20"/>
                <w:lang w:val="en-US" w:eastAsia="zh-CN"/>
              </w:rPr>
              <w:t> </w:t>
            </w:r>
          </w:p>
        </w:tc>
        <w:tc>
          <w:tcPr>
            <w:tcW w:w="2769"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sz w:val="20"/>
                <w:lang w:val="en-US" w:eastAsia="zh-CN"/>
              </w:rPr>
            </w:pPr>
            <w:r w:rsidRPr="00E363D6">
              <w:rPr>
                <w:rFonts w:asciiTheme="minorHAnsi" w:hAnsiTheme="minorHAnsi" w:cs="Arial"/>
                <w:sz w:val="20"/>
                <w:lang w:val="en-US" w:eastAsia="zh-CN"/>
              </w:rPr>
              <w:t> </w:t>
            </w:r>
          </w:p>
        </w:tc>
        <w:tc>
          <w:tcPr>
            <w:tcW w:w="1260"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sz w:val="20"/>
                <w:lang w:val="en-US" w:eastAsia="zh-CN"/>
              </w:rPr>
            </w:pPr>
            <w:r w:rsidRPr="00E363D6">
              <w:rPr>
                <w:rFonts w:asciiTheme="minorHAnsi" w:hAnsiTheme="minorHAnsi" w:cs="Arial"/>
                <w:sz w:val="20"/>
                <w:lang w:val="en-US" w:eastAsia="zh-CN"/>
              </w:rPr>
              <w:t> </w:t>
            </w:r>
          </w:p>
        </w:tc>
        <w:tc>
          <w:tcPr>
            <w:tcW w:w="1172"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sz w:val="20"/>
                <w:lang w:val="en-US" w:eastAsia="zh-CN"/>
              </w:rPr>
            </w:pPr>
            <w:r w:rsidRPr="00E363D6">
              <w:rPr>
                <w:rFonts w:asciiTheme="minorHAnsi" w:hAnsiTheme="minorHAnsi" w:cs="Arial"/>
                <w:sz w:val="20"/>
                <w:lang w:val="en-US" w:eastAsia="zh-CN"/>
              </w:rPr>
              <w:t> </w:t>
            </w:r>
          </w:p>
        </w:tc>
        <w:tc>
          <w:tcPr>
            <w:tcW w:w="1113"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sz w:val="20"/>
                <w:lang w:val="en-US" w:eastAsia="zh-CN"/>
              </w:rPr>
            </w:pPr>
            <w:r w:rsidRPr="00E363D6">
              <w:rPr>
                <w:rFonts w:asciiTheme="minorHAnsi" w:hAnsiTheme="minorHAnsi" w:cs="Arial"/>
                <w:sz w:val="20"/>
                <w:lang w:val="en-US" w:eastAsia="zh-CN"/>
              </w:rPr>
              <w:t> </w:t>
            </w:r>
          </w:p>
        </w:tc>
      </w:tr>
      <w:tr w:rsidR="003B1FBE" w:rsidRPr="003B1FBE" w:rsidTr="0000231C">
        <w:trPr>
          <w:trHeight w:val="270"/>
        </w:trPr>
        <w:tc>
          <w:tcPr>
            <w:tcW w:w="1729" w:type="dxa"/>
            <w:tcBorders>
              <w:top w:val="nil"/>
              <w:left w:val="single" w:sz="4" w:space="0" w:color="auto"/>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20"/>
                <w:lang w:val="en-US" w:eastAsia="zh-CN"/>
              </w:rPr>
            </w:pPr>
            <w:r w:rsidRPr="00E363D6">
              <w:rPr>
                <w:rFonts w:asciiTheme="minorHAnsi" w:hAnsiTheme="minorHAnsi" w:cs="Arial"/>
                <w:b/>
                <w:bCs/>
                <w:sz w:val="20"/>
                <w:lang w:val="en-US" w:eastAsia="zh-CN"/>
              </w:rPr>
              <w:t> </w:t>
            </w:r>
          </w:p>
        </w:tc>
        <w:tc>
          <w:tcPr>
            <w:tcW w:w="1260"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sz w:val="20"/>
                <w:lang w:val="en-US" w:eastAsia="zh-CN"/>
              </w:rPr>
            </w:pPr>
            <w:r w:rsidRPr="00E363D6">
              <w:rPr>
                <w:rFonts w:asciiTheme="minorHAnsi" w:hAnsiTheme="minorHAnsi" w:cs="Arial"/>
                <w:sz w:val="20"/>
                <w:lang w:val="en-US" w:eastAsia="zh-CN"/>
              </w:rPr>
              <w:t> </w:t>
            </w:r>
          </w:p>
        </w:tc>
        <w:tc>
          <w:tcPr>
            <w:tcW w:w="2769"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sz w:val="20"/>
                <w:lang w:val="en-US" w:eastAsia="zh-CN"/>
              </w:rPr>
            </w:pPr>
            <w:r w:rsidRPr="00E363D6">
              <w:rPr>
                <w:rFonts w:asciiTheme="minorHAnsi" w:hAnsiTheme="minorHAnsi" w:cs="Arial"/>
                <w:sz w:val="20"/>
                <w:lang w:val="en-US" w:eastAsia="zh-CN"/>
              </w:rPr>
              <w:t> </w:t>
            </w:r>
          </w:p>
        </w:tc>
        <w:tc>
          <w:tcPr>
            <w:tcW w:w="1260"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sz w:val="20"/>
                <w:lang w:val="en-US" w:eastAsia="zh-CN"/>
              </w:rPr>
            </w:pPr>
            <w:r w:rsidRPr="00E363D6">
              <w:rPr>
                <w:rFonts w:asciiTheme="minorHAnsi" w:hAnsiTheme="minorHAnsi" w:cs="Arial"/>
                <w:sz w:val="20"/>
                <w:lang w:val="en-US" w:eastAsia="zh-CN"/>
              </w:rPr>
              <w:t> </w:t>
            </w:r>
          </w:p>
        </w:tc>
        <w:tc>
          <w:tcPr>
            <w:tcW w:w="1172"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sz w:val="20"/>
                <w:lang w:val="en-US" w:eastAsia="zh-CN"/>
              </w:rPr>
            </w:pPr>
            <w:r w:rsidRPr="00E363D6">
              <w:rPr>
                <w:rFonts w:asciiTheme="minorHAnsi" w:hAnsiTheme="minorHAnsi" w:cs="Arial"/>
                <w:sz w:val="20"/>
                <w:lang w:val="en-US" w:eastAsia="zh-CN"/>
              </w:rPr>
              <w:t> </w:t>
            </w:r>
          </w:p>
        </w:tc>
        <w:tc>
          <w:tcPr>
            <w:tcW w:w="1113"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sz w:val="20"/>
                <w:lang w:val="en-US" w:eastAsia="zh-CN"/>
              </w:rPr>
            </w:pPr>
            <w:r w:rsidRPr="00E363D6">
              <w:rPr>
                <w:rFonts w:asciiTheme="minorHAnsi" w:hAnsiTheme="minorHAnsi" w:cs="Arial"/>
                <w:sz w:val="20"/>
                <w:lang w:val="en-US" w:eastAsia="zh-CN"/>
              </w:rPr>
              <w:t> </w:t>
            </w:r>
          </w:p>
        </w:tc>
      </w:tr>
      <w:tr w:rsidR="003B1FBE" w:rsidRPr="003B1FBE" w:rsidTr="0000231C">
        <w:trPr>
          <w:trHeight w:val="257"/>
        </w:trPr>
        <w:tc>
          <w:tcPr>
            <w:tcW w:w="1729" w:type="dxa"/>
            <w:tcBorders>
              <w:top w:val="nil"/>
              <w:left w:val="single" w:sz="4" w:space="0" w:color="auto"/>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sz w:val="20"/>
                <w:lang w:val="en-US" w:eastAsia="zh-CN"/>
              </w:rPr>
            </w:pPr>
            <w:r w:rsidRPr="00E363D6">
              <w:rPr>
                <w:rFonts w:asciiTheme="minorHAnsi" w:hAnsiTheme="minorHAnsi" w:cs="Arial"/>
                <w:sz w:val="20"/>
                <w:lang w:val="en-US" w:eastAsia="zh-CN"/>
              </w:rPr>
              <w:t>AFT08</w:t>
            </w:r>
          </w:p>
        </w:tc>
        <w:tc>
          <w:tcPr>
            <w:tcW w:w="1260"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20"/>
                <w:lang w:val="en-US" w:eastAsia="zh-CN"/>
              </w:rPr>
            </w:pPr>
            <w:r w:rsidRPr="00E363D6">
              <w:rPr>
                <w:rFonts w:asciiTheme="minorHAnsi" w:hAnsiTheme="minorHAnsi" w:cs="Arial"/>
                <w:sz w:val="20"/>
                <w:lang w:val="en-US" w:eastAsia="zh-CN"/>
              </w:rPr>
              <w:t>South Africa</w:t>
            </w:r>
          </w:p>
        </w:tc>
        <w:tc>
          <w:tcPr>
            <w:tcW w:w="2769"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20"/>
                <w:lang w:val="en-US" w:eastAsia="zh-CN"/>
              </w:rPr>
            </w:pPr>
            <w:r w:rsidRPr="00E363D6">
              <w:rPr>
                <w:rFonts w:asciiTheme="minorHAnsi" w:hAnsiTheme="minorHAnsi" w:cs="Arial"/>
                <w:sz w:val="20"/>
                <w:lang w:val="en-US" w:eastAsia="zh-CN"/>
              </w:rPr>
              <w:t>MPCELL (Pty) Ltd.</w:t>
            </w:r>
          </w:p>
        </w:tc>
        <w:tc>
          <w:tcPr>
            <w:tcW w:w="1260"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E363D6">
              <w:rPr>
                <w:rFonts w:asciiTheme="minorHAnsi" w:hAnsiTheme="minorHAnsi" w:cs="Arial"/>
                <w:sz w:val="20"/>
                <w:lang w:val="en-US" w:eastAsia="zh-CN"/>
              </w:rPr>
              <w:t>3,690.00</w:t>
            </w:r>
          </w:p>
        </w:tc>
        <w:tc>
          <w:tcPr>
            <w:tcW w:w="1172"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E363D6">
              <w:rPr>
                <w:rFonts w:asciiTheme="minorHAnsi" w:hAnsiTheme="minorHAnsi" w:cs="Arial"/>
                <w:sz w:val="20"/>
                <w:lang w:val="en-US" w:eastAsia="zh-CN"/>
              </w:rPr>
              <w:t>0.00</w:t>
            </w:r>
          </w:p>
        </w:tc>
        <w:tc>
          <w:tcPr>
            <w:tcW w:w="1113"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E363D6">
              <w:rPr>
                <w:rFonts w:asciiTheme="minorHAnsi" w:hAnsiTheme="minorHAnsi" w:cs="Arial"/>
                <w:sz w:val="20"/>
                <w:lang w:val="en-US" w:eastAsia="zh-CN"/>
              </w:rPr>
              <w:t>3,690.00</w:t>
            </w:r>
          </w:p>
        </w:tc>
      </w:tr>
      <w:tr w:rsidR="003B1FBE" w:rsidRPr="003B1FBE" w:rsidTr="0000231C">
        <w:trPr>
          <w:trHeight w:val="257"/>
        </w:trPr>
        <w:tc>
          <w:tcPr>
            <w:tcW w:w="1729" w:type="dxa"/>
            <w:tcBorders>
              <w:top w:val="nil"/>
              <w:left w:val="single" w:sz="4" w:space="0" w:color="auto"/>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sz w:val="20"/>
                <w:lang w:val="en-US" w:eastAsia="zh-CN"/>
              </w:rPr>
            </w:pPr>
            <w:r w:rsidRPr="00E363D6">
              <w:rPr>
                <w:rFonts w:asciiTheme="minorHAnsi" w:hAnsiTheme="minorHAnsi" w:cs="Arial"/>
                <w:sz w:val="20"/>
                <w:lang w:val="en-US" w:eastAsia="zh-CN"/>
              </w:rPr>
              <w:t>AFT08</w:t>
            </w:r>
          </w:p>
        </w:tc>
        <w:tc>
          <w:tcPr>
            <w:tcW w:w="1260"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20"/>
                <w:lang w:val="en-US" w:eastAsia="zh-CN"/>
              </w:rPr>
            </w:pPr>
            <w:r w:rsidRPr="00E363D6">
              <w:rPr>
                <w:rFonts w:asciiTheme="minorHAnsi" w:hAnsiTheme="minorHAnsi" w:cs="Arial"/>
                <w:sz w:val="20"/>
                <w:lang w:val="en-US" w:eastAsia="zh-CN"/>
              </w:rPr>
              <w:t>Canada</w:t>
            </w:r>
          </w:p>
        </w:tc>
        <w:tc>
          <w:tcPr>
            <w:tcW w:w="2769"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20"/>
                <w:lang w:val="en-US" w:eastAsia="zh-CN"/>
              </w:rPr>
            </w:pPr>
            <w:r w:rsidRPr="00E363D6">
              <w:rPr>
                <w:rFonts w:asciiTheme="minorHAnsi" w:hAnsiTheme="minorHAnsi" w:cs="Arial"/>
                <w:sz w:val="20"/>
                <w:lang w:val="en-US" w:eastAsia="zh-CN"/>
              </w:rPr>
              <w:t>Broad Connect Telecom Ltd.</w:t>
            </w:r>
          </w:p>
        </w:tc>
        <w:tc>
          <w:tcPr>
            <w:tcW w:w="1260"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E363D6">
              <w:rPr>
                <w:rFonts w:asciiTheme="minorHAnsi" w:hAnsiTheme="minorHAnsi" w:cs="Arial"/>
                <w:sz w:val="20"/>
                <w:lang w:val="en-US" w:eastAsia="zh-CN"/>
              </w:rPr>
              <w:t>14,760.00</w:t>
            </w:r>
          </w:p>
        </w:tc>
        <w:tc>
          <w:tcPr>
            <w:tcW w:w="1172"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E363D6">
              <w:rPr>
                <w:rFonts w:asciiTheme="minorHAnsi" w:hAnsiTheme="minorHAnsi" w:cs="Arial"/>
                <w:sz w:val="20"/>
                <w:lang w:val="en-US" w:eastAsia="zh-CN"/>
              </w:rPr>
              <w:t>5,850.00</w:t>
            </w:r>
          </w:p>
        </w:tc>
        <w:tc>
          <w:tcPr>
            <w:tcW w:w="1113"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E363D6">
              <w:rPr>
                <w:rFonts w:asciiTheme="minorHAnsi" w:hAnsiTheme="minorHAnsi" w:cs="Arial"/>
                <w:sz w:val="20"/>
                <w:lang w:val="en-US" w:eastAsia="zh-CN"/>
              </w:rPr>
              <w:t>8,910.00</w:t>
            </w:r>
          </w:p>
        </w:tc>
      </w:tr>
      <w:tr w:rsidR="003B1FBE" w:rsidRPr="003B1FBE" w:rsidTr="0000231C">
        <w:trPr>
          <w:trHeight w:val="257"/>
        </w:trPr>
        <w:tc>
          <w:tcPr>
            <w:tcW w:w="1729" w:type="dxa"/>
            <w:tcBorders>
              <w:top w:val="nil"/>
              <w:left w:val="single" w:sz="4" w:space="0" w:color="auto"/>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sz w:val="20"/>
                <w:lang w:val="en-US" w:eastAsia="zh-CN"/>
              </w:rPr>
            </w:pPr>
            <w:r w:rsidRPr="00E363D6">
              <w:rPr>
                <w:rFonts w:asciiTheme="minorHAnsi" w:hAnsiTheme="minorHAnsi" w:cs="Arial"/>
                <w:sz w:val="20"/>
                <w:lang w:val="en-US" w:eastAsia="zh-CN"/>
              </w:rPr>
              <w:t>AFT08</w:t>
            </w:r>
          </w:p>
        </w:tc>
        <w:tc>
          <w:tcPr>
            <w:tcW w:w="1260"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20"/>
                <w:lang w:val="en-US" w:eastAsia="zh-CN"/>
              </w:rPr>
            </w:pPr>
            <w:r w:rsidRPr="00E363D6">
              <w:rPr>
                <w:rFonts w:asciiTheme="minorHAnsi" w:hAnsiTheme="minorHAnsi" w:cs="Arial"/>
                <w:sz w:val="20"/>
                <w:lang w:val="en-US" w:eastAsia="zh-CN"/>
              </w:rPr>
              <w:t>China</w:t>
            </w:r>
          </w:p>
        </w:tc>
        <w:tc>
          <w:tcPr>
            <w:tcW w:w="2769"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20"/>
                <w:lang w:val="en-US" w:eastAsia="zh-CN"/>
              </w:rPr>
            </w:pPr>
            <w:proofErr w:type="spellStart"/>
            <w:r w:rsidRPr="00E363D6">
              <w:rPr>
                <w:rFonts w:asciiTheme="minorHAnsi" w:hAnsiTheme="minorHAnsi" w:cs="Arial"/>
                <w:sz w:val="20"/>
                <w:lang w:val="en-US" w:eastAsia="zh-CN"/>
              </w:rPr>
              <w:t>SipRing</w:t>
            </w:r>
            <w:proofErr w:type="spellEnd"/>
            <w:r w:rsidRPr="00E363D6">
              <w:rPr>
                <w:rFonts w:asciiTheme="minorHAnsi" w:hAnsiTheme="minorHAnsi" w:cs="Arial"/>
                <w:sz w:val="20"/>
                <w:lang w:val="en-US" w:eastAsia="zh-CN"/>
              </w:rPr>
              <w:t xml:space="preserve"> Telecommunication</w:t>
            </w:r>
          </w:p>
        </w:tc>
        <w:tc>
          <w:tcPr>
            <w:tcW w:w="1260"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E363D6">
              <w:rPr>
                <w:rFonts w:asciiTheme="minorHAnsi" w:hAnsiTheme="minorHAnsi" w:cs="Arial"/>
                <w:sz w:val="20"/>
                <w:lang w:val="en-US" w:eastAsia="zh-CN"/>
              </w:rPr>
              <w:t>8,200.00</w:t>
            </w:r>
          </w:p>
        </w:tc>
        <w:tc>
          <w:tcPr>
            <w:tcW w:w="1172"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E363D6">
              <w:rPr>
                <w:rFonts w:asciiTheme="minorHAnsi" w:hAnsiTheme="minorHAnsi" w:cs="Arial"/>
                <w:sz w:val="20"/>
                <w:lang w:val="en-US" w:eastAsia="zh-CN"/>
              </w:rPr>
              <w:t>0.00</w:t>
            </w:r>
          </w:p>
        </w:tc>
        <w:tc>
          <w:tcPr>
            <w:tcW w:w="1113"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E363D6">
              <w:rPr>
                <w:rFonts w:asciiTheme="minorHAnsi" w:hAnsiTheme="minorHAnsi" w:cs="Arial"/>
                <w:sz w:val="20"/>
                <w:lang w:val="en-US" w:eastAsia="zh-CN"/>
              </w:rPr>
              <w:t>8,200.00</w:t>
            </w:r>
          </w:p>
        </w:tc>
      </w:tr>
      <w:tr w:rsidR="003B1FBE" w:rsidRPr="003B1FBE" w:rsidTr="0000231C">
        <w:trPr>
          <w:trHeight w:val="257"/>
        </w:trPr>
        <w:tc>
          <w:tcPr>
            <w:tcW w:w="1729" w:type="dxa"/>
            <w:tcBorders>
              <w:top w:val="nil"/>
              <w:left w:val="single" w:sz="4" w:space="0" w:color="auto"/>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sz w:val="20"/>
                <w:lang w:val="en-US" w:eastAsia="zh-CN"/>
              </w:rPr>
            </w:pPr>
            <w:r w:rsidRPr="00E363D6">
              <w:rPr>
                <w:rFonts w:asciiTheme="minorHAnsi" w:hAnsiTheme="minorHAnsi" w:cs="Arial"/>
                <w:sz w:val="20"/>
                <w:lang w:val="en-US" w:eastAsia="zh-CN"/>
              </w:rPr>
              <w:t>AFT08</w:t>
            </w:r>
          </w:p>
        </w:tc>
        <w:tc>
          <w:tcPr>
            <w:tcW w:w="1260"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20"/>
                <w:lang w:val="en-US" w:eastAsia="zh-CN"/>
              </w:rPr>
            </w:pPr>
            <w:r w:rsidRPr="00E363D6">
              <w:rPr>
                <w:rFonts w:asciiTheme="minorHAnsi" w:hAnsiTheme="minorHAnsi" w:cs="Arial"/>
                <w:sz w:val="20"/>
                <w:lang w:val="en-US" w:eastAsia="zh-CN"/>
              </w:rPr>
              <w:t>Côte d'Ivoire</w:t>
            </w:r>
          </w:p>
        </w:tc>
        <w:tc>
          <w:tcPr>
            <w:tcW w:w="2769"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20"/>
                <w:lang w:val="en-US" w:eastAsia="zh-CN"/>
              </w:rPr>
            </w:pPr>
            <w:r w:rsidRPr="00E363D6">
              <w:rPr>
                <w:rFonts w:asciiTheme="minorHAnsi" w:hAnsiTheme="minorHAnsi" w:cs="Arial"/>
                <w:sz w:val="20"/>
                <w:lang w:val="en-US" w:eastAsia="zh-CN"/>
              </w:rPr>
              <w:t>Apex Technologies</w:t>
            </w:r>
          </w:p>
        </w:tc>
        <w:tc>
          <w:tcPr>
            <w:tcW w:w="1260"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E363D6">
              <w:rPr>
                <w:rFonts w:asciiTheme="minorHAnsi" w:hAnsiTheme="minorHAnsi" w:cs="Arial"/>
                <w:sz w:val="20"/>
                <w:lang w:val="en-US" w:eastAsia="zh-CN"/>
              </w:rPr>
              <w:t>7,380.00</w:t>
            </w:r>
          </w:p>
        </w:tc>
        <w:tc>
          <w:tcPr>
            <w:tcW w:w="1172"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E363D6">
              <w:rPr>
                <w:rFonts w:asciiTheme="minorHAnsi" w:hAnsiTheme="minorHAnsi" w:cs="Arial"/>
                <w:sz w:val="20"/>
                <w:lang w:val="en-US" w:eastAsia="zh-CN"/>
              </w:rPr>
              <w:t>0.00</w:t>
            </w:r>
          </w:p>
        </w:tc>
        <w:tc>
          <w:tcPr>
            <w:tcW w:w="1113"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E363D6">
              <w:rPr>
                <w:rFonts w:asciiTheme="minorHAnsi" w:hAnsiTheme="minorHAnsi" w:cs="Arial"/>
                <w:sz w:val="20"/>
                <w:lang w:val="en-US" w:eastAsia="zh-CN"/>
              </w:rPr>
              <w:t>7,380.00</w:t>
            </w:r>
          </w:p>
        </w:tc>
      </w:tr>
      <w:tr w:rsidR="003B1FBE" w:rsidRPr="003B1FBE" w:rsidTr="0000231C">
        <w:trPr>
          <w:trHeight w:val="257"/>
        </w:trPr>
        <w:tc>
          <w:tcPr>
            <w:tcW w:w="1729" w:type="dxa"/>
            <w:tcBorders>
              <w:top w:val="nil"/>
              <w:left w:val="single" w:sz="4" w:space="0" w:color="auto"/>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sz w:val="20"/>
                <w:lang w:val="en-US" w:eastAsia="zh-CN"/>
              </w:rPr>
            </w:pPr>
            <w:r w:rsidRPr="00E363D6">
              <w:rPr>
                <w:rFonts w:asciiTheme="minorHAnsi" w:hAnsiTheme="minorHAnsi" w:cs="Arial"/>
                <w:sz w:val="20"/>
                <w:lang w:val="en-US" w:eastAsia="zh-CN"/>
              </w:rPr>
              <w:t>AFT08</w:t>
            </w:r>
          </w:p>
        </w:tc>
        <w:tc>
          <w:tcPr>
            <w:tcW w:w="1260"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20"/>
                <w:lang w:val="en-US" w:eastAsia="zh-CN"/>
              </w:rPr>
            </w:pPr>
            <w:r w:rsidRPr="00E363D6">
              <w:rPr>
                <w:rFonts w:asciiTheme="minorHAnsi" w:hAnsiTheme="minorHAnsi" w:cs="Arial"/>
                <w:sz w:val="20"/>
                <w:lang w:val="en-US" w:eastAsia="zh-CN"/>
              </w:rPr>
              <w:t>Lebanon</w:t>
            </w:r>
          </w:p>
        </w:tc>
        <w:tc>
          <w:tcPr>
            <w:tcW w:w="2769"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20"/>
                <w:lang w:val="en-US" w:eastAsia="zh-CN"/>
              </w:rPr>
            </w:pPr>
            <w:r w:rsidRPr="00E363D6">
              <w:rPr>
                <w:rFonts w:asciiTheme="minorHAnsi" w:hAnsiTheme="minorHAnsi" w:cs="Arial"/>
                <w:sz w:val="20"/>
                <w:lang w:val="en-US" w:eastAsia="zh-CN"/>
              </w:rPr>
              <w:t>Splendor</w:t>
            </w:r>
          </w:p>
        </w:tc>
        <w:tc>
          <w:tcPr>
            <w:tcW w:w="1260"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E363D6">
              <w:rPr>
                <w:rFonts w:asciiTheme="minorHAnsi" w:hAnsiTheme="minorHAnsi" w:cs="Arial"/>
                <w:sz w:val="20"/>
                <w:lang w:val="en-US" w:eastAsia="zh-CN"/>
              </w:rPr>
              <w:t>12,300.00</w:t>
            </w:r>
          </w:p>
        </w:tc>
        <w:tc>
          <w:tcPr>
            <w:tcW w:w="1172"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E363D6">
              <w:rPr>
                <w:rFonts w:asciiTheme="minorHAnsi" w:hAnsiTheme="minorHAnsi" w:cs="Arial"/>
                <w:sz w:val="20"/>
                <w:lang w:val="en-US" w:eastAsia="zh-CN"/>
              </w:rPr>
              <w:t>0.00</w:t>
            </w:r>
          </w:p>
        </w:tc>
        <w:tc>
          <w:tcPr>
            <w:tcW w:w="1113"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E363D6">
              <w:rPr>
                <w:rFonts w:asciiTheme="minorHAnsi" w:hAnsiTheme="minorHAnsi" w:cs="Arial"/>
                <w:sz w:val="20"/>
                <w:lang w:val="en-US" w:eastAsia="zh-CN"/>
              </w:rPr>
              <w:t>12,300.00</w:t>
            </w:r>
          </w:p>
        </w:tc>
      </w:tr>
      <w:tr w:rsidR="003B1FBE" w:rsidRPr="003B1FBE" w:rsidTr="0000231C">
        <w:trPr>
          <w:trHeight w:val="257"/>
        </w:trPr>
        <w:tc>
          <w:tcPr>
            <w:tcW w:w="1729" w:type="dxa"/>
            <w:tcBorders>
              <w:top w:val="nil"/>
              <w:left w:val="single" w:sz="4" w:space="0" w:color="auto"/>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sz w:val="20"/>
                <w:lang w:val="en-US" w:eastAsia="zh-CN"/>
              </w:rPr>
            </w:pPr>
            <w:r w:rsidRPr="00E363D6">
              <w:rPr>
                <w:rFonts w:asciiTheme="minorHAnsi" w:hAnsiTheme="minorHAnsi" w:cs="Arial"/>
                <w:sz w:val="20"/>
                <w:lang w:val="en-US" w:eastAsia="zh-CN"/>
              </w:rPr>
              <w:t> </w:t>
            </w:r>
          </w:p>
        </w:tc>
        <w:tc>
          <w:tcPr>
            <w:tcW w:w="1260"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sz w:val="20"/>
                <w:lang w:val="en-US" w:eastAsia="zh-CN"/>
              </w:rPr>
            </w:pPr>
            <w:r w:rsidRPr="00E363D6">
              <w:rPr>
                <w:rFonts w:asciiTheme="minorHAnsi" w:hAnsiTheme="minorHAnsi" w:cs="Arial"/>
                <w:sz w:val="20"/>
                <w:lang w:val="en-US" w:eastAsia="zh-CN"/>
              </w:rPr>
              <w:t> </w:t>
            </w:r>
          </w:p>
        </w:tc>
        <w:tc>
          <w:tcPr>
            <w:tcW w:w="2769"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sz w:val="20"/>
                <w:lang w:val="en-US" w:eastAsia="zh-CN"/>
              </w:rPr>
            </w:pPr>
            <w:r w:rsidRPr="00E363D6">
              <w:rPr>
                <w:rFonts w:asciiTheme="minorHAnsi" w:hAnsiTheme="minorHAnsi" w:cs="Arial"/>
                <w:sz w:val="20"/>
                <w:lang w:val="en-US" w:eastAsia="zh-CN"/>
              </w:rPr>
              <w:t> </w:t>
            </w:r>
          </w:p>
        </w:tc>
        <w:tc>
          <w:tcPr>
            <w:tcW w:w="1260"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E363D6">
              <w:rPr>
                <w:rFonts w:asciiTheme="minorHAnsi" w:hAnsiTheme="minorHAnsi" w:cs="Arial"/>
                <w:sz w:val="20"/>
                <w:lang w:val="en-US" w:eastAsia="zh-CN"/>
              </w:rPr>
              <w:t> </w:t>
            </w:r>
          </w:p>
        </w:tc>
        <w:tc>
          <w:tcPr>
            <w:tcW w:w="1172"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E363D6">
              <w:rPr>
                <w:rFonts w:asciiTheme="minorHAnsi" w:hAnsiTheme="minorHAnsi" w:cs="Arial"/>
                <w:sz w:val="20"/>
                <w:lang w:val="en-US" w:eastAsia="zh-CN"/>
              </w:rPr>
              <w:t> </w:t>
            </w:r>
          </w:p>
        </w:tc>
        <w:tc>
          <w:tcPr>
            <w:tcW w:w="1113"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E363D6">
              <w:rPr>
                <w:rFonts w:asciiTheme="minorHAnsi" w:hAnsiTheme="minorHAnsi" w:cs="Arial"/>
                <w:sz w:val="20"/>
                <w:lang w:val="en-US" w:eastAsia="zh-CN"/>
              </w:rPr>
              <w:t> </w:t>
            </w:r>
          </w:p>
        </w:tc>
      </w:tr>
      <w:tr w:rsidR="003B1FBE" w:rsidRPr="003B1FBE" w:rsidTr="0000231C">
        <w:trPr>
          <w:trHeight w:val="257"/>
        </w:trPr>
        <w:tc>
          <w:tcPr>
            <w:tcW w:w="1729" w:type="dxa"/>
            <w:tcBorders>
              <w:top w:val="nil"/>
              <w:left w:val="single" w:sz="4" w:space="0" w:color="auto"/>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20"/>
                <w:lang w:val="en-US" w:eastAsia="zh-CN"/>
              </w:rPr>
            </w:pPr>
            <w:r w:rsidRPr="00E363D6">
              <w:rPr>
                <w:rFonts w:asciiTheme="minorHAnsi" w:hAnsiTheme="minorHAnsi" w:cs="Arial"/>
                <w:b/>
                <w:bCs/>
                <w:sz w:val="20"/>
                <w:lang w:val="en-US" w:eastAsia="zh-CN"/>
              </w:rPr>
              <w:t>AFT08</w:t>
            </w:r>
          </w:p>
        </w:tc>
        <w:tc>
          <w:tcPr>
            <w:tcW w:w="1260"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sz w:val="20"/>
                <w:lang w:val="en-US" w:eastAsia="zh-CN"/>
              </w:rPr>
            </w:pPr>
            <w:r w:rsidRPr="00E363D6">
              <w:rPr>
                <w:rFonts w:asciiTheme="minorHAnsi" w:hAnsiTheme="minorHAnsi" w:cs="Arial"/>
                <w:sz w:val="20"/>
                <w:lang w:val="en-US" w:eastAsia="zh-CN"/>
              </w:rPr>
              <w:t> </w:t>
            </w:r>
          </w:p>
        </w:tc>
        <w:tc>
          <w:tcPr>
            <w:tcW w:w="2769"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sz w:val="20"/>
                <w:lang w:val="en-US" w:eastAsia="zh-CN"/>
              </w:rPr>
            </w:pPr>
            <w:r w:rsidRPr="00E363D6">
              <w:rPr>
                <w:rFonts w:asciiTheme="minorHAnsi" w:hAnsiTheme="minorHAnsi" w:cs="Arial"/>
                <w:sz w:val="20"/>
                <w:lang w:val="en-US" w:eastAsia="zh-CN"/>
              </w:rPr>
              <w:t> </w:t>
            </w:r>
          </w:p>
        </w:tc>
        <w:tc>
          <w:tcPr>
            <w:tcW w:w="1260"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E363D6">
              <w:rPr>
                <w:rFonts w:asciiTheme="minorHAnsi" w:hAnsiTheme="minorHAnsi" w:cs="Arial"/>
                <w:sz w:val="20"/>
                <w:lang w:val="en-US" w:eastAsia="zh-CN"/>
              </w:rPr>
              <w:t> </w:t>
            </w:r>
          </w:p>
        </w:tc>
        <w:tc>
          <w:tcPr>
            <w:tcW w:w="1172"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E363D6">
              <w:rPr>
                <w:rFonts w:asciiTheme="minorHAnsi" w:hAnsiTheme="minorHAnsi" w:cs="Arial"/>
                <w:sz w:val="20"/>
                <w:lang w:val="en-US" w:eastAsia="zh-CN"/>
              </w:rPr>
              <w:t> </w:t>
            </w:r>
          </w:p>
        </w:tc>
        <w:tc>
          <w:tcPr>
            <w:tcW w:w="1113"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20"/>
                <w:lang w:val="en-US" w:eastAsia="zh-CN"/>
              </w:rPr>
            </w:pPr>
            <w:r w:rsidRPr="00E363D6">
              <w:rPr>
                <w:rFonts w:asciiTheme="minorHAnsi" w:hAnsiTheme="minorHAnsi" w:cs="Arial"/>
                <w:b/>
                <w:bCs/>
                <w:sz w:val="20"/>
                <w:lang w:val="en-US" w:eastAsia="zh-CN"/>
              </w:rPr>
              <w:t>40,480.00</w:t>
            </w:r>
          </w:p>
        </w:tc>
      </w:tr>
    </w:tbl>
    <w:p w:rsidR="006D0B03" w:rsidRDefault="006D0B03"/>
    <w:tbl>
      <w:tblPr>
        <w:tblW w:w="9303" w:type="dxa"/>
        <w:tblInd w:w="562" w:type="dxa"/>
        <w:tblLook w:val="04A0" w:firstRow="1" w:lastRow="0" w:firstColumn="1" w:lastColumn="0" w:noHBand="0" w:noVBand="1"/>
      </w:tblPr>
      <w:tblGrid>
        <w:gridCol w:w="1729"/>
        <w:gridCol w:w="1260"/>
        <w:gridCol w:w="2769"/>
        <w:gridCol w:w="1260"/>
        <w:gridCol w:w="1172"/>
        <w:gridCol w:w="1113"/>
      </w:tblGrid>
      <w:tr w:rsidR="003B1FBE" w:rsidRPr="003B1FBE" w:rsidTr="0000231C">
        <w:trPr>
          <w:trHeight w:val="437"/>
        </w:trPr>
        <w:tc>
          <w:tcPr>
            <w:tcW w:w="1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20"/>
                <w:lang w:val="en-US" w:eastAsia="zh-CN"/>
              </w:rPr>
            </w:pPr>
            <w:r w:rsidRPr="00E363D6">
              <w:rPr>
                <w:rFonts w:asciiTheme="minorHAnsi" w:hAnsiTheme="minorHAnsi" w:cs="Arial"/>
                <w:b/>
                <w:bCs/>
                <w:sz w:val="20"/>
                <w:lang w:val="en-US" w:eastAsia="zh-CN"/>
              </w:rPr>
              <w:t>Event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20"/>
                <w:lang w:val="en-US" w:eastAsia="zh-CN"/>
              </w:rPr>
            </w:pPr>
            <w:r w:rsidRPr="00E363D6">
              <w:rPr>
                <w:rFonts w:asciiTheme="minorHAnsi" w:hAnsiTheme="minorHAnsi" w:cs="Arial"/>
                <w:b/>
                <w:bCs/>
                <w:sz w:val="20"/>
                <w:lang w:val="en-US" w:eastAsia="zh-CN"/>
              </w:rPr>
              <w:t>Country</w:t>
            </w:r>
          </w:p>
        </w:tc>
        <w:tc>
          <w:tcPr>
            <w:tcW w:w="2769" w:type="dxa"/>
            <w:tcBorders>
              <w:top w:val="single" w:sz="4" w:space="0" w:color="auto"/>
              <w:left w:val="nil"/>
              <w:bottom w:val="single" w:sz="4" w:space="0" w:color="auto"/>
              <w:right w:val="single" w:sz="4" w:space="0" w:color="auto"/>
            </w:tcBorders>
            <w:shd w:val="clear" w:color="auto" w:fill="auto"/>
            <w:vAlign w:val="center"/>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20"/>
                <w:lang w:val="en-US" w:eastAsia="zh-CN"/>
              </w:rPr>
            </w:pPr>
            <w:r w:rsidRPr="00E363D6">
              <w:rPr>
                <w:rFonts w:asciiTheme="minorHAnsi" w:hAnsiTheme="minorHAnsi" w:cs="Arial"/>
                <w:b/>
                <w:bCs/>
                <w:sz w:val="20"/>
                <w:lang w:val="en-US" w:eastAsia="zh-CN"/>
              </w:rPr>
              <w:t>Company</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20"/>
                <w:lang w:val="en-US" w:eastAsia="zh-CN"/>
              </w:rPr>
            </w:pPr>
            <w:r w:rsidRPr="00E363D6">
              <w:rPr>
                <w:rFonts w:asciiTheme="minorHAnsi" w:hAnsiTheme="minorHAnsi" w:cs="Arial"/>
                <w:b/>
                <w:bCs/>
                <w:sz w:val="20"/>
                <w:lang w:val="en-US" w:eastAsia="zh-CN"/>
              </w:rPr>
              <w:t>Amount invoiced</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20"/>
                <w:lang w:val="en-US" w:eastAsia="zh-CN"/>
              </w:rPr>
            </w:pPr>
            <w:r w:rsidRPr="00E363D6">
              <w:rPr>
                <w:rFonts w:asciiTheme="minorHAnsi" w:hAnsiTheme="minorHAnsi" w:cs="Arial"/>
                <w:b/>
                <w:bCs/>
                <w:sz w:val="20"/>
                <w:lang w:val="en-US" w:eastAsia="zh-CN"/>
              </w:rPr>
              <w:t>Payment received</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20"/>
                <w:lang w:val="en-US" w:eastAsia="zh-CN"/>
              </w:rPr>
            </w:pPr>
            <w:r w:rsidRPr="00E363D6">
              <w:rPr>
                <w:rFonts w:asciiTheme="minorHAnsi" w:hAnsiTheme="minorHAnsi" w:cs="Arial"/>
                <w:b/>
                <w:bCs/>
                <w:sz w:val="20"/>
                <w:lang w:val="en-US" w:eastAsia="zh-CN"/>
              </w:rPr>
              <w:t>Balance due</w:t>
            </w:r>
          </w:p>
        </w:tc>
      </w:tr>
      <w:tr w:rsidR="003B1FBE" w:rsidRPr="003B1FBE" w:rsidTr="0000231C">
        <w:trPr>
          <w:trHeight w:val="257"/>
        </w:trPr>
        <w:tc>
          <w:tcPr>
            <w:tcW w:w="1729" w:type="dxa"/>
            <w:tcBorders>
              <w:top w:val="nil"/>
              <w:left w:val="single" w:sz="4" w:space="0" w:color="auto"/>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20"/>
                <w:lang w:val="en-US" w:eastAsia="zh-CN"/>
              </w:rPr>
            </w:pPr>
            <w:r w:rsidRPr="00E363D6">
              <w:rPr>
                <w:rFonts w:asciiTheme="minorHAnsi" w:hAnsiTheme="minorHAnsi" w:cs="Arial"/>
                <w:b/>
                <w:bCs/>
                <w:sz w:val="20"/>
                <w:lang w:val="en-US" w:eastAsia="zh-CN"/>
              </w:rPr>
              <w:t> </w:t>
            </w:r>
          </w:p>
        </w:tc>
        <w:tc>
          <w:tcPr>
            <w:tcW w:w="1260"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20"/>
                <w:lang w:val="en-US" w:eastAsia="zh-CN"/>
              </w:rPr>
            </w:pPr>
            <w:r w:rsidRPr="00E363D6">
              <w:rPr>
                <w:rFonts w:asciiTheme="minorHAnsi" w:hAnsiTheme="minorHAnsi" w:cs="Arial"/>
                <w:b/>
                <w:bCs/>
                <w:sz w:val="20"/>
                <w:lang w:val="en-US" w:eastAsia="zh-CN"/>
              </w:rPr>
              <w:t> </w:t>
            </w:r>
          </w:p>
        </w:tc>
        <w:tc>
          <w:tcPr>
            <w:tcW w:w="2769"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sz w:val="20"/>
                <w:lang w:val="en-US" w:eastAsia="zh-CN"/>
              </w:rPr>
            </w:pPr>
            <w:r w:rsidRPr="00E363D6">
              <w:rPr>
                <w:rFonts w:asciiTheme="minorHAnsi" w:hAnsiTheme="minorHAnsi" w:cs="Arial"/>
                <w:sz w:val="20"/>
                <w:lang w:val="en-US" w:eastAsia="zh-CN"/>
              </w:rPr>
              <w:t> </w:t>
            </w:r>
          </w:p>
        </w:tc>
        <w:tc>
          <w:tcPr>
            <w:tcW w:w="1260"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sz w:val="20"/>
                <w:lang w:val="en-US" w:eastAsia="zh-CN"/>
              </w:rPr>
            </w:pPr>
            <w:r w:rsidRPr="00E363D6">
              <w:rPr>
                <w:rFonts w:asciiTheme="minorHAnsi" w:hAnsiTheme="minorHAnsi" w:cs="Arial"/>
                <w:sz w:val="20"/>
                <w:lang w:val="en-US" w:eastAsia="zh-CN"/>
              </w:rPr>
              <w:t> </w:t>
            </w:r>
          </w:p>
        </w:tc>
        <w:tc>
          <w:tcPr>
            <w:tcW w:w="1172"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sz w:val="20"/>
                <w:lang w:val="en-US" w:eastAsia="zh-CN"/>
              </w:rPr>
            </w:pPr>
            <w:r w:rsidRPr="00E363D6">
              <w:rPr>
                <w:rFonts w:asciiTheme="minorHAnsi" w:hAnsiTheme="minorHAnsi" w:cs="Arial"/>
                <w:sz w:val="20"/>
                <w:lang w:val="en-US" w:eastAsia="zh-CN"/>
              </w:rPr>
              <w:t> </w:t>
            </w:r>
          </w:p>
        </w:tc>
        <w:tc>
          <w:tcPr>
            <w:tcW w:w="1113"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sz w:val="20"/>
                <w:lang w:val="en-US" w:eastAsia="zh-CN"/>
              </w:rPr>
            </w:pPr>
            <w:r w:rsidRPr="00E363D6">
              <w:rPr>
                <w:rFonts w:asciiTheme="minorHAnsi" w:hAnsiTheme="minorHAnsi" w:cs="Arial"/>
                <w:sz w:val="20"/>
                <w:lang w:val="en-US" w:eastAsia="zh-CN"/>
              </w:rPr>
              <w:t> </w:t>
            </w:r>
          </w:p>
        </w:tc>
      </w:tr>
      <w:tr w:rsidR="003B1FBE" w:rsidRPr="003B1FBE" w:rsidTr="0000231C">
        <w:trPr>
          <w:trHeight w:val="257"/>
        </w:trPr>
        <w:tc>
          <w:tcPr>
            <w:tcW w:w="1729" w:type="dxa"/>
            <w:tcBorders>
              <w:top w:val="nil"/>
              <w:left w:val="single" w:sz="4" w:space="0" w:color="auto"/>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olor w:val="000000"/>
                <w:sz w:val="20"/>
                <w:lang w:val="en-US" w:eastAsia="zh-CN"/>
              </w:rPr>
            </w:pPr>
            <w:r w:rsidRPr="00E363D6">
              <w:rPr>
                <w:rFonts w:asciiTheme="minorHAnsi" w:hAnsiTheme="minorHAnsi"/>
                <w:color w:val="000000"/>
                <w:sz w:val="20"/>
                <w:lang w:val="en-US" w:eastAsia="zh-CN"/>
              </w:rPr>
              <w:t>TLC 2006</w:t>
            </w:r>
          </w:p>
        </w:tc>
        <w:tc>
          <w:tcPr>
            <w:tcW w:w="1260"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20"/>
                <w:lang w:val="en-US" w:eastAsia="zh-CN"/>
              </w:rPr>
            </w:pPr>
            <w:r w:rsidRPr="00E363D6">
              <w:rPr>
                <w:rFonts w:asciiTheme="minorHAnsi" w:hAnsiTheme="minorHAnsi" w:cs="Arial"/>
                <w:sz w:val="20"/>
                <w:lang w:val="en-US" w:eastAsia="zh-CN"/>
              </w:rPr>
              <w:t>China</w:t>
            </w:r>
          </w:p>
        </w:tc>
        <w:tc>
          <w:tcPr>
            <w:tcW w:w="2769"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20"/>
                <w:lang w:val="en-US" w:eastAsia="zh-CN"/>
              </w:rPr>
            </w:pPr>
            <w:r w:rsidRPr="00E363D6">
              <w:rPr>
                <w:rFonts w:asciiTheme="minorHAnsi" w:hAnsiTheme="minorHAnsi" w:cs="Arial"/>
                <w:sz w:val="20"/>
                <w:lang w:val="en-US" w:eastAsia="zh-CN"/>
              </w:rPr>
              <w:t>American Consulate Hong Kong</w:t>
            </w:r>
          </w:p>
        </w:tc>
        <w:tc>
          <w:tcPr>
            <w:tcW w:w="1260"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E363D6">
              <w:rPr>
                <w:rFonts w:asciiTheme="minorHAnsi" w:hAnsiTheme="minorHAnsi" w:cs="Arial"/>
                <w:sz w:val="20"/>
                <w:lang w:val="en-US" w:eastAsia="zh-CN"/>
              </w:rPr>
              <w:t>400.00</w:t>
            </w:r>
          </w:p>
        </w:tc>
        <w:tc>
          <w:tcPr>
            <w:tcW w:w="1172"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E363D6">
              <w:rPr>
                <w:rFonts w:asciiTheme="minorHAnsi" w:hAnsiTheme="minorHAnsi" w:cs="Arial"/>
                <w:sz w:val="20"/>
                <w:lang w:val="en-US" w:eastAsia="zh-CN"/>
              </w:rPr>
              <w:t>0.00</w:t>
            </w:r>
          </w:p>
        </w:tc>
        <w:tc>
          <w:tcPr>
            <w:tcW w:w="1113"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E363D6">
              <w:rPr>
                <w:rFonts w:asciiTheme="minorHAnsi" w:hAnsiTheme="minorHAnsi" w:cs="Arial"/>
                <w:sz w:val="20"/>
                <w:lang w:val="en-US" w:eastAsia="zh-CN"/>
              </w:rPr>
              <w:t>400.00</w:t>
            </w:r>
          </w:p>
        </w:tc>
      </w:tr>
      <w:tr w:rsidR="003B1FBE" w:rsidRPr="003B1FBE" w:rsidTr="0000231C">
        <w:trPr>
          <w:trHeight w:val="257"/>
        </w:trPr>
        <w:tc>
          <w:tcPr>
            <w:tcW w:w="1729" w:type="dxa"/>
            <w:tcBorders>
              <w:top w:val="nil"/>
              <w:left w:val="single" w:sz="4" w:space="0" w:color="auto"/>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olor w:val="000000"/>
                <w:sz w:val="20"/>
                <w:lang w:val="en-US" w:eastAsia="zh-CN"/>
              </w:rPr>
            </w:pPr>
            <w:r w:rsidRPr="00E363D6">
              <w:rPr>
                <w:rFonts w:asciiTheme="minorHAnsi" w:hAnsiTheme="minorHAnsi"/>
                <w:color w:val="000000"/>
                <w:sz w:val="20"/>
                <w:lang w:val="en-US" w:eastAsia="zh-CN"/>
              </w:rPr>
              <w:t>TLC 2006</w:t>
            </w:r>
          </w:p>
        </w:tc>
        <w:tc>
          <w:tcPr>
            <w:tcW w:w="1260"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20"/>
                <w:lang w:val="en-US" w:eastAsia="zh-CN"/>
              </w:rPr>
            </w:pPr>
            <w:r w:rsidRPr="00E363D6">
              <w:rPr>
                <w:rFonts w:asciiTheme="minorHAnsi" w:hAnsiTheme="minorHAnsi" w:cs="Arial"/>
                <w:sz w:val="20"/>
                <w:lang w:val="en-US" w:eastAsia="zh-CN"/>
              </w:rPr>
              <w:t>China</w:t>
            </w:r>
          </w:p>
        </w:tc>
        <w:tc>
          <w:tcPr>
            <w:tcW w:w="2769"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olor w:val="000000"/>
                <w:sz w:val="20"/>
                <w:lang w:val="en-US" w:eastAsia="zh-CN"/>
              </w:rPr>
            </w:pPr>
            <w:proofErr w:type="spellStart"/>
            <w:r w:rsidRPr="00E363D6">
              <w:rPr>
                <w:rFonts w:asciiTheme="minorHAnsi" w:hAnsiTheme="minorHAnsi"/>
                <w:color w:val="000000"/>
                <w:sz w:val="20"/>
                <w:lang w:val="en-US" w:eastAsia="zh-CN"/>
              </w:rPr>
              <w:t>ChongQing</w:t>
            </w:r>
            <w:proofErr w:type="spellEnd"/>
            <w:r w:rsidRPr="00E363D6">
              <w:rPr>
                <w:rFonts w:asciiTheme="minorHAnsi" w:hAnsiTheme="minorHAnsi"/>
                <w:color w:val="000000"/>
                <w:sz w:val="20"/>
                <w:lang w:val="en-US" w:eastAsia="zh-CN"/>
              </w:rPr>
              <w:t xml:space="preserve"> Chong You</w:t>
            </w:r>
          </w:p>
        </w:tc>
        <w:tc>
          <w:tcPr>
            <w:tcW w:w="1260"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0"/>
                <w:lang w:val="en-US" w:eastAsia="zh-CN"/>
              </w:rPr>
            </w:pPr>
            <w:r w:rsidRPr="00E363D6">
              <w:rPr>
                <w:rFonts w:asciiTheme="minorHAnsi" w:hAnsiTheme="minorHAnsi"/>
                <w:color w:val="000000"/>
                <w:sz w:val="20"/>
                <w:lang w:val="en-US" w:eastAsia="zh-CN"/>
              </w:rPr>
              <w:t>7,200.00</w:t>
            </w:r>
          </w:p>
        </w:tc>
        <w:tc>
          <w:tcPr>
            <w:tcW w:w="1172"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0"/>
                <w:lang w:val="en-US" w:eastAsia="zh-CN"/>
              </w:rPr>
            </w:pPr>
            <w:r w:rsidRPr="00E363D6">
              <w:rPr>
                <w:rFonts w:asciiTheme="minorHAnsi" w:hAnsiTheme="minorHAnsi"/>
                <w:color w:val="000000"/>
                <w:sz w:val="20"/>
                <w:lang w:val="en-US" w:eastAsia="zh-CN"/>
              </w:rPr>
              <w:t>0.00</w:t>
            </w:r>
          </w:p>
        </w:tc>
        <w:tc>
          <w:tcPr>
            <w:tcW w:w="1113"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0"/>
                <w:lang w:val="en-US" w:eastAsia="zh-CN"/>
              </w:rPr>
            </w:pPr>
            <w:r w:rsidRPr="00E363D6">
              <w:rPr>
                <w:rFonts w:asciiTheme="minorHAnsi" w:hAnsiTheme="minorHAnsi"/>
                <w:color w:val="000000"/>
                <w:sz w:val="20"/>
                <w:lang w:val="en-US" w:eastAsia="zh-CN"/>
              </w:rPr>
              <w:t>7,200.00</w:t>
            </w:r>
          </w:p>
        </w:tc>
      </w:tr>
      <w:tr w:rsidR="003B1FBE" w:rsidRPr="003B1FBE" w:rsidTr="0000231C">
        <w:trPr>
          <w:trHeight w:val="257"/>
        </w:trPr>
        <w:tc>
          <w:tcPr>
            <w:tcW w:w="1729" w:type="dxa"/>
            <w:tcBorders>
              <w:top w:val="nil"/>
              <w:left w:val="single" w:sz="4" w:space="0" w:color="auto"/>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olor w:val="000000"/>
                <w:sz w:val="20"/>
                <w:lang w:val="en-US" w:eastAsia="zh-CN"/>
              </w:rPr>
            </w:pPr>
            <w:r w:rsidRPr="00E363D6">
              <w:rPr>
                <w:rFonts w:asciiTheme="minorHAnsi" w:hAnsiTheme="minorHAnsi"/>
                <w:color w:val="000000"/>
                <w:sz w:val="20"/>
                <w:lang w:val="en-US" w:eastAsia="zh-CN"/>
              </w:rPr>
              <w:t>TLC 2006</w:t>
            </w:r>
          </w:p>
        </w:tc>
        <w:tc>
          <w:tcPr>
            <w:tcW w:w="1260"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20"/>
                <w:lang w:val="en-US" w:eastAsia="zh-CN"/>
              </w:rPr>
            </w:pPr>
            <w:r w:rsidRPr="00E363D6">
              <w:rPr>
                <w:rFonts w:asciiTheme="minorHAnsi" w:hAnsiTheme="minorHAnsi" w:cs="Arial"/>
                <w:sz w:val="20"/>
                <w:lang w:val="en-US" w:eastAsia="zh-CN"/>
              </w:rPr>
              <w:t>China</w:t>
            </w:r>
          </w:p>
        </w:tc>
        <w:tc>
          <w:tcPr>
            <w:tcW w:w="2769"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olor w:val="000000"/>
                <w:sz w:val="20"/>
                <w:lang w:val="en-US" w:eastAsia="zh-CN"/>
              </w:rPr>
            </w:pPr>
            <w:r w:rsidRPr="00E363D6">
              <w:rPr>
                <w:rFonts w:asciiTheme="minorHAnsi" w:hAnsiTheme="minorHAnsi"/>
                <w:color w:val="000000"/>
                <w:sz w:val="20"/>
                <w:lang w:val="en-US" w:eastAsia="zh-CN"/>
              </w:rPr>
              <w:t xml:space="preserve">Jiangxi </w:t>
            </w:r>
            <w:proofErr w:type="spellStart"/>
            <w:r w:rsidRPr="00E363D6">
              <w:rPr>
                <w:rFonts w:asciiTheme="minorHAnsi" w:hAnsiTheme="minorHAnsi"/>
                <w:color w:val="000000"/>
                <w:sz w:val="20"/>
                <w:lang w:val="en-US" w:eastAsia="zh-CN"/>
              </w:rPr>
              <w:t>Lianchuang</w:t>
            </w:r>
            <w:proofErr w:type="spellEnd"/>
          </w:p>
        </w:tc>
        <w:tc>
          <w:tcPr>
            <w:tcW w:w="1260"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0"/>
                <w:lang w:val="en-US" w:eastAsia="zh-CN"/>
              </w:rPr>
            </w:pPr>
            <w:r w:rsidRPr="00E363D6">
              <w:rPr>
                <w:rFonts w:asciiTheme="minorHAnsi" w:hAnsiTheme="minorHAnsi"/>
                <w:color w:val="000000"/>
                <w:sz w:val="20"/>
                <w:lang w:val="en-US" w:eastAsia="zh-CN"/>
              </w:rPr>
              <w:t>7,200.00</w:t>
            </w:r>
          </w:p>
        </w:tc>
        <w:tc>
          <w:tcPr>
            <w:tcW w:w="1172"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0"/>
                <w:lang w:val="en-US" w:eastAsia="zh-CN"/>
              </w:rPr>
            </w:pPr>
            <w:r w:rsidRPr="00E363D6">
              <w:rPr>
                <w:rFonts w:asciiTheme="minorHAnsi" w:hAnsiTheme="minorHAnsi"/>
                <w:color w:val="000000"/>
                <w:sz w:val="20"/>
                <w:lang w:val="en-US" w:eastAsia="zh-CN"/>
              </w:rPr>
              <w:t>0.00</w:t>
            </w:r>
          </w:p>
        </w:tc>
        <w:tc>
          <w:tcPr>
            <w:tcW w:w="1113"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0"/>
                <w:lang w:val="en-US" w:eastAsia="zh-CN"/>
              </w:rPr>
            </w:pPr>
            <w:r w:rsidRPr="00E363D6">
              <w:rPr>
                <w:rFonts w:asciiTheme="minorHAnsi" w:hAnsiTheme="minorHAnsi"/>
                <w:color w:val="000000"/>
                <w:sz w:val="20"/>
                <w:lang w:val="en-US" w:eastAsia="zh-CN"/>
              </w:rPr>
              <w:t>7,200.00</w:t>
            </w:r>
          </w:p>
        </w:tc>
      </w:tr>
      <w:tr w:rsidR="003B1FBE" w:rsidRPr="003B1FBE" w:rsidTr="0000231C">
        <w:trPr>
          <w:trHeight w:val="257"/>
        </w:trPr>
        <w:tc>
          <w:tcPr>
            <w:tcW w:w="1729" w:type="dxa"/>
            <w:tcBorders>
              <w:top w:val="nil"/>
              <w:left w:val="single" w:sz="4" w:space="0" w:color="auto"/>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olor w:val="000000"/>
                <w:sz w:val="20"/>
                <w:lang w:val="en-US" w:eastAsia="zh-CN"/>
              </w:rPr>
            </w:pPr>
            <w:r w:rsidRPr="00E363D6">
              <w:rPr>
                <w:rFonts w:asciiTheme="minorHAnsi" w:hAnsiTheme="minorHAnsi"/>
                <w:color w:val="000000"/>
                <w:sz w:val="20"/>
                <w:lang w:val="en-US" w:eastAsia="zh-CN"/>
              </w:rPr>
              <w:t>TLC 2006</w:t>
            </w:r>
          </w:p>
        </w:tc>
        <w:tc>
          <w:tcPr>
            <w:tcW w:w="1260"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20"/>
                <w:lang w:val="en-US" w:eastAsia="zh-CN"/>
              </w:rPr>
            </w:pPr>
            <w:r w:rsidRPr="00E363D6">
              <w:rPr>
                <w:rFonts w:asciiTheme="minorHAnsi" w:hAnsiTheme="minorHAnsi" w:cs="Arial"/>
                <w:sz w:val="20"/>
                <w:lang w:val="en-US" w:eastAsia="zh-CN"/>
              </w:rPr>
              <w:t>China</w:t>
            </w:r>
          </w:p>
        </w:tc>
        <w:tc>
          <w:tcPr>
            <w:tcW w:w="2769"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olor w:val="000000"/>
                <w:sz w:val="20"/>
                <w:lang w:val="en-US" w:eastAsia="zh-CN"/>
              </w:rPr>
            </w:pPr>
            <w:proofErr w:type="spellStart"/>
            <w:r w:rsidRPr="00E363D6">
              <w:rPr>
                <w:rFonts w:asciiTheme="minorHAnsi" w:hAnsiTheme="minorHAnsi"/>
                <w:color w:val="000000"/>
                <w:sz w:val="20"/>
                <w:lang w:val="en-US" w:eastAsia="zh-CN"/>
              </w:rPr>
              <w:t>Naike</w:t>
            </w:r>
            <w:proofErr w:type="spellEnd"/>
            <w:r w:rsidRPr="00E363D6">
              <w:rPr>
                <w:rFonts w:asciiTheme="minorHAnsi" w:hAnsiTheme="minorHAnsi"/>
                <w:color w:val="000000"/>
                <w:sz w:val="20"/>
                <w:lang w:val="en-US" w:eastAsia="zh-CN"/>
              </w:rPr>
              <w:t xml:space="preserve"> (HK) Digital</w:t>
            </w:r>
          </w:p>
        </w:tc>
        <w:tc>
          <w:tcPr>
            <w:tcW w:w="1260"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0"/>
                <w:lang w:val="en-US" w:eastAsia="zh-CN"/>
              </w:rPr>
            </w:pPr>
            <w:r w:rsidRPr="00E363D6">
              <w:rPr>
                <w:rFonts w:asciiTheme="minorHAnsi" w:hAnsiTheme="minorHAnsi"/>
                <w:color w:val="000000"/>
                <w:sz w:val="20"/>
                <w:lang w:val="en-US" w:eastAsia="zh-CN"/>
              </w:rPr>
              <w:t>7,200.00</w:t>
            </w:r>
          </w:p>
        </w:tc>
        <w:tc>
          <w:tcPr>
            <w:tcW w:w="1172"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0"/>
                <w:lang w:val="en-US" w:eastAsia="zh-CN"/>
              </w:rPr>
            </w:pPr>
            <w:r w:rsidRPr="00E363D6">
              <w:rPr>
                <w:rFonts w:asciiTheme="minorHAnsi" w:hAnsiTheme="minorHAnsi"/>
                <w:color w:val="000000"/>
                <w:sz w:val="20"/>
                <w:lang w:val="en-US" w:eastAsia="zh-CN"/>
              </w:rPr>
              <w:t>0.00</w:t>
            </w:r>
          </w:p>
        </w:tc>
        <w:tc>
          <w:tcPr>
            <w:tcW w:w="1113"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0"/>
                <w:lang w:val="en-US" w:eastAsia="zh-CN"/>
              </w:rPr>
            </w:pPr>
            <w:r w:rsidRPr="00E363D6">
              <w:rPr>
                <w:rFonts w:asciiTheme="minorHAnsi" w:hAnsiTheme="minorHAnsi"/>
                <w:color w:val="000000"/>
                <w:sz w:val="20"/>
                <w:lang w:val="en-US" w:eastAsia="zh-CN"/>
              </w:rPr>
              <w:t>7,200.00</w:t>
            </w:r>
          </w:p>
        </w:tc>
      </w:tr>
      <w:tr w:rsidR="003B1FBE" w:rsidRPr="003B1FBE" w:rsidTr="0000231C">
        <w:trPr>
          <w:trHeight w:val="257"/>
        </w:trPr>
        <w:tc>
          <w:tcPr>
            <w:tcW w:w="1729" w:type="dxa"/>
            <w:tcBorders>
              <w:top w:val="nil"/>
              <w:left w:val="single" w:sz="4" w:space="0" w:color="auto"/>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olor w:val="000000"/>
                <w:sz w:val="20"/>
                <w:lang w:val="en-US" w:eastAsia="zh-CN"/>
              </w:rPr>
            </w:pPr>
            <w:r w:rsidRPr="00E363D6">
              <w:rPr>
                <w:rFonts w:asciiTheme="minorHAnsi" w:hAnsiTheme="minorHAnsi"/>
                <w:color w:val="000000"/>
                <w:sz w:val="20"/>
                <w:lang w:val="en-US" w:eastAsia="zh-CN"/>
              </w:rPr>
              <w:t>TLC 2006</w:t>
            </w:r>
          </w:p>
        </w:tc>
        <w:tc>
          <w:tcPr>
            <w:tcW w:w="1260"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20"/>
                <w:lang w:val="en-US" w:eastAsia="zh-CN"/>
              </w:rPr>
            </w:pPr>
            <w:r w:rsidRPr="00E363D6">
              <w:rPr>
                <w:rFonts w:asciiTheme="minorHAnsi" w:hAnsiTheme="minorHAnsi" w:cs="Arial"/>
                <w:sz w:val="20"/>
                <w:lang w:val="en-US" w:eastAsia="zh-CN"/>
              </w:rPr>
              <w:t>China</w:t>
            </w:r>
          </w:p>
        </w:tc>
        <w:tc>
          <w:tcPr>
            <w:tcW w:w="2769"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olor w:val="000000"/>
                <w:sz w:val="20"/>
                <w:lang w:val="en-US" w:eastAsia="zh-CN"/>
              </w:rPr>
            </w:pPr>
            <w:r w:rsidRPr="00E363D6">
              <w:rPr>
                <w:rFonts w:asciiTheme="minorHAnsi" w:hAnsiTheme="minorHAnsi"/>
                <w:color w:val="000000"/>
                <w:sz w:val="20"/>
                <w:lang w:val="en-US" w:eastAsia="zh-CN"/>
              </w:rPr>
              <w:t xml:space="preserve">Shenzhen </w:t>
            </w:r>
            <w:proofErr w:type="spellStart"/>
            <w:r w:rsidRPr="00E363D6">
              <w:rPr>
                <w:rFonts w:asciiTheme="minorHAnsi" w:hAnsiTheme="minorHAnsi"/>
                <w:color w:val="000000"/>
                <w:sz w:val="20"/>
                <w:lang w:val="en-US" w:eastAsia="zh-CN"/>
              </w:rPr>
              <w:t>Orea</w:t>
            </w:r>
            <w:proofErr w:type="spellEnd"/>
            <w:r w:rsidRPr="00E363D6">
              <w:rPr>
                <w:rFonts w:asciiTheme="minorHAnsi" w:hAnsiTheme="minorHAnsi"/>
                <w:color w:val="000000"/>
                <w:sz w:val="20"/>
                <w:lang w:val="en-US" w:eastAsia="zh-CN"/>
              </w:rPr>
              <w:t xml:space="preserve"> Design</w:t>
            </w:r>
          </w:p>
        </w:tc>
        <w:tc>
          <w:tcPr>
            <w:tcW w:w="1260"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0"/>
                <w:lang w:val="en-US" w:eastAsia="zh-CN"/>
              </w:rPr>
            </w:pPr>
            <w:r w:rsidRPr="00E363D6">
              <w:rPr>
                <w:rFonts w:asciiTheme="minorHAnsi" w:hAnsiTheme="minorHAnsi"/>
                <w:color w:val="000000"/>
                <w:sz w:val="20"/>
                <w:lang w:val="en-US" w:eastAsia="zh-CN"/>
              </w:rPr>
              <w:t>3,600.00</w:t>
            </w:r>
          </w:p>
        </w:tc>
        <w:tc>
          <w:tcPr>
            <w:tcW w:w="1172"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0"/>
                <w:lang w:val="en-US" w:eastAsia="zh-CN"/>
              </w:rPr>
            </w:pPr>
            <w:r w:rsidRPr="00E363D6">
              <w:rPr>
                <w:rFonts w:asciiTheme="minorHAnsi" w:hAnsiTheme="minorHAnsi"/>
                <w:color w:val="000000"/>
                <w:sz w:val="20"/>
                <w:lang w:val="en-US" w:eastAsia="zh-CN"/>
              </w:rPr>
              <w:t>0.00</w:t>
            </w:r>
          </w:p>
        </w:tc>
        <w:tc>
          <w:tcPr>
            <w:tcW w:w="1113"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0"/>
                <w:lang w:val="en-US" w:eastAsia="zh-CN"/>
              </w:rPr>
            </w:pPr>
            <w:r w:rsidRPr="00E363D6">
              <w:rPr>
                <w:rFonts w:asciiTheme="minorHAnsi" w:hAnsiTheme="minorHAnsi"/>
                <w:color w:val="000000"/>
                <w:sz w:val="20"/>
                <w:lang w:val="en-US" w:eastAsia="zh-CN"/>
              </w:rPr>
              <w:t>3,600.00</w:t>
            </w:r>
          </w:p>
        </w:tc>
      </w:tr>
      <w:tr w:rsidR="003B1FBE" w:rsidRPr="003B1FBE" w:rsidTr="0000231C">
        <w:trPr>
          <w:trHeight w:val="257"/>
        </w:trPr>
        <w:tc>
          <w:tcPr>
            <w:tcW w:w="1729" w:type="dxa"/>
            <w:tcBorders>
              <w:top w:val="nil"/>
              <w:left w:val="single" w:sz="4" w:space="0" w:color="auto"/>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olor w:val="000000"/>
                <w:sz w:val="20"/>
                <w:lang w:val="en-US" w:eastAsia="zh-CN"/>
              </w:rPr>
            </w:pPr>
            <w:r w:rsidRPr="00E363D6">
              <w:rPr>
                <w:rFonts w:asciiTheme="minorHAnsi" w:hAnsiTheme="minorHAnsi"/>
                <w:color w:val="000000"/>
                <w:sz w:val="20"/>
                <w:lang w:val="en-US" w:eastAsia="zh-CN"/>
              </w:rPr>
              <w:t>TLC 2006</w:t>
            </w:r>
          </w:p>
        </w:tc>
        <w:tc>
          <w:tcPr>
            <w:tcW w:w="1260"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20"/>
                <w:lang w:val="en-US" w:eastAsia="zh-CN"/>
              </w:rPr>
            </w:pPr>
            <w:r w:rsidRPr="00E363D6">
              <w:rPr>
                <w:rFonts w:asciiTheme="minorHAnsi" w:hAnsiTheme="minorHAnsi" w:cs="Arial"/>
                <w:sz w:val="20"/>
                <w:lang w:val="en-US" w:eastAsia="zh-CN"/>
              </w:rPr>
              <w:t>China</w:t>
            </w:r>
          </w:p>
        </w:tc>
        <w:tc>
          <w:tcPr>
            <w:tcW w:w="2769"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olor w:val="000000"/>
                <w:sz w:val="20"/>
                <w:lang w:val="en-US" w:eastAsia="zh-CN"/>
              </w:rPr>
            </w:pPr>
            <w:proofErr w:type="spellStart"/>
            <w:r w:rsidRPr="00E363D6">
              <w:rPr>
                <w:rFonts w:asciiTheme="minorHAnsi" w:hAnsiTheme="minorHAnsi"/>
                <w:color w:val="000000"/>
                <w:sz w:val="20"/>
                <w:lang w:val="en-US" w:eastAsia="zh-CN"/>
              </w:rPr>
              <w:t>Sipnovo</w:t>
            </w:r>
            <w:proofErr w:type="spellEnd"/>
          </w:p>
        </w:tc>
        <w:tc>
          <w:tcPr>
            <w:tcW w:w="1260"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0"/>
                <w:lang w:val="en-US" w:eastAsia="zh-CN"/>
              </w:rPr>
            </w:pPr>
            <w:r w:rsidRPr="00E363D6">
              <w:rPr>
                <w:rFonts w:asciiTheme="minorHAnsi" w:hAnsiTheme="minorHAnsi"/>
                <w:color w:val="000000"/>
                <w:sz w:val="20"/>
                <w:lang w:val="en-US" w:eastAsia="zh-CN"/>
              </w:rPr>
              <w:t>7,200.00</w:t>
            </w:r>
          </w:p>
        </w:tc>
        <w:tc>
          <w:tcPr>
            <w:tcW w:w="1172"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0"/>
                <w:lang w:val="en-US" w:eastAsia="zh-CN"/>
              </w:rPr>
            </w:pPr>
            <w:r w:rsidRPr="00E363D6">
              <w:rPr>
                <w:rFonts w:asciiTheme="minorHAnsi" w:hAnsiTheme="minorHAnsi"/>
                <w:color w:val="000000"/>
                <w:sz w:val="20"/>
                <w:lang w:val="en-US" w:eastAsia="zh-CN"/>
              </w:rPr>
              <w:t>0.00</w:t>
            </w:r>
          </w:p>
        </w:tc>
        <w:tc>
          <w:tcPr>
            <w:tcW w:w="1113"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0"/>
                <w:lang w:val="en-US" w:eastAsia="zh-CN"/>
              </w:rPr>
            </w:pPr>
            <w:r w:rsidRPr="00E363D6">
              <w:rPr>
                <w:rFonts w:asciiTheme="minorHAnsi" w:hAnsiTheme="minorHAnsi"/>
                <w:color w:val="000000"/>
                <w:sz w:val="20"/>
                <w:lang w:val="en-US" w:eastAsia="zh-CN"/>
              </w:rPr>
              <w:t>7,200.00</w:t>
            </w:r>
          </w:p>
        </w:tc>
      </w:tr>
      <w:tr w:rsidR="003B1FBE" w:rsidRPr="003B1FBE" w:rsidTr="0000231C">
        <w:trPr>
          <w:trHeight w:val="257"/>
        </w:trPr>
        <w:tc>
          <w:tcPr>
            <w:tcW w:w="1729" w:type="dxa"/>
            <w:tcBorders>
              <w:top w:val="nil"/>
              <w:left w:val="single" w:sz="4" w:space="0" w:color="auto"/>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olor w:val="000000"/>
                <w:sz w:val="20"/>
                <w:lang w:val="en-US" w:eastAsia="zh-CN"/>
              </w:rPr>
            </w:pPr>
            <w:r w:rsidRPr="00E363D6">
              <w:rPr>
                <w:rFonts w:asciiTheme="minorHAnsi" w:hAnsiTheme="minorHAnsi"/>
                <w:color w:val="000000"/>
                <w:sz w:val="20"/>
                <w:lang w:val="en-US" w:eastAsia="zh-CN"/>
              </w:rPr>
              <w:t>TLC 2006</w:t>
            </w:r>
          </w:p>
        </w:tc>
        <w:tc>
          <w:tcPr>
            <w:tcW w:w="1260"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20"/>
                <w:lang w:val="en-US" w:eastAsia="zh-CN"/>
              </w:rPr>
            </w:pPr>
            <w:r w:rsidRPr="00E363D6">
              <w:rPr>
                <w:rFonts w:asciiTheme="minorHAnsi" w:hAnsiTheme="minorHAnsi" w:cs="Arial"/>
                <w:sz w:val="20"/>
                <w:lang w:val="en-US" w:eastAsia="zh-CN"/>
              </w:rPr>
              <w:t>China</w:t>
            </w:r>
          </w:p>
        </w:tc>
        <w:tc>
          <w:tcPr>
            <w:tcW w:w="2769"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olor w:val="000000"/>
                <w:sz w:val="20"/>
                <w:lang w:val="en-US" w:eastAsia="zh-CN"/>
              </w:rPr>
            </w:pPr>
            <w:r w:rsidRPr="00E363D6">
              <w:rPr>
                <w:rFonts w:asciiTheme="minorHAnsi" w:hAnsiTheme="minorHAnsi"/>
                <w:color w:val="000000"/>
                <w:sz w:val="20"/>
                <w:lang w:val="en-US" w:eastAsia="zh-CN"/>
              </w:rPr>
              <w:t>Tiger NetCom</w:t>
            </w:r>
          </w:p>
        </w:tc>
        <w:tc>
          <w:tcPr>
            <w:tcW w:w="1260"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0"/>
                <w:lang w:val="en-US" w:eastAsia="zh-CN"/>
              </w:rPr>
            </w:pPr>
            <w:r w:rsidRPr="00E363D6">
              <w:rPr>
                <w:rFonts w:asciiTheme="minorHAnsi" w:hAnsiTheme="minorHAnsi"/>
                <w:color w:val="000000"/>
                <w:sz w:val="20"/>
                <w:lang w:val="en-US" w:eastAsia="zh-CN"/>
              </w:rPr>
              <w:t>3,150.00</w:t>
            </w:r>
          </w:p>
        </w:tc>
        <w:tc>
          <w:tcPr>
            <w:tcW w:w="1172"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0"/>
                <w:lang w:val="en-US" w:eastAsia="zh-CN"/>
              </w:rPr>
            </w:pPr>
            <w:r w:rsidRPr="00E363D6">
              <w:rPr>
                <w:rFonts w:asciiTheme="minorHAnsi" w:hAnsiTheme="minorHAnsi"/>
                <w:color w:val="000000"/>
                <w:sz w:val="20"/>
                <w:lang w:val="en-US" w:eastAsia="zh-CN"/>
              </w:rPr>
              <w:t>0.00</w:t>
            </w:r>
          </w:p>
        </w:tc>
        <w:tc>
          <w:tcPr>
            <w:tcW w:w="1113"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0"/>
                <w:lang w:val="en-US" w:eastAsia="zh-CN"/>
              </w:rPr>
            </w:pPr>
            <w:r w:rsidRPr="00E363D6">
              <w:rPr>
                <w:rFonts w:asciiTheme="minorHAnsi" w:hAnsiTheme="minorHAnsi"/>
                <w:color w:val="000000"/>
                <w:sz w:val="20"/>
                <w:lang w:val="en-US" w:eastAsia="zh-CN"/>
              </w:rPr>
              <w:t>3,150.00</w:t>
            </w:r>
          </w:p>
        </w:tc>
      </w:tr>
      <w:tr w:rsidR="003B1FBE" w:rsidRPr="003B1FBE" w:rsidTr="0000231C">
        <w:trPr>
          <w:trHeight w:val="257"/>
        </w:trPr>
        <w:tc>
          <w:tcPr>
            <w:tcW w:w="1729" w:type="dxa"/>
            <w:tcBorders>
              <w:top w:val="nil"/>
              <w:left w:val="single" w:sz="4" w:space="0" w:color="auto"/>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olor w:val="000000"/>
                <w:sz w:val="20"/>
                <w:lang w:val="en-US" w:eastAsia="zh-CN"/>
              </w:rPr>
            </w:pPr>
            <w:r w:rsidRPr="00E363D6">
              <w:rPr>
                <w:rFonts w:asciiTheme="minorHAnsi" w:hAnsiTheme="minorHAnsi"/>
                <w:color w:val="000000"/>
                <w:sz w:val="20"/>
                <w:lang w:val="en-US" w:eastAsia="zh-CN"/>
              </w:rPr>
              <w:t>TLC 2006</w:t>
            </w:r>
          </w:p>
        </w:tc>
        <w:tc>
          <w:tcPr>
            <w:tcW w:w="1260"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20"/>
                <w:lang w:val="en-US" w:eastAsia="zh-CN"/>
              </w:rPr>
            </w:pPr>
            <w:r w:rsidRPr="00E363D6">
              <w:rPr>
                <w:rFonts w:asciiTheme="minorHAnsi" w:hAnsiTheme="minorHAnsi" w:cs="Arial"/>
                <w:sz w:val="20"/>
                <w:lang w:val="en-US" w:eastAsia="zh-CN"/>
              </w:rPr>
              <w:t>China</w:t>
            </w:r>
          </w:p>
        </w:tc>
        <w:tc>
          <w:tcPr>
            <w:tcW w:w="2769"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olor w:val="000000"/>
                <w:sz w:val="20"/>
                <w:lang w:val="en-US" w:eastAsia="zh-CN"/>
              </w:rPr>
            </w:pPr>
            <w:proofErr w:type="spellStart"/>
            <w:r w:rsidRPr="00E363D6">
              <w:rPr>
                <w:rFonts w:asciiTheme="minorHAnsi" w:hAnsiTheme="minorHAnsi"/>
                <w:color w:val="000000"/>
                <w:sz w:val="20"/>
                <w:lang w:val="en-US" w:eastAsia="zh-CN"/>
              </w:rPr>
              <w:t>Vapel</w:t>
            </w:r>
            <w:proofErr w:type="spellEnd"/>
            <w:r w:rsidRPr="00E363D6">
              <w:rPr>
                <w:rFonts w:asciiTheme="minorHAnsi" w:hAnsiTheme="minorHAnsi"/>
                <w:color w:val="000000"/>
                <w:sz w:val="20"/>
                <w:lang w:val="en-US" w:eastAsia="zh-CN"/>
              </w:rPr>
              <w:t xml:space="preserve"> Power</w:t>
            </w:r>
          </w:p>
        </w:tc>
        <w:tc>
          <w:tcPr>
            <w:tcW w:w="1260"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0"/>
                <w:lang w:val="en-US" w:eastAsia="zh-CN"/>
              </w:rPr>
            </w:pPr>
            <w:r w:rsidRPr="00E363D6">
              <w:rPr>
                <w:rFonts w:asciiTheme="minorHAnsi" w:hAnsiTheme="minorHAnsi"/>
                <w:color w:val="000000"/>
                <w:sz w:val="20"/>
                <w:lang w:val="en-US" w:eastAsia="zh-CN"/>
              </w:rPr>
              <w:t>4,800.00</w:t>
            </w:r>
          </w:p>
        </w:tc>
        <w:tc>
          <w:tcPr>
            <w:tcW w:w="1172"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0"/>
                <w:lang w:val="en-US" w:eastAsia="zh-CN"/>
              </w:rPr>
            </w:pPr>
            <w:r w:rsidRPr="00E363D6">
              <w:rPr>
                <w:rFonts w:asciiTheme="minorHAnsi" w:hAnsiTheme="minorHAnsi"/>
                <w:color w:val="000000"/>
                <w:sz w:val="20"/>
                <w:lang w:val="en-US" w:eastAsia="zh-CN"/>
              </w:rPr>
              <w:t>0.00</w:t>
            </w:r>
          </w:p>
        </w:tc>
        <w:tc>
          <w:tcPr>
            <w:tcW w:w="1113"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0"/>
                <w:lang w:val="en-US" w:eastAsia="zh-CN"/>
              </w:rPr>
            </w:pPr>
            <w:r w:rsidRPr="00E363D6">
              <w:rPr>
                <w:rFonts w:asciiTheme="minorHAnsi" w:hAnsiTheme="minorHAnsi"/>
                <w:color w:val="000000"/>
                <w:sz w:val="20"/>
                <w:lang w:val="en-US" w:eastAsia="zh-CN"/>
              </w:rPr>
              <w:t>4,800.00</w:t>
            </w:r>
          </w:p>
        </w:tc>
      </w:tr>
      <w:tr w:rsidR="003B1FBE" w:rsidRPr="003B1FBE" w:rsidTr="0000231C">
        <w:trPr>
          <w:trHeight w:val="257"/>
        </w:trPr>
        <w:tc>
          <w:tcPr>
            <w:tcW w:w="1729" w:type="dxa"/>
            <w:tcBorders>
              <w:top w:val="nil"/>
              <w:left w:val="single" w:sz="4" w:space="0" w:color="auto"/>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olor w:val="000000"/>
                <w:sz w:val="20"/>
                <w:lang w:val="en-US" w:eastAsia="zh-CN"/>
              </w:rPr>
            </w:pPr>
            <w:r w:rsidRPr="00E363D6">
              <w:rPr>
                <w:rFonts w:asciiTheme="minorHAnsi" w:hAnsiTheme="minorHAnsi"/>
                <w:color w:val="000000"/>
                <w:sz w:val="20"/>
                <w:lang w:val="en-US" w:eastAsia="zh-CN"/>
              </w:rPr>
              <w:t> </w:t>
            </w:r>
          </w:p>
        </w:tc>
        <w:tc>
          <w:tcPr>
            <w:tcW w:w="1260"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olor w:val="000000"/>
                <w:sz w:val="20"/>
                <w:lang w:val="en-US" w:eastAsia="zh-CN"/>
              </w:rPr>
            </w:pPr>
            <w:r w:rsidRPr="00E363D6">
              <w:rPr>
                <w:rFonts w:asciiTheme="minorHAnsi" w:hAnsiTheme="minorHAnsi"/>
                <w:color w:val="000000"/>
                <w:sz w:val="20"/>
                <w:lang w:val="en-US" w:eastAsia="zh-CN"/>
              </w:rPr>
              <w:t> </w:t>
            </w:r>
          </w:p>
        </w:tc>
        <w:tc>
          <w:tcPr>
            <w:tcW w:w="2769"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olor w:val="000000"/>
                <w:sz w:val="20"/>
                <w:lang w:val="en-US" w:eastAsia="zh-CN"/>
              </w:rPr>
            </w:pPr>
            <w:r w:rsidRPr="00E363D6">
              <w:rPr>
                <w:rFonts w:asciiTheme="minorHAnsi" w:hAnsiTheme="minorHAnsi"/>
                <w:color w:val="000000"/>
                <w:sz w:val="20"/>
                <w:lang w:val="en-US" w:eastAsia="zh-CN"/>
              </w:rPr>
              <w:t> </w:t>
            </w:r>
          </w:p>
        </w:tc>
        <w:tc>
          <w:tcPr>
            <w:tcW w:w="1260"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olor w:val="000000"/>
                <w:sz w:val="20"/>
                <w:lang w:val="en-US" w:eastAsia="zh-CN"/>
              </w:rPr>
            </w:pPr>
            <w:r w:rsidRPr="00E363D6">
              <w:rPr>
                <w:rFonts w:asciiTheme="minorHAnsi" w:hAnsiTheme="minorHAnsi"/>
                <w:color w:val="000000"/>
                <w:sz w:val="20"/>
                <w:lang w:val="en-US" w:eastAsia="zh-CN"/>
              </w:rPr>
              <w:t> </w:t>
            </w:r>
          </w:p>
        </w:tc>
        <w:tc>
          <w:tcPr>
            <w:tcW w:w="1172"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olor w:val="000000"/>
                <w:sz w:val="20"/>
                <w:lang w:val="en-US" w:eastAsia="zh-CN"/>
              </w:rPr>
            </w:pPr>
            <w:r w:rsidRPr="00E363D6">
              <w:rPr>
                <w:rFonts w:asciiTheme="minorHAnsi" w:hAnsiTheme="minorHAnsi"/>
                <w:color w:val="000000"/>
                <w:sz w:val="20"/>
                <w:lang w:val="en-US" w:eastAsia="zh-CN"/>
              </w:rPr>
              <w:t> </w:t>
            </w:r>
          </w:p>
        </w:tc>
        <w:tc>
          <w:tcPr>
            <w:tcW w:w="1113"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olor w:val="000000"/>
                <w:sz w:val="20"/>
                <w:lang w:val="en-US" w:eastAsia="zh-CN"/>
              </w:rPr>
            </w:pPr>
            <w:r w:rsidRPr="00E363D6">
              <w:rPr>
                <w:rFonts w:asciiTheme="minorHAnsi" w:hAnsiTheme="minorHAnsi"/>
                <w:color w:val="000000"/>
                <w:sz w:val="20"/>
                <w:lang w:val="en-US" w:eastAsia="zh-CN"/>
              </w:rPr>
              <w:t> </w:t>
            </w:r>
          </w:p>
        </w:tc>
      </w:tr>
      <w:tr w:rsidR="003B1FBE" w:rsidRPr="003B1FBE" w:rsidTr="0000231C">
        <w:trPr>
          <w:trHeight w:val="257"/>
        </w:trPr>
        <w:tc>
          <w:tcPr>
            <w:tcW w:w="1729" w:type="dxa"/>
            <w:tcBorders>
              <w:top w:val="nil"/>
              <w:left w:val="single" w:sz="4" w:space="0" w:color="auto"/>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20"/>
                <w:lang w:val="en-US" w:eastAsia="zh-CN"/>
              </w:rPr>
            </w:pPr>
            <w:r w:rsidRPr="00E363D6">
              <w:rPr>
                <w:rFonts w:asciiTheme="minorHAnsi" w:hAnsiTheme="minorHAnsi" w:cs="Arial"/>
                <w:b/>
                <w:bCs/>
                <w:sz w:val="20"/>
                <w:lang w:val="en-US" w:eastAsia="zh-CN"/>
              </w:rPr>
              <w:t>TLC 2006</w:t>
            </w:r>
          </w:p>
        </w:tc>
        <w:tc>
          <w:tcPr>
            <w:tcW w:w="1260"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olor w:val="000000"/>
                <w:sz w:val="20"/>
                <w:lang w:val="en-US" w:eastAsia="zh-CN"/>
              </w:rPr>
            </w:pPr>
            <w:r w:rsidRPr="00E363D6">
              <w:rPr>
                <w:rFonts w:asciiTheme="minorHAnsi" w:hAnsiTheme="minorHAnsi"/>
                <w:color w:val="000000"/>
                <w:sz w:val="20"/>
                <w:lang w:val="en-US" w:eastAsia="zh-CN"/>
              </w:rPr>
              <w:t> </w:t>
            </w:r>
          </w:p>
        </w:tc>
        <w:tc>
          <w:tcPr>
            <w:tcW w:w="2769"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olor w:val="000000"/>
                <w:sz w:val="20"/>
                <w:lang w:val="en-US" w:eastAsia="zh-CN"/>
              </w:rPr>
            </w:pPr>
            <w:r w:rsidRPr="00E363D6">
              <w:rPr>
                <w:rFonts w:asciiTheme="minorHAnsi" w:hAnsiTheme="minorHAnsi"/>
                <w:color w:val="000000"/>
                <w:sz w:val="20"/>
                <w:lang w:val="en-US" w:eastAsia="zh-CN"/>
              </w:rPr>
              <w:t> </w:t>
            </w:r>
          </w:p>
        </w:tc>
        <w:tc>
          <w:tcPr>
            <w:tcW w:w="1260"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olor w:val="000000"/>
                <w:sz w:val="20"/>
                <w:lang w:val="en-US" w:eastAsia="zh-CN"/>
              </w:rPr>
            </w:pPr>
            <w:r w:rsidRPr="00E363D6">
              <w:rPr>
                <w:rFonts w:asciiTheme="minorHAnsi" w:hAnsiTheme="minorHAnsi"/>
                <w:color w:val="000000"/>
                <w:sz w:val="20"/>
                <w:lang w:val="en-US" w:eastAsia="zh-CN"/>
              </w:rPr>
              <w:t> </w:t>
            </w:r>
          </w:p>
        </w:tc>
        <w:tc>
          <w:tcPr>
            <w:tcW w:w="1172"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sz w:val="20"/>
                <w:lang w:val="en-US" w:eastAsia="zh-CN"/>
              </w:rPr>
            </w:pPr>
            <w:r w:rsidRPr="00E363D6">
              <w:rPr>
                <w:rFonts w:asciiTheme="minorHAnsi" w:hAnsiTheme="minorHAnsi" w:cs="Arial"/>
                <w:b/>
                <w:bCs/>
                <w:sz w:val="20"/>
                <w:lang w:val="en-US" w:eastAsia="zh-CN"/>
              </w:rPr>
              <w:t> </w:t>
            </w:r>
          </w:p>
        </w:tc>
        <w:tc>
          <w:tcPr>
            <w:tcW w:w="1113"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20"/>
                <w:lang w:val="en-US" w:eastAsia="zh-CN"/>
              </w:rPr>
            </w:pPr>
            <w:r w:rsidRPr="00E363D6">
              <w:rPr>
                <w:rFonts w:asciiTheme="minorHAnsi" w:hAnsiTheme="minorHAnsi" w:cs="Arial"/>
                <w:b/>
                <w:bCs/>
                <w:sz w:val="20"/>
                <w:lang w:val="en-US" w:eastAsia="zh-CN"/>
              </w:rPr>
              <w:t>40,750.00</w:t>
            </w:r>
          </w:p>
        </w:tc>
      </w:tr>
    </w:tbl>
    <w:p w:rsidR="006D0B03" w:rsidRDefault="006D0B03"/>
    <w:tbl>
      <w:tblPr>
        <w:tblW w:w="9303" w:type="dxa"/>
        <w:tblInd w:w="562" w:type="dxa"/>
        <w:tblLook w:val="04A0" w:firstRow="1" w:lastRow="0" w:firstColumn="1" w:lastColumn="0" w:noHBand="0" w:noVBand="1"/>
      </w:tblPr>
      <w:tblGrid>
        <w:gridCol w:w="1729"/>
        <w:gridCol w:w="1260"/>
        <w:gridCol w:w="2769"/>
        <w:gridCol w:w="1260"/>
        <w:gridCol w:w="1172"/>
        <w:gridCol w:w="1113"/>
      </w:tblGrid>
      <w:tr w:rsidR="003B1FBE" w:rsidRPr="003B1FBE" w:rsidTr="0000231C">
        <w:trPr>
          <w:trHeight w:val="437"/>
        </w:trPr>
        <w:tc>
          <w:tcPr>
            <w:tcW w:w="1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20"/>
                <w:lang w:val="en-US" w:eastAsia="zh-CN"/>
              </w:rPr>
            </w:pPr>
            <w:r w:rsidRPr="00E363D6">
              <w:rPr>
                <w:rFonts w:asciiTheme="minorHAnsi" w:hAnsiTheme="minorHAnsi" w:cs="Arial"/>
                <w:b/>
                <w:bCs/>
                <w:sz w:val="20"/>
                <w:lang w:val="en-US" w:eastAsia="zh-CN"/>
              </w:rPr>
              <w:t>Event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20"/>
                <w:lang w:val="en-US" w:eastAsia="zh-CN"/>
              </w:rPr>
            </w:pPr>
            <w:r w:rsidRPr="00E363D6">
              <w:rPr>
                <w:rFonts w:asciiTheme="minorHAnsi" w:hAnsiTheme="minorHAnsi" w:cs="Arial"/>
                <w:b/>
                <w:bCs/>
                <w:sz w:val="20"/>
                <w:lang w:val="en-US" w:eastAsia="zh-CN"/>
              </w:rPr>
              <w:t>Country</w:t>
            </w:r>
          </w:p>
        </w:tc>
        <w:tc>
          <w:tcPr>
            <w:tcW w:w="2769" w:type="dxa"/>
            <w:tcBorders>
              <w:top w:val="single" w:sz="4" w:space="0" w:color="auto"/>
              <w:left w:val="nil"/>
              <w:bottom w:val="single" w:sz="4" w:space="0" w:color="auto"/>
              <w:right w:val="single" w:sz="4" w:space="0" w:color="auto"/>
            </w:tcBorders>
            <w:shd w:val="clear" w:color="auto" w:fill="auto"/>
            <w:vAlign w:val="center"/>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20"/>
                <w:lang w:val="en-US" w:eastAsia="zh-CN"/>
              </w:rPr>
            </w:pPr>
            <w:r w:rsidRPr="00E363D6">
              <w:rPr>
                <w:rFonts w:asciiTheme="minorHAnsi" w:hAnsiTheme="minorHAnsi" w:cs="Arial"/>
                <w:b/>
                <w:bCs/>
                <w:sz w:val="20"/>
                <w:lang w:val="en-US" w:eastAsia="zh-CN"/>
              </w:rPr>
              <w:t>Company</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20"/>
                <w:lang w:val="en-US" w:eastAsia="zh-CN"/>
              </w:rPr>
            </w:pPr>
            <w:r w:rsidRPr="00E363D6">
              <w:rPr>
                <w:rFonts w:asciiTheme="minorHAnsi" w:hAnsiTheme="minorHAnsi" w:cs="Arial"/>
                <w:b/>
                <w:bCs/>
                <w:sz w:val="20"/>
                <w:lang w:val="en-US" w:eastAsia="zh-CN"/>
              </w:rPr>
              <w:t>Amount invoiced</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20"/>
                <w:lang w:val="en-US" w:eastAsia="zh-CN"/>
              </w:rPr>
            </w:pPr>
            <w:r w:rsidRPr="00E363D6">
              <w:rPr>
                <w:rFonts w:asciiTheme="minorHAnsi" w:hAnsiTheme="minorHAnsi" w:cs="Arial"/>
                <w:b/>
                <w:bCs/>
                <w:sz w:val="20"/>
                <w:lang w:val="en-US" w:eastAsia="zh-CN"/>
              </w:rPr>
              <w:t>Payment received</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20"/>
                <w:lang w:val="en-US" w:eastAsia="zh-CN"/>
              </w:rPr>
            </w:pPr>
            <w:r w:rsidRPr="00E363D6">
              <w:rPr>
                <w:rFonts w:asciiTheme="minorHAnsi" w:hAnsiTheme="minorHAnsi" w:cs="Arial"/>
                <w:b/>
                <w:bCs/>
                <w:sz w:val="20"/>
                <w:lang w:val="en-US" w:eastAsia="zh-CN"/>
              </w:rPr>
              <w:t>Balance due</w:t>
            </w:r>
          </w:p>
        </w:tc>
      </w:tr>
      <w:tr w:rsidR="003B1FBE" w:rsidRPr="003B1FBE" w:rsidTr="0000231C">
        <w:trPr>
          <w:trHeight w:val="257"/>
        </w:trPr>
        <w:tc>
          <w:tcPr>
            <w:tcW w:w="1729" w:type="dxa"/>
            <w:tcBorders>
              <w:top w:val="nil"/>
              <w:left w:val="single" w:sz="4" w:space="0" w:color="auto"/>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20"/>
                <w:lang w:val="en-US" w:eastAsia="zh-CN"/>
              </w:rPr>
            </w:pPr>
            <w:r w:rsidRPr="00E363D6">
              <w:rPr>
                <w:rFonts w:asciiTheme="minorHAnsi" w:hAnsiTheme="minorHAnsi" w:cs="Arial"/>
                <w:b/>
                <w:bCs/>
                <w:sz w:val="20"/>
                <w:lang w:val="en-US" w:eastAsia="zh-CN"/>
              </w:rPr>
              <w:t> </w:t>
            </w:r>
          </w:p>
        </w:tc>
        <w:tc>
          <w:tcPr>
            <w:tcW w:w="1260"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20"/>
                <w:lang w:val="en-US" w:eastAsia="zh-CN"/>
              </w:rPr>
            </w:pPr>
            <w:r w:rsidRPr="00E363D6">
              <w:rPr>
                <w:rFonts w:asciiTheme="minorHAnsi" w:hAnsiTheme="minorHAnsi" w:cs="Arial"/>
                <w:b/>
                <w:bCs/>
                <w:sz w:val="20"/>
                <w:lang w:val="en-US" w:eastAsia="zh-CN"/>
              </w:rPr>
              <w:t> </w:t>
            </w:r>
          </w:p>
        </w:tc>
        <w:tc>
          <w:tcPr>
            <w:tcW w:w="2769"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sz w:val="20"/>
                <w:lang w:val="en-US" w:eastAsia="zh-CN"/>
              </w:rPr>
            </w:pPr>
            <w:r w:rsidRPr="00E363D6">
              <w:rPr>
                <w:rFonts w:asciiTheme="minorHAnsi" w:hAnsiTheme="minorHAnsi" w:cs="Arial"/>
                <w:sz w:val="20"/>
                <w:lang w:val="en-US" w:eastAsia="zh-CN"/>
              </w:rPr>
              <w:t> </w:t>
            </w:r>
          </w:p>
        </w:tc>
        <w:tc>
          <w:tcPr>
            <w:tcW w:w="1260"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sz w:val="20"/>
                <w:lang w:val="en-US" w:eastAsia="zh-CN"/>
              </w:rPr>
            </w:pPr>
            <w:r w:rsidRPr="00E363D6">
              <w:rPr>
                <w:rFonts w:asciiTheme="minorHAnsi" w:hAnsiTheme="minorHAnsi" w:cs="Arial"/>
                <w:sz w:val="20"/>
                <w:lang w:val="en-US" w:eastAsia="zh-CN"/>
              </w:rPr>
              <w:t> </w:t>
            </w:r>
          </w:p>
        </w:tc>
        <w:tc>
          <w:tcPr>
            <w:tcW w:w="1172"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sz w:val="20"/>
                <w:lang w:val="en-US" w:eastAsia="zh-CN"/>
              </w:rPr>
            </w:pPr>
            <w:r w:rsidRPr="00E363D6">
              <w:rPr>
                <w:rFonts w:asciiTheme="minorHAnsi" w:hAnsiTheme="minorHAnsi" w:cs="Arial"/>
                <w:sz w:val="20"/>
                <w:lang w:val="en-US" w:eastAsia="zh-CN"/>
              </w:rPr>
              <w:t> </w:t>
            </w:r>
          </w:p>
        </w:tc>
        <w:tc>
          <w:tcPr>
            <w:tcW w:w="1113"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sz w:val="20"/>
                <w:lang w:val="en-US" w:eastAsia="zh-CN"/>
              </w:rPr>
            </w:pPr>
            <w:r w:rsidRPr="00E363D6">
              <w:rPr>
                <w:rFonts w:asciiTheme="minorHAnsi" w:hAnsiTheme="minorHAnsi" w:cs="Arial"/>
                <w:sz w:val="20"/>
                <w:lang w:val="en-US" w:eastAsia="zh-CN"/>
              </w:rPr>
              <w:t> </w:t>
            </w:r>
          </w:p>
        </w:tc>
      </w:tr>
      <w:tr w:rsidR="003B1FBE" w:rsidRPr="003B1FBE" w:rsidTr="0000231C">
        <w:trPr>
          <w:trHeight w:val="257"/>
        </w:trPr>
        <w:tc>
          <w:tcPr>
            <w:tcW w:w="1729" w:type="dxa"/>
            <w:tcBorders>
              <w:top w:val="nil"/>
              <w:left w:val="single" w:sz="4" w:space="0" w:color="auto"/>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olor w:val="000000"/>
                <w:sz w:val="20"/>
                <w:lang w:val="en-US" w:eastAsia="zh-CN"/>
              </w:rPr>
            </w:pPr>
            <w:r w:rsidRPr="00E363D6">
              <w:rPr>
                <w:rFonts w:asciiTheme="minorHAnsi" w:hAnsiTheme="minorHAnsi"/>
                <w:color w:val="000000"/>
                <w:sz w:val="20"/>
                <w:lang w:val="en-US" w:eastAsia="zh-CN"/>
              </w:rPr>
              <w:t>TLC 2009</w:t>
            </w:r>
          </w:p>
        </w:tc>
        <w:tc>
          <w:tcPr>
            <w:tcW w:w="1260"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r w:rsidRPr="00E363D6">
              <w:rPr>
                <w:rFonts w:asciiTheme="minorHAnsi" w:hAnsiTheme="minorHAnsi"/>
                <w:sz w:val="20"/>
                <w:lang w:val="en-US" w:eastAsia="zh-CN"/>
              </w:rPr>
              <w:t>USA</w:t>
            </w:r>
          </w:p>
        </w:tc>
        <w:tc>
          <w:tcPr>
            <w:tcW w:w="2769"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r w:rsidRPr="00E363D6">
              <w:rPr>
                <w:rFonts w:asciiTheme="minorHAnsi" w:hAnsiTheme="minorHAnsi"/>
                <w:sz w:val="20"/>
                <w:lang w:val="en-US" w:eastAsia="zh-CN"/>
              </w:rPr>
              <w:t>E: Telesis Energy and Data</w:t>
            </w:r>
          </w:p>
        </w:tc>
        <w:tc>
          <w:tcPr>
            <w:tcW w:w="1260"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r w:rsidRPr="00E363D6">
              <w:rPr>
                <w:rFonts w:asciiTheme="minorHAnsi" w:hAnsiTheme="minorHAnsi"/>
                <w:sz w:val="20"/>
                <w:lang w:val="en-US" w:eastAsia="zh-CN"/>
              </w:rPr>
              <w:t>10,800.00</w:t>
            </w:r>
          </w:p>
        </w:tc>
        <w:tc>
          <w:tcPr>
            <w:tcW w:w="1172"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r w:rsidRPr="00E363D6">
              <w:rPr>
                <w:rFonts w:asciiTheme="minorHAnsi" w:hAnsiTheme="minorHAnsi"/>
                <w:sz w:val="20"/>
                <w:lang w:val="en-US" w:eastAsia="zh-CN"/>
              </w:rPr>
              <w:t>0.00</w:t>
            </w:r>
          </w:p>
        </w:tc>
        <w:tc>
          <w:tcPr>
            <w:tcW w:w="1113"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r w:rsidRPr="00E363D6">
              <w:rPr>
                <w:rFonts w:asciiTheme="minorHAnsi" w:hAnsiTheme="minorHAnsi"/>
                <w:sz w:val="20"/>
                <w:lang w:val="en-US" w:eastAsia="zh-CN"/>
              </w:rPr>
              <w:t>10,800.00</w:t>
            </w:r>
          </w:p>
        </w:tc>
      </w:tr>
      <w:tr w:rsidR="003B1FBE" w:rsidRPr="003B1FBE" w:rsidTr="0000231C">
        <w:trPr>
          <w:trHeight w:val="257"/>
        </w:trPr>
        <w:tc>
          <w:tcPr>
            <w:tcW w:w="1729" w:type="dxa"/>
            <w:tcBorders>
              <w:top w:val="nil"/>
              <w:left w:val="single" w:sz="4" w:space="0" w:color="auto"/>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olor w:val="000000"/>
                <w:sz w:val="20"/>
                <w:lang w:val="en-US" w:eastAsia="zh-CN"/>
              </w:rPr>
            </w:pPr>
            <w:r w:rsidRPr="00E363D6">
              <w:rPr>
                <w:rFonts w:asciiTheme="minorHAnsi" w:hAnsiTheme="minorHAnsi"/>
                <w:color w:val="000000"/>
                <w:sz w:val="20"/>
                <w:lang w:val="en-US" w:eastAsia="zh-CN"/>
              </w:rPr>
              <w:t>TLC 2009</w:t>
            </w:r>
          </w:p>
        </w:tc>
        <w:tc>
          <w:tcPr>
            <w:tcW w:w="1260"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olor w:val="000000"/>
                <w:sz w:val="20"/>
                <w:lang w:val="en-US" w:eastAsia="zh-CN"/>
              </w:rPr>
            </w:pPr>
            <w:r w:rsidRPr="00E363D6">
              <w:rPr>
                <w:rFonts w:asciiTheme="minorHAnsi" w:hAnsiTheme="minorHAnsi"/>
                <w:color w:val="000000"/>
                <w:sz w:val="20"/>
                <w:lang w:val="en-US" w:eastAsia="zh-CN"/>
              </w:rPr>
              <w:t>India</w:t>
            </w:r>
          </w:p>
        </w:tc>
        <w:tc>
          <w:tcPr>
            <w:tcW w:w="2769"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r w:rsidRPr="00E363D6">
              <w:rPr>
                <w:rFonts w:asciiTheme="minorHAnsi" w:hAnsiTheme="minorHAnsi"/>
                <w:sz w:val="20"/>
                <w:lang w:val="en-US" w:eastAsia="zh-CN"/>
              </w:rPr>
              <w:t xml:space="preserve">REVE Systems (S) </w:t>
            </w:r>
            <w:proofErr w:type="spellStart"/>
            <w:r w:rsidRPr="00E363D6">
              <w:rPr>
                <w:rFonts w:asciiTheme="minorHAnsi" w:hAnsiTheme="minorHAnsi"/>
                <w:sz w:val="20"/>
                <w:lang w:val="en-US" w:eastAsia="zh-CN"/>
              </w:rPr>
              <w:t>Pte</w:t>
            </w:r>
            <w:proofErr w:type="spellEnd"/>
            <w:r w:rsidRPr="00E363D6">
              <w:rPr>
                <w:rFonts w:asciiTheme="minorHAnsi" w:hAnsiTheme="minorHAnsi"/>
                <w:sz w:val="20"/>
                <w:lang w:val="en-US" w:eastAsia="zh-CN"/>
              </w:rPr>
              <w:t xml:space="preserve"> Ltd</w:t>
            </w:r>
          </w:p>
        </w:tc>
        <w:tc>
          <w:tcPr>
            <w:tcW w:w="1260"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0"/>
                <w:lang w:val="en-US" w:eastAsia="zh-CN"/>
              </w:rPr>
            </w:pPr>
            <w:r w:rsidRPr="00E363D6">
              <w:rPr>
                <w:rFonts w:asciiTheme="minorHAnsi" w:hAnsiTheme="minorHAnsi"/>
                <w:color w:val="000000"/>
                <w:sz w:val="20"/>
                <w:lang w:val="en-US" w:eastAsia="zh-CN"/>
              </w:rPr>
              <w:t>10,800.00</w:t>
            </w:r>
          </w:p>
        </w:tc>
        <w:tc>
          <w:tcPr>
            <w:tcW w:w="1172"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0"/>
                <w:lang w:val="en-US" w:eastAsia="zh-CN"/>
              </w:rPr>
            </w:pPr>
            <w:r w:rsidRPr="00E363D6">
              <w:rPr>
                <w:rFonts w:asciiTheme="minorHAnsi" w:hAnsiTheme="minorHAnsi"/>
                <w:color w:val="000000"/>
                <w:sz w:val="20"/>
                <w:lang w:val="en-US" w:eastAsia="zh-CN"/>
              </w:rPr>
              <w:t>0.00</w:t>
            </w:r>
          </w:p>
        </w:tc>
        <w:tc>
          <w:tcPr>
            <w:tcW w:w="1113"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r w:rsidRPr="00E363D6">
              <w:rPr>
                <w:rFonts w:asciiTheme="minorHAnsi" w:hAnsiTheme="minorHAnsi"/>
                <w:sz w:val="20"/>
                <w:lang w:val="en-US" w:eastAsia="zh-CN"/>
              </w:rPr>
              <w:t>10,800.00</w:t>
            </w:r>
          </w:p>
        </w:tc>
      </w:tr>
      <w:tr w:rsidR="003B1FBE" w:rsidRPr="003B1FBE" w:rsidTr="0000231C">
        <w:trPr>
          <w:trHeight w:val="257"/>
        </w:trPr>
        <w:tc>
          <w:tcPr>
            <w:tcW w:w="1729" w:type="dxa"/>
            <w:tcBorders>
              <w:top w:val="nil"/>
              <w:left w:val="single" w:sz="4" w:space="0" w:color="auto"/>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olor w:val="000000"/>
                <w:sz w:val="20"/>
                <w:lang w:val="en-US" w:eastAsia="zh-CN"/>
              </w:rPr>
            </w:pPr>
            <w:r w:rsidRPr="00E363D6">
              <w:rPr>
                <w:rFonts w:asciiTheme="minorHAnsi" w:hAnsiTheme="minorHAnsi"/>
                <w:color w:val="000000"/>
                <w:sz w:val="20"/>
                <w:lang w:val="en-US" w:eastAsia="zh-CN"/>
              </w:rPr>
              <w:t>TLC 2009</w:t>
            </w:r>
          </w:p>
        </w:tc>
        <w:tc>
          <w:tcPr>
            <w:tcW w:w="1260"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olor w:val="000000"/>
                <w:sz w:val="20"/>
                <w:lang w:val="en-US" w:eastAsia="zh-CN"/>
              </w:rPr>
            </w:pPr>
            <w:r w:rsidRPr="00E363D6">
              <w:rPr>
                <w:rFonts w:asciiTheme="minorHAnsi" w:hAnsiTheme="minorHAnsi"/>
                <w:color w:val="000000"/>
                <w:sz w:val="20"/>
                <w:lang w:val="en-US" w:eastAsia="zh-CN"/>
              </w:rPr>
              <w:t>USA</w:t>
            </w:r>
          </w:p>
        </w:tc>
        <w:tc>
          <w:tcPr>
            <w:tcW w:w="2769"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r w:rsidRPr="00E363D6">
              <w:rPr>
                <w:rFonts w:asciiTheme="minorHAnsi" w:hAnsiTheme="minorHAnsi"/>
                <w:sz w:val="20"/>
                <w:lang w:val="en-US" w:eastAsia="zh-CN"/>
              </w:rPr>
              <w:t>UTStarcom Inc.</w:t>
            </w:r>
          </w:p>
        </w:tc>
        <w:tc>
          <w:tcPr>
            <w:tcW w:w="1260"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0"/>
                <w:lang w:val="en-US" w:eastAsia="zh-CN"/>
              </w:rPr>
            </w:pPr>
            <w:r w:rsidRPr="00E363D6">
              <w:rPr>
                <w:rFonts w:asciiTheme="minorHAnsi" w:hAnsiTheme="minorHAnsi"/>
                <w:color w:val="000000"/>
                <w:sz w:val="20"/>
                <w:lang w:val="en-US" w:eastAsia="zh-CN"/>
              </w:rPr>
              <w:t>94,050.00</w:t>
            </w:r>
          </w:p>
        </w:tc>
        <w:tc>
          <w:tcPr>
            <w:tcW w:w="1172"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0"/>
                <w:lang w:val="en-US" w:eastAsia="zh-CN"/>
              </w:rPr>
            </w:pPr>
            <w:r w:rsidRPr="00E363D6">
              <w:rPr>
                <w:rFonts w:asciiTheme="minorHAnsi" w:hAnsiTheme="minorHAnsi"/>
                <w:color w:val="000000"/>
                <w:sz w:val="20"/>
                <w:lang w:val="en-US" w:eastAsia="zh-CN"/>
              </w:rPr>
              <w:t>47,025.00</w:t>
            </w:r>
          </w:p>
        </w:tc>
        <w:tc>
          <w:tcPr>
            <w:tcW w:w="1113"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r w:rsidRPr="00E363D6">
              <w:rPr>
                <w:rFonts w:asciiTheme="minorHAnsi" w:hAnsiTheme="minorHAnsi"/>
                <w:sz w:val="20"/>
                <w:lang w:val="en-US" w:eastAsia="zh-CN"/>
              </w:rPr>
              <w:t>47,025.00</w:t>
            </w:r>
          </w:p>
        </w:tc>
      </w:tr>
      <w:tr w:rsidR="003B1FBE" w:rsidRPr="003B1FBE" w:rsidTr="0000231C">
        <w:trPr>
          <w:trHeight w:val="257"/>
        </w:trPr>
        <w:tc>
          <w:tcPr>
            <w:tcW w:w="1729" w:type="dxa"/>
            <w:tcBorders>
              <w:top w:val="nil"/>
              <w:left w:val="single" w:sz="4" w:space="0" w:color="auto"/>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olor w:val="000000"/>
                <w:sz w:val="20"/>
                <w:lang w:val="en-US" w:eastAsia="zh-CN"/>
              </w:rPr>
            </w:pPr>
            <w:r w:rsidRPr="00E363D6">
              <w:rPr>
                <w:rFonts w:asciiTheme="minorHAnsi" w:hAnsiTheme="minorHAnsi"/>
                <w:color w:val="000000"/>
                <w:sz w:val="20"/>
                <w:lang w:val="en-US" w:eastAsia="zh-CN"/>
              </w:rPr>
              <w:t> </w:t>
            </w:r>
          </w:p>
        </w:tc>
        <w:tc>
          <w:tcPr>
            <w:tcW w:w="1260"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olor w:val="000000"/>
                <w:sz w:val="20"/>
                <w:lang w:val="en-US" w:eastAsia="zh-CN"/>
              </w:rPr>
            </w:pPr>
            <w:r w:rsidRPr="00E363D6">
              <w:rPr>
                <w:rFonts w:asciiTheme="minorHAnsi" w:hAnsiTheme="minorHAnsi"/>
                <w:color w:val="000000"/>
                <w:sz w:val="20"/>
                <w:lang w:val="en-US" w:eastAsia="zh-CN"/>
              </w:rPr>
              <w:t> </w:t>
            </w:r>
          </w:p>
        </w:tc>
        <w:tc>
          <w:tcPr>
            <w:tcW w:w="2769"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olor w:val="000000"/>
                <w:sz w:val="20"/>
                <w:lang w:val="en-US" w:eastAsia="zh-CN"/>
              </w:rPr>
            </w:pPr>
            <w:r w:rsidRPr="00E363D6">
              <w:rPr>
                <w:rFonts w:asciiTheme="minorHAnsi" w:hAnsiTheme="minorHAnsi"/>
                <w:color w:val="000000"/>
                <w:sz w:val="20"/>
                <w:lang w:val="en-US" w:eastAsia="zh-CN"/>
              </w:rPr>
              <w:t> </w:t>
            </w:r>
          </w:p>
        </w:tc>
        <w:tc>
          <w:tcPr>
            <w:tcW w:w="1260"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olor w:val="000000"/>
                <w:sz w:val="20"/>
                <w:lang w:val="en-US" w:eastAsia="zh-CN"/>
              </w:rPr>
            </w:pPr>
            <w:r w:rsidRPr="00E363D6">
              <w:rPr>
                <w:rFonts w:asciiTheme="minorHAnsi" w:hAnsiTheme="minorHAnsi"/>
                <w:color w:val="000000"/>
                <w:sz w:val="20"/>
                <w:lang w:val="en-US" w:eastAsia="zh-CN"/>
              </w:rPr>
              <w:t> </w:t>
            </w:r>
          </w:p>
        </w:tc>
        <w:tc>
          <w:tcPr>
            <w:tcW w:w="1172"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olor w:val="000000"/>
                <w:sz w:val="20"/>
                <w:lang w:val="en-US" w:eastAsia="zh-CN"/>
              </w:rPr>
            </w:pPr>
            <w:r w:rsidRPr="00E363D6">
              <w:rPr>
                <w:rFonts w:asciiTheme="minorHAnsi" w:hAnsiTheme="minorHAnsi"/>
                <w:color w:val="000000"/>
                <w:sz w:val="20"/>
                <w:lang w:val="en-US" w:eastAsia="zh-CN"/>
              </w:rPr>
              <w:t> </w:t>
            </w:r>
          </w:p>
        </w:tc>
        <w:tc>
          <w:tcPr>
            <w:tcW w:w="1113"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olor w:val="000000"/>
                <w:sz w:val="20"/>
                <w:lang w:val="en-US" w:eastAsia="zh-CN"/>
              </w:rPr>
            </w:pPr>
            <w:r w:rsidRPr="00E363D6">
              <w:rPr>
                <w:rFonts w:asciiTheme="minorHAnsi" w:hAnsiTheme="minorHAnsi"/>
                <w:color w:val="000000"/>
                <w:sz w:val="20"/>
                <w:lang w:val="en-US" w:eastAsia="zh-CN"/>
              </w:rPr>
              <w:t> </w:t>
            </w:r>
          </w:p>
        </w:tc>
      </w:tr>
      <w:tr w:rsidR="003B1FBE" w:rsidRPr="003B1FBE" w:rsidTr="0000231C">
        <w:trPr>
          <w:trHeight w:val="257"/>
        </w:trPr>
        <w:tc>
          <w:tcPr>
            <w:tcW w:w="1729" w:type="dxa"/>
            <w:tcBorders>
              <w:top w:val="nil"/>
              <w:left w:val="single" w:sz="4" w:space="0" w:color="auto"/>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20"/>
                <w:lang w:val="en-US" w:eastAsia="zh-CN"/>
              </w:rPr>
            </w:pPr>
            <w:r w:rsidRPr="00E363D6">
              <w:rPr>
                <w:rFonts w:asciiTheme="minorHAnsi" w:hAnsiTheme="minorHAnsi" w:cs="Arial"/>
                <w:b/>
                <w:bCs/>
                <w:sz w:val="20"/>
                <w:lang w:val="en-US" w:eastAsia="zh-CN"/>
              </w:rPr>
              <w:t>TLC 2009</w:t>
            </w:r>
          </w:p>
        </w:tc>
        <w:tc>
          <w:tcPr>
            <w:tcW w:w="1260"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olor w:val="000000"/>
                <w:sz w:val="20"/>
                <w:lang w:val="en-US" w:eastAsia="zh-CN"/>
              </w:rPr>
            </w:pPr>
            <w:r w:rsidRPr="00E363D6">
              <w:rPr>
                <w:rFonts w:asciiTheme="minorHAnsi" w:hAnsiTheme="minorHAnsi"/>
                <w:color w:val="000000"/>
                <w:sz w:val="20"/>
                <w:lang w:val="en-US" w:eastAsia="zh-CN"/>
              </w:rPr>
              <w:t> </w:t>
            </w:r>
          </w:p>
        </w:tc>
        <w:tc>
          <w:tcPr>
            <w:tcW w:w="2769"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olor w:val="000000"/>
                <w:sz w:val="20"/>
                <w:lang w:val="en-US" w:eastAsia="zh-CN"/>
              </w:rPr>
            </w:pPr>
            <w:r w:rsidRPr="00E363D6">
              <w:rPr>
                <w:rFonts w:asciiTheme="minorHAnsi" w:hAnsiTheme="minorHAnsi"/>
                <w:color w:val="000000"/>
                <w:sz w:val="20"/>
                <w:lang w:val="en-US" w:eastAsia="zh-CN"/>
              </w:rPr>
              <w:t> </w:t>
            </w:r>
          </w:p>
        </w:tc>
        <w:tc>
          <w:tcPr>
            <w:tcW w:w="1260"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olor w:val="000000"/>
                <w:sz w:val="20"/>
                <w:lang w:val="en-US" w:eastAsia="zh-CN"/>
              </w:rPr>
            </w:pPr>
            <w:r w:rsidRPr="00E363D6">
              <w:rPr>
                <w:rFonts w:asciiTheme="minorHAnsi" w:hAnsiTheme="minorHAnsi"/>
                <w:color w:val="000000"/>
                <w:sz w:val="20"/>
                <w:lang w:val="en-US" w:eastAsia="zh-CN"/>
              </w:rPr>
              <w:t> </w:t>
            </w:r>
          </w:p>
        </w:tc>
        <w:tc>
          <w:tcPr>
            <w:tcW w:w="1172"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0"/>
                <w:lang w:val="en-US" w:eastAsia="zh-CN"/>
              </w:rPr>
            </w:pPr>
            <w:r w:rsidRPr="00E363D6">
              <w:rPr>
                <w:rFonts w:asciiTheme="minorHAnsi" w:hAnsiTheme="minorHAnsi"/>
                <w:b/>
                <w:bCs/>
                <w:sz w:val="20"/>
                <w:lang w:val="en-US" w:eastAsia="zh-CN"/>
              </w:rPr>
              <w:t> </w:t>
            </w:r>
          </w:p>
        </w:tc>
        <w:tc>
          <w:tcPr>
            <w:tcW w:w="1113"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0"/>
                <w:lang w:val="en-US" w:eastAsia="zh-CN"/>
              </w:rPr>
            </w:pPr>
            <w:r w:rsidRPr="00E363D6">
              <w:rPr>
                <w:rFonts w:asciiTheme="minorHAnsi" w:hAnsiTheme="minorHAnsi"/>
                <w:b/>
                <w:bCs/>
                <w:sz w:val="20"/>
                <w:lang w:val="en-US" w:eastAsia="zh-CN"/>
              </w:rPr>
              <w:t>68,625.00</w:t>
            </w:r>
          </w:p>
        </w:tc>
      </w:tr>
    </w:tbl>
    <w:p w:rsidR="006D0B03" w:rsidRDefault="006D0B03"/>
    <w:tbl>
      <w:tblPr>
        <w:tblW w:w="9303" w:type="dxa"/>
        <w:tblInd w:w="562" w:type="dxa"/>
        <w:tblLook w:val="04A0" w:firstRow="1" w:lastRow="0" w:firstColumn="1" w:lastColumn="0" w:noHBand="0" w:noVBand="1"/>
      </w:tblPr>
      <w:tblGrid>
        <w:gridCol w:w="1729"/>
        <w:gridCol w:w="1260"/>
        <w:gridCol w:w="2769"/>
        <w:gridCol w:w="1260"/>
        <w:gridCol w:w="1172"/>
        <w:gridCol w:w="1113"/>
      </w:tblGrid>
      <w:tr w:rsidR="00112B74" w:rsidRPr="003B1FBE" w:rsidTr="0000231C">
        <w:trPr>
          <w:trHeight w:val="257"/>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2B74" w:rsidRPr="00E363D6" w:rsidRDefault="00112B74" w:rsidP="00112B74">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20"/>
                <w:lang w:val="en-US" w:eastAsia="zh-CN"/>
              </w:rPr>
            </w:pPr>
            <w:r w:rsidRPr="00E363D6">
              <w:rPr>
                <w:rFonts w:asciiTheme="minorHAnsi" w:hAnsiTheme="minorHAnsi" w:cs="Arial"/>
                <w:b/>
                <w:bCs/>
                <w:sz w:val="20"/>
                <w:lang w:val="en-US" w:eastAsia="zh-CN"/>
              </w:rPr>
              <w:t>Event</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112B74" w:rsidRPr="00E363D6" w:rsidRDefault="00112B74" w:rsidP="00112B74">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20"/>
                <w:lang w:val="en-US" w:eastAsia="zh-CN"/>
              </w:rPr>
            </w:pPr>
            <w:r w:rsidRPr="00E363D6">
              <w:rPr>
                <w:rFonts w:asciiTheme="minorHAnsi" w:hAnsiTheme="minorHAnsi" w:cs="Arial"/>
                <w:b/>
                <w:bCs/>
                <w:sz w:val="20"/>
                <w:lang w:val="en-US" w:eastAsia="zh-CN"/>
              </w:rPr>
              <w:t>Country</w:t>
            </w:r>
          </w:p>
        </w:tc>
        <w:tc>
          <w:tcPr>
            <w:tcW w:w="2769" w:type="dxa"/>
            <w:tcBorders>
              <w:top w:val="single" w:sz="4" w:space="0" w:color="auto"/>
              <w:left w:val="nil"/>
              <w:bottom w:val="single" w:sz="4" w:space="0" w:color="auto"/>
              <w:right w:val="single" w:sz="4" w:space="0" w:color="auto"/>
            </w:tcBorders>
            <w:shd w:val="clear" w:color="auto" w:fill="auto"/>
            <w:noWrap/>
            <w:vAlign w:val="center"/>
            <w:hideMark/>
          </w:tcPr>
          <w:p w:rsidR="00112B74" w:rsidRPr="00E363D6" w:rsidRDefault="00112B74" w:rsidP="00112B74">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20"/>
                <w:lang w:val="en-US" w:eastAsia="zh-CN"/>
              </w:rPr>
            </w:pPr>
            <w:r w:rsidRPr="00E363D6">
              <w:rPr>
                <w:rFonts w:asciiTheme="minorHAnsi" w:hAnsiTheme="minorHAnsi" w:cs="Arial"/>
                <w:b/>
                <w:bCs/>
                <w:sz w:val="20"/>
                <w:lang w:val="en-US" w:eastAsia="zh-CN"/>
              </w:rPr>
              <w:t>Company</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112B74" w:rsidRPr="00E363D6" w:rsidRDefault="00112B74" w:rsidP="00112B74">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20"/>
                <w:lang w:val="en-US" w:eastAsia="zh-CN"/>
              </w:rPr>
            </w:pPr>
            <w:r w:rsidRPr="00E363D6">
              <w:rPr>
                <w:rFonts w:asciiTheme="minorHAnsi" w:hAnsiTheme="minorHAnsi" w:cs="Arial"/>
                <w:b/>
                <w:bCs/>
                <w:sz w:val="20"/>
                <w:lang w:val="en-US" w:eastAsia="zh-CN"/>
              </w:rPr>
              <w:t>Amount invoiced</w:t>
            </w:r>
          </w:p>
        </w:tc>
        <w:tc>
          <w:tcPr>
            <w:tcW w:w="1172" w:type="dxa"/>
            <w:tcBorders>
              <w:top w:val="single" w:sz="4" w:space="0" w:color="auto"/>
              <w:left w:val="nil"/>
              <w:bottom w:val="single" w:sz="4" w:space="0" w:color="auto"/>
              <w:right w:val="single" w:sz="4" w:space="0" w:color="auto"/>
            </w:tcBorders>
            <w:shd w:val="clear" w:color="auto" w:fill="auto"/>
            <w:noWrap/>
            <w:vAlign w:val="center"/>
            <w:hideMark/>
          </w:tcPr>
          <w:p w:rsidR="00112B74" w:rsidRPr="00E363D6" w:rsidRDefault="00112B74" w:rsidP="00112B74">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20"/>
                <w:lang w:val="en-US" w:eastAsia="zh-CN"/>
              </w:rPr>
            </w:pPr>
            <w:r w:rsidRPr="00E363D6">
              <w:rPr>
                <w:rFonts w:asciiTheme="minorHAnsi" w:hAnsiTheme="minorHAnsi" w:cs="Arial"/>
                <w:b/>
                <w:bCs/>
                <w:sz w:val="20"/>
                <w:lang w:val="en-US" w:eastAsia="zh-CN"/>
              </w:rPr>
              <w:t>Payment received</w:t>
            </w: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rsidR="00112B74" w:rsidRPr="00E363D6" w:rsidRDefault="00112B74" w:rsidP="00112B74">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20"/>
                <w:lang w:val="en-US" w:eastAsia="zh-CN"/>
              </w:rPr>
            </w:pPr>
            <w:r w:rsidRPr="00E363D6">
              <w:rPr>
                <w:rFonts w:asciiTheme="minorHAnsi" w:hAnsiTheme="minorHAnsi" w:cs="Arial"/>
                <w:b/>
                <w:bCs/>
                <w:sz w:val="20"/>
                <w:lang w:val="en-US" w:eastAsia="zh-CN"/>
              </w:rPr>
              <w:t>Balance due</w:t>
            </w:r>
          </w:p>
        </w:tc>
      </w:tr>
      <w:tr w:rsidR="003B1FBE" w:rsidRPr="003B1FBE" w:rsidTr="0000231C">
        <w:trPr>
          <w:trHeight w:val="257"/>
        </w:trPr>
        <w:tc>
          <w:tcPr>
            <w:tcW w:w="1729" w:type="dxa"/>
            <w:tcBorders>
              <w:top w:val="nil"/>
              <w:left w:val="single" w:sz="4" w:space="0" w:color="auto"/>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20"/>
                <w:lang w:val="en-US" w:eastAsia="zh-CN"/>
              </w:rPr>
            </w:pPr>
            <w:r w:rsidRPr="00E363D6">
              <w:rPr>
                <w:rFonts w:asciiTheme="minorHAnsi" w:hAnsiTheme="minorHAnsi" w:cs="Arial"/>
                <w:b/>
                <w:bCs/>
                <w:sz w:val="20"/>
                <w:lang w:val="en-US" w:eastAsia="zh-CN"/>
              </w:rPr>
              <w:t> </w:t>
            </w:r>
          </w:p>
        </w:tc>
        <w:tc>
          <w:tcPr>
            <w:tcW w:w="1260"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20"/>
                <w:lang w:val="en-US" w:eastAsia="zh-CN"/>
              </w:rPr>
            </w:pPr>
            <w:r w:rsidRPr="00E363D6">
              <w:rPr>
                <w:rFonts w:asciiTheme="minorHAnsi" w:hAnsiTheme="minorHAnsi" w:cs="Arial"/>
                <w:b/>
                <w:bCs/>
                <w:sz w:val="20"/>
                <w:lang w:val="en-US" w:eastAsia="zh-CN"/>
              </w:rPr>
              <w:t> </w:t>
            </w:r>
          </w:p>
        </w:tc>
        <w:tc>
          <w:tcPr>
            <w:tcW w:w="2769"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sz w:val="20"/>
                <w:lang w:val="en-US" w:eastAsia="zh-CN"/>
              </w:rPr>
            </w:pPr>
            <w:r w:rsidRPr="00E363D6">
              <w:rPr>
                <w:rFonts w:asciiTheme="minorHAnsi" w:hAnsiTheme="minorHAnsi" w:cs="Arial"/>
                <w:sz w:val="20"/>
                <w:lang w:val="en-US" w:eastAsia="zh-CN"/>
              </w:rPr>
              <w:t> </w:t>
            </w:r>
          </w:p>
        </w:tc>
        <w:tc>
          <w:tcPr>
            <w:tcW w:w="1260"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sz w:val="20"/>
                <w:lang w:val="en-US" w:eastAsia="zh-CN"/>
              </w:rPr>
            </w:pPr>
            <w:r w:rsidRPr="00E363D6">
              <w:rPr>
                <w:rFonts w:asciiTheme="minorHAnsi" w:hAnsiTheme="minorHAnsi" w:cs="Arial"/>
                <w:sz w:val="20"/>
                <w:lang w:val="en-US" w:eastAsia="zh-CN"/>
              </w:rPr>
              <w:t> </w:t>
            </w:r>
          </w:p>
        </w:tc>
        <w:tc>
          <w:tcPr>
            <w:tcW w:w="1172"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sz w:val="20"/>
                <w:lang w:val="en-US" w:eastAsia="zh-CN"/>
              </w:rPr>
            </w:pPr>
            <w:r w:rsidRPr="00E363D6">
              <w:rPr>
                <w:rFonts w:asciiTheme="minorHAnsi" w:hAnsiTheme="minorHAnsi" w:cs="Arial"/>
                <w:sz w:val="20"/>
                <w:lang w:val="en-US" w:eastAsia="zh-CN"/>
              </w:rPr>
              <w:t> </w:t>
            </w:r>
          </w:p>
        </w:tc>
        <w:tc>
          <w:tcPr>
            <w:tcW w:w="1113"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sz w:val="20"/>
                <w:lang w:val="en-US" w:eastAsia="zh-CN"/>
              </w:rPr>
            </w:pPr>
            <w:r w:rsidRPr="00E363D6">
              <w:rPr>
                <w:rFonts w:asciiTheme="minorHAnsi" w:hAnsiTheme="minorHAnsi" w:cs="Arial"/>
                <w:sz w:val="20"/>
                <w:lang w:val="en-US" w:eastAsia="zh-CN"/>
              </w:rPr>
              <w:t> </w:t>
            </w:r>
          </w:p>
        </w:tc>
      </w:tr>
      <w:tr w:rsidR="003B1FBE" w:rsidRPr="003B1FBE" w:rsidTr="0000231C">
        <w:trPr>
          <w:trHeight w:val="257"/>
        </w:trPr>
        <w:tc>
          <w:tcPr>
            <w:tcW w:w="1729" w:type="dxa"/>
            <w:tcBorders>
              <w:top w:val="nil"/>
              <w:left w:val="single" w:sz="4" w:space="0" w:color="auto"/>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olor w:val="000000"/>
                <w:sz w:val="20"/>
                <w:lang w:val="en-US" w:eastAsia="zh-CN"/>
              </w:rPr>
            </w:pPr>
            <w:r w:rsidRPr="00E363D6">
              <w:rPr>
                <w:rFonts w:asciiTheme="minorHAnsi" w:hAnsiTheme="minorHAnsi"/>
                <w:color w:val="000000"/>
                <w:sz w:val="20"/>
                <w:lang w:val="en-US" w:eastAsia="zh-CN"/>
              </w:rPr>
              <w:t>TLC 2011</w:t>
            </w:r>
          </w:p>
        </w:tc>
        <w:tc>
          <w:tcPr>
            <w:tcW w:w="1260"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112B7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olor w:val="000000"/>
                <w:sz w:val="20"/>
                <w:lang w:val="en-US" w:eastAsia="zh-CN"/>
              </w:rPr>
            </w:pPr>
            <w:r w:rsidRPr="00E363D6">
              <w:rPr>
                <w:rFonts w:asciiTheme="minorHAnsi" w:hAnsiTheme="minorHAnsi"/>
                <w:color w:val="000000"/>
                <w:sz w:val="20"/>
                <w:lang w:val="en-US" w:eastAsia="zh-CN"/>
              </w:rPr>
              <w:t>S</w:t>
            </w:r>
            <w:r w:rsidR="00112B74">
              <w:rPr>
                <w:rFonts w:asciiTheme="minorHAnsi" w:hAnsiTheme="minorHAnsi"/>
                <w:color w:val="000000"/>
                <w:sz w:val="20"/>
                <w:lang w:val="en-US" w:eastAsia="zh-CN"/>
              </w:rPr>
              <w:t>witzerland</w:t>
            </w:r>
          </w:p>
        </w:tc>
        <w:tc>
          <w:tcPr>
            <w:tcW w:w="2769"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r w:rsidRPr="00E363D6">
              <w:rPr>
                <w:rFonts w:asciiTheme="minorHAnsi" w:hAnsiTheme="minorHAnsi"/>
                <w:sz w:val="20"/>
                <w:lang w:val="en-US" w:eastAsia="zh-CN"/>
              </w:rPr>
              <w:t>Client World 2011</w:t>
            </w:r>
          </w:p>
        </w:tc>
        <w:tc>
          <w:tcPr>
            <w:tcW w:w="1260"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0"/>
                <w:lang w:val="en-US" w:eastAsia="zh-CN"/>
              </w:rPr>
            </w:pPr>
            <w:r w:rsidRPr="00E363D6">
              <w:rPr>
                <w:rFonts w:asciiTheme="minorHAnsi" w:hAnsiTheme="minorHAnsi"/>
                <w:color w:val="000000"/>
                <w:sz w:val="20"/>
                <w:lang w:val="en-US" w:eastAsia="zh-CN"/>
              </w:rPr>
              <w:t>203,243.05</w:t>
            </w:r>
          </w:p>
        </w:tc>
        <w:tc>
          <w:tcPr>
            <w:tcW w:w="1172"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0"/>
                <w:lang w:val="en-US" w:eastAsia="zh-CN"/>
              </w:rPr>
            </w:pPr>
            <w:r w:rsidRPr="00E363D6">
              <w:rPr>
                <w:rFonts w:asciiTheme="minorHAnsi" w:hAnsiTheme="minorHAnsi"/>
                <w:color w:val="000000"/>
                <w:sz w:val="20"/>
                <w:lang w:val="en-US" w:eastAsia="zh-CN"/>
              </w:rPr>
              <w:t>194,643.25</w:t>
            </w:r>
          </w:p>
        </w:tc>
        <w:tc>
          <w:tcPr>
            <w:tcW w:w="1113"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r w:rsidRPr="00E363D6">
              <w:rPr>
                <w:rFonts w:asciiTheme="minorHAnsi" w:hAnsiTheme="minorHAnsi"/>
                <w:sz w:val="20"/>
                <w:lang w:val="en-US" w:eastAsia="zh-CN"/>
              </w:rPr>
              <w:t>8,599.80</w:t>
            </w:r>
          </w:p>
        </w:tc>
      </w:tr>
      <w:tr w:rsidR="003B1FBE" w:rsidRPr="003B1FBE" w:rsidTr="0000231C">
        <w:trPr>
          <w:trHeight w:val="257"/>
        </w:trPr>
        <w:tc>
          <w:tcPr>
            <w:tcW w:w="1729" w:type="dxa"/>
            <w:tcBorders>
              <w:top w:val="nil"/>
              <w:left w:val="single" w:sz="4" w:space="0" w:color="auto"/>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olor w:val="000000"/>
                <w:sz w:val="20"/>
                <w:lang w:val="en-US" w:eastAsia="zh-CN"/>
              </w:rPr>
            </w:pPr>
            <w:r w:rsidRPr="00E363D6">
              <w:rPr>
                <w:rFonts w:asciiTheme="minorHAnsi" w:hAnsiTheme="minorHAnsi"/>
                <w:color w:val="000000"/>
                <w:sz w:val="20"/>
                <w:lang w:val="en-US" w:eastAsia="zh-CN"/>
              </w:rPr>
              <w:t> </w:t>
            </w:r>
          </w:p>
        </w:tc>
        <w:tc>
          <w:tcPr>
            <w:tcW w:w="1260"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olor w:val="000000"/>
                <w:sz w:val="20"/>
                <w:lang w:val="en-US" w:eastAsia="zh-CN"/>
              </w:rPr>
            </w:pPr>
            <w:r w:rsidRPr="00E363D6">
              <w:rPr>
                <w:rFonts w:asciiTheme="minorHAnsi" w:hAnsiTheme="minorHAnsi"/>
                <w:color w:val="000000"/>
                <w:sz w:val="20"/>
                <w:lang w:val="en-US" w:eastAsia="zh-CN"/>
              </w:rPr>
              <w:t> </w:t>
            </w:r>
          </w:p>
        </w:tc>
        <w:tc>
          <w:tcPr>
            <w:tcW w:w="2769"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olor w:val="000000"/>
                <w:sz w:val="20"/>
                <w:lang w:val="en-US" w:eastAsia="zh-CN"/>
              </w:rPr>
            </w:pPr>
            <w:r w:rsidRPr="00E363D6">
              <w:rPr>
                <w:rFonts w:asciiTheme="minorHAnsi" w:hAnsiTheme="minorHAnsi"/>
                <w:color w:val="000000"/>
                <w:sz w:val="20"/>
                <w:lang w:val="en-US" w:eastAsia="zh-CN"/>
              </w:rPr>
              <w:t> </w:t>
            </w:r>
          </w:p>
        </w:tc>
        <w:tc>
          <w:tcPr>
            <w:tcW w:w="1260"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olor w:val="000000"/>
                <w:sz w:val="20"/>
                <w:lang w:val="en-US" w:eastAsia="zh-CN"/>
              </w:rPr>
            </w:pPr>
            <w:r w:rsidRPr="00E363D6">
              <w:rPr>
                <w:rFonts w:asciiTheme="minorHAnsi" w:hAnsiTheme="minorHAnsi"/>
                <w:color w:val="000000"/>
                <w:sz w:val="20"/>
                <w:lang w:val="en-US" w:eastAsia="zh-CN"/>
              </w:rPr>
              <w:t> </w:t>
            </w:r>
          </w:p>
        </w:tc>
        <w:tc>
          <w:tcPr>
            <w:tcW w:w="1172"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olor w:val="000000"/>
                <w:sz w:val="20"/>
                <w:lang w:val="en-US" w:eastAsia="zh-CN"/>
              </w:rPr>
            </w:pPr>
            <w:r w:rsidRPr="00E363D6">
              <w:rPr>
                <w:rFonts w:asciiTheme="minorHAnsi" w:hAnsiTheme="minorHAnsi"/>
                <w:color w:val="000000"/>
                <w:sz w:val="20"/>
                <w:lang w:val="en-US" w:eastAsia="zh-CN"/>
              </w:rPr>
              <w:t> </w:t>
            </w:r>
          </w:p>
        </w:tc>
        <w:tc>
          <w:tcPr>
            <w:tcW w:w="1113"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olor w:val="000000"/>
                <w:sz w:val="20"/>
                <w:lang w:val="en-US" w:eastAsia="zh-CN"/>
              </w:rPr>
            </w:pPr>
            <w:r w:rsidRPr="00E363D6">
              <w:rPr>
                <w:rFonts w:asciiTheme="minorHAnsi" w:hAnsiTheme="minorHAnsi"/>
                <w:color w:val="000000"/>
                <w:sz w:val="20"/>
                <w:lang w:val="en-US" w:eastAsia="zh-CN"/>
              </w:rPr>
              <w:t> </w:t>
            </w:r>
          </w:p>
        </w:tc>
      </w:tr>
      <w:tr w:rsidR="003B1FBE" w:rsidRPr="003B1FBE" w:rsidTr="0000231C">
        <w:trPr>
          <w:trHeight w:val="257"/>
        </w:trPr>
        <w:tc>
          <w:tcPr>
            <w:tcW w:w="1729" w:type="dxa"/>
            <w:tcBorders>
              <w:top w:val="nil"/>
              <w:left w:val="single" w:sz="4" w:space="0" w:color="auto"/>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20"/>
                <w:lang w:val="en-US" w:eastAsia="zh-CN"/>
              </w:rPr>
            </w:pPr>
            <w:r w:rsidRPr="00E363D6">
              <w:rPr>
                <w:rFonts w:asciiTheme="minorHAnsi" w:hAnsiTheme="minorHAnsi" w:cs="Arial"/>
                <w:b/>
                <w:bCs/>
                <w:sz w:val="20"/>
                <w:lang w:val="en-US" w:eastAsia="zh-CN"/>
              </w:rPr>
              <w:t>TLC 2011</w:t>
            </w:r>
          </w:p>
        </w:tc>
        <w:tc>
          <w:tcPr>
            <w:tcW w:w="1260"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olor w:val="000000"/>
                <w:sz w:val="20"/>
                <w:lang w:val="en-US" w:eastAsia="zh-CN"/>
              </w:rPr>
            </w:pPr>
            <w:r w:rsidRPr="00E363D6">
              <w:rPr>
                <w:rFonts w:asciiTheme="minorHAnsi" w:hAnsiTheme="minorHAnsi"/>
                <w:color w:val="000000"/>
                <w:sz w:val="20"/>
                <w:lang w:val="en-US" w:eastAsia="zh-CN"/>
              </w:rPr>
              <w:t> </w:t>
            </w:r>
          </w:p>
        </w:tc>
        <w:tc>
          <w:tcPr>
            <w:tcW w:w="2769"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olor w:val="000000"/>
                <w:sz w:val="20"/>
                <w:lang w:val="en-US" w:eastAsia="zh-CN"/>
              </w:rPr>
            </w:pPr>
            <w:r w:rsidRPr="00E363D6">
              <w:rPr>
                <w:rFonts w:asciiTheme="minorHAnsi" w:hAnsiTheme="minorHAnsi"/>
                <w:color w:val="000000"/>
                <w:sz w:val="20"/>
                <w:lang w:val="en-US" w:eastAsia="zh-CN"/>
              </w:rPr>
              <w:t> </w:t>
            </w:r>
          </w:p>
        </w:tc>
        <w:tc>
          <w:tcPr>
            <w:tcW w:w="1260"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olor w:val="000000"/>
                <w:sz w:val="20"/>
                <w:lang w:val="en-US" w:eastAsia="zh-CN"/>
              </w:rPr>
            </w:pPr>
            <w:r w:rsidRPr="00E363D6">
              <w:rPr>
                <w:rFonts w:asciiTheme="minorHAnsi" w:hAnsiTheme="minorHAnsi"/>
                <w:color w:val="000000"/>
                <w:sz w:val="20"/>
                <w:lang w:val="en-US" w:eastAsia="zh-CN"/>
              </w:rPr>
              <w:t> </w:t>
            </w:r>
          </w:p>
        </w:tc>
        <w:tc>
          <w:tcPr>
            <w:tcW w:w="1172"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0"/>
                <w:lang w:val="en-US" w:eastAsia="zh-CN"/>
              </w:rPr>
            </w:pPr>
            <w:r w:rsidRPr="00E363D6">
              <w:rPr>
                <w:rFonts w:asciiTheme="minorHAnsi" w:hAnsiTheme="minorHAnsi"/>
                <w:b/>
                <w:bCs/>
                <w:sz w:val="20"/>
                <w:lang w:val="en-US" w:eastAsia="zh-CN"/>
              </w:rPr>
              <w:t> </w:t>
            </w:r>
          </w:p>
        </w:tc>
        <w:tc>
          <w:tcPr>
            <w:tcW w:w="1113" w:type="dxa"/>
            <w:tcBorders>
              <w:top w:val="nil"/>
              <w:left w:val="nil"/>
              <w:bottom w:val="single" w:sz="4" w:space="0" w:color="auto"/>
              <w:right w:val="single" w:sz="4" w:space="0" w:color="auto"/>
            </w:tcBorders>
            <w:shd w:val="clear" w:color="auto" w:fill="auto"/>
            <w:noWrap/>
            <w:vAlign w:val="bottom"/>
            <w:hideMark/>
          </w:tcPr>
          <w:p w:rsidR="003B1FBE" w:rsidRPr="00E363D6" w:rsidRDefault="003B1FBE" w:rsidP="003B1FB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0"/>
                <w:lang w:val="en-US" w:eastAsia="zh-CN"/>
              </w:rPr>
            </w:pPr>
            <w:r w:rsidRPr="00E363D6">
              <w:rPr>
                <w:rFonts w:asciiTheme="minorHAnsi" w:hAnsiTheme="minorHAnsi"/>
                <w:b/>
                <w:bCs/>
                <w:sz w:val="20"/>
                <w:lang w:val="en-US" w:eastAsia="zh-CN"/>
              </w:rPr>
              <w:t>8,599.80</w:t>
            </w:r>
          </w:p>
        </w:tc>
      </w:tr>
    </w:tbl>
    <w:p w:rsidR="00C652E7" w:rsidRDefault="00231502" w:rsidP="005A1428">
      <w:pPr>
        <w:jc w:val="center"/>
      </w:pPr>
      <w:r>
        <w:br w:type="page"/>
      </w:r>
    </w:p>
    <w:p w:rsidR="00C652E7" w:rsidRDefault="00C652E7" w:rsidP="005A1428">
      <w:pPr>
        <w:jc w:val="center"/>
      </w:pPr>
    </w:p>
    <w:p w:rsidR="003B1FBE" w:rsidRPr="00832C65" w:rsidRDefault="00832C65" w:rsidP="00F25F37">
      <w:pPr>
        <w:spacing w:after="120"/>
        <w:jc w:val="center"/>
        <w:rPr>
          <w:b/>
          <w:bCs/>
          <w:sz w:val="28"/>
          <w:szCs w:val="28"/>
          <w:lang w:val="en-US"/>
        </w:rPr>
      </w:pPr>
      <w:r w:rsidRPr="00832C65">
        <w:rPr>
          <w:b/>
          <w:bCs/>
          <w:sz w:val="28"/>
          <w:szCs w:val="28"/>
          <w:lang w:val="en-US"/>
        </w:rPr>
        <w:t>List of debtors at 31</w:t>
      </w:r>
      <w:r w:rsidR="00F25F37">
        <w:rPr>
          <w:b/>
          <w:bCs/>
          <w:sz w:val="28"/>
          <w:szCs w:val="28"/>
          <w:lang w:val="en-US"/>
        </w:rPr>
        <w:t xml:space="preserve"> December </w:t>
      </w:r>
      <w:r w:rsidRPr="00832C65">
        <w:rPr>
          <w:b/>
          <w:bCs/>
          <w:sz w:val="28"/>
          <w:szCs w:val="28"/>
          <w:lang w:val="en-US"/>
        </w:rPr>
        <w:t>2017 for closed ITU TELECOM events</w:t>
      </w:r>
      <w:r w:rsidR="003B1FBE" w:rsidRPr="00832C65">
        <w:rPr>
          <w:b/>
          <w:bCs/>
          <w:sz w:val="28"/>
          <w:szCs w:val="28"/>
          <w:lang w:val="en-US"/>
        </w:rPr>
        <w:t xml:space="preserve"> (</w:t>
      </w:r>
      <w:r w:rsidR="003B1FBE" w:rsidRPr="00F25F37">
        <w:rPr>
          <w:b/>
          <w:bCs/>
          <w:i/>
          <w:iCs/>
          <w:sz w:val="28"/>
          <w:szCs w:val="28"/>
          <w:lang w:val="en-US"/>
        </w:rPr>
        <w:t>cont’d</w:t>
      </w:r>
      <w:r w:rsidR="003B1FBE" w:rsidRPr="00832C65">
        <w:rPr>
          <w:b/>
          <w:bCs/>
          <w:sz w:val="28"/>
          <w:szCs w:val="28"/>
          <w:lang w:val="en-US"/>
        </w:rPr>
        <w:t>)</w:t>
      </w:r>
    </w:p>
    <w:p w:rsidR="003502D0" w:rsidRDefault="003502D0"/>
    <w:tbl>
      <w:tblPr>
        <w:tblW w:w="5000" w:type="pct"/>
        <w:tblCellMar>
          <w:left w:w="0" w:type="dxa"/>
          <w:right w:w="0" w:type="dxa"/>
        </w:tblCellMar>
        <w:tblLook w:val="04A0" w:firstRow="1" w:lastRow="0" w:firstColumn="1" w:lastColumn="0" w:noHBand="0" w:noVBand="1"/>
      </w:tblPr>
      <w:tblGrid>
        <w:gridCol w:w="1660"/>
        <w:gridCol w:w="1244"/>
        <w:gridCol w:w="3480"/>
        <w:gridCol w:w="1506"/>
        <w:gridCol w:w="1525"/>
        <w:gridCol w:w="1042"/>
      </w:tblGrid>
      <w:tr w:rsidR="00A36670" w:rsidRPr="00526F2F" w:rsidTr="00A36670">
        <w:trPr>
          <w:trHeight w:val="525"/>
        </w:trPr>
        <w:tc>
          <w:tcPr>
            <w:tcW w:w="79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FD1451" w:rsidRPr="00526F2F" w:rsidRDefault="00FD1451" w:rsidP="00966288">
            <w:pPr>
              <w:spacing w:before="0"/>
              <w:jc w:val="center"/>
              <w:rPr>
                <w:rFonts w:cs="Arial"/>
                <w:b/>
                <w:bCs/>
                <w:sz w:val="20"/>
              </w:rPr>
            </w:pPr>
            <w:r w:rsidRPr="00526F2F">
              <w:rPr>
                <w:rFonts w:cs="Arial"/>
                <w:b/>
                <w:bCs/>
                <w:sz w:val="20"/>
              </w:rPr>
              <w:t>Event</w:t>
            </w:r>
          </w:p>
        </w:tc>
        <w:tc>
          <w:tcPr>
            <w:tcW w:w="59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D1451" w:rsidRPr="00526F2F" w:rsidRDefault="00FD1451" w:rsidP="00966288">
            <w:pPr>
              <w:spacing w:before="0"/>
              <w:jc w:val="center"/>
              <w:rPr>
                <w:rFonts w:cs="Arial"/>
                <w:b/>
                <w:bCs/>
                <w:sz w:val="20"/>
              </w:rPr>
            </w:pPr>
            <w:r w:rsidRPr="00526F2F">
              <w:rPr>
                <w:rFonts w:cs="Arial"/>
                <w:b/>
                <w:bCs/>
                <w:sz w:val="20"/>
              </w:rPr>
              <w:t>Country</w:t>
            </w:r>
          </w:p>
        </w:tc>
        <w:tc>
          <w:tcPr>
            <w:tcW w:w="1664"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D1451" w:rsidRPr="00526F2F" w:rsidRDefault="00FD1451" w:rsidP="00966288">
            <w:pPr>
              <w:spacing w:before="0"/>
              <w:jc w:val="center"/>
              <w:rPr>
                <w:rFonts w:cs="Arial"/>
                <w:b/>
                <w:bCs/>
                <w:sz w:val="20"/>
              </w:rPr>
            </w:pPr>
            <w:r w:rsidRPr="00526F2F">
              <w:rPr>
                <w:rFonts w:cs="Arial"/>
                <w:b/>
                <w:bCs/>
                <w:sz w:val="20"/>
              </w:rPr>
              <w:t>Company</w:t>
            </w:r>
          </w:p>
        </w:tc>
        <w:tc>
          <w:tcPr>
            <w:tcW w:w="720"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D1451" w:rsidRPr="00526F2F" w:rsidRDefault="00FD1451" w:rsidP="00966288">
            <w:pPr>
              <w:spacing w:before="0"/>
              <w:jc w:val="center"/>
              <w:rPr>
                <w:rFonts w:cs="Arial"/>
                <w:b/>
                <w:bCs/>
                <w:sz w:val="20"/>
              </w:rPr>
            </w:pPr>
            <w:r w:rsidRPr="00526F2F">
              <w:rPr>
                <w:rFonts w:cs="Arial"/>
                <w:b/>
                <w:bCs/>
                <w:sz w:val="20"/>
              </w:rPr>
              <w:t>Amount invoiced</w:t>
            </w:r>
          </w:p>
        </w:tc>
        <w:tc>
          <w:tcPr>
            <w:tcW w:w="729"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D1451" w:rsidRPr="00526F2F" w:rsidRDefault="00FD1451" w:rsidP="00966288">
            <w:pPr>
              <w:spacing w:before="0"/>
              <w:jc w:val="center"/>
              <w:rPr>
                <w:rFonts w:cs="Arial"/>
                <w:b/>
                <w:bCs/>
                <w:sz w:val="20"/>
              </w:rPr>
            </w:pPr>
            <w:r w:rsidRPr="00526F2F">
              <w:rPr>
                <w:rFonts w:cs="Arial"/>
                <w:b/>
                <w:bCs/>
                <w:sz w:val="20"/>
              </w:rPr>
              <w:t xml:space="preserve">Payment received </w:t>
            </w:r>
          </w:p>
        </w:tc>
        <w:tc>
          <w:tcPr>
            <w:tcW w:w="49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D1451" w:rsidRPr="00526F2F" w:rsidRDefault="00FD1451" w:rsidP="00966288">
            <w:pPr>
              <w:spacing w:before="0"/>
              <w:jc w:val="center"/>
              <w:rPr>
                <w:rFonts w:cs="Arial"/>
                <w:b/>
                <w:bCs/>
                <w:sz w:val="20"/>
              </w:rPr>
            </w:pPr>
            <w:r w:rsidRPr="00526F2F">
              <w:rPr>
                <w:rFonts w:cs="Arial"/>
                <w:b/>
                <w:bCs/>
                <w:sz w:val="20"/>
              </w:rPr>
              <w:t>Balance due</w:t>
            </w:r>
          </w:p>
        </w:tc>
      </w:tr>
      <w:tr w:rsidR="00A36670" w:rsidRPr="00526F2F" w:rsidTr="00A36670">
        <w:trPr>
          <w:trHeight w:val="300"/>
        </w:trPr>
        <w:tc>
          <w:tcPr>
            <w:tcW w:w="79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jc w:val="center"/>
              <w:rPr>
                <w:rFonts w:cs="Arial"/>
                <w:b/>
                <w:bCs/>
                <w:sz w:val="20"/>
              </w:rPr>
            </w:pPr>
            <w:r w:rsidRPr="00526F2F">
              <w:rPr>
                <w:rFonts w:cs="Arial"/>
                <w:b/>
                <w:bCs/>
                <w:sz w:val="20"/>
              </w:rPr>
              <w:t> </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jc w:val="center"/>
              <w:rPr>
                <w:rFonts w:cs="Arial"/>
                <w:b/>
                <w:bCs/>
                <w:sz w:val="20"/>
              </w:rPr>
            </w:pPr>
            <w:r w:rsidRPr="00526F2F">
              <w:rPr>
                <w:rFonts w:cs="Arial"/>
                <w:b/>
                <w:bCs/>
                <w:sz w:val="20"/>
              </w:rPr>
              <w:t> </w:t>
            </w:r>
          </w:p>
        </w:tc>
        <w:tc>
          <w:tcPr>
            <w:tcW w:w="16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jc w:val="center"/>
              <w:rPr>
                <w:rFonts w:cs="Arial"/>
                <w:sz w:val="20"/>
              </w:rPr>
            </w:pPr>
            <w:r w:rsidRPr="00526F2F">
              <w:rPr>
                <w:rFonts w:cs="Arial"/>
                <w:sz w:val="20"/>
              </w:rPr>
              <w:t> </w:t>
            </w:r>
          </w:p>
        </w:tc>
        <w:tc>
          <w:tcPr>
            <w:tcW w:w="7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jc w:val="center"/>
              <w:rPr>
                <w:rFonts w:cs="Arial"/>
                <w:sz w:val="20"/>
              </w:rPr>
            </w:pPr>
            <w:r w:rsidRPr="00526F2F">
              <w:rPr>
                <w:rFonts w:cs="Arial"/>
                <w:sz w:val="20"/>
              </w:rPr>
              <w:t> </w:t>
            </w:r>
          </w:p>
        </w:tc>
        <w:tc>
          <w:tcPr>
            <w:tcW w:w="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jc w:val="center"/>
              <w:rPr>
                <w:rFonts w:cs="Arial"/>
                <w:sz w:val="20"/>
              </w:rPr>
            </w:pPr>
            <w:r w:rsidRPr="00526F2F">
              <w:rPr>
                <w:rFonts w:cs="Arial"/>
                <w:sz w:val="20"/>
              </w:rPr>
              <w:t> </w:t>
            </w:r>
          </w:p>
        </w:tc>
        <w:tc>
          <w:tcPr>
            <w:tcW w:w="4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jc w:val="center"/>
              <w:rPr>
                <w:rFonts w:cs="Arial"/>
                <w:sz w:val="20"/>
              </w:rPr>
            </w:pPr>
            <w:r w:rsidRPr="00526F2F">
              <w:rPr>
                <w:rFonts w:cs="Arial"/>
                <w:sz w:val="20"/>
              </w:rPr>
              <w:t> </w:t>
            </w:r>
          </w:p>
        </w:tc>
      </w:tr>
      <w:tr w:rsidR="00A36670" w:rsidRPr="00526F2F" w:rsidTr="00A36670">
        <w:trPr>
          <w:trHeight w:val="300"/>
        </w:trPr>
        <w:tc>
          <w:tcPr>
            <w:tcW w:w="79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jc w:val="center"/>
              <w:rPr>
                <w:color w:val="000000"/>
                <w:sz w:val="22"/>
                <w:szCs w:val="22"/>
              </w:rPr>
            </w:pPr>
            <w:r w:rsidRPr="00526F2F">
              <w:rPr>
                <w:color w:val="000000"/>
                <w:sz w:val="22"/>
                <w:szCs w:val="22"/>
              </w:rPr>
              <w:t>TLC 2014</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rPr>
                <w:sz w:val="22"/>
                <w:szCs w:val="22"/>
              </w:rPr>
            </w:pPr>
            <w:r w:rsidRPr="00526F2F">
              <w:rPr>
                <w:sz w:val="22"/>
                <w:szCs w:val="22"/>
              </w:rPr>
              <w:t>Germany</w:t>
            </w:r>
          </w:p>
        </w:tc>
        <w:tc>
          <w:tcPr>
            <w:tcW w:w="16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rPr>
                <w:sz w:val="22"/>
                <w:szCs w:val="22"/>
              </w:rPr>
            </w:pPr>
            <w:r w:rsidRPr="00526F2F">
              <w:rPr>
                <w:sz w:val="22"/>
                <w:szCs w:val="22"/>
              </w:rPr>
              <w:t xml:space="preserve">LS </w:t>
            </w:r>
            <w:proofErr w:type="spellStart"/>
            <w:r w:rsidRPr="00526F2F">
              <w:rPr>
                <w:sz w:val="22"/>
                <w:szCs w:val="22"/>
              </w:rPr>
              <w:t>Telcom</w:t>
            </w:r>
            <w:proofErr w:type="spellEnd"/>
          </w:p>
        </w:tc>
        <w:tc>
          <w:tcPr>
            <w:tcW w:w="7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jc w:val="right"/>
              <w:rPr>
                <w:sz w:val="22"/>
                <w:szCs w:val="22"/>
              </w:rPr>
            </w:pPr>
            <w:r w:rsidRPr="00526F2F">
              <w:rPr>
                <w:sz w:val="22"/>
                <w:szCs w:val="22"/>
              </w:rPr>
              <w:t>13,650.00</w:t>
            </w:r>
          </w:p>
        </w:tc>
        <w:tc>
          <w:tcPr>
            <w:tcW w:w="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jc w:val="right"/>
              <w:rPr>
                <w:sz w:val="22"/>
                <w:szCs w:val="22"/>
              </w:rPr>
            </w:pPr>
            <w:r w:rsidRPr="00526F2F">
              <w:rPr>
                <w:sz w:val="22"/>
                <w:szCs w:val="22"/>
              </w:rPr>
              <w:t>13,650.00</w:t>
            </w:r>
          </w:p>
        </w:tc>
        <w:tc>
          <w:tcPr>
            <w:tcW w:w="4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jc w:val="right"/>
              <w:rPr>
                <w:sz w:val="22"/>
                <w:szCs w:val="22"/>
              </w:rPr>
            </w:pPr>
            <w:r w:rsidRPr="00526F2F">
              <w:rPr>
                <w:sz w:val="22"/>
                <w:szCs w:val="22"/>
              </w:rPr>
              <w:t>0.00</w:t>
            </w:r>
          </w:p>
        </w:tc>
      </w:tr>
      <w:tr w:rsidR="00A36670" w:rsidRPr="00526F2F" w:rsidTr="00A36670">
        <w:trPr>
          <w:trHeight w:val="300"/>
        </w:trPr>
        <w:tc>
          <w:tcPr>
            <w:tcW w:w="79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jc w:val="center"/>
              <w:rPr>
                <w:color w:val="000000"/>
                <w:sz w:val="22"/>
                <w:szCs w:val="22"/>
              </w:rPr>
            </w:pPr>
            <w:r w:rsidRPr="00526F2F">
              <w:rPr>
                <w:color w:val="000000"/>
                <w:sz w:val="22"/>
                <w:szCs w:val="22"/>
              </w:rPr>
              <w:t>TLC 2014</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rPr>
                <w:color w:val="000000"/>
                <w:sz w:val="22"/>
                <w:szCs w:val="22"/>
              </w:rPr>
            </w:pPr>
            <w:r w:rsidRPr="00526F2F">
              <w:rPr>
                <w:color w:val="000000"/>
                <w:sz w:val="22"/>
                <w:szCs w:val="22"/>
              </w:rPr>
              <w:t>Cameroon</w:t>
            </w:r>
          </w:p>
        </w:tc>
        <w:tc>
          <w:tcPr>
            <w:tcW w:w="16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rPr>
                <w:color w:val="000000"/>
                <w:sz w:val="22"/>
                <w:szCs w:val="22"/>
              </w:rPr>
            </w:pPr>
            <w:proofErr w:type="spellStart"/>
            <w:r w:rsidRPr="00526F2F">
              <w:rPr>
                <w:color w:val="000000"/>
                <w:sz w:val="22"/>
                <w:szCs w:val="22"/>
              </w:rPr>
              <w:t>Ministère</w:t>
            </w:r>
            <w:proofErr w:type="spellEnd"/>
            <w:r w:rsidRPr="00526F2F">
              <w:rPr>
                <w:color w:val="000000"/>
                <w:sz w:val="22"/>
                <w:szCs w:val="22"/>
              </w:rPr>
              <w:t xml:space="preserve"> des </w:t>
            </w:r>
            <w:proofErr w:type="spellStart"/>
            <w:r w:rsidRPr="00526F2F">
              <w:rPr>
                <w:color w:val="000000"/>
                <w:sz w:val="22"/>
                <w:szCs w:val="22"/>
              </w:rPr>
              <w:t>Postes</w:t>
            </w:r>
            <w:proofErr w:type="spellEnd"/>
          </w:p>
        </w:tc>
        <w:tc>
          <w:tcPr>
            <w:tcW w:w="7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jc w:val="right"/>
              <w:rPr>
                <w:color w:val="000000"/>
                <w:sz w:val="22"/>
                <w:szCs w:val="22"/>
              </w:rPr>
            </w:pPr>
            <w:r w:rsidRPr="00526F2F">
              <w:rPr>
                <w:color w:val="000000"/>
                <w:sz w:val="22"/>
                <w:szCs w:val="22"/>
              </w:rPr>
              <w:t>110,000.00</w:t>
            </w:r>
          </w:p>
        </w:tc>
        <w:tc>
          <w:tcPr>
            <w:tcW w:w="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jc w:val="right"/>
              <w:rPr>
                <w:color w:val="000000"/>
                <w:sz w:val="22"/>
                <w:szCs w:val="22"/>
              </w:rPr>
            </w:pPr>
            <w:r w:rsidRPr="00526F2F">
              <w:rPr>
                <w:color w:val="000000"/>
                <w:sz w:val="22"/>
                <w:szCs w:val="22"/>
              </w:rPr>
              <w:t>110,000.00</w:t>
            </w:r>
          </w:p>
        </w:tc>
        <w:tc>
          <w:tcPr>
            <w:tcW w:w="4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jc w:val="right"/>
              <w:rPr>
                <w:color w:val="000000"/>
                <w:sz w:val="22"/>
                <w:szCs w:val="22"/>
              </w:rPr>
            </w:pPr>
            <w:r w:rsidRPr="00526F2F">
              <w:rPr>
                <w:color w:val="000000"/>
                <w:sz w:val="22"/>
                <w:szCs w:val="22"/>
              </w:rPr>
              <w:t>0.00</w:t>
            </w:r>
          </w:p>
        </w:tc>
      </w:tr>
      <w:tr w:rsidR="00A36670" w:rsidRPr="00526F2F" w:rsidTr="00A36670">
        <w:trPr>
          <w:trHeight w:val="300"/>
        </w:trPr>
        <w:tc>
          <w:tcPr>
            <w:tcW w:w="79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jc w:val="center"/>
              <w:rPr>
                <w:color w:val="000000"/>
                <w:sz w:val="22"/>
                <w:szCs w:val="22"/>
              </w:rPr>
            </w:pPr>
            <w:r w:rsidRPr="00526F2F">
              <w:rPr>
                <w:color w:val="000000"/>
                <w:sz w:val="22"/>
                <w:szCs w:val="22"/>
              </w:rPr>
              <w:t>TLC 2014</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rPr>
                <w:color w:val="000000"/>
                <w:sz w:val="22"/>
                <w:szCs w:val="22"/>
              </w:rPr>
            </w:pPr>
            <w:r w:rsidRPr="00526F2F">
              <w:rPr>
                <w:color w:val="000000"/>
                <w:sz w:val="22"/>
                <w:szCs w:val="22"/>
              </w:rPr>
              <w:t>Congo</w:t>
            </w:r>
          </w:p>
        </w:tc>
        <w:tc>
          <w:tcPr>
            <w:tcW w:w="16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rPr>
                <w:color w:val="000000"/>
                <w:sz w:val="22"/>
                <w:szCs w:val="22"/>
              </w:rPr>
            </w:pPr>
            <w:proofErr w:type="spellStart"/>
            <w:r w:rsidRPr="00526F2F">
              <w:rPr>
                <w:color w:val="000000"/>
                <w:sz w:val="22"/>
                <w:szCs w:val="22"/>
              </w:rPr>
              <w:t>Ministère</w:t>
            </w:r>
            <w:proofErr w:type="spellEnd"/>
            <w:r w:rsidRPr="00526F2F">
              <w:rPr>
                <w:color w:val="000000"/>
                <w:sz w:val="22"/>
                <w:szCs w:val="22"/>
              </w:rPr>
              <w:t xml:space="preserve"> des </w:t>
            </w:r>
            <w:proofErr w:type="spellStart"/>
            <w:r w:rsidRPr="00526F2F">
              <w:rPr>
                <w:color w:val="000000"/>
                <w:sz w:val="22"/>
                <w:szCs w:val="22"/>
              </w:rPr>
              <w:t>Postes</w:t>
            </w:r>
            <w:proofErr w:type="spellEnd"/>
          </w:p>
        </w:tc>
        <w:tc>
          <w:tcPr>
            <w:tcW w:w="7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jc w:val="right"/>
              <w:rPr>
                <w:color w:val="000000"/>
                <w:sz w:val="22"/>
                <w:szCs w:val="22"/>
              </w:rPr>
            </w:pPr>
            <w:r w:rsidRPr="00526F2F">
              <w:rPr>
                <w:color w:val="000000"/>
                <w:sz w:val="22"/>
                <w:szCs w:val="22"/>
              </w:rPr>
              <w:t>110,000.00</w:t>
            </w:r>
          </w:p>
        </w:tc>
        <w:tc>
          <w:tcPr>
            <w:tcW w:w="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jc w:val="right"/>
              <w:rPr>
                <w:color w:val="000000"/>
                <w:sz w:val="22"/>
                <w:szCs w:val="22"/>
              </w:rPr>
            </w:pPr>
            <w:r w:rsidRPr="00526F2F">
              <w:rPr>
                <w:color w:val="000000"/>
                <w:sz w:val="22"/>
                <w:szCs w:val="22"/>
              </w:rPr>
              <w:t>0.00</w:t>
            </w:r>
          </w:p>
        </w:tc>
        <w:tc>
          <w:tcPr>
            <w:tcW w:w="4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jc w:val="right"/>
              <w:rPr>
                <w:color w:val="000000"/>
                <w:sz w:val="22"/>
                <w:szCs w:val="22"/>
              </w:rPr>
            </w:pPr>
            <w:r w:rsidRPr="00526F2F">
              <w:rPr>
                <w:color w:val="000000"/>
                <w:sz w:val="22"/>
                <w:szCs w:val="22"/>
              </w:rPr>
              <w:t>110,000.00</w:t>
            </w:r>
          </w:p>
        </w:tc>
      </w:tr>
      <w:tr w:rsidR="00A36670" w:rsidRPr="00526F2F" w:rsidTr="00A36670">
        <w:trPr>
          <w:trHeight w:val="300"/>
        </w:trPr>
        <w:tc>
          <w:tcPr>
            <w:tcW w:w="79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jc w:val="center"/>
              <w:rPr>
                <w:color w:val="000000"/>
                <w:sz w:val="22"/>
                <w:szCs w:val="22"/>
              </w:rPr>
            </w:pPr>
            <w:r w:rsidRPr="00526F2F">
              <w:rPr>
                <w:color w:val="000000"/>
                <w:sz w:val="22"/>
                <w:szCs w:val="22"/>
              </w:rPr>
              <w:t>TLC 2014</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rPr>
                <w:color w:val="000000"/>
                <w:sz w:val="22"/>
                <w:szCs w:val="22"/>
              </w:rPr>
            </w:pPr>
            <w:r w:rsidRPr="00526F2F">
              <w:rPr>
                <w:color w:val="000000"/>
                <w:sz w:val="22"/>
                <w:szCs w:val="22"/>
              </w:rPr>
              <w:t>Qatar</w:t>
            </w:r>
          </w:p>
        </w:tc>
        <w:tc>
          <w:tcPr>
            <w:tcW w:w="16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rPr>
                <w:color w:val="000000"/>
                <w:sz w:val="22"/>
                <w:szCs w:val="22"/>
              </w:rPr>
            </w:pPr>
            <w:proofErr w:type="spellStart"/>
            <w:r w:rsidRPr="00526F2F">
              <w:rPr>
                <w:color w:val="000000"/>
                <w:sz w:val="22"/>
                <w:szCs w:val="22"/>
              </w:rPr>
              <w:t>Ooreddo</w:t>
            </w:r>
            <w:proofErr w:type="spellEnd"/>
            <w:r w:rsidRPr="00526F2F">
              <w:rPr>
                <w:color w:val="000000"/>
                <w:sz w:val="22"/>
                <w:szCs w:val="22"/>
              </w:rPr>
              <w:t xml:space="preserve"> Qatar</w:t>
            </w:r>
          </w:p>
        </w:tc>
        <w:tc>
          <w:tcPr>
            <w:tcW w:w="7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jc w:val="right"/>
              <w:rPr>
                <w:color w:val="000000"/>
                <w:sz w:val="22"/>
                <w:szCs w:val="22"/>
              </w:rPr>
            </w:pPr>
            <w:r w:rsidRPr="00526F2F">
              <w:rPr>
                <w:color w:val="000000"/>
                <w:sz w:val="22"/>
                <w:szCs w:val="22"/>
              </w:rPr>
              <w:t>2,743,966.60</w:t>
            </w:r>
          </w:p>
        </w:tc>
        <w:tc>
          <w:tcPr>
            <w:tcW w:w="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jc w:val="right"/>
              <w:rPr>
                <w:color w:val="000000"/>
                <w:sz w:val="22"/>
                <w:szCs w:val="22"/>
              </w:rPr>
            </w:pPr>
            <w:r w:rsidRPr="00526F2F">
              <w:rPr>
                <w:color w:val="000000"/>
                <w:sz w:val="22"/>
                <w:szCs w:val="22"/>
              </w:rPr>
              <w:t>2,743,966.60</w:t>
            </w:r>
          </w:p>
        </w:tc>
        <w:tc>
          <w:tcPr>
            <w:tcW w:w="4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jc w:val="right"/>
              <w:rPr>
                <w:color w:val="000000"/>
                <w:sz w:val="22"/>
                <w:szCs w:val="22"/>
              </w:rPr>
            </w:pPr>
            <w:r w:rsidRPr="00526F2F">
              <w:rPr>
                <w:color w:val="000000"/>
                <w:sz w:val="22"/>
                <w:szCs w:val="22"/>
              </w:rPr>
              <w:t>0.00</w:t>
            </w:r>
          </w:p>
        </w:tc>
      </w:tr>
      <w:tr w:rsidR="00A36670" w:rsidRPr="00526F2F" w:rsidTr="00A36670">
        <w:trPr>
          <w:trHeight w:val="300"/>
        </w:trPr>
        <w:tc>
          <w:tcPr>
            <w:tcW w:w="79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jc w:val="center"/>
              <w:rPr>
                <w:color w:val="000000"/>
                <w:sz w:val="22"/>
                <w:szCs w:val="22"/>
              </w:rPr>
            </w:pPr>
            <w:r w:rsidRPr="00526F2F">
              <w:rPr>
                <w:color w:val="000000"/>
                <w:sz w:val="22"/>
                <w:szCs w:val="22"/>
              </w:rPr>
              <w:t>TLC 2014</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rPr>
                <w:color w:val="000000"/>
                <w:sz w:val="22"/>
                <w:szCs w:val="22"/>
              </w:rPr>
            </w:pPr>
            <w:r w:rsidRPr="00526F2F">
              <w:rPr>
                <w:color w:val="000000"/>
                <w:sz w:val="22"/>
                <w:szCs w:val="22"/>
              </w:rPr>
              <w:t>India</w:t>
            </w:r>
          </w:p>
        </w:tc>
        <w:tc>
          <w:tcPr>
            <w:tcW w:w="16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rPr>
                <w:color w:val="000000"/>
                <w:sz w:val="22"/>
                <w:szCs w:val="22"/>
              </w:rPr>
            </w:pPr>
            <w:r w:rsidRPr="00526F2F">
              <w:rPr>
                <w:color w:val="000000"/>
                <w:sz w:val="22"/>
                <w:szCs w:val="22"/>
              </w:rPr>
              <w:t>TCIL</w:t>
            </w:r>
          </w:p>
        </w:tc>
        <w:tc>
          <w:tcPr>
            <w:tcW w:w="7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jc w:val="right"/>
              <w:rPr>
                <w:color w:val="000000"/>
                <w:sz w:val="22"/>
                <w:szCs w:val="22"/>
              </w:rPr>
            </w:pPr>
            <w:r w:rsidRPr="00526F2F">
              <w:rPr>
                <w:color w:val="000000"/>
                <w:sz w:val="22"/>
                <w:szCs w:val="22"/>
              </w:rPr>
              <w:t>5,400.00</w:t>
            </w:r>
          </w:p>
        </w:tc>
        <w:tc>
          <w:tcPr>
            <w:tcW w:w="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jc w:val="right"/>
              <w:rPr>
                <w:color w:val="000000"/>
                <w:sz w:val="22"/>
                <w:szCs w:val="22"/>
              </w:rPr>
            </w:pPr>
            <w:r w:rsidRPr="00526F2F">
              <w:rPr>
                <w:color w:val="000000"/>
                <w:sz w:val="22"/>
                <w:szCs w:val="22"/>
              </w:rPr>
              <w:t>5,400.00</w:t>
            </w:r>
          </w:p>
        </w:tc>
        <w:tc>
          <w:tcPr>
            <w:tcW w:w="4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jc w:val="right"/>
              <w:rPr>
                <w:color w:val="000000"/>
                <w:sz w:val="22"/>
                <w:szCs w:val="22"/>
              </w:rPr>
            </w:pPr>
            <w:r w:rsidRPr="00526F2F">
              <w:rPr>
                <w:color w:val="000000"/>
                <w:sz w:val="22"/>
                <w:szCs w:val="22"/>
              </w:rPr>
              <w:t>0.00</w:t>
            </w:r>
          </w:p>
        </w:tc>
      </w:tr>
      <w:tr w:rsidR="00A36670" w:rsidRPr="00526F2F" w:rsidTr="00A36670">
        <w:trPr>
          <w:trHeight w:val="300"/>
        </w:trPr>
        <w:tc>
          <w:tcPr>
            <w:tcW w:w="79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jc w:val="center"/>
              <w:rPr>
                <w:color w:val="000000"/>
                <w:sz w:val="22"/>
                <w:szCs w:val="22"/>
              </w:rPr>
            </w:pPr>
            <w:r w:rsidRPr="00526F2F">
              <w:rPr>
                <w:color w:val="000000"/>
                <w:sz w:val="22"/>
                <w:szCs w:val="22"/>
              </w:rPr>
              <w:t>TLC 2014</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rPr>
                <w:color w:val="000000"/>
                <w:sz w:val="22"/>
                <w:szCs w:val="22"/>
              </w:rPr>
            </w:pPr>
            <w:r w:rsidRPr="00526F2F">
              <w:rPr>
                <w:color w:val="000000"/>
                <w:sz w:val="22"/>
                <w:szCs w:val="22"/>
              </w:rPr>
              <w:t>Qatar</w:t>
            </w:r>
          </w:p>
        </w:tc>
        <w:tc>
          <w:tcPr>
            <w:tcW w:w="16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rPr>
                <w:color w:val="000000"/>
                <w:sz w:val="22"/>
                <w:szCs w:val="22"/>
              </w:rPr>
            </w:pPr>
            <w:r w:rsidRPr="00526F2F">
              <w:rPr>
                <w:color w:val="000000"/>
                <w:sz w:val="22"/>
                <w:szCs w:val="22"/>
              </w:rPr>
              <w:t>Ministry of ICT</w:t>
            </w:r>
          </w:p>
        </w:tc>
        <w:tc>
          <w:tcPr>
            <w:tcW w:w="7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jc w:val="right"/>
              <w:rPr>
                <w:color w:val="000000"/>
                <w:sz w:val="22"/>
                <w:szCs w:val="22"/>
              </w:rPr>
            </w:pPr>
            <w:r w:rsidRPr="00526F2F">
              <w:rPr>
                <w:color w:val="000000"/>
                <w:sz w:val="22"/>
                <w:szCs w:val="22"/>
              </w:rPr>
              <w:t>14,000.00</w:t>
            </w:r>
          </w:p>
        </w:tc>
        <w:tc>
          <w:tcPr>
            <w:tcW w:w="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jc w:val="right"/>
              <w:rPr>
                <w:color w:val="000000"/>
                <w:sz w:val="22"/>
                <w:szCs w:val="22"/>
              </w:rPr>
            </w:pPr>
            <w:r w:rsidRPr="00526F2F">
              <w:rPr>
                <w:color w:val="000000"/>
                <w:sz w:val="22"/>
                <w:szCs w:val="22"/>
              </w:rPr>
              <w:t>14,000.00</w:t>
            </w:r>
          </w:p>
        </w:tc>
        <w:tc>
          <w:tcPr>
            <w:tcW w:w="4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jc w:val="right"/>
              <w:rPr>
                <w:color w:val="000000"/>
                <w:sz w:val="22"/>
                <w:szCs w:val="22"/>
              </w:rPr>
            </w:pPr>
            <w:r w:rsidRPr="00526F2F">
              <w:rPr>
                <w:color w:val="000000"/>
                <w:sz w:val="22"/>
                <w:szCs w:val="22"/>
              </w:rPr>
              <w:t>0.00</w:t>
            </w:r>
          </w:p>
        </w:tc>
      </w:tr>
      <w:tr w:rsidR="00A36670" w:rsidRPr="00526F2F" w:rsidTr="00A36670">
        <w:trPr>
          <w:trHeight w:val="300"/>
        </w:trPr>
        <w:tc>
          <w:tcPr>
            <w:tcW w:w="79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jc w:val="center"/>
              <w:rPr>
                <w:color w:val="000000"/>
                <w:sz w:val="22"/>
                <w:szCs w:val="22"/>
              </w:rPr>
            </w:pPr>
            <w:r w:rsidRPr="00526F2F">
              <w:rPr>
                <w:color w:val="000000"/>
                <w:sz w:val="22"/>
                <w:szCs w:val="22"/>
              </w:rPr>
              <w:t>TLC 2014</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rPr>
                <w:color w:val="000000"/>
                <w:sz w:val="22"/>
                <w:szCs w:val="22"/>
              </w:rPr>
            </w:pPr>
            <w:r w:rsidRPr="00526F2F">
              <w:rPr>
                <w:color w:val="000000"/>
                <w:sz w:val="22"/>
                <w:szCs w:val="22"/>
              </w:rPr>
              <w:t>Nigeria</w:t>
            </w:r>
          </w:p>
        </w:tc>
        <w:tc>
          <w:tcPr>
            <w:tcW w:w="16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rPr>
                <w:color w:val="000000"/>
                <w:sz w:val="22"/>
                <w:szCs w:val="22"/>
              </w:rPr>
            </w:pPr>
            <w:r w:rsidRPr="00526F2F">
              <w:rPr>
                <w:color w:val="000000"/>
                <w:sz w:val="22"/>
                <w:szCs w:val="22"/>
              </w:rPr>
              <w:t>NCC</w:t>
            </w:r>
          </w:p>
        </w:tc>
        <w:tc>
          <w:tcPr>
            <w:tcW w:w="7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jc w:val="right"/>
              <w:rPr>
                <w:color w:val="000000"/>
                <w:sz w:val="22"/>
                <w:szCs w:val="22"/>
              </w:rPr>
            </w:pPr>
            <w:r w:rsidRPr="00526F2F">
              <w:rPr>
                <w:color w:val="000000"/>
                <w:sz w:val="22"/>
                <w:szCs w:val="22"/>
              </w:rPr>
              <w:t>12,000.00</w:t>
            </w:r>
          </w:p>
        </w:tc>
        <w:tc>
          <w:tcPr>
            <w:tcW w:w="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jc w:val="right"/>
              <w:rPr>
                <w:color w:val="000000"/>
                <w:sz w:val="22"/>
                <w:szCs w:val="22"/>
              </w:rPr>
            </w:pPr>
            <w:r w:rsidRPr="00526F2F">
              <w:rPr>
                <w:color w:val="000000"/>
                <w:sz w:val="22"/>
                <w:szCs w:val="22"/>
              </w:rPr>
              <w:t>12,000.00</w:t>
            </w:r>
          </w:p>
        </w:tc>
        <w:tc>
          <w:tcPr>
            <w:tcW w:w="4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jc w:val="right"/>
              <w:rPr>
                <w:color w:val="000000"/>
                <w:sz w:val="22"/>
                <w:szCs w:val="22"/>
              </w:rPr>
            </w:pPr>
            <w:r w:rsidRPr="00526F2F">
              <w:rPr>
                <w:color w:val="000000"/>
                <w:sz w:val="22"/>
                <w:szCs w:val="22"/>
              </w:rPr>
              <w:t>0.00</w:t>
            </w:r>
          </w:p>
        </w:tc>
      </w:tr>
      <w:tr w:rsidR="00A36670" w:rsidRPr="00526F2F" w:rsidTr="00A36670">
        <w:trPr>
          <w:trHeight w:val="300"/>
        </w:trPr>
        <w:tc>
          <w:tcPr>
            <w:tcW w:w="79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jc w:val="center"/>
              <w:rPr>
                <w:color w:val="000000"/>
                <w:sz w:val="22"/>
                <w:szCs w:val="22"/>
              </w:rPr>
            </w:pPr>
            <w:r w:rsidRPr="00526F2F">
              <w:rPr>
                <w:color w:val="000000"/>
                <w:sz w:val="22"/>
                <w:szCs w:val="22"/>
              </w:rPr>
              <w:t>TLC 2014</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rPr>
                <w:color w:val="000000"/>
                <w:sz w:val="22"/>
                <w:szCs w:val="22"/>
              </w:rPr>
            </w:pPr>
            <w:r w:rsidRPr="00526F2F">
              <w:rPr>
                <w:color w:val="000000"/>
                <w:sz w:val="22"/>
                <w:szCs w:val="22"/>
              </w:rPr>
              <w:t>Saudi Arabia</w:t>
            </w:r>
          </w:p>
        </w:tc>
        <w:tc>
          <w:tcPr>
            <w:tcW w:w="16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rPr>
                <w:color w:val="000000"/>
                <w:sz w:val="22"/>
                <w:szCs w:val="22"/>
              </w:rPr>
            </w:pPr>
            <w:r w:rsidRPr="00526F2F">
              <w:rPr>
                <w:color w:val="000000"/>
                <w:sz w:val="22"/>
                <w:szCs w:val="22"/>
              </w:rPr>
              <w:t>Saudi Telecom</w:t>
            </w:r>
          </w:p>
        </w:tc>
        <w:tc>
          <w:tcPr>
            <w:tcW w:w="7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jc w:val="right"/>
              <w:rPr>
                <w:color w:val="000000"/>
                <w:sz w:val="22"/>
                <w:szCs w:val="22"/>
              </w:rPr>
            </w:pPr>
            <w:r w:rsidRPr="00526F2F">
              <w:rPr>
                <w:color w:val="000000"/>
                <w:sz w:val="22"/>
                <w:szCs w:val="22"/>
              </w:rPr>
              <w:t>20,250.00</w:t>
            </w:r>
          </w:p>
        </w:tc>
        <w:tc>
          <w:tcPr>
            <w:tcW w:w="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jc w:val="right"/>
              <w:rPr>
                <w:color w:val="000000"/>
                <w:sz w:val="22"/>
                <w:szCs w:val="22"/>
              </w:rPr>
            </w:pPr>
            <w:r w:rsidRPr="00526F2F">
              <w:rPr>
                <w:color w:val="000000"/>
                <w:sz w:val="22"/>
                <w:szCs w:val="22"/>
              </w:rPr>
              <w:t>20,250.00</w:t>
            </w:r>
          </w:p>
        </w:tc>
        <w:tc>
          <w:tcPr>
            <w:tcW w:w="4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jc w:val="right"/>
              <w:rPr>
                <w:color w:val="000000"/>
                <w:sz w:val="22"/>
                <w:szCs w:val="22"/>
              </w:rPr>
            </w:pPr>
            <w:r w:rsidRPr="00526F2F">
              <w:rPr>
                <w:color w:val="000000"/>
                <w:sz w:val="22"/>
                <w:szCs w:val="22"/>
              </w:rPr>
              <w:t>0.00</w:t>
            </w:r>
          </w:p>
        </w:tc>
      </w:tr>
      <w:tr w:rsidR="00A36670" w:rsidRPr="00526F2F" w:rsidTr="00A36670">
        <w:trPr>
          <w:trHeight w:val="300"/>
        </w:trPr>
        <w:tc>
          <w:tcPr>
            <w:tcW w:w="79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jc w:val="center"/>
              <w:rPr>
                <w:color w:val="000000"/>
                <w:sz w:val="22"/>
                <w:szCs w:val="22"/>
              </w:rPr>
            </w:pPr>
            <w:r w:rsidRPr="00526F2F">
              <w:rPr>
                <w:color w:val="000000"/>
                <w:sz w:val="22"/>
                <w:szCs w:val="22"/>
              </w:rPr>
              <w:t> </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rPr>
                <w:color w:val="000000"/>
                <w:sz w:val="22"/>
                <w:szCs w:val="22"/>
              </w:rPr>
            </w:pPr>
            <w:r w:rsidRPr="00526F2F">
              <w:rPr>
                <w:color w:val="000000"/>
                <w:sz w:val="22"/>
                <w:szCs w:val="22"/>
              </w:rPr>
              <w:t> </w:t>
            </w:r>
          </w:p>
        </w:tc>
        <w:tc>
          <w:tcPr>
            <w:tcW w:w="16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rPr>
                <w:color w:val="000000"/>
                <w:sz w:val="22"/>
                <w:szCs w:val="22"/>
              </w:rPr>
            </w:pPr>
            <w:r w:rsidRPr="00526F2F">
              <w:rPr>
                <w:color w:val="000000"/>
                <w:sz w:val="22"/>
                <w:szCs w:val="22"/>
              </w:rPr>
              <w:t> </w:t>
            </w:r>
          </w:p>
        </w:tc>
        <w:tc>
          <w:tcPr>
            <w:tcW w:w="7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rPr>
                <w:color w:val="000000"/>
                <w:sz w:val="22"/>
                <w:szCs w:val="22"/>
              </w:rPr>
            </w:pPr>
            <w:r w:rsidRPr="00526F2F">
              <w:rPr>
                <w:color w:val="000000"/>
                <w:sz w:val="22"/>
                <w:szCs w:val="22"/>
              </w:rPr>
              <w:t> </w:t>
            </w:r>
          </w:p>
        </w:tc>
        <w:tc>
          <w:tcPr>
            <w:tcW w:w="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rPr>
                <w:color w:val="000000"/>
                <w:sz w:val="22"/>
                <w:szCs w:val="22"/>
              </w:rPr>
            </w:pPr>
            <w:r w:rsidRPr="00526F2F">
              <w:rPr>
                <w:color w:val="000000"/>
                <w:sz w:val="22"/>
                <w:szCs w:val="22"/>
              </w:rPr>
              <w:t> </w:t>
            </w:r>
          </w:p>
        </w:tc>
        <w:tc>
          <w:tcPr>
            <w:tcW w:w="4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rPr>
                <w:color w:val="000000"/>
                <w:sz w:val="22"/>
                <w:szCs w:val="22"/>
              </w:rPr>
            </w:pPr>
            <w:r w:rsidRPr="00526F2F">
              <w:rPr>
                <w:color w:val="000000"/>
                <w:sz w:val="22"/>
                <w:szCs w:val="22"/>
              </w:rPr>
              <w:t> </w:t>
            </w:r>
          </w:p>
        </w:tc>
      </w:tr>
      <w:tr w:rsidR="00A36670" w:rsidRPr="00526F2F" w:rsidTr="00A36670">
        <w:trPr>
          <w:trHeight w:val="300"/>
        </w:trPr>
        <w:tc>
          <w:tcPr>
            <w:tcW w:w="79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A1B94" w:rsidRDefault="00FD1451" w:rsidP="00966288">
            <w:pPr>
              <w:spacing w:before="0"/>
              <w:jc w:val="center"/>
              <w:rPr>
                <w:b/>
                <w:bCs/>
                <w:color w:val="000000"/>
                <w:sz w:val="22"/>
                <w:szCs w:val="22"/>
              </w:rPr>
            </w:pPr>
            <w:r w:rsidRPr="005A1B94">
              <w:rPr>
                <w:b/>
                <w:bCs/>
                <w:color w:val="000000"/>
                <w:sz w:val="22"/>
                <w:szCs w:val="22"/>
              </w:rPr>
              <w:t>TLC 2014</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rPr>
                <w:color w:val="000000"/>
                <w:sz w:val="22"/>
                <w:szCs w:val="22"/>
              </w:rPr>
            </w:pPr>
            <w:r w:rsidRPr="00526F2F">
              <w:rPr>
                <w:color w:val="000000"/>
                <w:sz w:val="22"/>
                <w:szCs w:val="22"/>
              </w:rPr>
              <w:t> </w:t>
            </w:r>
          </w:p>
        </w:tc>
        <w:tc>
          <w:tcPr>
            <w:tcW w:w="16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rPr>
                <w:color w:val="000000"/>
                <w:sz w:val="22"/>
                <w:szCs w:val="22"/>
              </w:rPr>
            </w:pPr>
            <w:r w:rsidRPr="00526F2F">
              <w:rPr>
                <w:color w:val="000000"/>
                <w:sz w:val="22"/>
                <w:szCs w:val="22"/>
              </w:rPr>
              <w:t> </w:t>
            </w:r>
          </w:p>
        </w:tc>
        <w:tc>
          <w:tcPr>
            <w:tcW w:w="7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rPr>
                <w:color w:val="000000"/>
                <w:sz w:val="22"/>
                <w:szCs w:val="22"/>
              </w:rPr>
            </w:pPr>
            <w:r w:rsidRPr="00526F2F">
              <w:rPr>
                <w:color w:val="000000"/>
                <w:sz w:val="22"/>
                <w:szCs w:val="22"/>
              </w:rPr>
              <w:t> </w:t>
            </w:r>
          </w:p>
        </w:tc>
        <w:tc>
          <w:tcPr>
            <w:tcW w:w="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rPr>
                <w:rFonts w:cs="Arial"/>
                <w:b/>
                <w:bCs/>
                <w:sz w:val="20"/>
              </w:rPr>
            </w:pPr>
            <w:r w:rsidRPr="00526F2F">
              <w:rPr>
                <w:rFonts w:cs="Arial"/>
                <w:b/>
                <w:bCs/>
                <w:sz w:val="20"/>
              </w:rPr>
              <w:t> </w:t>
            </w:r>
          </w:p>
        </w:tc>
        <w:tc>
          <w:tcPr>
            <w:tcW w:w="4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jc w:val="right"/>
              <w:rPr>
                <w:rFonts w:cs="Arial"/>
                <w:b/>
                <w:bCs/>
                <w:sz w:val="20"/>
              </w:rPr>
            </w:pPr>
            <w:r w:rsidRPr="00526F2F">
              <w:rPr>
                <w:rFonts w:cs="Arial"/>
                <w:b/>
                <w:bCs/>
                <w:sz w:val="20"/>
              </w:rPr>
              <w:t>110,000.00</w:t>
            </w:r>
          </w:p>
        </w:tc>
      </w:tr>
    </w:tbl>
    <w:p w:rsidR="005A1B94" w:rsidRDefault="005A1B94"/>
    <w:tbl>
      <w:tblPr>
        <w:tblW w:w="5000" w:type="pct"/>
        <w:tblCellMar>
          <w:left w:w="0" w:type="dxa"/>
          <w:right w:w="0" w:type="dxa"/>
        </w:tblCellMar>
        <w:tblLook w:val="04A0" w:firstRow="1" w:lastRow="0" w:firstColumn="1" w:lastColumn="0" w:noHBand="0" w:noVBand="1"/>
      </w:tblPr>
      <w:tblGrid>
        <w:gridCol w:w="1660"/>
        <w:gridCol w:w="1244"/>
        <w:gridCol w:w="3480"/>
        <w:gridCol w:w="1506"/>
        <w:gridCol w:w="1525"/>
        <w:gridCol w:w="1042"/>
      </w:tblGrid>
      <w:tr w:rsidR="00A36670" w:rsidRPr="00526F2F" w:rsidTr="00A36670">
        <w:trPr>
          <w:trHeight w:val="525"/>
        </w:trPr>
        <w:tc>
          <w:tcPr>
            <w:tcW w:w="79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FD1451" w:rsidRPr="00526F2F" w:rsidRDefault="00FD1451" w:rsidP="00966288">
            <w:pPr>
              <w:spacing w:before="0"/>
              <w:jc w:val="center"/>
              <w:rPr>
                <w:rFonts w:cs="Arial"/>
                <w:b/>
                <w:bCs/>
                <w:sz w:val="20"/>
              </w:rPr>
            </w:pPr>
            <w:r w:rsidRPr="00526F2F">
              <w:rPr>
                <w:rFonts w:cs="Arial"/>
                <w:b/>
                <w:bCs/>
                <w:sz w:val="20"/>
              </w:rPr>
              <w:t>Event</w:t>
            </w:r>
          </w:p>
        </w:tc>
        <w:tc>
          <w:tcPr>
            <w:tcW w:w="59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D1451" w:rsidRPr="00526F2F" w:rsidRDefault="00FD1451" w:rsidP="00966288">
            <w:pPr>
              <w:spacing w:before="0"/>
              <w:jc w:val="center"/>
              <w:rPr>
                <w:rFonts w:cs="Arial"/>
                <w:b/>
                <w:bCs/>
                <w:sz w:val="20"/>
              </w:rPr>
            </w:pPr>
            <w:r w:rsidRPr="00526F2F">
              <w:rPr>
                <w:rFonts w:cs="Arial"/>
                <w:b/>
                <w:bCs/>
                <w:sz w:val="20"/>
              </w:rPr>
              <w:t>Country</w:t>
            </w:r>
          </w:p>
        </w:tc>
        <w:tc>
          <w:tcPr>
            <w:tcW w:w="1664"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D1451" w:rsidRPr="00526F2F" w:rsidRDefault="00FD1451" w:rsidP="00966288">
            <w:pPr>
              <w:spacing w:before="0"/>
              <w:jc w:val="center"/>
              <w:rPr>
                <w:rFonts w:cs="Arial"/>
                <w:b/>
                <w:bCs/>
                <w:sz w:val="20"/>
              </w:rPr>
            </w:pPr>
            <w:r w:rsidRPr="00526F2F">
              <w:rPr>
                <w:rFonts w:cs="Arial"/>
                <w:b/>
                <w:bCs/>
                <w:sz w:val="20"/>
              </w:rPr>
              <w:t>Company</w:t>
            </w:r>
          </w:p>
        </w:tc>
        <w:tc>
          <w:tcPr>
            <w:tcW w:w="720"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D1451" w:rsidRPr="00526F2F" w:rsidRDefault="00FD1451" w:rsidP="00966288">
            <w:pPr>
              <w:spacing w:before="0"/>
              <w:jc w:val="center"/>
              <w:rPr>
                <w:rFonts w:cs="Arial"/>
                <w:b/>
                <w:bCs/>
                <w:sz w:val="20"/>
              </w:rPr>
            </w:pPr>
            <w:r w:rsidRPr="00526F2F">
              <w:rPr>
                <w:rFonts w:cs="Arial"/>
                <w:b/>
                <w:bCs/>
                <w:sz w:val="20"/>
              </w:rPr>
              <w:t>Amount invoiced</w:t>
            </w:r>
          </w:p>
        </w:tc>
        <w:tc>
          <w:tcPr>
            <w:tcW w:w="729"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D1451" w:rsidRPr="00526F2F" w:rsidRDefault="00FD1451" w:rsidP="00966288">
            <w:pPr>
              <w:spacing w:before="0"/>
              <w:jc w:val="center"/>
              <w:rPr>
                <w:rFonts w:cs="Arial"/>
                <w:b/>
                <w:bCs/>
                <w:sz w:val="20"/>
              </w:rPr>
            </w:pPr>
            <w:r w:rsidRPr="00526F2F">
              <w:rPr>
                <w:rFonts w:cs="Arial"/>
                <w:b/>
                <w:bCs/>
                <w:sz w:val="20"/>
              </w:rPr>
              <w:t xml:space="preserve">Payment received </w:t>
            </w:r>
          </w:p>
        </w:tc>
        <w:tc>
          <w:tcPr>
            <w:tcW w:w="49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D1451" w:rsidRPr="00526F2F" w:rsidRDefault="00FD1451" w:rsidP="00966288">
            <w:pPr>
              <w:spacing w:before="0"/>
              <w:jc w:val="center"/>
              <w:rPr>
                <w:rFonts w:cs="Arial"/>
                <w:b/>
                <w:bCs/>
                <w:sz w:val="20"/>
              </w:rPr>
            </w:pPr>
            <w:r w:rsidRPr="00526F2F">
              <w:rPr>
                <w:rFonts w:cs="Arial"/>
                <w:b/>
                <w:bCs/>
                <w:sz w:val="20"/>
              </w:rPr>
              <w:t>Balance due</w:t>
            </w:r>
          </w:p>
        </w:tc>
      </w:tr>
      <w:tr w:rsidR="00A36670" w:rsidRPr="00526F2F" w:rsidTr="00A36670">
        <w:trPr>
          <w:trHeight w:val="300"/>
        </w:trPr>
        <w:tc>
          <w:tcPr>
            <w:tcW w:w="79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jc w:val="center"/>
              <w:rPr>
                <w:rFonts w:cs="Arial"/>
                <w:b/>
                <w:bCs/>
                <w:sz w:val="20"/>
              </w:rPr>
            </w:pPr>
            <w:r w:rsidRPr="00526F2F">
              <w:rPr>
                <w:rFonts w:cs="Arial"/>
                <w:b/>
                <w:bCs/>
                <w:sz w:val="20"/>
              </w:rPr>
              <w:t> </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jc w:val="center"/>
              <w:rPr>
                <w:rFonts w:cs="Arial"/>
                <w:b/>
                <w:bCs/>
                <w:sz w:val="20"/>
              </w:rPr>
            </w:pPr>
            <w:r w:rsidRPr="00526F2F">
              <w:rPr>
                <w:rFonts w:cs="Arial"/>
                <w:b/>
                <w:bCs/>
                <w:sz w:val="20"/>
              </w:rPr>
              <w:t> </w:t>
            </w:r>
          </w:p>
        </w:tc>
        <w:tc>
          <w:tcPr>
            <w:tcW w:w="16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jc w:val="center"/>
              <w:rPr>
                <w:rFonts w:cs="Arial"/>
                <w:sz w:val="20"/>
              </w:rPr>
            </w:pPr>
            <w:r w:rsidRPr="00526F2F">
              <w:rPr>
                <w:rFonts w:cs="Arial"/>
                <w:sz w:val="20"/>
              </w:rPr>
              <w:t> </w:t>
            </w:r>
          </w:p>
        </w:tc>
        <w:tc>
          <w:tcPr>
            <w:tcW w:w="7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jc w:val="center"/>
              <w:rPr>
                <w:rFonts w:cs="Arial"/>
                <w:sz w:val="20"/>
              </w:rPr>
            </w:pPr>
            <w:r w:rsidRPr="00526F2F">
              <w:rPr>
                <w:rFonts w:cs="Arial"/>
                <w:sz w:val="20"/>
              </w:rPr>
              <w:t> </w:t>
            </w:r>
          </w:p>
        </w:tc>
        <w:tc>
          <w:tcPr>
            <w:tcW w:w="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jc w:val="center"/>
              <w:rPr>
                <w:rFonts w:cs="Arial"/>
                <w:sz w:val="20"/>
              </w:rPr>
            </w:pPr>
            <w:r w:rsidRPr="00526F2F">
              <w:rPr>
                <w:rFonts w:cs="Arial"/>
                <w:sz w:val="20"/>
              </w:rPr>
              <w:t> </w:t>
            </w:r>
          </w:p>
        </w:tc>
        <w:tc>
          <w:tcPr>
            <w:tcW w:w="4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jc w:val="center"/>
              <w:rPr>
                <w:rFonts w:cs="Arial"/>
                <w:sz w:val="20"/>
              </w:rPr>
            </w:pPr>
            <w:r w:rsidRPr="00526F2F">
              <w:rPr>
                <w:rFonts w:cs="Arial"/>
                <w:sz w:val="20"/>
              </w:rPr>
              <w:t> </w:t>
            </w:r>
          </w:p>
        </w:tc>
      </w:tr>
      <w:tr w:rsidR="00A36670" w:rsidRPr="00526F2F" w:rsidTr="00A36670">
        <w:trPr>
          <w:trHeight w:val="300"/>
        </w:trPr>
        <w:tc>
          <w:tcPr>
            <w:tcW w:w="79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jc w:val="center"/>
              <w:rPr>
                <w:sz w:val="22"/>
                <w:szCs w:val="22"/>
              </w:rPr>
            </w:pPr>
            <w:r w:rsidRPr="00526F2F">
              <w:rPr>
                <w:sz w:val="22"/>
                <w:szCs w:val="22"/>
              </w:rPr>
              <w:t>TLC 2015</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rPr>
                <w:sz w:val="22"/>
                <w:szCs w:val="22"/>
              </w:rPr>
            </w:pPr>
            <w:r w:rsidRPr="00526F2F">
              <w:rPr>
                <w:sz w:val="22"/>
                <w:szCs w:val="22"/>
              </w:rPr>
              <w:t>South Sudan</w:t>
            </w:r>
          </w:p>
        </w:tc>
        <w:tc>
          <w:tcPr>
            <w:tcW w:w="16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rPr>
                <w:sz w:val="22"/>
                <w:szCs w:val="22"/>
              </w:rPr>
            </w:pPr>
            <w:r w:rsidRPr="00526F2F">
              <w:rPr>
                <w:sz w:val="22"/>
                <w:szCs w:val="22"/>
              </w:rPr>
              <w:t>National Communication Authority</w:t>
            </w:r>
          </w:p>
        </w:tc>
        <w:tc>
          <w:tcPr>
            <w:tcW w:w="7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jc w:val="right"/>
              <w:rPr>
                <w:sz w:val="22"/>
                <w:szCs w:val="22"/>
              </w:rPr>
            </w:pPr>
            <w:r w:rsidRPr="00526F2F">
              <w:rPr>
                <w:sz w:val="22"/>
                <w:szCs w:val="22"/>
              </w:rPr>
              <w:t>100,000.00</w:t>
            </w:r>
          </w:p>
        </w:tc>
        <w:tc>
          <w:tcPr>
            <w:tcW w:w="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jc w:val="right"/>
              <w:rPr>
                <w:sz w:val="22"/>
                <w:szCs w:val="22"/>
              </w:rPr>
            </w:pPr>
            <w:r w:rsidRPr="00526F2F">
              <w:rPr>
                <w:sz w:val="22"/>
                <w:szCs w:val="22"/>
              </w:rPr>
              <w:t>0.00</w:t>
            </w:r>
          </w:p>
        </w:tc>
        <w:tc>
          <w:tcPr>
            <w:tcW w:w="4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jc w:val="right"/>
              <w:rPr>
                <w:sz w:val="22"/>
                <w:szCs w:val="22"/>
              </w:rPr>
            </w:pPr>
            <w:r w:rsidRPr="00526F2F">
              <w:rPr>
                <w:sz w:val="22"/>
                <w:szCs w:val="22"/>
              </w:rPr>
              <w:t>0.00</w:t>
            </w:r>
          </w:p>
        </w:tc>
      </w:tr>
      <w:tr w:rsidR="00A36670" w:rsidRPr="00526F2F" w:rsidTr="00A36670">
        <w:trPr>
          <w:trHeight w:val="300"/>
        </w:trPr>
        <w:tc>
          <w:tcPr>
            <w:tcW w:w="79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jc w:val="center"/>
              <w:rPr>
                <w:color w:val="000000"/>
                <w:sz w:val="22"/>
                <w:szCs w:val="22"/>
              </w:rPr>
            </w:pPr>
            <w:r w:rsidRPr="00526F2F">
              <w:rPr>
                <w:color w:val="000000"/>
                <w:sz w:val="22"/>
                <w:szCs w:val="22"/>
              </w:rPr>
              <w:t>TLC 2015</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rPr>
                <w:color w:val="000000"/>
                <w:sz w:val="22"/>
                <w:szCs w:val="22"/>
              </w:rPr>
            </w:pPr>
            <w:r w:rsidRPr="00526F2F">
              <w:rPr>
                <w:color w:val="000000"/>
                <w:sz w:val="22"/>
                <w:szCs w:val="22"/>
              </w:rPr>
              <w:t>Sri Lanka</w:t>
            </w:r>
          </w:p>
        </w:tc>
        <w:tc>
          <w:tcPr>
            <w:tcW w:w="16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rPr>
                <w:color w:val="000000"/>
                <w:sz w:val="22"/>
                <w:szCs w:val="22"/>
              </w:rPr>
            </w:pPr>
            <w:proofErr w:type="spellStart"/>
            <w:r w:rsidRPr="00526F2F">
              <w:rPr>
                <w:color w:val="000000"/>
                <w:sz w:val="22"/>
                <w:szCs w:val="22"/>
              </w:rPr>
              <w:t>Negete</w:t>
            </w:r>
            <w:proofErr w:type="spellEnd"/>
            <w:r w:rsidRPr="00526F2F">
              <w:rPr>
                <w:color w:val="000000"/>
                <w:sz w:val="22"/>
                <w:szCs w:val="22"/>
              </w:rPr>
              <w:t xml:space="preserve"> Private Ltd.</w:t>
            </w:r>
          </w:p>
        </w:tc>
        <w:tc>
          <w:tcPr>
            <w:tcW w:w="7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jc w:val="right"/>
              <w:rPr>
                <w:color w:val="000000"/>
                <w:sz w:val="22"/>
                <w:szCs w:val="22"/>
              </w:rPr>
            </w:pPr>
            <w:r w:rsidRPr="00526F2F">
              <w:rPr>
                <w:color w:val="000000"/>
                <w:sz w:val="22"/>
                <w:szCs w:val="22"/>
              </w:rPr>
              <w:t>1,200.00</w:t>
            </w:r>
          </w:p>
        </w:tc>
        <w:tc>
          <w:tcPr>
            <w:tcW w:w="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jc w:val="right"/>
              <w:rPr>
                <w:color w:val="000000"/>
                <w:sz w:val="22"/>
                <w:szCs w:val="22"/>
              </w:rPr>
            </w:pPr>
            <w:r w:rsidRPr="00526F2F">
              <w:rPr>
                <w:color w:val="000000"/>
                <w:sz w:val="22"/>
                <w:szCs w:val="22"/>
              </w:rPr>
              <w:t>0.00</w:t>
            </w:r>
          </w:p>
        </w:tc>
        <w:tc>
          <w:tcPr>
            <w:tcW w:w="4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jc w:val="right"/>
              <w:rPr>
                <w:color w:val="000000"/>
                <w:sz w:val="22"/>
                <w:szCs w:val="22"/>
              </w:rPr>
            </w:pPr>
            <w:r w:rsidRPr="00526F2F">
              <w:rPr>
                <w:color w:val="000000"/>
                <w:sz w:val="22"/>
                <w:szCs w:val="22"/>
              </w:rPr>
              <w:t>1,200.00</w:t>
            </w:r>
          </w:p>
        </w:tc>
      </w:tr>
      <w:tr w:rsidR="00A36670" w:rsidRPr="00526F2F" w:rsidTr="00A36670">
        <w:trPr>
          <w:trHeight w:val="300"/>
        </w:trPr>
        <w:tc>
          <w:tcPr>
            <w:tcW w:w="79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jc w:val="center"/>
              <w:rPr>
                <w:color w:val="000000"/>
                <w:sz w:val="22"/>
                <w:szCs w:val="22"/>
              </w:rPr>
            </w:pPr>
            <w:r w:rsidRPr="00526F2F">
              <w:rPr>
                <w:color w:val="000000"/>
                <w:sz w:val="22"/>
                <w:szCs w:val="22"/>
              </w:rPr>
              <w:t>TLC 2015</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rPr>
                <w:color w:val="000000"/>
                <w:sz w:val="22"/>
                <w:szCs w:val="22"/>
              </w:rPr>
            </w:pPr>
            <w:r w:rsidRPr="00526F2F">
              <w:rPr>
                <w:color w:val="000000"/>
                <w:sz w:val="22"/>
                <w:szCs w:val="22"/>
              </w:rPr>
              <w:t>Egypt</w:t>
            </w:r>
          </w:p>
        </w:tc>
        <w:tc>
          <w:tcPr>
            <w:tcW w:w="16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rPr>
                <w:color w:val="000000"/>
                <w:sz w:val="22"/>
                <w:szCs w:val="22"/>
              </w:rPr>
            </w:pPr>
            <w:proofErr w:type="spellStart"/>
            <w:r w:rsidRPr="00526F2F">
              <w:rPr>
                <w:color w:val="000000"/>
                <w:sz w:val="22"/>
                <w:szCs w:val="22"/>
              </w:rPr>
              <w:t>Tawasol</w:t>
            </w:r>
            <w:proofErr w:type="spellEnd"/>
            <w:r w:rsidRPr="00526F2F">
              <w:rPr>
                <w:color w:val="000000"/>
                <w:sz w:val="22"/>
                <w:szCs w:val="22"/>
              </w:rPr>
              <w:t xml:space="preserve"> IT</w:t>
            </w:r>
          </w:p>
        </w:tc>
        <w:tc>
          <w:tcPr>
            <w:tcW w:w="7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jc w:val="right"/>
              <w:rPr>
                <w:color w:val="000000"/>
                <w:sz w:val="22"/>
                <w:szCs w:val="22"/>
              </w:rPr>
            </w:pPr>
            <w:r w:rsidRPr="00526F2F">
              <w:rPr>
                <w:color w:val="000000"/>
                <w:sz w:val="22"/>
                <w:szCs w:val="22"/>
              </w:rPr>
              <w:t>1,200.00</w:t>
            </w:r>
          </w:p>
        </w:tc>
        <w:tc>
          <w:tcPr>
            <w:tcW w:w="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jc w:val="right"/>
              <w:rPr>
                <w:color w:val="000000"/>
                <w:sz w:val="22"/>
                <w:szCs w:val="22"/>
              </w:rPr>
            </w:pPr>
            <w:r w:rsidRPr="00526F2F">
              <w:rPr>
                <w:color w:val="000000"/>
                <w:sz w:val="22"/>
                <w:szCs w:val="22"/>
              </w:rPr>
              <w:t>0.00</w:t>
            </w:r>
          </w:p>
        </w:tc>
        <w:tc>
          <w:tcPr>
            <w:tcW w:w="4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jc w:val="right"/>
              <w:rPr>
                <w:color w:val="000000"/>
                <w:sz w:val="22"/>
                <w:szCs w:val="22"/>
              </w:rPr>
            </w:pPr>
            <w:r w:rsidRPr="00526F2F">
              <w:rPr>
                <w:color w:val="000000"/>
                <w:sz w:val="22"/>
                <w:szCs w:val="22"/>
              </w:rPr>
              <w:t>1,200.00</w:t>
            </w:r>
          </w:p>
        </w:tc>
      </w:tr>
      <w:tr w:rsidR="00A36670" w:rsidRPr="00526F2F" w:rsidTr="00A36670">
        <w:trPr>
          <w:trHeight w:val="300"/>
        </w:trPr>
        <w:tc>
          <w:tcPr>
            <w:tcW w:w="79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jc w:val="center"/>
              <w:rPr>
                <w:color w:val="000000"/>
                <w:sz w:val="22"/>
                <w:szCs w:val="22"/>
              </w:rPr>
            </w:pPr>
            <w:r w:rsidRPr="00526F2F">
              <w:rPr>
                <w:color w:val="000000"/>
                <w:sz w:val="22"/>
                <w:szCs w:val="22"/>
              </w:rPr>
              <w:t>TLC 2015</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rPr>
                <w:color w:val="000000"/>
                <w:sz w:val="22"/>
                <w:szCs w:val="22"/>
              </w:rPr>
            </w:pPr>
            <w:r w:rsidRPr="00526F2F">
              <w:rPr>
                <w:color w:val="000000"/>
                <w:sz w:val="22"/>
                <w:szCs w:val="22"/>
              </w:rPr>
              <w:t>Uganda</w:t>
            </w:r>
          </w:p>
        </w:tc>
        <w:tc>
          <w:tcPr>
            <w:tcW w:w="16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rPr>
                <w:color w:val="000000"/>
                <w:sz w:val="22"/>
                <w:szCs w:val="22"/>
              </w:rPr>
            </w:pPr>
            <w:r w:rsidRPr="00526F2F">
              <w:rPr>
                <w:color w:val="000000"/>
                <w:sz w:val="22"/>
                <w:szCs w:val="22"/>
              </w:rPr>
              <w:t>Uganda Communications Commission</w:t>
            </w:r>
          </w:p>
        </w:tc>
        <w:tc>
          <w:tcPr>
            <w:tcW w:w="7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jc w:val="right"/>
              <w:rPr>
                <w:color w:val="000000"/>
                <w:sz w:val="22"/>
                <w:szCs w:val="22"/>
              </w:rPr>
            </w:pPr>
            <w:r w:rsidRPr="00526F2F">
              <w:rPr>
                <w:color w:val="000000"/>
                <w:sz w:val="22"/>
                <w:szCs w:val="22"/>
              </w:rPr>
              <w:t>130,000.00</w:t>
            </w:r>
          </w:p>
        </w:tc>
        <w:tc>
          <w:tcPr>
            <w:tcW w:w="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jc w:val="right"/>
              <w:rPr>
                <w:color w:val="000000"/>
                <w:sz w:val="22"/>
                <w:szCs w:val="22"/>
              </w:rPr>
            </w:pPr>
            <w:r w:rsidRPr="00526F2F">
              <w:rPr>
                <w:color w:val="000000"/>
                <w:sz w:val="22"/>
                <w:szCs w:val="22"/>
              </w:rPr>
              <w:t>130,000.00</w:t>
            </w:r>
          </w:p>
        </w:tc>
        <w:tc>
          <w:tcPr>
            <w:tcW w:w="4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jc w:val="right"/>
              <w:rPr>
                <w:color w:val="000000"/>
                <w:sz w:val="22"/>
                <w:szCs w:val="22"/>
              </w:rPr>
            </w:pPr>
            <w:r w:rsidRPr="00526F2F">
              <w:rPr>
                <w:color w:val="000000"/>
                <w:sz w:val="22"/>
                <w:szCs w:val="22"/>
              </w:rPr>
              <w:t>0.00</w:t>
            </w:r>
          </w:p>
        </w:tc>
      </w:tr>
      <w:tr w:rsidR="00A36670" w:rsidRPr="00526F2F" w:rsidTr="00A36670">
        <w:trPr>
          <w:trHeight w:val="300"/>
        </w:trPr>
        <w:tc>
          <w:tcPr>
            <w:tcW w:w="79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jc w:val="center"/>
              <w:rPr>
                <w:color w:val="000000"/>
                <w:sz w:val="22"/>
                <w:szCs w:val="22"/>
              </w:rPr>
            </w:pPr>
            <w:r w:rsidRPr="00526F2F">
              <w:rPr>
                <w:color w:val="000000"/>
                <w:sz w:val="22"/>
                <w:szCs w:val="22"/>
              </w:rPr>
              <w:t> </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rPr>
                <w:color w:val="000000"/>
                <w:sz w:val="22"/>
                <w:szCs w:val="22"/>
              </w:rPr>
            </w:pPr>
            <w:r w:rsidRPr="00526F2F">
              <w:rPr>
                <w:color w:val="000000"/>
                <w:sz w:val="22"/>
                <w:szCs w:val="22"/>
              </w:rPr>
              <w:t> </w:t>
            </w:r>
          </w:p>
        </w:tc>
        <w:tc>
          <w:tcPr>
            <w:tcW w:w="16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rPr>
                <w:color w:val="000000"/>
                <w:sz w:val="22"/>
                <w:szCs w:val="22"/>
              </w:rPr>
            </w:pPr>
            <w:r w:rsidRPr="00526F2F">
              <w:rPr>
                <w:color w:val="000000"/>
                <w:sz w:val="22"/>
                <w:szCs w:val="22"/>
              </w:rPr>
              <w:t> </w:t>
            </w:r>
          </w:p>
        </w:tc>
        <w:tc>
          <w:tcPr>
            <w:tcW w:w="7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rPr>
                <w:color w:val="000000"/>
                <w:sz w:val="22"/>
                <w:szCs w:val="22"/>
              </w:rPr>
            </w:pPr>
            <w:r w:rsidRPr="00526F2F">
              <w:rPr>
                <w:color w:val="000000"/>
                <w:sz w:val="22"/>
                <w:szCs w:val="22"/>
              </w:rPr>
              <w:t> </w:t>
            </w:r>
          </w:p>
        </w:tc>
        <w:tc>
          <w:tcPr>
            <w:tcW w:w="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rPr>
                <w:color w:val="000000"/>
                <w:sz w:val="22"/>
                <w:szCs w:val="22"/>
              </w:rPr>
            </w:pPr>
            <w:r w:rsidRPr="00526F2F">
              <w:rPr>
                <w:color w:val="000000"/>
                <w:sz w:val="22"/>
                <w:szCs w:val="22"/>
              </w:rPr>
              <w:t> </w:t>
            </w:r>
          </w:p>
        </w:tc>
        <w:tc>
          <w:tcPr>
            <w:tcW w:w="4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rPr>
                <w:color w:val="000000"/>
                <w:sz w:val="22"/>
                <w:szCs w:val="22"/>
              </w:rPr>
            </w:pPr>
            <w:r w:rsidRPr="00526F2F">
              <w:rPr>
                <w:color w:val="000000"/>
                <w:sz w:val="22"/>
                <w:szCs w:val="22"/>
              </w:rPr>
              <w:t> </w:t>
            </w:r>
          </w:p>
        </w:tc>
      </w:tr>
      <w:tr w:rsidR="00A36670" w:rsidRPr="00526F2F" w:rsidTr="00A36670">
        <w:trPr>
          <w:trHeight w:val="300"/>
        </w:trPr>
        <w:tc>
          <w:tcPr>
            <w:tcW w:w="79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A36670" w:rsidRDefault="00FD1451" w:rsidP="00966288">
            <w:pPr>
              <w:spacing w:before="0"/>
              <w:jc w:val="center"/>
              <w:rPr>
                <w:b/>
                <w:bCs/>
                <w:color w:val="000000"/>
                <w:sz w:val="22"/>
                <w:szCs w:val="22"/>
              </w:rPr>
            </w:pPr>
            <w:r w:rsidRPr="00A36670">
              <w:rPr>
                <w:b/>
                <w:bCs/>
                <w:color w:val="000000"/>
                <w:sz w:val="22"/>
                <w:szCs w:val="22"/>
              </w:rPr>
              <w:t>TLC 2015</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rPr>
                <w:color w:val="000000"/>
                <w:sz w:val="22"/>
                <w:szCs w:val="22"/>
              </w:rPr>
            </w:pPr>
            <w:r w:rsidRPr="00526F2F">
              <w:rPr>
                <w:color w:val="000000"/>
                <w:sz w:val="22"/>
                <w:szCs w:val="22"/>
              </w:rPr>
              <w:t> </w:t>
            </w:r>
          </w:p>
        </w:tc>
        <w:tc>
          <w:tcPr>
            <w:tcW w:w="16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rPr>
                <w:color w:val="000000"/>
                <w:sz w:val="22"/>
                <w:szCs w:val="22"/>
              </w:rPr>
            </w:pPr>
            <w:r w:rsidRPr="00526F2F">
              <w:rPr>
                <w:color w:val="000000"/>
                <w:sz w:val="22"/>
                <w:szCs w:val="22"/>
              </w:rPr>
              <w:t> </w:t>
            </w:r>
          </w:p>
        </w:tc>
        <w:tc>
          <w:tcPr>
            <w:tcW w:w="7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rPr>
                <w:color w:val="000000"/>
                <w:sz w:val="22"/>
                <w:szCs w:val="22"/>
              </w:rPr>
            </w:pPr>
            <w:r w:rsidRPr="00526F2F">
              <w:rPr>
                <w:color w:val="000000"/>
                <w:sz w:val="22"/>
                <w:szCs w:val="22"/>
              </w:rPr>
              <w:t> </w:t>
            </w:r>
          </w:p>
        </w:tc>
        <w:tc>
          <w:tcPr>
            <w:tcW w:w="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rPr>
                <w:rFonts w:cs="Arial"/>
                <w:b/>
                <w:bCs/>
                <w:sz w:val="20"/>
              </w:rPr>
            </w:pPr>
            <w:r w:rsidRPr="00526F2F">
              <w:rPr>
                <w:rFonts w:cs="Arial"/>
                <w:b/>
                <w:bCs/>
                <w:sz w:val="20"/>
              </w:rPr>
              <w:t> </w:t>
            </w:r>
          </w:p>
        </w:tc>
        <w:tc>
          <w:tcPr>
            <w:tcW w:w="4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rsidP="00966288">
            <w:pPr>
              <w:spacing w:before="0"/>
              <w:jc w:val="right"/>
              <w:rPr>
                <w:rFonts w:cs="Arial"/>
                <w:b/>
                <w:bCs/>
                <w:sz w:val="20"/>
              </w:rPr>
            </w:pPr>
            <w:r w:rsidRPr="00526F2F">
              <w:rPr>
                <w:rFonts w:cs="Arial"/>
                <w:b/>
                <w:bCs/>
                <w:sz w:val="20"/>
              </w:rPr>
              <w:t>2,400.00</w:t>
            </w:r>
          </w:p>
        </w:tc>
      </w:tr>
    </w:tbl>
    <w:p w:rsidR="00A36670" w:rsidRDefault="00A36670">
      <w:r>
        <w:br w:type="page"/>
      </w:r>
    </w:p>
    <w:p w:rsidR="003502D0" w:rsidRDefault="003502D0"/>
    <w:p w:rsidR="00101FB9" w:rsidRDefault="00101FB9" w:rsidP="00F25F37">
      <w:pPr>
        <w:spacing w:after="120"/>
        <w:jc w:val="center"/>
      </w:pPr>
      <w:r w:rsidRPr="00832C65">
        <w:rPr>
          <w:b/>
          <w:bCs/>
          <w:sz w:val="28"/>
          <w:szCs w:val="28"/>
          <w:lang w:val="en-US"/>
        </w:rPr>
        <w:t>List of debtors at 31</w:t>
      </w:r>
      <w:r w:rsidR="00F25F37">
        <w:rPr>
          <w:b/>
          <w:bCs/>
          <w:sz w:val="28"/>
          <w:szCs w:val="28"/>
          <w:lang w:val="en-US"/>
        </w:rPr>
        <w:t xml:space="preserve"> December </w:t>
      </w:r>
      <w:r w:rsidRPr="00832C65">
        <w:rPr>
          <w:b/>
          <w:bCs/>
          <w:sz w:val="28"/>
          <w:szCs w:val="28"/>
          <w:lang w:val="en-US"/>
        </w:rPr>
        <w:t>2017 for closed ITU TELECOM events (</w:t>
      </w:r>
      <w:r w:rsidR="00F25F37" w:rsidRPr="00F25F37">
        <w:rPr>
          <w:b/>
          <w:bCs/>
          <w:i/>
          <w:iCs/>
          <w:sz w:val="28"/>
          <w:szCs w:val="28"/>
          <w:lang w:val="en-US"/>
        </w:rPr>
        <w:t>end</w:t>
      </w:r>
      <w:r w:rsidR="00F25F37">
        <w:rPr>
          <w:b/>
          <w:bCs/>
          <w:sz w:val="28"/>
          <w:szCs w:val="28"/>
          <w:lang w:val="en-US"/>
        </w:rPr>
        <w:t>)</w:t>
      </w:r>
    </w:p>
    <w:tbl>
      <w:tblPr>
        <w:tblW w:w="5000" w:type="pct"/>
        <w:tblCellMar>
          <w:left w:w="0" w:type="dxa"/>
          <w:right w:w="0" w:type="dxa"/>
        </w:tblCellMar>
        <w:tblLook w:val="04A0" w:firstRow="1" w:lastRow="0" w:firstColumn="1" w:lastColumn="0" w:noHBand="0" w:noVBand="1"/>
      </w:tblPr>
      <w:tblGrid>
        <w:gridCol w:w="1660"/>
        <w:gridCol w:w="1244"/>
        <w:gridCol w:w="3480"/>
        <w:gridCol w:w="1506"/>
        <w:gridCol w:w="1525"/>
        <w:gridCol w:w="1042"/>
      </w:tblGrid>
      <w:tr w:rsidR="00A36670" w:rsidRPr="00526F2F" w:rsidTr="003502D0">
        <w:trPr>
          <w:trHeight w:val="525"/>
        </w:trPr>
        <w:tc>
          <w:tcPr>
            <w:tcW w:w="79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FD1451" w:rsidRPr="00526F2F" w:rsidRDefault="00FD1451">
            <w:pPr>
              <w:jc w:val="center"/>
              <w:rPr>
                <w:rFonts w:cs="Arial"/>
                <w:b/>
                <w:bCs/>
                <w:sz w:val="20"/>
              </w:rPr>
            </w:pPr>
            <w:r w:rsidRPr="00526F2F">
              <w:rPr>
                <w:rFonts w:cs="Arial"/>
                <w:b/>
                <w:bCs/>
                <w:sz w:val="20"/>
              </w:rPr>
              <w:t>Event</w:t>
            </w:r>
          </w:p>
        </w:tc>
        <w:tc>
          <w:tcPr>
            <w:tcW w:w="59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D1451" w:rsidRPr="00526F2F" w:rsidRDefault="00FD1451">
            <w:pPr>
              <w:jc w:val="center"/>
              <w:rPr>
                <w:rFonts w:cs="Arial"/>
                <w:b/>
                <w:bCs/>
                <w:sz w:val="20"/>
              </w:rPr>
            </w:pPr>
            <w:r w:rsidRPr="00526F2F">
              <w:rPr>
                <w:rFonts w:cs="Arial"/>
                <w:b/>
                <w:bCs/>
                <w:sz w:val="20"/>
              </w:rPr>
              <w:t>Country</w:t>
            </w:r>
          </w:p>
        </w:tc>
        <w:tc>
          <w:tcPr>
            <w:tcW w:w="1664"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D1451" w:rsidRPr="00526F2F" w:rsidRDefault="00FD1451">
            <w:pPr>
              <w:jc w:val="center"/>
              <w:rPr>
                <w:rFonts w:cs="Arial"/>
                <w:b/>
                <w:bCs/>
                <w:sz w:val="20"/>
              </w:rPr>
            </w:pPr>
            <w:r w:rsidRPr="00526F2F">
              <w:rPr>
                <w:rFonts w:cs="Arial"/>
                <w:b/>
                <w:bCs/>
                <w:sz w:val="20"/>
              </w:rPr>
              <w:t>Company</w:t>
            </w:r>
          </w:p>
        </w:tc>
        <w:tc>
          <w:tcPr>
            <w:tcW w:w="720"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D1451" w:rsidRPr="00526F2F" w:rsidRDefault="00FD1451">
            <w:pPr>
              <w:jc w:val="center"/>
              <w:rPr>
                <w:rFonts w:cs="Arial"/>
                <w:b/>
                <w:bCs/>
                <w:sz w:val="20"/>
              </w:rPr>
            </w:pPr>
            <w:r w:rsidRPr="00526F2F">
              <w:rPr>
                <w:rFonts w:cs="Arial"/>
                <w:b/>
                <w:bCs/>
                <w:sz w:val="20"/>
              </w:rPr>
              <w:t>Amount invoiced</w:t>
            </w:r>
          </w:p>
        </w:tc>
        <w:tc>
          <w:tcPr>
            <w:tcW w:w="729"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D1451" w:rsidRPr="00526F2F" w:rsidRDefault="00FD1451">
            <w:pPr>
              <w:jc w:val="center"/>
              <w:rPr>
                <w:rFonts w:cs="Arial"/>
                <w:b/>
                <w:bCs/>
                <w:sz w:val="20"/>
              </w:rPr>
            </w:pPr>
            <w:r w:rsidRPr="00526F2F">
              <w:rPr>
                <w:rFonts w:cs="Arial"/>
                <w:b/>
                <w:bCs/>
                <w:sz w:val="20"/>
              </w:rPr>
              <w:t xml:space="preserve">Payment received </w:t>
            </w:r>
          </w:p>
        </w:tc>
        <w:tc>
          <w:tcPr>
            <w:tcW w:w="49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D1451" w:rsidRPr="00526F2F" w:rsidRDefault="00FD1451">
            <w:pPr>
              <w:jc w:val="center"/>
              <w:rPr>
                <w:rFonts w:cs="Arial"/>
                <w:b/>
                <w:bCs/>
                <w:sz w:val="20"/>
              </w:rPr>
            </w:pPr>
            <w:r w:rsidRPr="00526F2F">
              <w:rPr>
                <w:rFonts w:cs="Arial"/>
                <w:b/>
                <w:bCs/>
                <w:sz w:val="20"/>
              </w:rPr>
              <w:t>Balance due</w:t>
            </w:r>
          </w:p>
        </w:tc>
      </w:tr>
      <w:tr w:rsidR="00A36670" w:rsidRPr="00526F2F" w:rsidTr="003502D0">
        <w:trPr>
          <w:trHeight w:val="300"/>
        </w:trPr>
        <w:tc>
          <w:tcPr>
            <w:tcW w:w="79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jc w:val="center"/>
              <w:rPr>
                <w:rFonts w:cs="Arial"/>
                <w:b/>
                <w:bCs/>
                <w:sz w:val="20"/>
              </w:rPr>
            </w:pPr>
            <w:r w:rsidRPr="00526F2F">
              <w:rPr>
                <w:rFonts w:cs="Arial"/>
                <w:b/>
                <w:bCs/>
                <w:sz w:val="20"/>
              </w:rPr>
              <w:t> </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jc w:val="center"/>
              <w:rPr>
                <w:rFonts w:cs="Arial"/>
                <w:b/>
                <w:bCs/>
                <w:sz w:val="20"/>
              </w:rPr>
            </w:pPr>
            <w:r w:rsidRPr="00526F2F">
              <w:rPr>
                <w:rFonts w:cs="Arial"/>
                <w:b/>
                <w:bCs/>
                <w:sz w:val="20"/>
              </w:rPr>
              <w:t> </w:t>
            </w:r>
          </w:p>
        </w:tc>
        <w:tc>
          <w:tcPr>
            <w:tcW w:w="16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jc w:val="center"/>
              <w:rPr>
                <w:rFonts w:cs="Arial"/>
                <w:sz w:val="20"/>
              </w:rPr>
            </w:pPr>
            <w:r w:rsidRPr="00526F2F">
              <w:rPr>
                <w:rFonts w:cs="Arial"/>
                <w:sz w:val="20"/>
              </w:rPr>
              <w:t> </w:t>
            </w:r>
          </w:p>
        </w:tc>
        <w:tc>
          <w:tcPr>
            <w:tcW w:w="7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jc w:val="center"/>
              <w:rPr>
                <w:rFonts w:cs="Arial"/>
                <w:sz w:val="20"/>
              </w:rPr>
            </w:pPr>
            <w:r w:rsidRPr="00526F2F">
              <w:rPr>
                <w:rFonts w:cs="Arial"/>
                <w:sz w:val="20"/>
              </w:rPr>
              <w:t> </w:t>
            </w:r>
          </w:p>
        </w:tc>
        <w:tc>
          <w:tcPr>
            <w:tcW w:w="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jc w:val="center"/>
              <w:rPr>
                <w:rFonts w:cs="Arial"/>
                <w:sz w:val="20"/>
              </w:rPr>
            </w:pPr>
            <w:r w:rsidRPr="00526F2F">
              <w:rPr>
                <w:rFonts w:cs="Arial"/>
                <w:sz w:val="20"/>
              </w:rPr>
              <w:t> </w:t>
            </w:r>
          </w:p>
        </w:tc>
        <w:tc>
          <w:tcPr>
            <w:tcW w:w="4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jc w:val="center"/>
              <w:rPr>
                <w:rFonts w:cs="Arial"/>
                <w:sz w:val="20"/>
              </w:rPr>
            </w:pPr>
            <w:r w:rsidRPr="00526F2F">
              <w:rPr>
                <w:rFonts w:cs="Arial"/>
                <w:sz w:val="20"/>
              </w:rPr>
              <w:t> </w:t>
            </w:r>
          </w:p>
        </w:tc>
      </w:tr>
      <w:tr w:rsidR="00A36670" w:rsidRPr="00526F2F" w:rsidTr="003502D0">
        <w:trPr>
          <w:trHeight w:val="300"/>
        </w:trPr>
        <w:tc>
          <w:tcPr>
            <w:tcW w:w="79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jc w:val="center"/>
              <w:rPr>
                <w:sz w:val="22"/>
                <w:szCs w:val="22"/>
              </w:rPr>
            </w:pPr>
            <w:r w:rsidRPr="00526F2F">
              <w:rPr>
                <w:sz w:val="22"/>
                <w:szCs w:val="22"/>
              </w:rPr>
              <w:t>TLC 2016</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rPr>
                <w:color w:val="000000"/>
                <w:sz w:val="22"/>
                <w:szCs w:val="22"/>
              </w:rPr>
            </w:pPr>
            <w:r w:rsidRPr="00526F2F">
              <w:rPr>
                <w:color w:val="000000"/>
                <w:sz w:val="22"/>
                <w:szCs w:val="22"/>
              </w:rPr>
              <w:t>Uganda</w:t>
            </w:r>
          </w:p>
        </w:tc>
        <w:tc>
          <w:tcPr>
            <w:tcW w:w="16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rPr>
                <w:sz w:val="22"/>
                <w:szCs w:val="22"/>
              </w:rPr>
            </w:pPr>
            <w:proofErr w:type="spellStart"/>
            <w:r w:rsidRPr="00526F2F">
              <w:rPr>
                <w:sz w:val="22"/>
                <w:szCs w:val="22"/>
              </w:rPr>
              <w:t>Abercom</w:t>
            </w:r>
            <w:proofErr w:type="spellEnd"/>
            <w:r w:rsidRPr="00526F2F">
              <w:rPr>
                <w:sz w:val="22"/>
                <w:szCs w:val="22"/>
              </w:rPr>
              <w:t>(U)</w:t>
            </w:r>
          </w:p>
        </w:tc>
        <w:tc>
          <w:tcPr>
            <w:tcW w:w="7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jc w:val="right"/>
              <w:rPr>
                <w:sz w:val="22"/>
                <w:szCs w:val="22"/>
              </w:rPr>
            </w:pPr>
            <w:r w:rsidRPr="00526F2F">
              <w:rPr>
                <w:sz w:val="22"/>
                <w:szCs w:val="22"/>
              </w:rPr>
              <w:t>1,200.00</w:t>
            </w:r>
          </w:p>
        </w:tc>
        <w:tc>
          <w:tcPr>
            <w:tcW w:w="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jc w:val="right"/>
              <w:rPr>
                <w:sz w:val="22"/>
                <w:szCs w:val="22"/>
              </w:rPr>
            </w:pPr>
            <w:r w:rsidRPr="00526F2F">
              <w:rPr>
                <w:sz w:val="22"/>
                <w:szCs w:val="22"/>
              </w:rPr>
              <w:t>0.00</w:t>
            </w:r>
          </w:p>
        </w:tc>
        <w:tc>
          <w:tcPr>
            <w:tcW w:w="4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jc w:val="right"/>
              <w:rPr>
                <w:sz w:val="22"/>
                <w:szCs w:val="22"/>
              </w:rPr>
            </w:pPr>
            <w:r w:rsidRPr="00526F2F">
              <w:rPr>
                <w:sz w:val="22"/>
                <w:szCs w:val="22"/>
              </w:rPr>
              <w:t>1,200.00</w:t>
            </w:r>
          </w:p>
        </w:tc>
      </w:tr>
      <w:tr w:rsidR="00A36670" w:rsidRPr="00526F2F" w:rsidTr="003502D0">
        <w:trPr>
          <w:trHeight w:val="300"/>
        </w:trPr>
        <w:tc>
          <w:tcPr>
            <w:tcW w:w="79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jc w:val="center"/>
              <w:rPr>
                <w:sz w:val="22"/>
                <w:szCs w:val="22"/>
              </w:rPr>
            </w:pPr>
            <w:r w:rsidRPr="00526F2F">
              <w:rPr>
                <w:sz w:val="22"/>
                <w:szCs w:val="22"/>
              </w:rPr>
              <w:t>TLC 2016</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rPr>
                <w:color w:val="000000"/>
                <w:sz w:val="22"/>
                <w:szCs w:val="22"/>
              </w:rPr>
            </w:pPr>
            <w:r w:rsidRPr="00526F2F">
              <w:rPr>
                <w:color w:val="000000"/>
                <w:sz w:val="22"/>
                <w:szCs w:val="22"/>
              </w:rPr>
              <w:t>Kenya</w:t>
            </w:r>
          </w:p>
        </w:tc>
        <w:tc>
          <w:tcPr>
            <w:tcW w:w="16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rPr>
                <w:color w:val="000000"/>
                <w:sz w:val="22"/>
                <w:szCs w:val="22"/>
              </w:rPr>
            </w:pPr>
            <w:proofErr w:type="spellStart"/>
            <w:r w:rsidRPr="00526F2F">
              <w:rPr>
                <w:color w:val="000000"/>
                <w:sz w:val="22"/>
                <w:szCs w:val="22"/>
              </w:rPr>
              <w:t>FarmDrive</w:t>
            </w:r>
            <w:proofErr w:type="spellEnd"/>
          </w:p>
        </w:tc>
        <w:tc>
          <w:tcPr>
            <w:tcW w:w="7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jc w:val="right"/>
              <w:rPr>
                <w:color w:val="000000"/>
                <w:sz w:val="22"/>
                <w:szCs w:val="22"/>
              </w:rPr>
            </w:pPr>
            <w:r w:rsidRPr="00526F2F">
              <w:rPr>
                <w:color w:val="000000"/>
                <w:sz w:val="22"/>
                <w:szCs w:val="22"/>
              </w:rPr>
              <w:t>1,200.00</w:t>
            </w:r>
          </w:p>
        </w:tc>
        <w:tc>
          <w:tcPr>
            <w:tcW w:w="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jc w:val="right"/>
              <w:rPr>
                <w:color w:val="000000"/>
                <w:sz w:val="22"/>
                <w:szCs w:val="22"/>
              </w:rPr>
            </w:pPr>
            <w:r w:rsidRPr="00526F2F">
              <w:rPr>
                <w:color w:val="000000"/>
                <w:sz w:val="22"/>
                <w:szCs w:val="22"/>
              </w:rPr>
              <w:t>0.00</w:t>
            </w:r>
          </w:p>
        </w:tc>
        <w:tc>
          <w:tcPr>
            <w:tcW w:w="4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jc w:val="right"/>
              <w:rPr>
                <w:sz w:val="22"/>
                <w:szCs w:val="22"/>
              </w:rPr>
            </w:pPr>
            <w:r w:rsidRPr="00526F2F">
              <w:rPr>
                <w:sz w:val="22"/>
                <w:szCs w:val="22"/>
              </w:rPr>
              <w:t>1,200.00</w:t>
            </w:r>
          </w:p>
        </w:tc>
      </w:tr>
      <w:tr w:rsidR="00A36670" w:rsidRPr="00526F2F" w:rsidTr="003502D0">
        <w:trPr>
          <w:trHeight w:val="300"/>
        </w:trPr>
        <w:tc>
          <w:tcPr>
            <w:tcW w:w="79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jc w:val="center"/>
              <w:rPr>
                <w:sz w:val="22"/>
                <w:szCs w:val="22"/>
              </w:rPr>
            </w:pPr>
            <w:r w:rsidRPr="00526F2F">
              <w:rPr>
                <w:sz w:val="22"/>
                <w:szCs w:val="22"/>
              </w:rPr>
              <w:t>TLC 2016</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rPr>
                <w:color w:val="000000"/>
                <w:sz w:val="22"/>
                <w:szCs w:val="22"/>
              </w:rPr>
            </w:pPr>
            <w:r w:rsidRPr="00526F2F">
              <w:rPr>
                <w:color w:val="000000"/>
                <w:sz w:val="22"/>
                <w:szCs w:val="22"/>
              </w:rPr>
              <w:t>Algeria</w:t>
            </w:r>
          </w:p>
        </w:tc>
        <w:tc>
          <w:tcPr>
            <w:tcW w:w="16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rPr>
                <w:color w:val="000000"/>
                <w:sz w:val="22"/>
                <w:szCs w:val="22"/>
                <w:lang w:val="fr-CH"/>
              </w:rPr>
            </w:pPr>
            <w:r w:rsidRPr="00526F2F">
              <w:rPr>
                <w:color w:val="000000"/>
                <w:sz w:val="22"/>
                <w:szCs w:val="22"/>
                <w:lang w:val="fr-CH"/>
              </w:rPr>
              <w:t>Ministère de la Poste &amp; des Tech.</w:t>
            </w:r>
          </w:p>
        </w:tc>
        <w:tc>
          <w:tcPr>
            <w:tcW w:w="7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jc w:val="right"/>
              <w:rPr>
                <w:color w:val="000000"/>
                <w:sz w:val="22"/>
                <w:szCs w:val="22"/>
              </w:rPr>
            </w:pPr>
            <w:r w:rsidRPr="00526F2F">
              <w:rPr>
                <w:color w:val="000000"/>
                <w:sz w:val="22"/>
                <w:szCs w:val="22"/>
              </w:rPr>
              <w:t>11,900.00</w:t>
            </w:r>
          </w:p>
        </w:tc>
        <w:tc>
          <w:tcPr>
            <w:tcW w:w="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jc w:val="right"/>
              <w:rPr>
                <w:color w:val="000000"/>
                <w:sz w:val="22"/>
                <w:szCs w:val="22"/>
              </w:rPr>
            </w:pPr>
            <w:r w:rsidRPr="00526F2F">
              <w:rPr>
                <w:color w:val="000000"/>
                <w:sz w:val="22"/>
                <w:szCs w:val="22"/>
              </w:rPr>
              <w:t>11,900.00</w:t>
            </w:r>
          </w:p>
        </w:tc>
        <w:tc>
          <w:tcPr>
            <w:tcW w:w="4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jc w:val="right"/>
              <w:rPr>
                <w:sz w:val="22"/>
                <w:szCs w:val="22"/>
              </w:rPr>
            </w:pPr>
            <w:r w:rsidRPr="00526F2F">
              <w:rPr>
                <w:sz w:val="22"/>
                <w:szCs w:val="22"/>
              </w:rPr>
              <w:t>0.00</w:t>
            </w:r>
          </w:p>
        </w:tc>
      </w:tr>
      <w:tr w:rsidR="00A36670" w:rsidRPr="00526F2F" w:rsidTr="003502D0">
        <w:trPr>
          <w:trHeight w:val="300"/>
        </w:trPr>
        <w:tc>
          <w:tcPr>
            <w:tcW w:w="79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jc w:val="center"/>
              <w:rPr>
                <w:sz w:val="22"/>
                <w:szCs w:val="22"/>
              </w:rPr>
            </w:pPr>
            <w:r w:rsidRPr="00526F2F">
              <w:rPr>
                <w:sz w:val="22"/>
                <w:szCs w:val="22"/>
              </w:rPr>
              <w:t>TLC 2016</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rPr>
                <w:color w:val="000000"/>
                <w:sz w:val="22"/>
                <w:szCs w:val="22"/>
              </w:rPr>
            </w:pPr>
            <w:r w:rsidRPr="00526F2F">
              <w:rPr>
                <w:color w:val="000000"/>
                <w:sz w:val="22"/>
                <w:szCs w:val="22"/>
              </w:rPr>
              <w:t>Argentina</w:t>
            </w:r>
          </w:p>
        </w:tc>
        <w:tc>
          <w:tcPr>
            <w:tcW w:w="16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rPr>
                <w:color w:val="000000"/>
                <w:sz w:val="22"/>
                <w:szCs w:val="22"/>
              </w:rPr>
            </w:pPr>
            <w:proofErr w:type="spellStart"/>
            <w:r w:rsidRPr="00526F2F">
              <w:rPr>
                <w:color w:val="000000"/>
                <w:sz w:val="22"/>
                <w:szCs w:val="22"/>
              </w:rPr>
              <w:t>Ministerio</w:t>
            </w:r>
            <w:proofErr w:type="spellEnd"/>
            <w:r w:rsidRPr="00526F2F">
              <w:rPr>
                <w:color w:val="000000"/>
                <w:sz w:val="22"/>
                <w:szCs w:val="22"/>
              </w:rPr>
              <w:t xml:space="preserve"> de </w:t>
            </w:r>
            <w:proofErr w:type="spellStart"/>
            <w:r w:rsidRPr="00526F2F">
              <w:rPr>
                <w:color w:val="000000"/>
                <w:sz w:val="22"/>
                <w:szCs w:val="22"/>
              </w:rPr>
              <w:t>Comunicaciones</w:t>
            </w:r>
            <w:proofErr w:type="spellEnd"/>
          </w:p>
        </w:tc>
        <w:tc>
          <w:tcPr>
            <w:tcW w:w="7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jc w:val="right"/>
              <w:rPr>
                <w:color w:val="000000"/>
                <w:sz w:val="22"/>
                <w:szCs w:val="22"/>
              </w:rPr>
            </w:pPr>
            <w:r w:rsidRPr="00526F2F">
              <w:rPr>
                <w:color w:val="000000"/>
                <w:sz w:val="22"/>
                <w:szCs w:val="22"/>
              </w:rPr>
              <w:t>40,000.00</w:t>
            </w:r>
          </w:p>
        </w:tc>
        <w:tc>
          <w:tcPr>
            <w:tcW w:w="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jc w:val="right"/>
              <w:rPr>
                <w:color w:val="000000"/>
                <w:sz w:val="22"/>
                <w:szCs w:val="22"/>
              </w:rPr>
            </w:pPr>
            <w:r w:rsidRPr="00526F2F">
              <w:rPr>
                <w:color w:val="000000"/>
                <w:sz w:val="22"/>
                <w:szCs w:val="22"/>
              </w:rPr>
              <w:t>0.00</w:t>
            </w:r>
          </w:p>
        </w:tc>
        <w:tc>
          <w:tcPr>
            <w:tcW w:w="4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jc w:val="right"/>
              <w:rPr>
                <w:sz w:val="22"/>
                <w:szCs w:val="22"/>
              </w:rPr>
            </w:pPr>
            <w:r w:rsidRPr="00526F2F">
              <w:rPr>
                <w:sz w:val="22"/>
                <w:szCs w:val="22"/>
              </w:rPr>
              <w:t>40,000.00</w:t>
            </w:r>
          </w:p>
        </w:tc>
      </w:tr>
      <w:tr w:rsidR="00A36670" w:rsidRPr="00526F2F" w:rsidTr="003502D0">
        <w:trPr>
          <w:trHeight w:val="300"/>
        </w:trPr>
        <w:tc>
          <w:tcPr>
            <w:tcW w:w="79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jc w:val="center"/>
              <w:rPr>
                <w:sz w:val="22"/>
                <w:szCs w:val="22"/>
              </w:rPr>
            </w:pPr>
            <w:r w:rsidRPr="00526F2F">
              <w:rPr>
                <w:sz w:val="22"/>
                <w:szCs w:val="22"/>
              </w:rPr>
              <w:t>TLC 2016</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rPr>
                <w:color w:val="000000"/>
                <w:sz w:val="22"/>
                <w:szCs w:val="22"/>
              </w:rPr>
            </w:pPr>
            <w:r w:rsidRPr="00526F2F">
              <w:rPr>
                <w:color w:val="000000"/>
                <w:sz w:val="22"/>
                <w:szCs w:val="22"/>
              </w:rPr>
              <w:t>Sudan</w:t>
            </w:r>
          </w:p>
        </w:tc>
        <w:tc>
          <w:tcPr>
            <w:tcW w:w="16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rPr>
                <w:color w:val="000000"/>
                <w:sz w:val="22"/>
                <w:szCs w:val="22"/>
              </w:rPr>
            </w:pPr>
            <w:r w:rsidRPr="00526F2F">
              <w:rPr>
                <w:color w:val="000000"/>
                <w:sz w:val="22"/>
                <w:szCs w:val="22"/>
              </w:rPr>
              <w:t xml:space="preserve">National Information </w:t>
            </w:r>
            <w:proofErr w:type="spellStart"/>
            <w:r w:rsidRPr="00526F2F">
              <w:rPr>
                <w:color w:val="000000"/>
                <w:sz w:val="22"/>
                <w:szCs w:val="22"/>
              </w:rPr>
              <w:t>Center</w:t>
            </w:r>
            <w:proofErr w:type="spellEnd"/>
          </w:p>
        </w:tc>
        <w:tc>
          <w:tcPr>
            <w:tcW w:w="7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jc w:val="right"/>
              <w:rPr>
                <w:color w:val="000000"/>
                <w:sz w:val="22"/>
                <w:szCs w:val="22"/>
              </w:rPr>
            </w:pPr>
            <w:r w:rsidRPr="00526F2F">
              <w:rPr>
                <w:color w:val="000000"/>
                <w:sz w:val="22"/>
                <w:szCs w:val="22"/>
              </w:rPr>
              <w:t>50,000.00</w:t>
            </w:r>
          </w:p>
        </w:tc>
        <w:tc>
          <w:tcPr>
            <w:tcW w:w="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jc w:val="right"/>
              <w:rPr>
                <w:color w:val="000000"/>
                <w:sz w:val="22"/>
                <w:szCs w:val="22"/>
              </w:rPr>
            </w:pPr>
            <w:r w:rsidRPr="00526F2F">
              <w:rPr>
                <w:color w:val="000000"/>
                <w:sz w:val="22"/>
                <w:szCs w:val="22"/>
              </w:rPr>
              <w:t>0.00</w:t>
            </w:r>
          </w:p>
        </w:tc>
        <w:tc>
          <w:tcPr>
            <w:tcW w:w="4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jc w:val="right"/>
              <w:rPr>
                <w:sz w:val="22"/>
                <w:szCs w:val="22"/>
              </w:rPr>
            </w:pPr>
            <w:r w:rsidRPr="00526F2F">
              <w:rPr>
                <w:sz w:val="22"/>
                <w:szCs w:val="22"/>
              </w:rPr>
              <w:t>50,000.00</w:t>
            </w:r>
          </w:p>
        </w:tc>
      </w:tr>
      <w:tr w:rsidR="00A36670" w:rsidRPr="00526F2F" w:rsidTr="003502D0">
        <w:trPr>
          <w:trHeight w:val="300"/>
        </w:trPr>
        <w:tc>
          <w:tcPr>
            <w:tcW w:w="79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jc w:val="center"/>
              <w:rPr>
                <w:sz w:val="22"/>
                <w:szCs w:val="22"/>
              </w:rPr>
            </w:pPr>
            <w:r w:rsidRPr="00526F2F">
              <w:rPr>
                <w:sz w:val="22"/>
                <w:szCs w:val="22"/>
              </w:rPr>
              <w:t>TLC 2016</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rPr>
                <w:color w:val="000000"/>
                <w:sz w:val="22"/>
                <w:szCs w:val="22"/>
              </w:rPr>
            </w:pPr>
            <w:proofErr w:type="spellStart"/>
            <w:r w:rsidRPr="00526F2F">
              <w:rPr>
                <w:color w:val="000000"/>
                <w:sz w:val="22"/>
                <w:szCs w:val="22"/>
              </w:rPr>
              <w:t>Japon</w:t>
            </w:r>
            <w:proofErr w:type="spellEnd"/>
          </w:p>
        </w:tc>
        <w:tc>
          <w:tcPr>
            <w:tcW w:w="16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rPr>
                <w:color w:val="000000"/>
                <w:sz w:val="22"/>
                <w:szCs w:val="22"/>
              </w:rPr>
            </w:pPr>
            <w:r w:rsidRPr="00526F2F">
              <w:rPr>
                <w:color w:val="000000"/>
                <w:sz w:val="22"/>
                <w:szCs w:val="22"/>
              </w:rPr>
              <w:t>OKI Electric Industry</w:t>
            </w:r>
          </w:p>
        </w:tc>
        <w:tc>
          <w:tcPr>
            <w:tcW w:w="7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jc w:val="right"/>
              <w:rPr>
                <w:color w:val="000000"/>
                <w:sz w:val="22"/>
                <w:szCs w:val="22"/>
              </w:rPr>
            </w:pPr>
            <w:r w:rsidRPr="00526F2F">
              <w:rPr>
                <w:color w:val="000000"/>
                <w:sz w:val="22"/>
                <w:szCs w:val="22"/>
              </w:rPr>
              <w:t>1,200.00</w:t>
            </w:r>
          </w:p>
        </w:tc>
        <w:tc>
          <w:tcPr>
            <w:tcW w:w="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jc w:val="right"/>
              <w:rPr>
                <w:color w:val="000000"/>
                <w:sz w:val="22"/>
                <w:szCs w:val="22"/>
              </w:rPr>
            </w:pPr>
            <w:r w:rsidRPr="00526F2F">
              <w:rPr>
                <w:color w:val="000000"/>
                <w:sz w:val="22"/>
                <w:szCs w:val="22"/>
              </w:rPr>
              <w:t>1,200.00</w:t>
            </w:r>
          </w:p>
        </w:tc>
        <w:tc>
          <w:tcPr>
            <w:tcW w:w="4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jc w:val="right"/>
              <w:rPr>
                <w:sz w:val="22"/>
                <w:szCs w:val="22"/>
              </w:rPr>
            </w:pPr>
            <w:r w:rsidRPr="00526F2F">
              <w:rPr>
                <w:sz w:val="22"/>
                <w:szCs w:val="22"/>
              </w:rPr>
              <w:t>0.00</w:t>
            </w:r>
          </w:p>
        </w:tc>
      </w:tr>
      <w:tr w:rsidR="00A36670" w:rsidRPr="00526F2F" w:rsidTr="003502D0">
        <w:trPr>
          <w:trHeight w:val="300"/>
        </w:trPr>
        <w:tc>
          <w:tcPr>
            <w:tcW w:w="79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jc w:val="center"/>
              <w:rPr>
                <w:sz w:val="22"/>
                <w:szCs w:val="22"/>
              </w:rPr>
            </w:pPr>
            <w:r w:rsidRPr="00526F2F">
              <w:rPr>
                <w:sz w:val="22"/>
                <w:szCs w:val="22"/>
              </w:rPr>
              <w:t>TLC 2016</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rPr>
                <w:color w:val="000000"/>
                <w:sz w:val="22"/>
                <w:szCs w:val="22"/>
              </w:rPr>
            </w:pPr>
            <w:r w:rsidRPr="00526F2F">
              <w:rPr>
                <w:color w:val="000000"/>
                <w:sz w:val="22"/>
                <w:szCs w:val="22"/>
              </w:rPr>
              <w:t>EAU</w:t>
            </w:r>
          </w:p>
        </w:tc>
        <w:tc>
          <w:tcPr>
            <w:tcW w:w="16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rPr>
                <w:color w:val="000000"/>
                <w:sz w:val="22"/>
                <w:szCs w:val="22"/>
              </w:rPr>
            </w:pPr>
            <w:r w:rsidRPr="00526F2F">
              <w:rPr>
                <w:color w:val="000000"/>
                <w:sz w:val="22"/>
                <w:szCs w:val="22"/>
              </w:rPr>
              <w:t>Telecom. Regulatory Authority</w:t>
            </w:r>
          </w:p>
        </w:tc>
        <w:tc>
          <w:tcPr>
            <w:tcW w:w="7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jc w:val="right"/>
              <w:rPr>
                <w:color w:val="000000"/>
                <w:sz w:val="22"/>
                <w:szCs w:val="22"/>
              </w:rPr>
            </w:pPr>
            <w:r w:rsidRPr="00526F2F">
              <w:rPr>
                <w:color w:val="000000"/>
                <w:sz w:val="22"/>
                <w:szCs w:val="22"/>
              </w:rPr>
              <w:t>100,000.00</w:t>
            </w:r>
          </w:p>
        </w:tc>
        <w:tc>
          <w:tcPr>
            <w:tcW w:w="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jc w:val="right"/>
              <w:rPr>
                <w:color w:val="000000"/>
                <w:sz w:val="22"/>
                <w:szCs w:val="22"/>
              </w:rPr>
            </w:pPr>
            <w:r w:rsidRPr="00526F2F">
              <w:rPr>
                <w:color w:val="000000"/>
                <w:sz w:val="22"/>
                <w:szCs w:val="22"/>
              </w:rPr>
              <w:t>100,000.00</w:t>
            </w:r>
          </w:p>
        </w:tc>
        <w:tc>
          <w:tcPr>
            <w:tcW w:w="4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jc w:val="right"/>
              <w:rPr>
                <w:sz w:val="22"/>
                <w:szCs w:val="22"/>
              </w:rPr>
            </w:pPr>
            <w:r w:rsidRPr="00526F2F">
              <w:rPr>
                <w:sz w:val="22"/>
                <w:szCs w:val="22"/>
              </w:rPr>
              <w:t>0.00</w:t>
            </w:r>
          </w:p>
        </w:tc>
      </w:tr>
      <w:tr w:rsidR="00A36670" w:rsidRPr="00526F2F" w:rsidTr="003502D0">
        <w:trPr>
          <w:trHeight w:val="300"/>
        </w:trPr>
        <w:tc>
          <w:tcPr>
            <w:tcW w:w="79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jc w:val="center"/>
              <w:rPr>
                <w:sz w:val="22"/>
                <w:szCs w:val="22"/>
              </w:rPr>
            </w:pPr>
            <w:r w:rsidRPr="00526F2F">
              <w:rPr>
                <w:sz w:val="22"/>
                <w:szCs w:val="22"/>
              </w:rPr>
              <w:t>TLC 2016</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rPr>
                <w:color w:val="000000"/>
                <w:sz w:val="22"/>
                <w:szCs w:val="22"/>
              </w:rPr>
            </w:pPr>
            <w:proofErr w:type="spellStart"/>
            <w:r w:rsidRPr="00526F2F">
              <w:rPr>
                <w:color w:val="000000"/>
                <w:sz w:val="22"/>
                <w:szCs w:val="22"/>
              </w:rPr>
              <w:t>Singapor</w:t>
            </w:r>
            <w:proofErr w:type="spellEnd"/>
          </w:p>
        </w:tc>
        <w:tc>
          <w:tcPr>
            <w:tcW w:w="16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rPr>
                <w:color w:val="000000"/>
                <w:sz w:val="22"/>
                <w:szCs w:val="22"/>
              </w:rPr>
            </w:pPr>
            <w:proofErr w:type="spellStart"/>
            <w:r w:rsidRPr="00526F2F">
              <w:rPr>
                <w:color w:val="000000"/>
                <w:sz w:val="22"/>
                <w:szCs w:val="22"/>
              </w:rPr>
              <w:t>Voxvalley</w:t>
            </w:r>
            <w:proofErr w:type="spellEnd"/>
            <w:r w:rsidRPr="00526F2F">
              <w:rPr>
                <w:color w:val="000000"/>
                <w:sz w:val="22"/>
                <w:szCs w:val="22"/>
              </w:rPr>
              <w:t xml:space="preserve"> Tech.</w:t>
            </w:r>
          </w:p>
        </w:tc>
        <w:tc>
          <w:tcPr>
            <w:tcW w:w="7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jc w:val="right"/>
              <w:rPr>
                <w:color w:val="000000"/>
                <w:sz w:val="22"/>
                <w:szCs w:val="22"/>
              </w:rPr>
            </w:pPr>
            <w:r w:rsidRPr="00526F2F">
              <w:rPr>
                <w:color w:val="000000"/>
                <w:sz w:val="22"/>
                <w:szCs w:val="22"/>
              </w:rPr>
              <w:t>1,200.00</w:t>
            </w:r>
          </w:p>
        </w:tc>
        <w:tc>
          <w:tcPr>
            <w:tcW w:w="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jc w:val="right"/>
              <w:rPr>
                <w:color w:val="000000"/>
                <w:sz w:val="22"/>
                <w:szCs w:val="22"/>
              </w:rPr>
            </w:pPr>
            <w:r w:rsidRPr="00526F2F">
              <w:rPr>
                <w:color w:val="000000"/>
                <w:sz w:val="22"/>
                <w:szCs w:val="22"/>
              </w:rPr>
              <w:t>1,200.00</w:t>
            </w:r>
          </w:p>
        </w:tc>
        <w:tc>
          <w:tcPr>
            <w:tcW w:w="4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jc w:val="right"/>
              <w:rPr>
                <w:sz w:val="22"/>
                <w:szCs w:val="22"/>
              </w:rPr>
            </w:pPr>
            <w:r w:rsidRPr="00526F2F">
              <w:rPr>
                <w:sz w:val="22"/>
                <w:szCs w:val="22"/>
              </w:rPr>
              <w:t>0.00</w:t>
            </w:r>
          </w:p>
        </w:tc>
      </w:tr>
      <w:tr w:rsidR="00A36670" w:rsidRPr="00526F2F" w:rsidTr="003502D0">
        <w:trPr>
          <w:trHeight w:val="300"/>
        </w:trPr>
        <w:tc>
          <w:tcPr>
            <w:tcW w:w="79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jc w:val="center"/>
              <w:rPr>
                <w:color w:val="000000"/>
                <w:sz w:val="22"/>
                <w:szCs w:val="22"/>
              </w:rPr>
            </w:pPr>
            <w:r w:rsidRPr="00526F2F">
              <w:rPr>
                <w:color w:val="000000"/>
                <w:sz w:val="22"/>
                <w:szCs w:val="22"/>
              </w:rPr>
              <w:t> </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rPr>
                <w:color w:val="000000"/>
                <w:sz w:val="22"/>
                <w:szCs w:val="22"/>
              </w:rPr>
            </w:pPr>
            <w:r w:rsidRPr="00526F2F">
              <w:rPr>
                <w:color w:val="000000"/>
                <w:sz w:val="22"/>
                <w:szCs w:val="22"/>
              </w:rPr>
              <w:t> </w:t>
            </w:r>
          </w:p>
        </w:tc>
        <w:tc>
          <w:tcPr>
            <w:tcW w:w="16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rPr>
                <w:color w:val="000000"/>
                <w:sz w:val="22"/>
                <w:szCs w:val="22"/>
              </w:rPr>
            </w:pPr>
            <w:r w:rsidRPr="00526F2F">
              <w:rPr>
                <w:color w:val="000000"/>
                <w:sz w:val="22"/>
                <w:szCs w:val="22"/>
              </w:rPr>
              <w:t> </w:t>
            </w:r>
          </w:p>
        </w:tc>
        <w:tc>
          <w:tcPr>
            <w:tcW w:w="7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rPr>
                <w:color w:val="000000"/>
                <w:sz w:val="22"/>
                <w:szCs w:val="22"/>
              </w:rPr>
            </w:pPr>
            <w:r w:rsidRPr="00526F2F">
              <w:rPr>
                <w:color w:val="000000"/>
                <w:sz w:val="22"/>
                <w:szCs w:val="22"/>
              </w:rPr>
              <w:t> </w:t>
            </w:r>
          </w:p>
        </w:tc>
        <w:tc>
          <w:tcPr>
            <w:tcW w:w="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rPr>
                <w:color w:val="000000"/>
                <w:sz w:val="22"/>
                <w:szCs w:val="22"/>
              </w:rPr>
            </w:pPr>
            <w:r w:rsidRPr="00526F2F">
              <w:rPr>
                <w:color w:val="000000"/>
                <w:sz w:val="22"/>
                <w:szCs w:val="22"/>
              </w:rPr>
              <w:t> </w:t>
            </w:r>
          </w:p>
        </w:tc>
        <w:tc>
          <w:tcPr>
            <w:tcW w:w="4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rPr>
                <w:color w:val="000000"/>
                <w:sz w:val="22"/>
                <w:szCs w:val="22"/>
              </w:rPr>
            </w:pPr>
            <w:r w:rsidRPr="00526F2F">
              <w:rPr>
                <w:color w:val="000000"/>
                <w:sz w:val="22"/>
                <w:szCs w:val="22"/>
              </w:rPr>
              <w:t> </w:t>
            </w:r>
          </w:p>
        </w:tc>
      </w:tr>
      <w:tr w:rsidR="00A36670" w:rsidRPr="00526F2F" w:rsidTr="003502D0">
        <w:trPr>
          <w:trHeight w:val="300"/>
        </w:trPr>
        <w:tc>
          <w:tcPr>
            <w:tcW w:w="79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3502D0" w:rsidRDefault="00FD1451">
            <w:pPr>
              <w:jc w:val="center"/>
              <w:rPr>
                <w:b/>
                <w:bCs/>
                <w:color w:val="000000"/>
                <w:sz w:val="22"/>
                <w:szCs w:val="22"/>
              </w:rPr>
            </w:pPr>
            <w:r w:rsidRPr="003502D0">
              <w:rPr>
                <w:b/>
                <w:bCs/>
                <w:color w:val="000000"/>
                <w:sz w:val="22"/>
                <w:szCs w:val="22"/>
              </w:rPr>
              <w:t>TLC 2016</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rPr>
                <w:color w:val="000000"/>
                <w:sz w:val="22"/>
                <w:szCs w:val="22"/>
              </w:rPr>
            </w:pPr>
            <w:r w:rsidRPr="00526F2F">
              <w:rPr>
                <w:color w:val="000000"/>
                <w:sz w:val="22"/>
                <w:szCs w:val="22"/>
              </w:rPr>
              <w:t> </w:t>
            </w:r>
          </w:p>
        </w:tc>
        <w:tc>
          <w:tcPr>
            <w:tcW w:w="16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rPr>
                <w:color w:val="000000"/>
                <w:sz w:val="22"/>
                <w:szCs w:val="22"/>
              </w:rPr>
            </w:pPr>
            <w:r w:rsidRPr="00526F2F">
              <w:rPr>
                <w:color w:val="000000"/>
                <w:sz w:val="22"/>
                <w:szCs w:val="22"/>
              </w:rPr>
              <w:t> </w:t>
            </w:r>
          </w:p>
        </w:tc>
        <w:tc>
          <w:tcPr>
            <w:tcW w:w="7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rPr>
                <w:color w:val="000000"/>
                <w:sz w:val="22"/>
                <w:szCs w:val="22"/>
              </w:rPr>
            </w:pPr>
            <w:r w:rsidRPr="00526F2F">
              <w:rPr>
                <w:color w:val="000000"/>
                <w:sz w:val="22"/>
                <w:szCs w:val="22"/>
              </w:rPr>
              <w:t> </w:t>
            </w:r>
          </w:p>
        </w:tc>
        <w:tc>
          <w:tcPr>
            <w:tcW w:w="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rPr>
                <w:rFonts w:cs="Arial"/>
                <w:b/>
                <w:bCs/>
                <w:sz w:val="20"/>
              </w:rPr>
            </w:pPr>
            <w:r w:rsidRPr="00526F2F">
              <w:rPr>
                <w:rFonts w:cs="Arial"/>
                <w:b/>
                <w:bCs/>
                <w:sz w:val="20"/>
              </w:rPr>
              <w:t> </w:t>
            </w:r>
          </w:p>
        </w:tc>
        <w:tc>
          <w:tcPr>
            <w:tcW w:w="4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jc w:val="right"/>
              <w:rPr>
                <w:rFonts w:cs="Arial"/>
                <w:b/>
                <w:bCs/>
                <w:sz w:val="20"/>
              </w:rPr>
            </w:pPr>
            <w:r w:rsidRPr="00526F2F">
              <w:rPr>
                <w:rFonts w:cs="Arial"/>
                <w:b/>
                <w:bCs/>
                <w:sz w:val="20"/>
              </w:rPr>
              <w:t>92,400.00</w:t>
            </w:r>
          </w:p>
        </w:tc>
      </w:tr>
    </w:tbl>
    <w:p w:rsidR="003502D0" w:rsidRDefault="003502D0"/>
    <w:tbl>
      <w:tblPr>
        <w:tblW w:w="5000" w:type="pct"/>
        <w:tblCellMar>
          <w:left w:w="0" w:type="dxa"/>
          <w:right w:w="0" w:type="dxa"/>
        </w:tblCellMar>
        <w:tblLook w:val="04A0" w:firstRow="1" w:lastRow="0" w:firstColumn="1" w:lastColumn="0" w:noHBand="0" w:noVBand="1"/>
      </w:tblPr>
      <w:tblGrid>
        <w:gridCol w:w="1628"/>
        <w:gridCol w:w="1211"/>
        <w:gridCol w:w="3617"/>
        <w:gridCol w:w="1474"/>
        <w:gridCol w:w="1494"/>
        <w:gridCol w:w="1033"/>
      </w:tblGrid>
      <w:tr w:rsidR="00A36670" w:rsidRPr="00526F2F" w:rsidTr="003502D0">
        <w:trPr>
          <w:trHeight w:val="525"/>
        </w:trPr>
        <w:tc>
          <w:tcPr>
            <w:tcW w:w="79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31FB7" w:rsidRPr="00526F2F" w:rsidRDefault="00FD1451" w:rsidP="00931FB7">
            <w:pPr>
              <w:jc w:val="center"/>
              <w:rPr>
                <w:rFonts w:cs="Arial"/>
                <w:b/>
                <w:bCs/>
                <w:sz w:val="20"/>
              </w:rPr>
            </w:pPr>
            <w:r w:rsidRPr="00526F2F">
              <w:rPr>
                <w:rFonts w:cs="Arial"/>
                <w:b/>
                <w:bCs/>
                <w:sz w:val="20"/>
              </w:rPr>
              <w:t>Event</w:t>
            </w:r>
          </w:p>
        </w:tc>
        <w:tc>
          <w:tcPr>
            <w:tcW w:w="59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31FB7" w:rsidRPr="00526F2F" w:rsidRDefault="00FD1451" w:rsidP="00931FB7">
            <w:pPr>
              <w:jc w:val="center"/>
              <w:rPr>
                <w:rFonts w:cs="Arial"/>
                <w:b/>
                <w:bCs/>
                <w:sz w:val="20"/>
              </w:rPr>
            </w:pPr>
            <w:r w:rsidRPr="00526F2F">
              <w:rPr>
                <w:rFonts w:cs="Arial"/>
                <w:b/>
                <w:bCs/>
                <w:sz w:val="20"/>
              </w:rPr>
              <w:t>Country</w:t>
            </w:r>
          </w:p>
        </w:tc>
        <w:tc>
          <w:tcPr>
            <w:tcW w:w="1664"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31FB7" w:rsidRPr="00526F2F" w:rsidRDefault="00FD1451" w:rsidP="00931FB7">
            <w:pPr>
              <w:jc w:val="center"/>
              <w:rPr>
                <w:rFonts w:cs="Arial"/>
                <w:b/>
                <w:bCs/>
                <w:sz w:val="20"/>
              </w:rPr>
            </w:pPr>
            <w:r w:rsidRPr="00526F2F">
              <w:rPr>
                <w:rFonts w:cs="Arial"/>
                <w:b/>
                <w:bCs/>
                <w:sz w:val="20"/>
              </w:rPr>
              <w:t>Company</w:t>
            </w:r>
          </w:p>
        </w:tc>
        <w:tc>
          <w:tcPr>
            <w:tcW w:w="720"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D1451" w:rsidRPr="00526F2F" w:rsidRDefault="00FD1451">
            <w:pPr>
              <w:jc w:val="center"/>
              <w:rPr>
                <w:rFonts w:cs="Arial"/>
                <w:b/>
                <w:bCs/>
                <w:sz w:val="20"/>
              </w:rPr>
            </w:pPr>
            <w:r w:rsidRPr="00526F2F">
              <w:rPr>
                <w:rFonts w:cs="Arial"/>
                <w:b/>
                <w:bCs/>
                <w:sz w:val="20"/>
              </w:rPr>
              <w:t>Amount invoiced</w:t>
            </w:r>
          </w:p>
        </w:tc>
        <w:tc>
          <w:tcPr>
            <w:tcW w:w="729"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D1451" w:rsidRPr="00526F2F" w:rsidRDefault="00FD1451">
            <w:pPr>
              <w:jc w:val="center"/>
              <w:rPr>
                <w:rFonts w:cs="Arial"/>
                <w:b/>
                <w:bCs/>
                <w:sz w:val="20"/>
              </w:rPr>
            </w:pPr>
            <w:r w:rsidRPr="00526F2F">
              <w:rPr>
                <w:rFonts w:cs="Arial"/>
                <w:b/>
                <w:bCs/>
                <w:sz w:val="20"/>
              </w:rPr>
              <w:t xml:space="preserve">Payment received </w:t>
            </w:r>
          </w:p>
        </w:tc>
        <w:tc>
          <w:tcPr>
            <w:tcW w:w="49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D1451" w:rsidRPr="00526F2F" w:rsidRDefault="00FD1451">
            <w:pPr>
              <w:jc w:val="center"/>
              <w:rPr>
                <w:rFonts w:cs="Arial"/>
                <w:b/>
                <w:bCs/>
                <w:sz w:val="20"/>
              </w:rPr>
            </w:pPr>
            <w:r w:rsidRPr="00526F2F">
              <w:rPr>
                <w:rFonts w:cs="Arial"/>
                <w:b/>
                <w:bCs/>
                <w:sz w:val="20"/>
              </w:rPr>
              <w:t>Balance due</w:t>
            </w:r>
          </w:p>
        </w:tc>
      </w:tr>
      <w:tr w:rsidR="00A36670" w:rsidRPr="00526F2F" w:rsidTr="003502D0">
        <w:trPr>
          <w:trHeight w:val="300"/>
        </w:trPr>
        <w:tc>
          <w:tcPr>
            <w:tcW w:w="79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jc w:val="center"/>
              <w:rPr>
                <w:rFonts w:cs="Arial"/>
                <w:b/>
                <w:bCs/>
                <w:sz w:val="20"/>
              </w:rPr>
            </w:pPr>
            <w:r w:rsidRPr="00526F2F">
              <w:rPr>
                <w:rFonts w:cs="Arial"/>
                <w:b/>
                <w:bCs/>
                <w:sz w:val="20"/>
              </w:rPr>
              <w:t> </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jc w:val="center"/>
              <w:rPr>
                <w:rFonts w:cs="Arial"/>
                <w:b/>
                <w:bCs/>
                <w:sz w:val="20"/>
              </w:rPr>
            </w:pPr>
            <w:r w:rsidRPr="00526F2F">
              <w:rPr>
                <w:rFonts w:cs="Arial"/>
                <w:b/>
                <w:bCs/>
                <w:sz w:val="20"/>
              </w:rPr>
              <w:t> </w:t>
            </w:r>
          </w:p>
        </w:tc>
        <w:tc>
          <w:tcPr>
            <w:tcW w:w="16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jc w:val="center"/>
              <w:rPr>
                <w:rFonts w:cs="Arial"/>
                <w:sz w:val="20"/>
              </w:rPr>
            </w:pPr>
            <w:r w:rsidRPr="00526F2F">
              <w:rPr>
                <w:rFonts w:cs="Arial"/>
                <w:sz w:val="20"/>
              </w:rPr>
              <w:t> </w:t>
            </w:r>
          </w:p>
        </w:tc>
        <w:tc>
          <w:tcPr>
            <w:tcW w:w="7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jc w:val="center"/>
              <w:rPr>
                <w:rFonts w:cs="Arial"/>
                <w:sz w:val="20"/>
              </w:rPr>
            </w:pPr>
            <w:r w:rsidRPr="00526F2F">
              <w:rPr>
                <w:rFonts w:cs="Arial"/>
                <w:sz w:val="20"/>
              </w:rPr>
              <w:t> </w:t>
            </w:r>
          </w:p>
        </w:tc>
        <w:tc>
          <w:tcPr>
            <w:tcW w:w="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jc w:val="center"/>
              <w:rPr>
                <w:rFonts w:cs="Arial"/>
                <w:sz w:val="20"/>
              </w:rPr>
            </w:pPr>
            <w:r w:rsidRPr="00526F2F">
              <w:rPr>
                <w:rFonts w:cs="Arial"/>
                <w:sz w:val="20"/>
              </w:rPr>
              <w:t> </w:t>
            </w:r>
          </w:p>
        </w:tc>
        <w:tc>
          <w:tcPr>
            <w:tcW w:w="4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jc w:val="center"/>
              <w:rPr>
                <w:rFonts w:cs="Arial"/>
                <w:sz w:val="20"/>
              </w:rPr>
            </w:pPr>
            <w:r w:rsidRPr="00526F2F">
              <w:rPr>
                <w:rFonts w:cs="Arial"/>
                <w:sz w:val="20"/>
              </w:rPr>
              <w:t> </w:t>
            </w:r>
          </w:p>
        </w:tc>
      </w:tr>
      <w:tr w:rsidR="00A36670" w:rsidRPr="00526F2F" w:rsidTr="003502D0">
        <w:trPr>
          <w:trHeight w:val="300"/>
        </w:trPr>
        <w:tc>
          <w:tcPr>
            <w:tcW w:w="79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jc w:val="center"/>
              <w:rPr>
                <w:sz w:val="22"/>
                <w:szCs w:val="22"/>
              </w:rPr>
            </w:pPr>
            <w:r w:rsidRPr="00526F2F">
              <w:rPr>
                <w:sz w:val="22"/>
                <w:szCs w:val="22"/>
              </w:rPr>
              <w:t>TLC 2017</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rPr>
                <w:sz w:val="22"/>
                <w:szCs w:val="22"/>
              </w:rPr>
            </w:pPr>
            <w:r w:rsidRPr="00526F2F">
              <w:rPr>
                <w:sz w:val="22"/>
                <w:szCs w:val="22"/>
              </w:rPr>
              <w:t>Yemen</w:t>
            </w:r>
          </w:p>
        </w:tc>
        <w:tc>
          <w:tcPr>
            <w:tcW w:w="16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rPr>
                <w:sz w:val="22"/>
                <w:szCs w:val="22"/>
              </w:rPr>
            </w:pPr>
            <w:proofErr w:type="spellStart"/>
            <w:r w:rsidRPr="00526F2F">
              <w:rPr>
                <w:sz w:val="22"/>
                <w:szCs w:val="22"/>
              </w:rPr>
              <w:t>AnaMehani</w:t>
            </w:r>
            <w:proofErr w:type="spellEnd"/>
          </w:p>
        </w:tc>
        <w:tc>
          <w:tcPr>
            <w:tcW w:w="7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jc w:val="right"/>
              <w:rPr>
                <w:sz w:val="22"/>
                <w:szCs w:val="22"/>
              </w:rPr>
            </w:pPr>
            <w:r w:rsidRPr="00526F2F">
              <w:rPr>
                <w:sz w:val="22"/>
                <w:szCs w:val="22"/>
              </w:rPr>
              <w:t>1,200.00</w:t>
            </w:r>
          </w:p>
        </w:tc>
        <w:tc>
          <w:tcPr>
            <w:tcW w:w="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jc w:val="right"/>
              <w:rPr>
                <w:sz w:val="22"/>
                <w:szCs w:val="22"/>
              </w:rPr>
            </w:pPr>
            <w:r w:rsidRPr="00526F2F">
              <w:rPr>
                <w:sz w:val="22"/>
                <w:szCs w:val="22"/>
              </w:rPr>
              <w:t>0.00</w:t>
            </w:r>
          </w:p>
        </w:tc>
        <w:tc>
          <w:tcPr>
            <w:tcW w:w="4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jc w:val="right"/>
              <w:rPr>
                <w:sz w:val="22"/>
                <w:szCs w:val="22"/>
              </w:rPr>
            </w:pPr>
            <w:r w:rsidRPr="00526F2F">
              <w:rPr>
                <w:sz w:val="22"/>
                <w:szCs w:val="22"/>
              </w:rPr>
              <w:t>1,200.00</w:t>
            </w:r>
          </w:p>
        </w:tc>
      </w:tr>
      <w:tr w:rsidR="00A36670" w:rsidRPr="00526F2F" w:rsidTr="003502D0">
        <w:trPr>
          <w:trHeight w:val="300"/>
        </w:trPr>
        <w:tc>
          <w:tcPr>
            <w:tcW w:w="79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jc w:val="center"/>
              <w:rPr>
                <w:sz w:val="22"/>
                <w:szCs w:val="22"/>
              </w:rPr>
            </w:pPr>
            <w:r w:rsidRPr="00526F2F">
              <w:rPr>
                <w:sz w:val="22"/>
                <w:szCs w:val="22"/>
              </w:rPr>
              <w:t>TLC 2017</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rPr>
                <w:color w:val="000000"/>
                <w:sz w:val="22"/>
                <w:szCs w:val="22"/>
              </w:rPr>
            </w:pPr>
            <w:r w:rsidRPr="00526F2F">
              <w:rPr>
                <w:color w:val="000000"/>
                <w:sz w:val="22"/>
                <w:szCs w:val="22"/>
              </w:rPr>
              <w:t>Cameroon</w:t>
            </w:r>
          </w:p>
        </w:tc>
        <w:tc>
          <w:tcPr>
            <w:tcW w:w="16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rPr>
                <w:color w:val="000000"/>
                <w:sz w:val="22"/>
                <w:szCs w:val="22"/>
              </w:rPr>
            </w:pPr>
            <w:r w:rsidRPr="00526F2F">
              <w:rPr>
                <w:color w:val="000000"/>
                <w:sz w:val="22"/>
                <w:szCs w:val="22"/>
              </w:rPr>
              <w:t>Citizen Assoc. For Tech. Development</w:t>
            </w:r>
          </w:p>
        </w:tc>
        <w:tc>
          <w:tcPr>
            <w:tcW w:w="7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jc w:val="right"/>
              <w:rPr>
                <w:color w:val="000000"/>
                <w:sz w:val="22"/>
                <w:szCs w:val="22"/>
              </w:rPr>
            </w:pPr>
            <w:r w:rsidRPr="00526F2F">
              <w:rPr>
                <w:color w:val="000000"/>
                <w:sz w:val="22"/>
                <w:szCs w:val="22"/>
              </w:rPr>
              <w:t>1,200.00</w:t>
            </w:r>
          </w:p>
        </w:tc>
        <w:tc>
          <w:tcPr>
            <w:tcW w:w="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jc w:val="right"/>
              <w:rPr>
                <w:color w:val="000000"/>
                <w:sz w:val="22"/>
                <w:szCs w:val="22"/>
              </w:rPr>
            </w:pPr>
            <w:r w:rsidRPr="00526F2F">
              <w:rPr>
                <w:color w:val="000000"/>
                <w:sz w:val="22"/>
                <w:szCs w:val="22"/>
              </w:rPr>
              <w:t>0.00</w:t>
            </w:r>
          </w:p>
        </w:tc>
        <w:tc>
          <w:tcPr>
            <w:tcW w:w="4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jc w:val="right"/>
              <w:rPr>
                <w:sz w:val="22"/>
                <w:szCs w:val="22"/>
              </w:rPr>
            </w:pPr>
            <w:r w:rsidRPr="00526F2F">
              <w:rPr>
                <w:sz w:val="22"/>
                <w:szCs w:val="22"/>
              </w:rPr>
              <w:t>1,200.00</w:t>
            </w:r>
          </w:p>
        </w:tc>
      </w:tr>
      <w:tr w:rsidR="00A36670" w:rsidRPr="00526F2F" w:rsidTr="003502D0">
        <w:trPr>
          <w:trHeight w:val="300"/>
        </w:trPr>
        <w:tc>
          <w:tcPr>
            <w:tcW w:w="79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jc w:val="center"/>
              <w:rPr>
                <w:sz w:val="22"/>
                <w:szCs w:val="22"/>
              </w:rPr>
            </w:pPr>
            <w:r w:rsidRPr="00526F2F">
              <w:rPr>
                <w:sz w:val="22"/>
                <w:szCs w:val="22"/>
              </w:rPr>
              <w:t>TLC 2017</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rPr>
                <w:color w:val="000000"/>
                <w:sz w:val="22"/>
                <w:szCs w:val="22"/>
              </w:rPr>
            </w:pPr>
            <w:r w:rsidRPr="00526F2F">
              <w:rPr>
                <w:color w:val="000000"/>
                <w:sz w:val="22"/>
                <w:szCs w:val="22"/>
              </w:rPr>
              <w:t>Benin</w:t>
            </w:r>
          </w:p>
        </w:tc>
        <w:tc>
          <w:tcPr>
            <w:tcW w:w="16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rPr>
                <w:color w:val="000000"/>
                <w:sz w:val="22"/>
                <w:szCs w:val="22"/>
              </w:rPr>
            </w:pPr>
            <w:proofErr w:type="spellStart"/>
            <w:r w:rsidRPr="00526F2F">
              <w:rPr>
                <w:color w:val="000000"/>
                <w:sz w:val="22"/>
                <w:szCs w:val="22"/>
              </w:rPr>
              <w:t>Ministère</w:t>
            </w:r>
            <w:proofErr w:type="spellEnd"/>
            <w:r w:rsidRPr="00526F2F">
              <w:rPr>
                <w:color w:val="000000"/>
                <w:sz w:val="22"/>
                <w:szCs w:val="22"/>
              </w:rPr>
              <w:t xml:space="preserve"> de </w:t>
            </w:r>
            <w:proofErr w:type="spellStart"/>
            <w:r w:rsidRPr="00526F2F">
              <w:rPr>
                <w:color w:val="000000"/>
                <w:sz w:val="22"/>
                <w:szCs w:val="22"/>
              </w:rPr>
              <w:t>l'Economie</w:t>
            </w:r>
            <w:proofErr w:type="spellEnd"/>
            <w:r w:rsidRPr="00526F2F">
              <w:rPr>
                <w:color w:val="000000"/>
                <w:sz w:val="22"/>
                <w:szCs w:val="22"/>
              </w:rPr>
              <w:t xml:space="preserve"> </w:t>
            </w:r>
            <w:proofErr w:type="spellStart"/>
            <w:r w:rsidRPr="00526F2F">
              <w:rPr>
                <w:color w:val="000000"/>
                <w:sz w:val="22"/>
                <w:szCs w:val="22"/>
              </w:rPr>
              <w:t>Numérique</w:t>
            </w:r>
            <w:proofErr w:type="spellEnd"/>
          </w:p>
        </w:tc>
        <w:tc>
          <w:tcPr>
            <w:tcW w:w="7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jc w:val="right"/>
              <w:rPr>
                <w:color w:val="000000"/>
                <w:sz w:val="22"/>
                <w:szCs w:val="22"/>
              </w:rPr>
            </w:pPr>
            <w:r w:rsidRPr="00526F2F">
              <w:rPr>
                <w:color w:val="000000"/>
                <w:sz w:val="22"/>
                <w:szCs w:val="22"/>
              </w:rPr>
              <w:t>50,000.00</w:t>
            </w:r>
          </w:p>
        </w:tc>
        <w:tc>
          <w:tcPr>
            <w:tcW w:w="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jc w:val="right"/>
              <w:rPr>
                <w:color w:val="000000"/>
                <w:sz w:val="22"/>
                <w:szCs w:val="22"/>
              </w:rPr>
            </w:pPr>
            <w:r w:rsidRPr="00526F2F">
              <w:rPr>
                <w:color w:val="000000"/>
                <w:sz w:val="22"/>
                <w:szCs w:val="22"/>
              </w:rPr>
              <w:t>0.00</w:t>
            </w:r>
          </w:p>
        </w:tc>
        <w:tc>
          <w:tcPr>
            <w:tcW w:w="4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jc w:val="right"/>
              <w:rPr>
                <w:sz w:val="22"/>
                <w:szCs w:val="22"/>
              </w:rPr>
            </w:pPr>
            <w:r w:rsidRPr="00526F2F">
              <w:rPr>
                <w:sz w:val="22"/>
                <w:szCs w:val="22"/>
              </w:rPr>
              <w:t>50,000.00</w:t>
            </w:r>
          </w:p>
        </w:tc>
      </w:tr>
      <w:tr w:rsidR="003C548D" w:rsidRPr="00526F2F" w:rsidTr="003502D0">
        <w:trPr>
          <w:trHeight w:val="300"/>
        </w:trPr>
        <w:tc>
          <w:tcPr>
            <w:tcW w:w="79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3C548D" w:rsidRPr="00526F2F" w:rsidRDefault="003C548D">
            <w:pPr>
              <w:jc w:val="center"/>
              <w:rPr>
                <w:sz w:val="22"/>
                <w:szCs w:val="22"/>
              </w:rPr>
            </w:pPr>
            <w:r w:rsidRPr="00526F2F">
              <w:rPr>
                <w:sz w:val="22"/>
                <w:szCs w:val="22"/>
              </w:rPr>
              <w:t>TLC 2017</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3C548D" w:rsidRPr="00526F2F" w:rsidRDefault="003C548D" w:rsidP="003C548D">
            <w:pPr>
              <w:rPr>
                <w:color w:val="000000"/>
                <w:sz w:val="22"/>
                <w:szCs w:val="22"/>
              </w:rPr>
            </w:pPr>
            <w:r>
              <w:rPr>
                <w:color w:val="000000"/>
                <w:sz w:val="22"/>
                <w:szCs w:val="22"/>
              </w:rPr>
              <w:t>South Africa</w:t>
            </w:r>
            <w:r w:rsidRPr="00C75901">
              <w:rPr>
                <w:sz w:val="22"/>
                <w:szCs w:val="22"/>
              </w:rPr>
              <w:t xml:space="preserve"> </w:t>
            </w:r>
          </w:p>
        </w:tc>
        <w:tc>
          <w:tcPr>
            <w:tcW w:w="16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3C548D" w:rsidRPr="00526F2F" w:rsidRDefault="003C548D">
            <w:pPr>
              <w:rPr>
                <w:color w:val="000000"/>
                <w:sz w:val="22"/>
                <w:szCs w:val="22"/>
              </w:rPr>
            </w:pPr>
            <w:r w:rsidRPr="00C75901">
              <w:rPr>
                <w:sz w:val="22"/>
                <w:szCs w:val="22"/>
              </w:rPr>
              <w:t>Department of Telecom. &amp; Postal Serv.</w:t>
            </w:r>
            <w:r>
              <w:rPr>
                <w:sz w:val="22"/>
                <w:szCs w:val="22"/>
              </w:rPr>
              <w:t>*</w:t>
            </w:r>
          </w:p>
        </w:tc>
        <w:tc>
          <w:tcPr>
            <w:tcW w:w="7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3C548D" w:rsidRPr="00526F2F" w:rsidRDefault="003C548D">
            <w:pPr>
              <w:jc w:val="right"/>
              <w:rPr>
                <w:color w:val="000000"/>
                <w:sz w:val="22"/>
                <w:szCs w:val="22"/>
              </w:rPr>
            </w:pPr>
            <w:r>
              <w:rPr>
                <w:color w:val="000000"/>
                <w:sz w:val="22"/>
                <w:szCs w:val="22"/>
              </w:rPr>
              <w:t>50,000.00</w:t>
            </w:r>
          </w:p>
        </w:tc>
        <w:tc>
          <w:tcPr>
            <w:tcW w:w="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3C548D" w:rsidRPr="00526F2F" w:rsidRDefault="003C548D">
            <w:pPr>
              <w:jc w:val="right"/>
              <w:rPr>
                <w:color w:val="000000"/>
                <w:sz w:val="22"/>
                <w:szCs w:val="22"/>
              </w:rPr>
            </w:pPr>
            <w:r>
              <w:rPr>
                <w:color w:val="000000"/>
                <w:sz w:val="22"/>
                <w:szCs w:val="22"/>
              </w:rPr>
              <w:t>0.00</w:t>
            </w:r>
          </w:p>
        </w:tc>
        <w:tc>
          <w:tcPr>
            <w:tcW w:w="4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3C548D" w:rsidRPr="00526F2F" w:rsidRDefault="003C548D">
            <w:pPr>
              <w:jc w:val="right"/>
              <w:rPr>
                <w:sz w:val="22"/>
                <w:szCs w:val="22"/>
              </w:rPr>
            </w:pPr>
            <w:r>
              <w:rPr>
                <w:sz w:val="22"/>
                <w:szCs w:val="22"/>
              </w:rPr>
              <w:t>50,000.00</w:t>
            </w:r>
          </w:p>
        </w:tc>
      </w:tr>
      <w:tr w:rsidR="003C548D" w:rsidRPr="00526F2F" w:rsidTr="003502D0">
        <w:trPr>
          <w:trHeight w:val="300"/>
        </w:trPr>
        <w:tc>
          <w:tcPr>
            <w:tcW w:w="79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3C548D" w:rsidRPr="00526F2F" w:rsidRDefault="003C548D">
            <w:pPr>
              <w:jc w:val="center"/>
              <w:rPr>
                <w:sz w:val="22"/>
                <w:szCs w:val="22"/>
              </w:rPr>
            </w:pPr>
            <w:r w:rsidRPr="00526F2F">
              <w:rPr>
                <w:sz w:val="22"/>
                <w:szCs w:val="22"/>
              </w:rPr>
              <w:t>TLC 2017</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3C548D" w:rsidRPr="00526F2F" w:rsidRDefault="003C548D">
            <w:pPr>
              <w:rPr>
                <w:color w:val="000000"/>
                <w:sz w:val="22"/>
                <w:szCs w:val="22"/>
              </w:rPr>
            </w:pPr>
            <w:r>
              <w:rPr>
                <w:color w:val="000000"/>
                <w:sz w:val="22"/>
                <w:szCs w:val="22"/>
              </w:rPr>
              <w:t>Korea</w:t>
            </w:r>
          </w:p>
        </w:tc>
        <w:tc>
          <w:tcPr>
            <w:tcW w:w="16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3C548D" w:rsidRPr="00526F2F" w:rsidRDefault="003C548D">
            <w:pPr>
              <w:rPr>
                <w:color w:val="000000"/>
                <w:sz w:val="22"/>
                <w:szCs w:val="22"/>
              </w:rPr>
            </w:pPr>
            <w:r>
              <w:rPr>
                <w:color w:val="000000"/>
                <w:sz w:val="22"/>
                <w:szCs w:val="22"/>
              </w:rPr>
              <w:t>Lee Convention*</w:t>
            </w:r>
          </w:p>
        </w:tc>
        <w:tc>
          <w:tcPr>
            <w:tcW w:w="7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3C548D" w:rsidRPr="00526F2F" w:rsidRDefault="003C548D">
            <w:pPr>
              <w:jc w:val="right"/>
              <w:rPr>
                <w:color w:val="000000"/>
                <w:sz w:val="22"/>
                <w:szCs w:val="22"/>
              </w:rPr>
            </w:pPr>
            <w:r>
              <w:rPr>
                <w:color w:val="000000"/>
                <w:sz w:val="22"/>
                <w:szCs w:val="22"/>
              </w:rPr>
              <w:t>50,250.00</w:t>
            </w:r>
          </w:p>
        </w:tc>
        <w:tc>
          <w:tcPr>
            <w:tcW w:w="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3C548D" w:rsidRPr="00526F2F" w:rsidRDefault="003C548D">
            <w:pPr>
              <w:jc w:val="right"/>
              <w:rPr>
                <w:color w:val="000000"/>
                <w:sz w:val="22"/>
                <w:szCs w:val="22"/>
              </w:rPr>
            </w:pPr>
            <w:r>
              <w:rPr>
                <w:color w:val="000000"/>
                <w:sz w:val="22"/>
                <w:szCs w:val="22"/>
              </w:rPr>
              <w:t>0.00</w:t>
            </w:r>
          </w:p>
        </w:tc>
        <w:tc>
          <w:tcPr>
            <w:tcW w:w="4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3C548D" w:rsidRPr="00526F2F" w:rsidRDefault="003C548D">
            <w:pPr>
              <w:jc w:val="right"/>
              <w:rPr>
                <w:sz w:val="22"/>
                <w:szCs w:val="22"/>
              </w:rPr>
            </w:pPr>
            <w:r>
              <w:rPr>
                <w:sz w:val="22"/>
                <w:szCs w:val="22"/>
              </w:rPr>
              <w:t>50,250.00</w:t>
            </w:r>
          </w:p>
        </w:tc>
      </w:tr>
      <w:tr w:rsidR="00A36670" w:rsidRPr="00526F2F" w:rsidTr="003502D0">
        <w:trPr>
          <w:trHeight w:val="300"/>
        </w:trPr>
        <w:tc>
          <w:tcPr>
            <w:tcW w:w="79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jc w:val="center"/>
              <w:rPr>
                <w:sz w:val="22"/>
                <w:szCs w:val="22"/>
              </w:rPr>
            </w:pPr>
            <w:r w:rsidRPr="00526F2F">
              <w:rPr>
                <w:sz w:val="22"/>
                <w:szCs w:val="22"/>
              </w:rPr>
              <w:t>TLC 2017</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rPr>
                <w:color w:val="000000"/>
                <w:sz w:val="22"/>
                <w:szCs w:val="22"/>
              </w:rPr>
            </w:pPr>
            <w:r w:rsidRPr="00526F2F">
              <w:rPr>
                <w:color w:val="000000"/>
                <w:sz w:val="22"/>
                <w:szCs w:val="22"/>
              </w:rPr>
              <w:t>Gabon</w:t>
            </w:r>
          </w:p>
        </w:tc>
        <w:tc>
          <w:tcPr>
            <w:tcW w:w="16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rPr>
                <w:color w:val="000000"/>
                <w:sz w:val="22"/>
                <w:szCs w:val="22"/>
              </w:rPr>
            </w:pPr>
            <w:proofErr w:type="spellStart"/>
            <w:r w:rsidRPr="00526F2F">
              <w:rPr>
                <w:color w:val="000000"/>
                <w:sz w:val="22"/>
                <w:szCs w:val="22"/>
              </w:rPr>
              <w:t>Ministère</w:t>
            </w:r>
            <w:proofErr w:type="spellEnd"/>
            <w:r w:rsidRPr="00526F2F">
              <w:rPr>
                <w:color w:val="000000"/>
                <w:sz w:val="22"/>
                <w:szCs w:val="22"/>
              </w:rPr>
              <w:t xml:space="preserve"> de </w:t>
            </w:r>
            <w:proofErr w:type="spellStart"/>
            <w:r w:rsidRPr="00526F2F">
              <w:rPr>
                <w:color w:val="000000"/>
                <w:sz w:val="22"/>
                <w:szCs w:val="22"/>
              </w:rPr>
              <w:t>l'Economie</w:t>
            </w:r>
            <w:proofErr w:type="spellEnd"/>
            <w:r w:rsidRPr="00526F2F">
              <w:rPr>
                <w:color w:val="000000"/>
                <w:sz w:val="22"/>
                <w:szCs w:val="22"/>
              </w:rPr>
              <w:t xml:space="preserve"> </w:t>
            </w:r>
            <w:proofErr w:type="spellStart"/>
            <w:r w:rsidRPr="00526F2F">
              <w:rPr>
                <w:color w:val="000000"/>
                <w:sz w:val="22"/>
                <w:szCs w:val="22"/>
              </w:rPr>
              <w:t>Numérique</w:t>
            </w:r>
            <w:proofErr w:type="spellEnd"/>
          </w:p>
        </w:tc>
        <w:tc>
          <w:tcPr>
            <w:tcW w:w="7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jc w:val="right"/>
              <w:rPr>
                <w:color w:val="000000"/>
                <w:sz w:val="22"/>
                <w:szCs w:val="22"/>
              </w:rPr>
            </w:pPr>
            <w:r w:rsidRPr="00526F2F">
              <w:rPr>
                <w:color w:val="000000"/>
                <w:sz w:val="22"/>
                <w:szCs w:val="22"/>
              </w:rPr>
              <w:t>138,000.00</w:t>
            </w:r>
          </w:p>
        </w:tc>
        <w:tc>
          <w:tcPr>
            <w:tcW w:w="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jc w:val="right"/>
              <w:rPr>
                <w:color w:val="000000"/>
                <w:sz w:val="22"/>
                <w:szCs w:val="22"/>
              </w:rPr>
            </w:pPr>
            <w:r w:rsidRPr="00526F2F">
              <w:rPr>
                <w:color w:val="000000"/>
                <w:sz w:val="22"/>
                <w:szCs w:val="22"/>
              </w:rPr>
              <w:t>0.00</w:t>
            </w:r>
          </w:p>
        </w:tc>
        <w:tc>
          <w:tcPr>
            <w:tcW w:w="4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jc w:val="right"/>
              <w:rPr>
                <w:sz w:val="22"/>
                <w:szCs w:val="22"/>
              </w:rPr>
            </w:pPr>
            <w:r w:rsidRPr="00526F2F">
              <w:rPr>
                <w:sz w:val="22"/>
                <w:szCs w:val="22"/>
              </w:rPr>
              <w:t>138,000.00</w:t>
            </w:r>
          </w:p>
        </w:tc>
      </w:tr>
      <w:tr w:rsidR="00A36670" w:rsidRPr="00526F2F" w:rsidTr="003502D0">
        <w:trPr>
          <w:trHeight w:val="300"/>
        </w:trPr>
        <w:tc>
          <w:tcPr>
            <w:tcW w:w="79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jc w:val="center"/>
              <w:rPr>
                <w:color w:val="000000"/>
                <w:sz w:val="22"/>
                <w:szCs w:val="22"/>
              </w:rPr>
            </w:pPr>
            <w:r w:rsidRPr="00526F2F">
              <w:rPr>
                <w:color w:val="000000"/>
                <w:sz w:val="22"/>
                <w:szCs w:val="22"/>
              </w:rPr>
              <w:t> </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rPr>
                <w:color w:val="000000"/>
                <w:sz w:val="22"/>
                <w:szCs w:val="22"/>
              </w:rPr>
            </w:pPr>
            <w:r w:rsidRPr="00526F2F">
              <w:rPr>
                <w:color w:val="000000"/>
                <w:sz w:val="22"/>
                <w:szCs w:val="22"/>
              </w:rPr>
              <w:t> </w:t>
            </w:r>
          </w:p>
        </w:tc>
        <w:tc>
          <w:tcPr>
            <w:tcW w:w="16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rPr>
                <w:color w:val="000000"/>
                <w:sz w:val="22"/>
                <w:szCs w:val="22"/>
              </w:rPr>
            </w:pPr>
            <w:r w:rsidRPr="00526F2F">
              <w:rPr>
                <w:color w:val="000000"/>
                <w:sz w:val="22"/>
                <w:szCs w:val="22"/>
              </w:rPr>
              <w:t> </w:t>
            </w:r>
          </w:p>
        </w:tc>
        <w:tc>
          <w:tcPr>
            <w:tcW w:w="7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rPr>
                <w:color w:val="000000"/>
                <w:sz w:val="22"/>
                <w:szCs w:val="22"/>
              </w:rPr>
            </w:pPr>
            <w:r w:rsidRPr="00526F2F">
              <w:rPr>
                <w:color w:val="000000"/>
                <w:sz w:val="22"/>
                <w:szCs w:val="22"/>
              </w:rPr>
              <w:t> </w:t>
            </w:r>
          </w:p>
        </w:tc>
        <w:tc>
          <w:tcPr>
            <w:tcW w:w="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rPr>
                <w:color w:val="000000"/>
                <w:sz w:val="22"/>
                <w:szCs w:val="22"/>
              </w:rPr>
            </w:pPr>
            <w:r w:rsidRPr="00526F2F">
              <w:rPr>
                <w:color w:val="000000"/>
                <w:sz w:val="22"/>
                <w:szCs w:val="22"/>
              </w:rPr>
              <w:t> </w:t>
            </w:r>
          </w:p>
        </w:tc>
        <w:tc>
          <w:tcPr>
            <w:tcW w:w="4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rPr>
                <w:color w:val="000000"/>
                <w:sz w:val="22"/>
                <w:szCs w:val="22"/>
              </w:rPr>
            </w:pPr>
            <w:r w:rsidRPr="00526F2F">
              <w:rPr>
                <w:color w:val="000000"/>
                <w:sz w:val="22"/>
                <w:szCs w:val="22"/>
              </w:rPr>
              <w:t> </w:t>
            </w:r>
          </w:p>
        </w:tc>
      </w:tr>
      <w:tr w:rsidR="00A36670" w:rsidRPr="00526F2F" w:rsidTr="003502D0">
        <w:trPr>
          <w:trHeight w:val="300"/>
        </w:trPr>
        <w:tc>
          <w:tcPr>
            <w:tcW w:w="79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3502D0" w:rsidRDefault="00FD1451">
            <w:pPr>
              <w:jc w:val="center"/>
              <w:rPr>
                <w:b/>
                <w:bCs/>
                <w:color w:val="000000"/>
                <w:sz w:val="22"/>
                <w:szCs w:val="22"/>
              </w:rPr>
            </w:pPr>
            <w:r w:rsidRPr="003502D0">
              <w:rPr>
                <w:b/>
                <w:bCs/>
                <w:color w:val="000000"/>
                <w:sz w:val="22"/>
                <w:szCs w:val="22"/>
              </w:rPr>
              <w:t>TLC 2017</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rPr>
                <w:color w:val="000000"/>
                <w:sz w:val="22"/>
                <w:szCs w:val="22"/>
              </w:rPr>
            </w:pPr>
            <w:r w:rsidRPr="00526F2F">
              <w:rPr>
                <w:color w:val="000000"/>
                <w:sz w:val="22"/>
                <w:szCs w:val="22"/>
              </w:rPr>
              <w:t> </w:t>
            </w:r>
          </w:p>
        </w:tc>
        <w:tc>
          <w:tcPr>
            <w:tcW w:w="16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rPr>
                <w:color w:val="000000"/>
                <w:sz w:val="22"/>
                <w:szCs w:val="22"/>
              </w:rPr>
            </w:pPr>
            <w:r w:rsidRPr="00526F2F">
              <w:rPr>
                <w:color w:val="000000"/>
                <w:sz w:val="22"/>
                <w:szCs w:val="22"/>
              </w:rPr>
              <w:t> </w:t>
            </w:r>
          </w:p>
        </w:tc>
        <w:tc>
          <w:tcPr>
            <w:tcW w:w="7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rPr>
                <w:color w:val="000000"/>
                <w:sz w:val="22"/>
                <w:szCs w:val="22"/>
              </w:rPr>
            </w:pPr>
            <w:r w:rsidRPr="00526F2F">
              <w:rPr>
                <w:color w:val="000000"/>
                <w:sz w:val="22"/>
                <w:szCs w:val="22"/>
              </w:rPr>
              <w:t> </w:t>
            </w:r>
          </w:p>
        </w:tc>
        <w:tc>
          <w:tcPr>
            <w:tcW w:w="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rPr>
                <w:rFonts w:cs="Arial"/>
                <w:b/>
                <w:bCs/>
                <w:sz w:val="20"/>
              </w:rPr>
            </w:pPr>
            <w:r w:rsidRPr="00526F2F">
              <w:rPr>
                <w:rFonts w:cs="Arial"/>
                <w:b/>
                <w:bCs/>
                <w:sz w:val="20"/>
              </w:rPr>
              <w:t> </w:t>
            </w:r>
          </w:p>
        </w:tc>
        <w:tc>
          <w:tcPr>
            <w:tcW w:w="4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D1451" w:rsidRPr="00526F2F" w:rsidRDefault="00FD1451">
            <w:pPr>
              <w:jc w:val="right"/>
              <w:rPr>
                <w:rFonts w:cs="Arial"/>
                <w:b/>
                <w:bCs/>
                <w:sz w:val="20"/>
              </w:rPr>
            </w:pPr>
            <w:r w:rsidRPr="00526F2F">
              <w:rPr>
                <w:rFonts w:cs="Arial"/>
                <w:b/>
                <w:bCs/>
                <w:sz w:val="20"/>
              </w:rPr>
              <w:t>290,650.00</w:t>
            </w:r>
          </w:p>
        </w:tc>
      </w:tr>
      <w:tr w:rsidR="003502D0" w:rsidRPr="00526F2F" w:rsidTr="003502D0">
        <w:trPr>
          <w:gridAfter w:val="3"/>
          <w:wAfter w:w="1947" w:type="pct"/>
          <w:trHeight w:val="300"/>
        </w:trPr>
        <w:tc>
          <w:tcPr>
            <w:tcW w:w="794" w:type="pct"/>
            <w:tcBorders>
              <w:top w:val="nil"/>
              <w:left w:val="nil"/>
              <w:bottom w:val="nil"/>
              <w:right w:val="nil"/>
            </w:tcBorders>
            <w:shd w:val="clear" w:color="auto" w:fill="auto"/>
            <w:noWrap/>
            <w:tcMar>
              <w:top w:w="15" w:type="dxa"/>
              <w:left w:w="15" w:type="dxa"/>
              <w:bottom w:w="0" w:type="dxa"/>
              <w:right w:w="15" w:type="dxa"/>
            </w:tcMar>
            <w:vAlign w:val="bottom"/>
            <w:hideMark/>
          </w:tcPr>
          <w:p w:rsidR="003502D0" w:rsidRDefault="003502D0">
            <w:pPr>
              <w:rPr>
                <w:color w:val="000000"/>
                <w:sz w:val="22"/>
                <w:szCs w:val="22"/>
              </w:rPr>
            </w:pPr>
          </w:p>
          <w:p w:rsidR="003502D0" w:rsidRDefault="003502D0">
            <w:pPr>
              <w:rPr>
                <w:color w:val="000000"/>
                <w:sz w:val="22"/>
                <w:szCs w:val="22"/>
              </w:rPr>
            </w:pPr>
          </w:p>
          <w:p w:rsidR="003502D0" w:rsidRPr="00526F2F" w:rsidRDefault="003502D0">
            <w:pPr>
              <w:rPr>
                <w:color w:val="000000"/>
                <w:sz w:val="22"/>
                <w:szCs w:val="22"/>
              </w:rPr>
            </w:pPr>
            <w:r w:rsidRPr="00526F2F">
              <w:rPr>
                <w:color w:val="000000"/>
                <w:sz w:val="22"/>
                <w:szCs w:val="22"/>
              </w:rPr>
              <w:t>World debtors</w:t>
            </w:r>
          </w:p>
        </w:tc>
        <w:tc>
          <w:tcPr>
            <w:tcW w:w="595" w:type="pct"/>
            <w:tcBorders>
              <w:top w:val="nil"/>
              <w:left w:val="nil"/>
              <w:bottom w:val="nil"/>
              <w:right w:val="nil"/>
            </w:tcBorders>
            <w:shd w:val="clear" w:color="auto" w:fill="auto"/>
            <w:noWrap/>
            <w:tcMar>
              <w:top w:w="15" w:type="dxa"/>
              <w:left w:w="15" w:type="dxa"/>
              <w:bottom w:w="0" w:type="dxa"/>
              <w:right w:w="15" w:type="dxa"/>
            </w:tcMar>
            <w:vAlign w:val="bottom"/>
            <w:hideMark/>
          </w:tcPr>
          <w:p w:rsidR="003502D0" w:rsidRPr="00526F2F" w:rsidRDefault="003502D0">
            <w:pPr>
              <w:jc w:val="right"/>
              <w:rPr>
                <w:rFonts w:cs="Arial"/>
                <w:b/>
                <w:bCs/>
                <w:sz w:val="20"/>
              </w:rPr>
            </w:pPr>
            <w:r w:rsidRPr="00526F2F">
              <w:rPr>
                <w:rFonts w:cs="Arial"/>
                <w:b/>
                <w:bCs/>
                <w:sz w:val="20"/>
              </w:rPr>
              <w:t>613,424.80</w:t>
            </w:r>
          </w:p>
        </w:tc>
        <w:tc>
          <w:tcPr>
            <w:tcW w:w="1664" w:type="pct"/>
            <w:tcBorders>
              <w:top w:val="nil"/>
              <w:left w:val="nil"/>
              <w:bottom w:val="nil"/>
              <w:right w:val="nil"/>
            </w:tcBorders>
            <w:shd w:val="clear" w:color="auto" w:fill="auto"/>
            <w:noWrap/>
            <w:tcMar>
              <w:top w:w="15" w:type="dxa"/>
              <w:left w:w="15" w:type="dxa"/>
              <w:bottom w:w="0" w:type="dxa"/>
              <w:right w:w="15" w:type="dxa"/>
            </w:tcMar>
            <w:vAlign w:val="bottom"/>
            <w:hideMark/>
          </w:tcPr>
          <w:p w:rsidR="003502D0" w:rsidRPr="00526F2F" w:rsidRDefault="003502D0">
            <w:pPr>
              <w:jc w:val="right"/>
              <w:rPr>
                <w:rFonts w:cs="Arial"/>
                <w:b/>
                <w:bCs/>
                <w:sz w:val="20"/>
              </w:rPr>
            </w:pPr>
          </w:p>
        </w:tc>
      </w:tr>
      <w:tr w:rsidR="003502D0" w:rsidRPr="00526F2F" w:rsidTr="003502D0">
        <w:trPr>
          <w:gridAfter w:val="3"/>
          <w:wAfter w:w="1947" w:type="pct"/>
          <w:trHeight w:val="300"/>
        </w:trPr>
        <w:tc>
          <w:tcPr>
            <w:tcW w:w="794" w:type="pct"/>
            <w:tcBorders>
              <w:top w:val="nil"/>
              <w:left w:val="nil"/>
              <w:bottom w:val="nil"/>
              <w:right w:val="nil"/>
            </w:tcBorders>
            <w:shd w:val="clear" w:color="auto" w:fill="auto"/>
            <w:noWrap/>
            <w:tcMar>
              <w:top w:w="15" w:type="dxa"/>
              <w:left w:w="15" w:type="dxa"/>
              <w:bottom w:w="0" w:type="dxa"/>
              <w:right w:w="15" w:type="dxa"/>
            </w:tcMar>
            <w:vAlign w:val="bottom"/>
            <w:hideMark/>
          </w:tcPr>
          <w:p w:rsidR="003502D0" w:rsidRPr="00526F2F" w:rsidRDefault="003502D0">
            <w:pPr>
              <w:rPr>
                <w:color w:val="000000"/>
                <w:sz w:val="22"/>
                <w:szCs w:val="22"/>
              </w:rPr>
            </w:pPr>
            <w:r w:rsidRPr="00526F2F">
              <w:rPr>
                <w:color w:val="000000"/>
                <w:sz w:val="22"/>
                <w:szCs w:val="22"/>
              </w:rPr>
              <w:t>Africa Debtors</w:t>
            </w:r>
          </w:p>
        </w:tc>
        <w:tc>
          <w:tcPr>
            <w:tcW w:w="595" w:type="pct"/>
            <w:tcBorders>
              <w:top w:val="nil"/>
              <w:left w:val="nil"/>
              <w:bottom w:val="nil"/>
              <w:right w:val="nil"/>
            </w:tcBorders>
            <w:shd w:val="clear" w:color="auto" w:fill="auto"/>
            <w:noWrap/>
            <w:tcMar>
              <w:top w:w="15" w:type="dxa"/>
              <w:left w:w="15" w:type="dxa"/>
              <w:bottom w:w="0" w:type="dxa"/>
              <w:right w:w="15" w:type="dxa"/>
            </w:tcMar>
            <w:vAlign w:val="bottom"/>
            <w:hideMark/>
          </w:tcPr>
          <w:p w:rsidR="003502D0" w:rsidRPr="00526F2F" w:rsidRDefault="003502D0">
            <w:pPr>
              <w:jc w:val="right"/>
              <w:rPr>
                <w:rFonts w:cs="Arial"/>
                <w:b/>
                <w:bCs/>
                <w:sz w:val="20"/>
              </w:rPr>
            </w:pPr>
            <w:r w:rsidRPr="00526F2F">
              <w:rPr>
                <w:rFonts w:cs="Arial"/>
                <w:b/>
                <w:bCs/>
                <w:sz w:val="20"/>
              </w:rPr>
              <w:t>40,480.00</w:t>
            </w:r>
          </w:p>
        </w:tc>
        <w:tc>
          <w:tcPr>
            <w:tcW w:w="1664" w:type="pct"/>
            <w:tcBorders>
              <w:top w:val="nil"/>
              <w:left w:val="nil"/>
              <w:bottom w:val="nil"/>
              <w:right w:val="nil"/>
            </w:tcBorders>
            <w:shd w:val="clear" w:color="auto" w:fill="auto"/>
            <w:noWrap/>
            <w:tcMar>
              <w:top w:w="15" w:type="dxa"/>
              <w:left w:w="15" w:type="dxa"/>
              <w:bottom w:w="0" w:type="dxa"/>
              <w:right w:w="15" w:type="dxa"/>
            </w:tcMar>
            <w:vAlign w:val="bottom"/>
            <w:hideMark/>
          </w:tcPr>
          <w:p w:rsidR="003502D0" w:rsidRPr="00526F2F" w:rsidRDefault="003502D0">
            <w:pPr>
              <w:jc w:val="right"/>
              <w:rPr>
                <w:rFonts w:cs="Arial"/>
                <w:b/>
                <w:bCs/>
                <w:sz w:val="20"/>
              </w:rPr>
            </w:pPr>
          </w:p>
        </w:tc>
      </w:tr>
      <w:tr w:rsidR="003502D0" w:rsidRPr="00526F2F" w:rsidTr="003502D0">
        <w:trPr>
          <w:gridAfter w:val="3"/>
          <w:wAfter w:w="1947" w:type="pct"/>
          <w:trHeight w:val="300"/>
        </w:trPr>
        <w:tc>
          <w:tcPr>
            <w:tcW w:w="794" w:type="pct"/>
            <w:tcBorders>
              <w:top w:val="nil"/>
              <w:left w:val="nil"/>
              <w:bottom w:val="nil"/>
              <w:right w:val="nil"/>
            </w:tcBorders>
            <w:shd w:val="clear" w:color="auto" w:fill="auto"/>
            <w:noWrap/>
            <w:tcMar>
              <w:top w:w="15" w:type="dxa"/>
              <w:left w:w="15" w:type="dxa"/>
              <w:bottom w:w="0" w:type="dxa"/>
              <w:right w:w="15" w:type="dxa"/>
            </w:tcMar>
            <w:vAlign w:val="bottom"/>
            <w:hideMark/>
          </w:tcPr>
          <w:p w:rsidR="003502D0" w:rsidRPr="003502D0" w:rsidRDefault="003502D0">
            <w:pPr>
              <w:rPr>
                <w:b/>
                <w:bCs/>
                <w:color w:val="000000"/>
                <w:sz w:val="22"/>
                <w:szCs w:val="22"/>
              </w:rPr>
            </w:pPr>
          </w:p>
          <w:p w:rsidR="003502D0" w:rsidRPr="003502D0" w:rsidRDefault="003502D0">
            <w:pPr>
              <w:rPr>
                <w:b/>
                <w:bCs/>
                <w:color w:val="000000"/>
                <w:sz w:val="22"/>
                <w:szCs w:val="22"/>
              </w:rPr>
            </w:pPr>
            <w:r w:rsidRPr="003502D0">
              <w:rPr>
                <w:b/>
                <w:bCs/>
                <w:color w:val="000000"/>
                <w:sz w:val="22"/>
                <w:szCs w:val="22"/>
              </w:rPr>
              <w:t>Total of Debtors</w:t>
            </w:r>
          </w:p>
        </w:tc>
        <w:tc>
          <w:tcPr>
            <w:tcW w:w="595" w:type="pct"/>
            <w:tcBorders>
              <w:top w:val="nil"/>
              <w:left w:val="nil"/>
              <w:bottom w:val="nil"/>
              <w:right w:val="nil"/>
            </w:tcBorders>
            <w:shd w:val="clear" w:color="auto" w:fill="auto"/>
            <w:noWrap/>
            <w:tcMar>
              <w:top w:w="15" w:type="dxa"/>
              <w:left w:w="15" w:type="dxa"/>
              <w:bottom w:w="0" w:type="dxa"/>
              <w:right w:w="15" w:type="dxa"/>
            </w:tcMar>
            <w:vAlign w:val="bottom"/>
            <w:hideMark/>
          </w:tcPr>
          <w:p w:rsidR="003502D0" w:rsidRPr="00526F2F" w:rsidRDefault="003502D0">
            <w:pPr>
              <w:jc w:val="right"/>
              <w:rPr>
                <w:rFonts w:cs="Arial"/>
                <w:b/>
                <w:bCs/>
                <w:sz w:val="20"/>
              </w:rPr>
            </w:pPr>
            <w:r w:rsidRPr="00526F2F">
              <w:rPr>
                <w:rFonts w:cs="Arial"/>
                <w:b/>
                <w:bCs/>
                <w:sz w:val="20"/>
              </w:rPr>
              <w:t>653,904.80</w:t>
            </w:r>
          </w:p>
        </w:tc>
        <w:tc>
          <w:tcPr>
            <w:tcW w:w="1664" w:type="pct"/>
            <w:tcBorders>
              <w:top w:val="nil"/>
              <w:left w:val="nil"/>
              <w:bottom w:val="nil"/>
              <w:right w:val="nil"/>
            </w:tcBorders>
            <w:shd w:val="clear" w:color="auto" w:fill="auto"/>
            <w:noWrap/>
            <w:tcMar>
              <w:top w:w="15" w:type="dxa"/>
              <w:left w:w="15" w:type="dxa"/>
              <w:bottom w:w="0" w:type="dxa"/>
              <w:right w:w="15" w:type="dxa"/>
            </w:tcMar>
            <w:vAlign w:val="bottom"/>
          </w:tcPr>
          <w:p w:rsidR="003502D0" w:rsidRPr="00526F2F" w:rsidRDefault="003502D0">
            <w:pPr>
              <w:jc w:val="right"/>
              <w:rPr>
                <w:rFonts w:cs="Arial"/>
                <w:b/>
                <w:bCs/>
                <w:sz w:val="20"/>
              </w:rPr>
            </w:pPr>
          </w:p>
        </w:tc>
      </w:tr>
    </w:tbl>
    <w:p w:rsidR="003C548D" w:rsidRDefault="003C548D" w:rsidP="0089730A">
      <w:pPr>
        <w:tabs>
          <w:tab w:val="clear" w:pos="567"/>
          <w:tab w:val="clear" w:pos="1134"/>
          <w:tab w:val="clear" w:pos="1701"/>
          <w:tab w:val="clear" w:pos="2268"/>
          <w:tab w:val="clear" w:pos="2835"/>
        </w:tabs>
        <w:overflowPunct/>
        <w:autoSpaceDE/>
        <w:autoSpaceDN/>
        <w:adjustRightInd/>
        <w:spacing w:before="0"/>
        <w:jc w:val="center"/>
        <w:textAlignment w:val="auto"/>
        <w:rPr>
          <w:sz w:val="22"/>
          <w:szCs w:val="18"/>
          <w:lang w:val="en-US"/>
        </w:rPr>
      </w:pPr>
    </w:p>
    <w:p w:rsidR="003C548D" w:rsidRDefault="003C548D" w:rsidP="003C548D">
      <w:pPr>
        <w:rPr>
          <w:color w:val="000000"/>
          <w:sz w:val="22"/>
          <w:szCs w:val="22"/>
        </w:rPr>
      </w:pPr>
      <w:r>
        <w:rPr>
          <w:rFonts w:asciiTheme="minorHAnsi" w:hAnsiTheme="minorHAnsi"/>
          <w:sz w:val="22"/>
          <w:szCs w:val="18"/>
        </w:rPr>
        <w:t>*</w:t>
      </w:r>
      <w:r w:rsidRPr="00C75901">
        <w:rPr>
          <w:rFonts w:asciiTheme="minorHAnsi" w:hAnsiTheme="minorHAnsi"/>
          <w:sz w:val="22"/>
          <w:szCs w:val="18"/>
        </w:rPr>
        <w:t xml:space="preserve">Payment received after </w:t>
      </w:r>
      <w:r>
        <w:rPr>
          <w:rFonts w:asciiTheme="minorHAnsi" w:hAnsiTheme="minorHAnsi"/>
          <w:sz w:val="22"/>
          <w:szCs w:val="18"/>
        </w:rPr>
        <w:t>3</w:t>
      </w:r>
      <w:r w:rsidRPr="00C75901">
        <w:rPr>
          <w:rFonts w:asciiTheme="minorHAnsi" w:hAnsiTheme="minorHAnsi"/>
          <w:sz w:val="22"/>
          <w:szCs w:val="18"/>
        </w:rPr>
        <w:t>1.12.2017</w:t>
      </w:r>
    </w:p>
    <w:p w:rsidR="00C652E7" w:rsidRPr="00526F2F" w:rsidRDefault="00FD1451" w:rsidP="0089730A">
      <w:pPr>
        <w:tabs>
          <w:tab w:val="clear" w:pos="567"/>
          <w:tab w:val="clear" w:pos="1134"/>
          <w:tab w:val="clear" w:pos="1701"/>
          <w:tab w:val="clear" w:pos="2268"/>
          <w:tab w:val="clear" w:pos="2835"/>
        </w:tabs>
        <w:overflowPunct/>
        <w:autoSpaceDE/>
        <w:autoSpaceDN/>
        <w:adjustRightInd/>
        <w:spacing w:before="0"/>
        <w:jc w:val="center"/>
        <w:textAlignment w:val="auto"/>
        <w:rPr>
          <w:sz w:val="22"/>
          <w:szCs w:val="18"/>
          <w:lang w:val="en-US"/>
        </w:rPr>
      </w:pPr>
      <w:r w:rsidRPr="00526F2F">
        <w:rPr>
          <w:sz w:val="22"/>
          <w:szCs w:val="18"/>
          <w:lang w:val="en-US"/>
        </w:rPr>
        <w:t xml:space="preserve"> </w:t>
      </w:r>
      <w:r w:rsidR="00603AD8" w:rsidRPr="00526F2F">
        <w:rPr>
          <w:sz w:val="22"/>
          <w:szCs w:val="18"/>
          <w:lang w:val="en-US"/>
        </w:rPr>
        <w:br w:type="page"/>
      </w:r>
      <w:bookmarkStart w:id="162" w:name="_Toc305776656"/>
      <w:bookmarkStart w:id="163" w:name="_Toc357006014"/>
    </w:p>
    <w:p w:rsidR="00C652E7" w:rsidRPr="00526F2F" w:rsidRDefault="00C652E7" w:rsidP="0089730A">
      <w:pPr>
        <w:tabs>
          <w:tab w:val="clear" w:pos="567"/>
          <w:tab w:val="clear" w:pos="1134"/>
          <w:tab w:val="clear" w:pos="1701"/>
          <w:tab w:val="clear" w:pos="2268"/>
          <w:tab w:val="clear" w:pos="2835"/>
        </w:tabs>
        <w:overflowPunct/>
        <w:autoSpaceDE/>
        <w:autoSpaceDN/>
        <w:adjustRightInd/>
        <w:spacing w:before="0"/>
        <w:jc w:val="center"/>
        <w:textAlignment w:val="auto"/>
        <w:rPr>
          <w:lang w:val="en-US"/>
        </w:rPr>
      </w:pPr>
    </w:p>
    <w:p w:rsidR="0041159C" w:rsidRPr="00526F2F" w:rsidRDefault="00322E70" w:rsidP="004D6371">
      <w:pPr>
        <w:tabs>
          <w:tab w:val="clear" w:pos="567"/>
          <w:tab w:val="clear" w:pos="1134"/>
          <w:tab w:val="clear" w:pos="1701"/>
          <w:tab w:val="clear" w:pos="2268"/>
          <w:tab w:val="clear" w:pos="2835"/>
        </w:tabs>
        <w:overflowPunct/>
        <w:autoSpaceDE/>
        <w:autoSpaceDN/>
        <w:adjustRightInd/>
        <w:spacing w:before="0"/>
        <w:jc w:val="center"/>
        <w:textAlignment w:val="auto"/>
        <w:rPr>
          <w:w w:val="105"/>
          <w:sz w:val="28"/>
          <w:szCs w:val="28"/>
          <w:lang w:val="en-US"/>
        </w:rPr>
      </w:pPr>
      <w:r w:rsidRPr="00526F2F">
        <w:rPr>
          <w:w w:val="105"/>
          <w:sz w:val="28"/>
          <w:szCs w:val="28"/>
          <w:lang w:val="en-US"/>
        </w:rPr>
        <w:t>A</w:t>
      </w:r>
      <w:r w:rsidR="00D66C0F" w:rsidRPr="00526F2F">
        <w:rPr>
          <w:w w:val="105"/>
          <w:sz w:val="28"/>
          <w:szCs w:val="28"/>
          <w:lang w:val="en-US"/>
        </w:rPr>
        <w:t xml:space="preserve">NNEX </w:t>
      </w:r>
      <w:bookmarkEnd w:id="162"/>
      <w:bookmarkEnd w:id="163"/>
      <w:r w:rsidR="004D6371" w:rsidRPr="00526F2F">
        <w:rPr>
          <w:w w:val="105"/>
          <w:sz w:val="28"/>
          <w:szCs w:val="28"/>
          <w:lang w:val="en-US"/>
        </w:rPr>
        <w:t>D</w:t>
      </w:r>
    </w:p>
    <w:p w:rsidR="004057FE" w:rsidRPr="00526F2F" w:rsidRDefault="004057FE" w:rsidP="00101FB9">
      <w:pPr>
        <w:pStyle w:val="Headingb"/>
        <w:spacing w:after="120"/>
        <w:jc w:val="center"/>
        <w:rPr>
          <w:sz w:val="28"/>
          <w:szCs w:val="22"/>
          <w:lang w:val="en-US"/>
        </w:rPr>
      </w:pPr>
      <w:r w:rsidRPr="00526F2F">
        <w:rPr>
          <w:sz w:val="28"/>
          <w:szCs w:val="22"/>
          <w:lang w:val="en-US"/>
        </w:rPr>
        <w:t>L</w:t>
      </w:r>
      <w:r w:rsidR="00101FB9">
        <w:rPr>
          <w:sz w:val="28"/>
          <w:szCs w:val="22"/>
          <w:lang w:val="en-US"/>
        </w:rPr>
        <w:t>ist of sponsors at 31 December 2017</w:t>
      </w:r>
    </w:p>
    <w:tbl>
      <w:tblPr>
        <w:tblW w:w="5000" w:type="pct"/>
        <w:tblLayout w:type="fixed"/>
        <w:tblLook w:val="04A0" w:firstRow="1" w:lastRow="0" w:firstColumn="1" w:lastColumn="0" w:noHBand="0" w:noVBand="1"/>
      </w:tblPr>
      <w:tblGrid>
        <w:gridCol w:w="1413"/>
        <w:gridCol w:w="1276"/>
        <w:gridCol w:w="1560"/>
        <w:gridCol w:w="1700"/>
        <w:gridCol w:w="908"/>
        <w:gridCol w:w="1525"/>
        <w:gridCol w:w="686"/>
        <w:gridCol w:w="1389"/>
      </w:tblGrid>
      <w:tr w:rsidR="0003310F" w:rsidRPr="00526F2F" w:rsidTr="0003310F">
        <w:trPr>
          <w:trHeight w:val="259"/>
        </w:trPr>
        <w:tc>
          <w:tcPr>
            <w:tcW w:w="676" w:type="pct"/>
            <w:tcBorders>
              <w:top w:val="single" w:sz="4" w:space="0" w:color="auto"/>
              <w:left w:val="single" w:sz="4" w:space="0" w:color="auto"/>
              <w:bottom w:val="nil"/>
              <w:right w:val="single" w:sz="4" w:space="0" w:color="auto"/>
            </w:tcBorders>
            <w:shd w:val="clear" w:color="auto" w:fill="auto"/>
            <w:noWrap/>
            <w:vAlign w:val="bottom"/>
            <w:hideMark/>
          </w:tcPr>
          <w:p w:rsidR="0003310F" w:rsidRPr="00526F2F" w:rsidRDefault="0003310F" w:rsidP="0003310F">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val="en-US" w:eastAsia="zh-CN"/>
              </w:rPr>
            </w:pPr>
            <w:bookmarkStart w:id="164" w:name="_MON_1402743587"/>
            <w:bookmarkStart w:id="165" w:name="_MON_1402743680"/>
            <w:bookmarkStart w:id="166" w:name="_MON_1488987921"/>
            <w:bookmarkEnd w:id="164"/>
            <w:bookmarkEnd w:id="165"/>
            <w:bookmarkEnd w:id="166"/>
            <w:r w:rsidRPr="00526F2F">
              <w:rPr>
                <w:rFonts w:cs="Arial"/>
                <w:b/>
                <w:bCs/>
                <w:sz w:val="22"/>
                <w:szCs w:val="22"/>
                <w:lang w:val="en-US" w:eastAsia="zh-CN"/>
              </w:rPr>
              <w:t> </w:t>
            </w:r>
          </w:p>
        </w:tc>
        <w:tc>
          <w:tcPr>
            <w:tcW w:w="610" w:type="pct"/>
            <w:tcBorders>
              <w:top w:val="single" w:sz="4" w:space="0" w:color="auto"/>
              <w:left w:val="nil"/>
              <w:bottom w:val="nil"/>
              <w:right w:val="single" w:sz="4" w:space="0" w:color="auto"/>
            </w:tcBorders>
            <w:shd w:val="clear" w:color="auto" w:fill="auto"/>
            <w:noWrap/>
            <w:vAlign w:val="bottom"/>
            <w:hideMark/>
          </w:tcPr>
          <w:p w:rsidR="0003310F" w:rsidRPr="00526F2F" w:rsidRDefault="0003310F" w:rsidP="0003310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n-US" w:eastAsia="zh-CN"/>
              </w:rPr>
            </w:pPr>
            <w:r w:rsidRPr="00526F2F">
              <w:rPr>
                <w:rFonts w:cs="Arial"/>
                <w:sz w:val="22"/>
                <w:szCs w:val="22"/>
                <w:lang w:val="en-US" w:eastAsia="zh-CN"/>
              </w:rPr>
              <w:t> </w:t>
            </w:r>
          </w:p>
        </w:tc>
        <w:tc>
          <w:tcPr>
            <w:tcW w:w="746" w:type="pct"/>
            <w:tcBorders>
              <w:top w:val="single" w:sz="4" w:space="0" w:color="auto"/>
              <w:left w:val="nil"/>
              <w:bottom w:val="nil"/>
              <w:right w:val="single" w:sz="4" w:space="0" w:color="auto"/>
            </w:tcBorders>
            <w:shd w:val="clear" w:color="auto" w:fill="auto"/>
            <w:noWrap/>
            <w:vAlign w:val="bottom"/>
            <w:hideMark/>
          </w:tcPr>
          <w:p w:rsidR="0003310F" w:rsidRPr="00526F2F" w:rsidRDefault="0003310F" w:rsidP="0003310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n-US" w:eastAsia="zh-CN"/>
              </w:rPr>
            </w:pPr>
            <w:r w:rsidRPr="00526F2F">
              <w:rPr>
                <w:rFonts w:cs="Arial"/>
                <w:sz w:val="22"/>
                <w:szCs w:val="22"/>
                <w:lang w:val="en-US" w:eastAsia="zh-CN"/>
              </w:rPr>
              <w:t> </w:t>
            </w:r>
          </w:p>
        </w:tc>
        <w:tc>
          <w:tcPr>
            <w:tcW w:w="813" w:type="pct"/>
            <w:tcBorders>
              <w:top w:val="single" w:sz="4" w:space="0" w:color="auto"/>
              <w:left w:val="nil"/>
              <w:bottom w:val="nil"/>
              <w:right w:val="single" w:sz="4" w:space="0" w:color="auto"/>
            </w:tcBorders>
            <w:shd w:val="clear" w:color="auto" w:fill="auto"/>
            <w:noWrap/>
            <w:vAlign w:val="bottom"/>
            <w:hideMark/>
          </w:tcPr>
          <w:p w:rsidR="0003310F" w:rsidRPr="00526F2F" w:rsidRDefault="0003310F" w:rsidP="0003310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n-US" w:eastAsia="zh-CN"/>
              </w:rPr>
            </w:pPr>
            <w:r w:rsidRPr="00526F2F">
              <w:rPr>
                <w:rFonts w:cs="Arial"/>
                <w:sz w:val="22"/>
                <w:szCs w:val="22"/>
                <w:lang w:val="en-US" w:eastAsia="zh-CN"/>
              </w:rPr>
              <w:t> </w:t>
            </w:r>
          </w:p>
        </w:tc>
        <w:tc>
          <w:tcPr>
            <w:tcW w:w="434" w:type="pct"/>
            <w:tcBorders>
              <w:top w:val="single" w:sz="4" w:space="0" w:color="auto"/>
              <w:left w:val="nil"/>
              <w:bottom w:val="nil"/>
              <w:right w:val="single" w:sz="4" w:space="0" w:color="auto"/>
            </w:tcBorders>
            <w:shd w:val="clear" w:color="auto" w:fill="auto"/>
            <w:noWrap/>
            <w:vAlign w:val="bottom"/>
            <w:hideMark/>
          </w:tcPr>
          <w:p w:rsidR="0003310F" w:rsidRPr="00526F2F" w:rsidRDefault="0003310F" w:rsidP="0003310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n-US" w:eastAsia="zh-CN"/>
              </w:rPr>
            </w:pPr>
            <w:r w:rsidRPr="00526F2F">
              <w:rPr>
                <w:rFonts w:cs="Arial"/>
                <w:sz w:val="22"/>
                <w:szCs w:val="22"/>
                <w:lang w:val="en-US" w:eastAsia="zh-CN"/>
              </w:rPr>
              <w:t> </w:t>
            </w:r>
          </w:p>
        </w:tc>
        <w:tc>
          <w:tcPr>
            <w:tcW w:w="729" w:type="pct"/>
            <w:tcBorders>
              <w:top w:val="single" w:sz="4" w:space="0" w:color="auto"/>
              <w:left w:val="nil"/>
              <w:bottom w:val="nil"/>
              <w:right w:val="nil"/>
            </w:tcBorders>
            <w:shd w:val="clear" w:color="auto" w:fill="auto"/>
            <w:noWrap/>
            <w:vAlign w:val="bottom"/>
            <w:hideMark/>
          </w:tcPr>
          <w:p w:rsidR="0003310F" w:rsidRPr="00526F2F" w:rsidRDefault="0003310F" w:rsidP="0003310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n-US" w:eastAsia="zh-CN"/>
              </w:rPr>
            </w:pPr>
            <w:r w:rsidRPr="00526F2F">
              <w:rPr>
                <w:rFonts w:cs="Arial"/>
                <w:sz w:val="22"/>
                <w:szCs w:val="22"/>
                <w:lang w:val="en-US" w:eastAsia="zh-CN"/>
              </w:rPr>
              <w:t> </w:t>
            </w:r>
          </w:p>
        </w:tc>
        <w:tc>
          <w:tcPr>
            <w:tcW w:w="328" w:type="pct"/>
            <w:tcBorders>
              <w:top w:val="single" w:sz="4" w:space="0" w:color="auto"/>
              <w:left w:val="single" w:sz="4" w:space="0" w:color="auto"/>
              <w:bottom w:val="nil"/>
              <w:right w:val="single" w:sz="4" w:space="0" w:color="auto"/>
            </w:tcBorders>
            <w:shd w:val="clear" w:color="auto" w:fill="auto"/>
            <w:noWrap/>
            <w:vAlign w:val="bottom"/>
            <w:hideMark/>
          </w:tcPr>
          <w:p w:rsidR="0003310F" w:rsidRPr="00526F2F" w:rsidRDefault="0003310F" w:rsidP="0003310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n-US" w:eastAsia="zh-CN"/>
              </w:rPr>
            </w:pPr>
            <w:r w:rsidRPr="00526F2F">
              <w:rPr>
                <w:rFonts w:cs="Arial"/>
                <w:sz w:val="22"/>
                <w:szCs w:val="22"/>
                <w:lang w:val="en-US" w:eastAsia="zh-CN"/>
              </w:rPr>
              <w:t> </w:t>
            </w:r>
          </w:p>
        </w:tc>
        <w:tc>
          <w:tcPr>
            <w:tcW w:w="664" w:type="pct"/>
            <w:tcBorders>
              <w:top w:val="single" w:sz="4" w:space="0" w:color="auto"/>
              <w:left w:val="nil"/>
              <w:bottom w:val="nil"/>
              <w:right w:val="single" w:sz="4" w:space="0" w:color="auto"/>
            </w:tcBorders>
            <w:shd w:val="clear" w:color="auto" w:fill="auto"/>
            <w:noWrap/>
            <w:vAlign w:val="bottom"/>
            <w:hideMark/>
          </w:tcPr>
          <w:p w:rsidR="0003310F" w:rsidRPr="00526F2F" w:rsidRDefault="0003310F" w:rsidP="0003310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n-US" w:eastAsia="zh-CN"/>
              </w:rPr>
            </w:pPr>
            <w:r w:rsidRPr="00526F2F">
              <w:rPr>
                <w:rFonts w:cs="Arial"/>
                <w:sz w:val="22"/>
                <w:szCs w:val="22"/>
                <w:lang w:val="en-US" w:eastAsia="zh-CN"/>
              </w:rPr>
              <w:t> </w:t>
            </w:r>
          </w:p>
        </w:tc>
      </w:tr>
      <w:tr w:rsidR="0003310F" w:rsidRPr="00526F2F" w:rsidTr="0003310F">
        <w:trPr>
          <w:trHeight w:val="259"/>
        </w:trPr>
        <w:tc>
          <w:tcPr>
            <w:tcW w:w="676" w:type="pct"/>
            <w:tcBorders>
              <w:top w:val="nil"/>
              <w:left w:val="single" w:sz="4" w:space="0" w:color="auto"/>
              <w:bottom w:val="nil"/>
              <w:right w:val="single" w:sz="4" w:space="0" w:color="auto"/>
            </w:tcBorders>
            <w:shd w:val="clear" w:color="auto" w:fill="auto"/>
            <w:noWrap/>
            <w:vAlign w:val="bottom"/>
            <w:hideMark/>
          </w:tcPr>
          <w:p w:rsidR="0003310F" w:rsidRPr="00526F2F" w:rsidRDefault="0003310F" w:rsidP="0003310F">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val="en-US" w:eastAsia="zh-CN"/>
              </w:rPr>
            </w:pPr>
            <w:r w:rsidRPr="00526F2F">
              <w:rPr>
                <w:rFonts w:cs="Arial"/>
                <w:b/>
                <w:bCs/>
                <w:sz w:val="22"/>
                <w:szCs w:val="22"/>
                <w:lang w:val="en-US" w:eastAsia="zh-CN"/>
              </w:rPr>
              <w:t>WBS element</w:t>
            </w:r>
          </w:p>
        </w:tc>
        <w:tc>
          <w:tcPr>
            <w:tcW w:w="610" w:type="pct"/>
            <w:tcBorders>
              <w:top w:val="nil"/>
              <w:left w:val="nil"/>
              <w:bottom w:val="nil"/>
              <w:right w:val="single" w:sz="4" w:space="0" w:color="auto"/>
            </w:tcBorders>
            <w:shd w:val="clear" w:color="auto" w:fill="auto"/>
            <w:noWrap/>
            <w:vAlign w:val="bottom"/>
            <w:hideMark/>
          </w:tcPr>
          <w:p w:rsidR="0003310F" w:rsidRPr="00526F2F" w:rsidRDefault="0003310F" w:rsidP="0003310F">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val="en-US" w:eastAsia="zh-CN"/>
              </w:rPr>
            </w:pPr>
            <w:r w:rsidRPr="00526F2F">
              <w:rPr>
                <w:rFonts w:cs="Arial"/>
                <w:b/>
                <w:bCs/>
                <w:sz w:val="22"/>
                <w:szCs w:val="22"/>
                <w:lang w:val="en-US" w:eastAsia="zh-CN"/>
              </w:rPr>
              <w:t>Country</w:t>
            </w:r>
          </w:p>
        </w:tc>
        <w:tc>
          <w:tcPr>
            <w:tcW w:w="746" w:type="pct"/>
            <w:tcBorders>
              <w:top w:val="nil"/>
              <w:left w:val="nil"/>
              <w:bottom w:val="nil"/>
              <w:right w:val="single" w:sz="4" w:space="0" w:color="auto"/>
            </w:tcBorders>
            <w:shd w:val="clear" w:color="auto" w:fill="auto"/>
            <w:noWrap/>
            <w:vAlign w:val="bottom"/>
            <w:hideMark/>
          </w:tcPr>
          <w:p w:rsidR="0003310F" w:rsidRPr="00526F2F" w:rsidRDefault="0003310F" w:rsidP="0003310F">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val="en-US" w:eastAsia="zh-CN"/>
              </w:rPr>
            </w:pPr>
            <w:r w:rsidRPr="00526F2F">
              <w:rPr>
                <w:rFonts w:cs="Arial"/>
                <w:b/>
                <w:bCs/>
                <w:sz w:val="22"/>
                <w:szCs w:val="22"/>
                <w:lang w:val="en-US" w:eastAsia="zh-CN"/>
              </w:rPr>
              <w:t>Company</w:t>
            </w:r>
          </w:p>
        </w:tc>
        <w:tc>
          <w:tcPr>
            <w:tcW w:w="813" w:type="pct"/>
            <w:tcBorders>
              <w:top w:val="nil"/>
              <w:left w:val="nil"/>
              <w:bottom w:val="nil"/>
              <w:right w:val="single" w:sz="4" w:space="0" w:color="auto"/>
            </w:tcBorders>
            <w:shd w:val="clear" w:color="auto" w:fill="auto"/>
            <w:noWrap/>
            <w:vAlign w:val="bottom"/>
            <w:hideMark/>
          </w:tcPr>
          <w:p w:rsidR="0003310F" w:rsidRPr="00526F2F" w:rsidRDefault="0003310F" w:rsidP="0003310F">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val="en-US" w:eastAsia="zh-CN"/>
              </w:rPr>
            </w:pPr>
            <w:r w:rsidRPr="00526F2F">
              <w:rPr>
                <w:rFonts w:cs="Arial"/>
                <w:b/>
                <w:bCs/>
                <w:sz w:val="22"/>
                <w:szCs w:val="22"/>
                <w:lang w:val="en-US" w:eastAsia="zh-CN"/>
              </w:rPr>
              <w:t>Invoice amount</w:t>
            </w:r>
          </w:p>
        </w:tc>
        <w:tc>
          <w:tcPr>
            <w:tcW w:w="434" w:type="pct"/>
            <w:tcBorders>
              <w:top w:val="nil"/>
              <w:left w:val="nil"/>
              <w:bottom w:val="nil"/>
              <w:right w:val="single" w:sz="4" w:space="0" w:color="auto"/>
            </w:tcBorders>
            <w:shd w:val="clear" w:color="auto" w:fill="auto"/>
            <w:noWrap/>
            <w:vAlign w:val="bottom"/>
            <w:hideMark/>
          </w:tcPr>
          <w:p w:rsidR="0003310F" w:rsidRPr="00526F2F" w:rsidRDefault="0003310F" w:rsidP="0003310F">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val="en-US" w:eastAsia="zh-CN"/>
              </w:rPr>
            </w:pPr>
            <w:r w:rsidRPr="00526F2F">
              <w:rPr>
                <w:rFonts w:cs="Arial"/>
                <w:b/>
                <w:bCs/>
                <w:sz w:val="22"/>
                <w:szCs w:val="22"/>
                <w:lang w:val="en-US" w:eastAsia="zh-CN"/>
              </w:rPr>
              <w:t>CUR</w:t>
            </w:r>
          </w:p>
        </w:tc>
        <w:tc>
          <w:tcPr>
            <w:tcW w:w="729" w:type="pct"/>
            <w:tcBorders>
              <w:top w:val="nil"/>
              <w:left w:val="nil"/>
              <w:bottom w:val="nil"/>
              <w:right w:val="single" w:sz="4" w:space="0" w:color="auto"/>
            </w:tcBorders>
            <w:shd w:val="clear" w:color="auto" w:fill="auto"/>
            <w:noWrap/>
            <w:vAlign w:val="bottom"/>
            <w:hideMark/>
          </w:tcPr>
          <w:p w:rsidR="0003310F" w:rsidRPr="00526F2F" w:rsidRDefault="0003310F" w:rsidP="0003310F">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val="en-US" w:eastAsia="zh-CN"/>
              </w:rPr>
            </w:pPr>
            <w:r w:rsidRPr="00526F2F">
              <w:rPr>
                <w:rFonts w:cs="Arial"/>
                <w:b/>
                <w:bCs/>
                <w:sz w:val="22"/>
                <w:szCs w:val="22"/>
                <w:lang w:val="en-US" w:eastAsia="zh-CN"/>
              </w:rPr>
              <w:t>Balance owed</w:t>
            </w:r>
          </w:p>
        </w:tc>
        <w:tc>
          <w:tcPr>
            <w:tcW w:w="328" w:type="pct"/>
            <w:tcBorders>
              <w:top w:val="nil"/>
              <w:left w:val="nil"/>
              <w:bottom w:val="nil"/>
              <w:right w:val="single" w:sz="4" w:space="0" w:color="auto"/>
            </w:tcBorders>
            <w:shd w:val="clear" w:color="auto" w:fill="auto"/>
            <w:noWrap/>
            <w:vAlign w:val="bottom"/>
            <w:hideMark/>
          </w:tcPr>
          <w:p w:rsidR="0003310F" w:rsidRPr="00526F2F" w:rsidRDefault="0003310F" w:rsidP="0003310F">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val="en-US" w:eastAsia="zh-CN"/>
              </w:rPr>
            </w:pPr>
            <w:r w:rsidRPr="00526F2F">
              <w:rPr>
                <w:rFonts w:cs="Arial"/>
                <w:b/>
                <w:bCs/>
                <w:sz w:val="22"/>
                <w:szCs w:val="22"/>
                <w:lang w:val="en-US" w:eastAsia="zh-CN"/>
              </w:rPr>
              <w:t>CUR</w:t>
            </w:r>
          </w:p>
        </w:tc>
        <w:tc>
          <w:tcPr>
            <w:tcW w:w="664" w:type="pct"/>
            <w:tcBorders>
              <w:top w:val="nil"/>
              <w:left w:val="nil"/>
              <w:bottom w:val="nil"/>
              <w:right w:val="single" w:sz="4" w:space="0" w:color="auto"/>
            </w:tcBorders>
            <w:shd w:val="clear" w:color="auto" w:fill="auto"/>
            <w:noWrap/>
            <w:vAlign w:val="bottom"/>
            <w:hideMark/>
          </w:tcPr>
          <w:p w:rsidR="0003310F" w:rsidRPr="00526F2F" w:rsidRDefault="0003310F" w:rsidP="0003310F">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val="en-US" w:eastAsia="zh-CN"/>
              </w:rPr>
            </w:pPr>
            <w:r w:rsidRPr="00526F2F">
              <w:rPr>
                <w:rFonts w:cs="Arial"/>
                <w:b/>
                <w:bCs/>
                <w:sz w:val="22"/>
                <w:szCs w:val="22"/>
                <w:lang w:val="en-US" w:eastAsia="zh-CN"/>
              </w:rPr>
              <w:t>Equivalent</w:t>
            </w:r>
          </w:p>
        </w:tc>
      </w:tr>
      <w:tr w:rsidR="0003310F" w:rsidRPr="00526F2F" w:rsidTr="0003310F">
        <w:trPr>
          <w:trHeight w:val="259"/>
        </w:trPr>
        <w:tc>
          <w:tcPr>
            <w:tcW w:w="676" w:type="pct"/>
            <w:tcBorders>
              <w:top w:val="nil"/>
              <w:left w:val="single" w:sz="4" w:space="0" w:color="auto"/>
              <w:bottom w:val="single" w:sz="4" w:space="0" w:color="auto"/>
              <w:right w:val="single" w:sz="4" w:space="0" w:color="auto"/>
            </w:tcBorders>
            <w:shd w:val="clear" w:color="auto" w:fill="auto"/>
            <w:noWrap/>
            <w:vAlign w:val="bottom"/>
            <w:hideMark/>
          </w:tcPr>
          <w:p w:rsidR="0003310F" w:rsidRPr="00526F2F" w:rsidRDefault="0003310F" w:rsidP="0003310F">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val="en-US" w:eastAsia="zh-CN"/>
              </w:rPr>
            </w:pPr>
            <w:r w:rsidRPr="00526F2F">
              <w:rPr>
                <w:rFonts w:cs="Arial"/>
                <w:b/>
                <w:bCs/>
                <w:sz w:val="22"/>
                <w:szCs w:val="22"/>
                <w:lang w:val="en-US" w:eastAsia="zh-CN"/>
              </w:rPr>
              <w:t> </w:t>
            </w:r>
          </w:p>
        </w:tc>
        <w:tc>
          <w:tcPr>
            <w:tcW w:w="610" w:type="pct"/>
            <w:tcBorders>
              <w:top w:val="nil"/>
              <w:left w:val="nil"/>
              <w:bottom w:val="single" w:sz="4" w:space="0" w:color="auto"/>
              <w:right w:val="single" w:sz="4" w:space="0" w:color="auto"/>
            </w:tcBorders>
            <w:shd w:val="clear" w:color="auto" w:fill="auto"/>
            <w:noWrap/>
            <w:vAlign w:val="bottom"/>
            <w:hideMark/>
          </w:tcPr>
          <w:p w:rsidR="0003310F" w:rsidRPr="00526F2F" w:rsidRDefault="0003310F" w:rsidP="0003310F">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val="en-US" w:eastAsia="zh-CN"/>
              </w:rPr>
            </w:pPr>
            <w:r w:rsidRPr="00526F2F">
              <w:rPr>
                <w:rFonts w:cs="Arial"/>
                <w:b/>
                <w:bCs/>
                <w:sz w:val="22"/>
                <w:szCs w:val="22"/>
                <w:lang w:val="en-US" w:eastAsia="zh-CN"/>
              </w:rPr>
              <w:t> </w:t>
            </w:r>
          </w:p>
        </w:tc>
        <w:tc>
          <w:tcPr>
            <w:tcW w:w="746" w:type="pct"/>
            <w:tcBorders>
              <w:top w:val="nil"/>
              <w:left w:val="nil"/>
              <w:bottom w:val="single" w:sz="4" w:space="0" w:color="auto"/>
              <w:right w:val="single" w:sz="4" w:space="0" w:color="auto"/>
            </w:tcBorders>
            <w:shd w:val="clear" w:color="auto" w:fill="auto"/>
            <w:noWrap/>
            <w:vAlign w:val="bottom"/>
            <w:hideMark/>
          </w:tcPr>
          <w:p w:rsidR="0003310F" w:rsidRPr="00526F2F" w:rsidRDefault="0003310F" w:rsidP="0003310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n-US" w:eastAsia="zh-CN"/>
              </w:rPr>
            </w:pPr>
            <w:r w:rsidRPr="00526F2F">
              <w:rPr>
                <w:rFonts w:cs="Arial"/>
                <w:sz w:val="22"/>
                <w:szCs w:val="22"/>
                <w:lang w:val="en-US" w:eastAsia="zh-CN"/>
              </w:rPr>
              <w:t> </w:t>
            </w:r>
          </w:p>
        </w:tc>
        <w:tc>
          <w:tcPr>
            <w:tcW w:w="813" w:type="pct"/>
            <w:tcBorders>
              <w:top w:val="nil"/>
              <w:left w:val="nil"/>
              <w:bottom w:val="single" w:sz="4" w:space="0" w:color="auto"/>
              <w:right w:val="single" w:sz="4" w:space="0" w:color="auto"/>
            </w:tcBorders>
            <w:shd w:val="clear" w:color="auto" w:fill="auto"/>
            <w:noWrap/>
            <w:vAlign w:val="bottom"/>
            <w:hideMark/>
          </w:tcPr>
          <w:p w:rsidR="0003310F" w:rsidRPr="00526F2F" w:rsidRDefault="0003310F" w:rsidP="0003310F">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val="en-US" w:eastAsia="zh-CN"/>
              </w:rPr>
            </w:pPr>
            <w:r w:rsidRPr="00526F2F">
              <w:rPr>
                <w:rFonts w:cs="Arial"/>
                <w:b/>
                <w:bCs/>
                <w:sz w:val="22"/>
                <w:szCs w:val="22"/>
                <w:lang w:val="en-US" w:eastAsia="zh-CN"/>
              </w:rPr>
              <w:t> </w:t>
            </w:r>
          </w:p>
        </w:tc>
        <w:tc>
          <w:tcPr>
            <w:tcW w:w="434" w:type="pct"/>
            <w:tcBorders>
              <w:top w:val="nil"/>
              <w:left w:val="nil"/>
              <w:bottom w:val="single" w:sz="4" w:space="0" w:color="auto"/>
              <w:right w:val="single" w:sz="4" w:space="0" w:color="auto"/>
            </w:tcBorders>
            <w:shd w:val="clear" w:color="auto" w:fill="auto"/>
            <w:noWrap/>
            <w:vAlign w:val="bottom"/>
            <w:hideMark/>
          </w:tcPr>
          <w:p w:rsidR="0003310F" w:rsidRPr="00526F2F" w:rsidRDefault="0003310F" w:rsidP="0003310F">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val="en-US" w:eastAsia="zh-CN"/>
              </w:rPr>
            </w:pPr>
            <w:r w:rsidRPr="00526F2F">
              <w:rPr>
                <w:rFonts w:cs="Arial"/>
                <w:b/>
                <w:bCs/>
                <w:sz w:val="22"/>
                <w:szCs w:val="22"/>
                <w:lang w:val="en-US" w:eastAsia="zh-CN"/>
              </w:rPr>
              <w:t> </w:t>
            </w:r>
          </w:p>
        </w:tc>
        <w:tc>
          <w:tcPr>
            <w:tcW w:w="729" w:type="pct"/>
            <w:tcBorders>
              <w:top w:val="nil"/>
              <w:left w:val="nil"/>
              <w:bottom w:val="single" w:sz="4" w:space="0" w:color="auto"/>
              <w:right w:val="single" w:sz="4" w:space="0" w:color="auto"/>
            </w:tcBorders>
            <w:shd w:val="clear" w:color="auto" w:fill="auto"/>
            <w:noWrap/>
            <w:vAlign w:val="bottom"/>
            <w:hideMark/>
          </w:tcPr>
          <w:p w:rsidR="0003310F" w:rsidRPr="00526F2F" w:rsidRDefault="0003310F" w:rsidP="0003310F">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val="en-US" w:eastAsia="zh-CN"/>
              </w:rPr>
            </w:pPr>
            <w:r w:rsidRPr="00526F2F">
              <w:rPr>
                <w:rFonts w:cs="Arial"/>
                <w:b/>
                <w:bCs/>
                <w:sz w:val="22"/>
                <w:szCs w:val="22"/>
                <w:lang w:val="en-US" w:eastAsia="zh-CN"/>
              </w:rPr>
              <w:t> </w:t>
            </w:r>
          </w:p>
        </w:tc>
        <w:tc>
          <w:tcPr>
            <w:tcW w:w="328" w:type="pct"/>
            <w:tcBorders>
              <w:top w:val="nil"/>
              <w:left w:val="nil"/>
              <w:bottom w:val="single" w:sz="4" w:space="0" w:color="auto"/>
              <w:right w:val="single" w:sz="4" w:space="0" w:color="auto"/>
            </w:tcBorders>
            <w:shd w:val="clear" w:color="auto" w:fill="auto"/>
            <w:noWrap/>
            <w:vAlign w:val="bottom"/>
            <w:hideMark/>
          </w:tcPr>
          <w:p w:rsidR="0003310F" w:rsidRPr="00526F2F" w:rsidRDefault="0003310F" w:rsidP="0003310F">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val="en-US" w:eastAsia="zh-CN"/>
              </w:rPr>
            </w:pPr>
            <w:r w:rsidRPr="00526F2F">
              <w:rPr>
                <w:rFonts w:cs="Arial"/>
                <w:b/>
                <w:bCs/>
                <w:sz w:val="22"/>
                <w:szCs w:val="22"/>
                <w:lang w:val="en-US" w:eastAsia="zh-CN"/>
              </w:rPr>
              <w:t> </w:t>
            </w:r>
          </w:p>
        </w:tc>
        <w:tc>
          <w:tcPr>
            <w:tcW w:w="664" w:type="pct"/>
            <w:tcBorders>
              <w:top w:val="nil"/>
              <w:left w:val="nil"/>
              <w:bottom w:val="single" w:sz="4" w:space="0" w:color="auto"/>
              <w:right w:val="single" w:sz="4" w:space="0" w:color="auto"/>
            </w:tcBorders>
            <w:shd w:val="clear" w:color="auto" w:fill="auto"/>
            <w:noWrap/>
            <w:vAlign w:val="bottom"/>
            <w:hideMark/>
          </w:tcPr>
          <w:p w:rsidR="0003310F" w:rsidRPr="00526F2F" w:rsidRDefault="0003310F" w:rsidP="0003310F">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val="en-US" w:eastAsia="zh-CN"/>
              </w:rPr>
            </w:pPr>
            <w:r w:rsidRPr="00526F2F">
              <w:rPr>
                <w:rFonts w:cs="Arial"/>
                <w:b/>
                <w:bCs/>
                <w:sz w:val="22"/>
                <w:szCs w:val="22"/>
                <w:lang w:val="en-US" w:eastAsia="zh-CN"/>
              </w:rPr>
              <w:t xml:space="preserve"> CHF </w:t>
            </w:r>
          </w:p>
        </w:tc>
      </w:tr>
      <w:tr w:rsidR="0003310F" w:rsidRPr="00526F2F" w:rsidTr="0003310F">
        <w:trPr>
          <w:trHeight w:val="259"/>
        </w:trPr>
        <w:tc>
          <w:tcPr>
            <w:tcW w:w="676" w:type="pct"/>
            <w:tcBorders>
              <w:top w:val="nil"/>
              <w:left w:val="single" w:sz="4" w:space="0" w:color="auto"/>
              <w:bottom w:val="single" w:sz="4" w:space="0" w:color="auto"/>
              <w:right w:val="single" w:sz="4" w:space="0" w:color="auto"/>
            </w:tcBorders>
            <w:shd w:val="clear" w:color="auto" w:fill="auto"/>
            <w:noWrap/>
            <w:vAlign w:val="center"/>
            <w:hideMark/>
          </w:tcPr>
          <w:p w:rsidR="0003310F" w:rsidRPr="00526F2F" w:rsidRDefault="0003310F" w:rsidP="0003310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0"/>
                <w:lang w:val="en-US" w:eastAsia="zh-CN"/>
              </w:rPr>
            </w:pPr>
            <w:r w:rsidRPr="00526F2F">
              <w:rPr>
                <w:rFonts w:cs="Arial"/>
                <w:sz w:val="20"/>
                <w:lang w:val="en-US" w:eastAsia="zh-CN"/>
              </w:rPr>
              <w:t>P.10002.1.01</w:t>
            </w:r>
          </w:p>
        </w:tc>
        <w:tc>
          <w:tcPr>
            <w:tcW w:w="610" w:type="pct"/>
            <w:tcBorders>
              <w:top w:val="nil"/>
              <w:left w:val="nil"/>
              <w:bottom w:val="single" w:sz="4" w:space="0" w:color="auto"/>
              <w:right w:val="single" w:sz="4" w:space="0" w:color="auto"/>
            </w:tcBorders>
            <w:shd w:val="clear" w:color="auto" w:fill="auto"/>
            <w:noWrap/>
            <w:vAlign w:val="center"/>
            <w:hideMark/>
          </w:tcPr>
          <w:p w:rsidR="0003310F" w:rsidRPr="00526F2F" w:rsidRDefault="0003310F" w:rsidP="0003310F">
            <w:pPr>
              <w:tabs>
                <w:tab w:val="clear" w:pos="567"/>
                <w:tab w:val="clear" w:pos="1134"/>
                <w:tab w:val="clear" w:pos="1701"/>
                <w:tab w:val="clear" w:pos="2268"/>
                <w:tab w:val="clear" w:pos="2835"/>
              </w:tabs>
              <w:overflowPunct/>
              <w:autoSpaceDE/>
              <w:autoSpaceDN/>
              <w:adjustRightInd/>
              <w:spacing w:before="0"/>
              <w:textAlignment w:val="auto"/>
              <w:rPr>
                <w:rFonts w:cs="Arial"/>
                <w:sz w:val="20"/>
                <w:lang w:val="en-US" w:eastAsia="zh-CN"/>
              </w:rPr>
            </w:pPr>
            <w:r w:rsidRPr="00526F2F">
              <w:rPr>
                <w:rFonts w:cs="Arial"/>
                <w:sz w:val="20"/>
                <w:lang w:val="en-US" w:eastAsia="zh-CN"/>
              </w:rPr>
              <w:t>USA</w:t>
            </w:r>
          </w:p>
        </w:tc>
        <w:tc>
          <w:tcPr>
            <w:tcW w:w="746" w:type="pct"/>
            <w:tcBorders>
              <w:top w:val="nil"/>
              <w:left w:val="nil"/>
              <w:bottom w:val="single" w:sz="4" w:space="0" w:color="auto"/>
              <w:right w:val="single" w:sz="4" w:space="0" w:color="auto"/>
            </w:tcBorders>
            <w:shd w:val="clear" w:color="auto" w:fill="auto"/>
            <w:noWrap/>
            <w:vAlign w:val="center"/>
            <w:hideMark/>
          </w:tcPr>
          <w:p w:rsidR="0003310F" w:rsidRPr="00526F2F" w:rsidRDefault="0003310F" w:rsidP="0003310F">
            <w:pPr>
              <w:tabs>
                <w:tab w:val="clear" w:pos="567"/>
                <w:tab w:val="clear" w:pos="1134"/>
                <w:tab w:val="clear" w:pos="1701"/>
                <w:tab w:val="clear" w:pos="2268"/>
                <w:tab w:val="clear" w:pos="2835"/>
              </w:tabs>
              <w:overflowPunct/>
              <w:autoSpaceDE/>
              <w:autoSpaceDN/>
              <w:adjustRightInd/>
              <w:spacing w:before="0"/>
              <w:textAlignment w:val="auto"/>
              <w:rPr>
                <w:rFonts w:cs="Arial"/>
                <w:sz w:val="20"/>
                <w:lang w:val="en-US" w:eastAsia="zh-CN"/>
              </w:rPr>
            </w:pPr>
            <w:r w:rsidRPr="00526F2F">
              <w:rPr>
                <w:rFonts w:cs="Arial"/>
                <w:sz w:val="20"/>
                <w:lang w:val="en-US" w:eastAsia="zh-CN"/>
              </w:rPr>
              <w:t>IEEE Standards Association USA</w:t>
            </w:r>
          </w:p>
        </w:tc>
        <w:tc>
          <w:tcPr>
            <w:tcW w:w="813" w:type="pct"/>
            <w:tcBorders>
              <w:top w:val="nil"/>
              <w:left w:val="nil"/>
              <w:bottom w:val="single" w:sz="4" w:space="0" w:color="auto"/>
              <w:right w:val="single" w:sz="4" w:space="0" w:color="auto"/>
            </w:tcBorders>
            <w:shd w:val="clear" w:color="auto" w:fill="auto"/>
            <w:noWrap/>
            <w:vAlign w:val="center"/>
            <w:hideMark/>
          </w:tcPr>
          <w:p w:rsidR="0003310F" w:rsidRPr="00526F2F" w:rsidRDefault="0003310F" w:rsidP="0003310F">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526F2F">
              <w:rPr>
                <w:rFonts w:cs="Arial"/>
                <w:sz w:val="20"/>
                <w:lang w:val="en-US" w:eastAsia="zh-CN"/>
              </w:rPr>
              <w:t xml:space="preserve">              15,000.00 </w:t>
            </w:r>
          </w:p>
        </w:tc>
        <w:tc>
          <w:tcPr>
            <w:tcW w:w="434" w:type="pct"/>
            <w:tcBorders>
              <w:top w:val="nil"/>
              <w:left w:val="nil"/>
              <w:bottom w:val="single" w:sz="4" w:space="0" w:color="auto"/>
              <w:right w:val="single" w:sz="4" w:space="0" w:color="auto"/>
            </w:tcBorders>
            <w:shd w:val="clear" w:color="auto" w:fill="auto"/>
            <w:noWrap/>
            <w:vAlign w:val="center"/>
            <w:hideMark/>
          </w:tcPr>
          <w:p w:rsidR="0003310F" w:rsidRPr="00526F2F" w:rsidRDefault="0003310F" w:rsidP="0003310F">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526F2F">
              <w:rPr>
                <w:rFonts w:cs="Arial"/>
                <w:sz w:val="20"/>
                <w:lang w:val="en-US" w:eastAsia="zh-CN"/>
              </w:rPr>
              <w:t xml:space="preserve"> CHF </w:t>
            </w:r>
          </w:p>
        </w:tc>
        <w:tc>
          <w:tcPr>
            <w:tcW w:w="729" w:type="pct"/>
            <w:tcBorders>
              <w:top w:val="nil"/>
              <w:left w:val="nil"/>
              <w:bottom w:val="single" w:sz="4" w:space="0" w:color="auto"/>
              <w:right w:val="single" w:sz="4" w:space="0" w:color="auto"/>
            </w:tcBorders>
            <w:shd w:val="clear" w:color="auto" w:fill="auto"/>
            <w:noWrap/>
            <w:vAlign w:val="center"/>
            <w:hideMark/>
          </w:tcPr>
          <w:p w:rsidR="0003310F" w:rsidRPr="00526F2F" w:rsidRDefault="0003310F" w:rsidP="0003310F">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526F2F">
              <w:rPr>
                <w:rFonts w:cs="Arial"/>
                <w:sz w:val="20"/>
                <w:lang w:val="en-US" w:eastAsia="zh-CN"/>
              </w:rPr>
              <w:t xml:space="preserve">           15,000.00 </w:t>
            </w:r>
          </w:p>
        </w:tc>
        <w:tc>
          <w:tcPr>
            <w:tcW w:w="328" w:type="pct"/>
            <w:tcBorders>
              <w:top w:val="nil"/>
              <w:left w:val="nil"/>
              <w:bottom w:val="single" w:sz="4" w:space="0" w:color="auto"/>
              <w:right w:val="single" w:sz="4" w:space="0" w:color="auto"/>
            </w:tcBorders>
            <w:shd w:val="clear" w:color="auto" w:fill="auto"/>
            <w:noWrap/>
            <w:vAlign w:val="center"/>
            <w:hideMark/>
          </w:tcPr>
          <w:p w:rsidR="0003310F" w:rsidRPr="00526F2F" w:rsidRDefault="0003310F" w:rsidP="0003310F">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526F2F">
              <w:rPr>
                <w:rFonts w:cs="Arial"/>
                <w:sz w:val="20"/>
                <w:lang w:val="en-US" w:eastAsia="zh-CN"/>
              </w:rPr>
              <w:t xml:space="preserve"> CHF </w:t>
            </w:r>
          </w:p>
        </w:tc>
        <w:tc>
          <w:tcPr>
            <w:tcW w:w="664" w:type="pct"/>
            <w:tcBorders>
              <w:top w:val="nil"/>
              <w:left w:val="nil"/>
              <w:bottom w:val="single" w:sz="4" w:space="0" w:color="auto"/>
              <w:right w:val="single" w:sz="4" w:space="0" w:color="auto"/>
            </w:tcBorders>
            <w:shd w:val="clear" w:color="auto" w:fill="auto"/>
            <w:noWrap/>
            <w:vAlign w:val="center"/>
            <w:hideMark/>
          </w:tcPr>
          <w:p w:rsidR="0003310F" w:rsidRPr="00526F2F" w:rsidRDefault="0003310F" w:rsidP="0003310F">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526F2F">
              <w:rPr>
                <w:rFonts w:cs="Arial"/>
                <w:sz w:val="20"/>
                <w:lang w:val="en-US" w:eastAsia="zh-CN"/>
              </w:rPr>
              <w:t xml:space="preserve">        15,000.00 </w:t>
            </w:r>
          </w:p>
        </w:tc>
      </w:tr>
      <w:tr w:rsidR="0003310F" w:rsidRPr="00526F2F" w:rsidTr="0003310F">
        <w:trPr>
          <w:trHeight w:val="259"/>
        </w:trPr>
        <w:tc>
          <w:tcPr>
            <w:tcW w:w="676" w:type="pct"/>
            <w:tcBorders>
              <w:top w:val="nil"/>
              <w:left w:val="single" w:sz="4" w:space="0" w:color="auto"/>
              <w:bottom w:val="single" w:sz="4" w:space="0" w:color="auto"/>
              <w:right w:val="single" w:sz="4" w:space="0" w:color="auto"/>
            </w:tcBorders>
            <w:shd w:val="clear" w:color="auto" w:fill="auto"/>
            <w:noWrap/>
            <w:vAlign w:val="center"/>
            <w:hideMark/>
          </w:tcPr>
          <w:p w:rsidR="0003310F" w:rsidRPr="00526F2F" w:rsidRDefault="0003310F" w:rsidP="0003310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0"/>
                <w:lang w:val="en-US" w:eastAsia="zh-CN"/>
              </w:rPr>
            </w:pPr>
            <w:r w:rsidRPr="00526F2F">
              <w:rPr>
                <w:rFonts w:cs="Arial"/>
                <w:sz w:val="20"/>
                <w:lang w:val="en-US" w:eastAsia="zh-CN"/>
              </w:rPr>
              <w:t>P.10015.1.01</w:t>
            </w:r>
          </w:p>
        </w:tc>
        <w:tc>
          <w:tcPr>
            <w:tcW w:w="610" w:type="pct"/>
            <w:tcBorders>
              <w:top w:val="nil"/>
              <w:left w:val="nil"/>
              <w:bottom w:val="single" w:sz="4" w:space="0" w:color="auto"/>
              <w:right w:val="single" w:sz="4" w:space="0" w:color="auto"/>
            </w:tcBorders>
            <w:shd w:val="clear" w:color="auto" w:fill="auto"/>
            <w:noWrap/>
            <w:vAlign w:val="center"/>
            <w:hideMark/>
          </w:tcPr>
          <w:p w:rsidR="0003310F" w:rsidRPr="00526F2F" w:rsidRDefault="0003310F" w:rsidP="0003310F">
            <w:pPr>
              <w:tabs>
                <w:tab w:val="clear" w:pos="567"/>
                <w:tab w:val="clear" w:pos="1134"/>
                <w:tab w:val="clear" w:pos="1701"/>
                <w:tab w:val="clear" w:pos="2268"/>
                <w:tab w:val="clear" w:pos="2835"/>
              </w:tabs>
              <w:overflowPunct/>
              <w:autoSpaceDE/>
              <w:autoSpaceDN/>
              <w:adjustRightInd/>
              <w:spacing w:before="0"/>
              <w:textAlignment w:val="auto"/>
              <w:rPr>
                <w:rFonts w:cs="Arial"/>
                <w:sz w:val="20"/>
                <w:lang w:val="en-US" w:eastAsia="zh-CN"/>
              </w:rPr>
            </w:pPr>
            <w:r w:rsidRPr="00526F2F">
              <w:rPr>
                <w:rFonts w:cs="Arial"/>
                <w:sz w:val="20"/>
                <w:lang w:val="en-US" w:eastAsia="zh-CN"/>
              </w:rPr>
              <w:t>Netherlands</w:t>
            </w:r>
          </w:p>
        </w:tc>
        <w:tc>
          <w:tcPr>
            <w:tcW w:w="746" w:type="pct"/>
            <w:tcBorders>
              <w:top w:val="nil"/>
              <w:left w:val="nil"/>
              <w:bottom w:val="single" w:sz="4" w:space="0" w:color="auto"/>
              <w:right w:val="single" w:sz="4" w:space="0" w:color="auto"/>
            </w:tcBorders>
            <w:shd w:val="clear" w:color="auto" w:fill="auto"/>
            <w:noWrap/>
            <w:vAlign w:val="center"/>
            <w:hideMark/>
          </w:tcPr>
          <w:p w:rsidR="0003310F" w:rsidRPr="00526F2F" w:rsidRDefault="0003310F" w:rsidP="0003310F">
            <w:pPr>
              <w:tabs>
                <w:tab w:val="clear" w:pos="567"/>
                <w:tab w:val="clear" w:pos="1134"/>
                <w:tab w:val="clear" w:pos="1701"/>
                <w:tab w:val="clear" w:pos="2268"/>
                <w:tab w:val="clear" w:pos="2835"/>
              </w:tabs>
              <w:overflowPunct/>
              <w:autoSpaceDE/>
              <w:autoSpaceDN/>
              <w:adjustRightInd/>
              <w:spacing w:before="0"/>
              <w:textAlignment w:val="auto"/>
              <w:rPr>
                <w:rFonts w:cs="Arial"/>
                <w:sz w:val="20"/>
                <w:lang w:val="en-US" w:eastAsia="zh-CN"/>
              </w:rPr>
            </w:pPr>
            <w:r w:rsidRPr="00526F2F">
              <w:rPr>
                <w:rFonts w:cs="Arial"/>
                <w:sz w:val="20"/>
                <w:lang w:val="en-US" w:eastAsia="zh-CN"/>
              </w:rPr>
              <w:t xml:space="preserve">VEON </w:t>
            </w:r>
          </w:p>
        </w:tc>
        <w:tc>
          <w:tcPr>
            <w:tcW w:w="813" w:type="pct"/>
            <w:tcBorders>
              <w:top w:val="nil"/>
              <w:left w:val="nil"/>
              <w:bottom w:val="single" w:sz="4" w:space="0" w:color="auto"/>
              <w:right w:val="single" w:sz="4" w:space="0" w:color="auto"/>
            </w:tcBorders>
            <w:shd w:val="clear" w:color="auto" w:fill="auto"/>
            <w:noWrap/>
            <w:vAlign w:val="center"/>
            <w:hideMark/>
          </w:tcPr>
          <w:p w:rsidR="0003310F" w:rsidRPr="00526F2F" w:rsidRDefault="0003310F" w:rsidP="0003310F">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526F2F">
              <w:rPr>
                <w:rFonts w:cs="Arial"/>
                <w:sz w:val="20"/>
                <w:lang w:val="en-US" w:eastAsia="zh-CN"/>
              </w:rPr>
              <w:t xml:space="preserve">                 8,000.00 </w:t>
            </w:r>
          </w:p>
        </w:tc>
        <w:tc>
          <w:tcPr>
            <w:tcW w:w="434" w:type="pct"/>
            <w:tcBorders>
              <w:top w:val="nil"/>
              <w:left w:val="nil"/>
              <w:bottom w:val="single" w:sz="4" w:space="0" w:color="auto"/>
              <w:right w:val="single" w:sz="4" w:space="0" w:color="auto"/>
            </w:tcBorders>
            <w:shd w:val="clear" w:color="auto" w:fill="auto"/>
            <w:noWrap/>
            <w:vAlign w:val="center"/>
            <w:hideMark/>
          </w:tcPr>
          <w:p w:rsidR="0003310F" w:rsidRPr="00526F2F" w:rsidRDefault="0003310F" w:rsidP="0003310F">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526F2F">
              <w:rPr>
                <w:rFonts w:cs="Arial"/>
                <w:sz w:val="20"/>
                <w:lang w:val="en-US" w:eastAsia="zh-CN"/>
              </w:rPr>
              <w:t xml:space="preserve"> USD </w:t>
            </w:r>
          </w:p>
        </w:tc>
        <w:tc>
          <w:tcPr>
            <w:tcW w:w="729" w:type="pct"/>
            <w:tcBorders>
              <w:top w:val="nil"/>
              <w:left w:val="nil"/>
              <w:bottom w:val="single" w:sz="4" w:space="0" w:color="auto"/>
              <w:right w:val="single" w:sz="4" w:space="0" w:color="auto"/>
            </w:tcBorders>
            <w:shd w:val="clear" w:color="auto" w:fill="auto"/>
            <w:noWrap/>
            <w:vAlign w:val="center"/>
            <w:hideMark/>
          </w:tcPr>
          <w:p w:rsidR="0003310F" w:rsidRPr="00526F2F" w:rsidRDefault="0003310F" w:rsidP="0003310F">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526F2F">
              <w:rPr>
                <w:rFonts w:cs="Arial"/>
                <w:sz w:val="20"/>
                <w:lang w:val="en-US" w:eastAsia="zh-CN"/>
              </w:rPr>
              <w:t xml:space="preserve">             8,000.00 </w:t>
            </w:r>
          </w:p>
        </w:tc>
        <w:tc>
          <w:tcPr>
            <w:tcW w:w="328" w:type="pct"/>
            <w:tcBorders>
              <w:top w:val="nil"/>
              <w:left w:val="nil"/>
              <w:bottom w:val="single" w:sz="4" w:space="0" w:color="auto"/>
              <w:right w:val="single" w:sz="4" w:space="0" w:color="auto"/>
            </w:tcBorders>
            <w:shd w:val="clear" w:color="auto" w:fill="auto"/>
            <w:noWrap/>
            <w:vAlign w:val="center"/>
            <w:hideMark/>
          </w:tcPr>
          <w:p w:rsidR="0003310F" w:rsidRPr="00526F2F" w:rsidRDefault="0003310F" w:rsidP="0003310F">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526F2F">
              <w:rPr>
                <w:rFonts w:cs="Arial"/>
                <w:sz w:val="20"/>
                <w:lang w:val="en-US" w:eastAsia="zh-CN"/>
              </w:rPr>
              <w:t xml:space="preserve"> USD </w:t>
            </w:r>
          </w:p>
        </w:tc>
        <w:tc>
          <w:tcPr>
            <w:tcW w:w="664" w:type="pct"/>
            <w:tcBorders>
              <w:top w:val="nil"/>
              <w:left w:val="nil"/>
              <w:bottom w:val="single" w:sz="4" w:space="0" w:color="auto"/>
              <w:right w:val="single" w:sz="4" w:space="0" w:color="auto"/>
            </w:tcBorders>
            <w:shd w:val="clear" w:color="auto" w:fill="auto"/>
            <w:noWrap/>
            <w:vAlign w:val="center"/>
            <w:hideMark/>
          </w:tcPr>
          <w:p w:rsidR="0003310F" w:rsidRPr="00526F2F" w:rsidRDefault="0003310F" w:rsidP="0003310F">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526F2F">
              <w:rPr>
                <w:rFonts w:cs="Arial"/>
                <w:sz w:val="20"/>
                <w:lang w:val="en-US" w:eastAsia="zh-CN"/>
              </w:rPr>
              <w:t xml:space="preserve">          7,696.01 </w:t>
            </w:r>
          </w:p>
        </w:tc>
      </w:tr>
      <w:tr w:rsidR="0003310F" w:rsidRPr="00526F2F" w:rsidTr="0003310F">
        <w:trPr>
          <w:trHeight w:val="259"/>
        </w:trPr>
        <w:tc>
          <w:tcPr>
            <w:tcW w:w="676" w:type="pct"/>
            <w:tcBorders>
              <w:top w:val="nil"/>
              <w:left w:val="single" w:sz="4" w:space="0" w:color="auto"/>
              <w:bottom w:val="single" w:sz="4" w:space="0" w:color="auto"/>
              <w:right w:val="single" w:sz="4" w:space="0" w:color="auto"/>
            </w:tcBorders>
            <w:shd w:val="clear" w:color="auto" w:fill="auto"/>
            <w:noWrap/>
            <w:vAlign w:val="center"/>
            <w:hideMark/>
          </w:tcPr>
          <w:p w:rsidR="0003310F" w:rsidRPr="00526F2F" w:rsidRDefault="0003310F" w:rsidP="0003310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0"/>
                <w:lang w:val="en-US" w:eastAsia="zh-CN"/>
              </w:rPr>
            </w:pPr>
            <w:r w:rsidRPr="00526F2F">
              <w:rPr>
                <w:rFonts w:cs="Arial"/>
                <w:sz w:val="20"/>
                <w:lang w:val="en-US" w:eastAsia="zh-CN"/>
              </w:rPr>
              <w:t>P.10019.1.01</w:t>
            </w:r>
          </w:p>
        </w:tc>
        <w:tc>
          <w:tcPr>
            <w:tcW w:w="610" w:type="pct"/>
            <w:tcBorders>
              <w:top w:val="nil"/>
              <w:left w:val="nil"/>
              <w:bottom w:val="single" w:sz="4" w:space="0" w:color="auto"/>
              <w:right w:val="single" w:sz="4" w:space="0" w:color="auto"/>
            </w:tcBorders>
            <w:shd w:val="clear" w:color="auto" w:fill="auto"/>
            <w:noWrap/>
            <w:vAlign w:val="center"/>
            <w:hideMark/>
          </w:tcPr>
          <w:p w:rsidR="0003310F" w:rsidRPr="00526F2F" w:rsidRDefault="0003310F" w:rsidP="0003310F">
            <w:pPr>
              <w:tabs>
                <w:tab w:val="clear" w:pos="567"/>
                <w:tab w:val="clear" w:pos="1134"/>
                <w:tab w:val="clear" w:pos="1701"/>
                <w:tab w:val="clear" w:pos="2268"/>
                <w:tab w:val="clear" w:pos="2835"/>
              </w:tabs>
              <w:overflowPunct/>
              <w:autoSpaceDE/>
              <w:autoSpaceDN/>
              <w:adjustRightInd/>
              <w:spacing w:before="0"/>
              <w:textAlignment w:val="auto"/>
              <w:rPr>
                <w:rFonts w:cs="Arial"/>
                <w:sz w:val="20"/>
                <w:lang w:val="en-US" w:eastAsia="zh-CN"/>
              </w:rPr>
            </w:pPr>
            <w:r w:rsidRPr="00526F2F">
              <w:rPr>
                <w:rFonts w:cs="Arial"/>
                <w:sz w:val="20"/>
                <w:lang w:val="en-US" w:eastAsia="zh-CN"/>
              </w:rPr>
              <w:t>China</w:t>
            </w:r>
          </w:p>
        </w:tc>
        <w:tc>
          <w:tcPr>
            <w:tcW w:w="746" w:type="pct"/>
            <w:tcBorders>
              <w:top w:val="nil"/>
              <w:left w:val="nil"/>
              <w:bottom w:val="single" w:sz="4" w:space="0" w:color="auto"/>
              <w:right w:val="single" w:sz="4" w:space="0" w:color="auto"/>
            </w:tcBorders>
            <w:shd w:val="clear" w:color="auto" w:fill="auto"/>
            <w:noWrap/>
            <w:vAlign w:val="center"/>
            <w:hideMark/>
          </w:tcPr>
          <w:p w:rsidR="0003310F" w:rsidRPr="00526F2F" w:rsidRDefault="0003310F" w:rsidP="0003310F">
            <w:pPr>
              <w:tabs>
                <w:tab w:val="clear" w:pos="567"/>
                <w:tab w:val="clear" w:pos="1134"/>
                <w:tab w:val="clear" w:pos="1701"/>
                <w:tab w:val="clear" w:pos="2268"/>
                <w:tab w:val="clear" w:pos="2835"/>
              </w:tabs>
              <w:overflowPunct/>
              <w:autoSpaceDE/>
              <w:autoSpaceDN/>
              <w:adjustRightInd/>
              <w:spacing w:before="0"/>
              <w:textAlignment w:val="auto"/>
              <w:rPr>
                <w:rFonts w:cs="Arial"/>
                <w:sz w:val="20"/>
                <w:lang w:val="en-US" w:eastAsia="zh-CN"/>
              </w:rPr>
            </w:pPr>
            <w:r w:rsidRPr="00526F2F">
              <w:rPr>
                <w:rFonts w:cs="Arial"/>
                <w:sz w:val="20"/>
                <w:lang w:val="en-US" w:eastAsia="zh-CN"/>
              </w:rPr>
              <w:t>HUAWEI Technologies</w:t>
            </w:r>
          </w:p>
        </w:tc>
        <w:tc>
          <w:tcPr>
            <w:tcW w:w="813" w:type="pct"/>
            <w:tcBorders>
              <w:top w:val="nil"/>
              <w:left w:val="nil"/>
              <w:bottom w:val="single" w:sz="4" w:space="0" w:color="auto"/>
              <w:right w:val="single" w:sz="4" w:space="0" w:color="auto"/>
            </w:tcBorders>
            <w:shd w:val="clear" w:color="auto" w:fill="auto"/>
            <w:noWrap/>
            <w:vAlign w:val="center"/>
            <w:hideMark/>
          </w:tcPr>
          <w:p w:rsidR="0003310F" w:rsidRPr="00526F2F" w:rsidRDefault="0003310F" w:rsidP="0003310F">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526F2F">
              <w:rPr>
                <w:rFonts w:cs="Arial"/>
                <w:sz w:val="20"/>
                <w:lang w:val="en-US" w:eastAsia="zh-CN"/>
              </w:rPr>
              <w:t xml:space="preserve">                    500.00 </w:t>
            </w:r>
          </w:p>
        </w:tc>
        <w:tc>
          <w:tcPr>
            <w:tcW w:w="434" w:type="pct"/>
            <w:tcBorders>
              <w:top w:val="nil"/>
              <w:left w:val="nil"/>
              <w:bottom w:val="single" w:sz="4" w:space="0" w:color="auto"/>
              <w:right w:val="single" w:sz="4" w:space="0" w:color="auto"/>
            </w:tcBorders>
            <w:shd w:val="clear" w:color="auto" w:fill="auto"/>
            <w:noWrap/>
            <w:vAlign w:val="center"/>
            <w:hideMark/>
          </w:tcPr>
          <w:p w:rsidR="0003310F" w:rsidRPr="00526F2F" w:rsidRDefault="0003310F" w:rsidP="0003310F">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526F2F">
              <w:rPr>
                <w:rFonts w:cs="Arial"/>
                <w:sz w:val="20"/>
                <w:lang w:val="en-US" w:eastAsia="zh-CN"/>
              </w:rPr>
              <w:t xml:space="preserve"> CHF </w:t>
            </w:r>
          </w:p>
        </w:tc>
        <w:tc>
          <w:tcPr>
            <w:tcW w:w="729" w:type="pct"/>
            <w:tcBorders>
              <w:top w:val="nil"/>
              <w:left w:val="nil"/>
              <w:bottom w:val="single" w:sz="4" w:space="0" w:color="auto"/>
              <w:right w:val="single" w:sz="4" w:space="0" w:color="auto"/>
            </w:tcBorders>
            <w:shd w:val="clear" w:color="auto" w:fill="auto"/>
            <w:noWrap/>
            <w:vAlign w:val="center"/>
            <w:hideMark/>
          </w:tcPr>
          <w:p w:rsidR="0003310F" w:rsidRPr="00526F2F" w:rsidRDefault="0003310F" w:rsidP="0003310F">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526F2F">
              <w:rPr>
                <w:rFonts w:cs="Arial"/>
                <w:sz w:val="20"/>
                <w:lang w:val="en-US" w:eastAsia="zh-CN"/>
              </w:rPr>
              <w:t xml:space="preserve">                500.00 </w:t>
            </w:r>
          </w:p>
        </w:tc>
        <w:tc>
          <w:tcPr>
            <w:tcW w:w="328" w:type="pct"/>
            <w:tcBorders>
              <w:top w:val="nil"/>
              <w:left w:val="nil"/>
              <w:bottom w:val="single" w:sz="4" w:space="0" w:color="auto"/>
              <w:right w:val="single" w:sz="4" w:space="0" w:color="auto"/>
            </w:tcBorders>
            <w:shd w:val="clear" w:color="auto" w:fill="auto"/>
            <w:noWrap/>
            <w:vAlign w:val="center"/>
            <w:hideMark/>
          </w:tcPr>
          <w:p w:rsidR="0003310F" w:rsidRPr="00526F2F" w:rsidRDefault="0003310F" w:rsidP="0003310F">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526F2F">
              <w:rPr>
                <w:rFonts w:cs="Arial"/>
                <w:sz w:val="20"/>
                <w:lang w:val="en-US" w:eastAsia="zh-CN"/>
              </w:rPr>
              <w:t xml:space="preserve"> CHF </w:t>
            </w:r>
          </w:p>
        </w:tc>
        <w:tc>
          <w:tcPr>
            <w:tcW w:w="664" w:type="pct"/>
            <w:tcBorders>
              <w:top w:val="nil"/>
              <w:left w:val="nil"/>
              <w:bottom w:val="single" w:sz="4" w:space="0" w:color="auto"/>
              <w:right w:val="single" w:sz="4" w:space="0" w:color="auto"/>
            </w:tcBorders>
            <w:shd w:val="clear" w:color="auto" w:fill="auto"/>
            <w:noWrap/>
            <w:vAlign w:val="center"/>
            <w:hideMark/>
          </w:tcPr>
          <w:p w:rsidR="0003310F" w:rsidRPr="00526F2F" w:rsidRDefault="0003310F" w:rsidP="0003310F">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526F2F">
              <w:rPr>
                <w:rFonts w:cs="Arial"/>
                <w:sz w:val="20"/>
                <w:lang w:val="en-US" w:eastAsia="zh-CN"/>
              </w:rPr>
              <w:t xml:space="preserve">             500.00 </w:t>
            </w:r>
          </w:p>
        </w:tc>
      </w:tr>
      <w:tr w:rsidR="0003310F" w:rsidRPr="00526F2F" w:rsidTr="0003310F">
        <w:trPr>
          <w:trHeight w:val="259"/>
        </w:trPr>
        <w:tc>
          <w:tcPr>
            <w:tcW w:w="676" w:type="pct"/>
            <w:tcBorders>
              <w:top w:val="nil"/>
              <w:left w:val="single" w:sz="4" w:space="0" w:color="auto"/>
              <w:bottom w:val="single" w:sz="4" w:space="0" w:color="auto"/>
              <w:right w:val="single" w:sz="4" w:space="0" w:color="auto"/>
            </w:tcBorders>
            <w:shd w:val="clear" w:color="auto" w:fill="auto"/>
            <w:noWrap/>
            <w:vAlign w:val="center"/>
            <w:hideMark/>
          </w:tcPr>
          <w:p w:rsidR="0003310F" w:rsidRPr="00526F2F" w:rsidRDefault="0003310F" w:rsidP="0003310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0"/>
                <w:lang w:val="en-US" w:eastAsia="zh-CN"/>
              </w:rPr>
            </w:pPr>
            <w:r w:rsidRPr="00526F2F">
              <w:rPr>
                <w:rFonts w:cs="Arial"/>
                <w:sz w:val="20"/>
                <w:lang w:val="en-US" w:eastAsia="zh-CN"/>
              </w:rPr>
              <w:t>P.10030.1.01</w:t>
            </w:r>
          </w:p>
        </w:tc>
        <w:tc>
          <w:tcPr>
            <w:tcW w:w="610" w:type="pct"/>
            <w:tcBorders>
              <w:top w:val="nil"/>
              <w:left w:val="nil"/>
              <w:bottom w:val="single" w:sz="4" w:space="0" w:color="auto"/>
              <w:right w:val="single" w:sz="4" w:space="0" w:color="auto"/>
            </w:tcBorders>
            <w:shd w:val="clear" w:color="auto" w:fill="auto"/>
            <w:noWrap/>
            <w:vAlign w:val="center"/>
            <w:hideMark/>
          </w:tcPr>
          <w:p w:rsidR="0003310F" w:rsidRPr="00526F2F" w:rsidRDefault="0003310F" w:rsidP="0003310F">
            <w:pPr>
              <w:tabs>
                <w:tab w:val="clear" w:pos="567"/>
                <w:tab w:val="clear" w:pos="1134"/>
                <w:tab w:val="clear" w:pos="1701"/>
                <w:tab w:val="clear" w:pos="2268"/>
                <w:tab w:val="clear" w:pos="2835"/>
              </w:tabs>
              <w:overflowPunct/>
              <w:autoSpaceDE/>
              <w:autoSpaceDN/>
              <w:adjustRightInd/>
              <w:spacing w:before="0"/>
              <w:textAlignment w:val="auto"/>
              <w:rPr>
                <w:rFonts w:cs="Arial"/>
                <w:sz w:val="20"/>
                <w:lang w:val="en-US" w:eastAsia="zh-CN"/>
              </w:rPr>
            </w:pPr>
            <w:r w:rsidRPr="00526F2F">
              <w:rPr>
                <w:rFonts w:cs="Arial"/>
                <w:sz w:val="20"/>
                <w:lang w:val="en-US" w:eastAsia="zh-CN"/>
              </w:rPr>
              <w:t>Singapore</w:t>
            </w:r>
          </w:p>
        </w:tc>
        <w:tc>
          <w:tcPr>
            <w:tcW w:w="746" w:type="pct"/>
            <w:tcBorders>
              <w:top w:val="nil"/>
              <w:left w:val="nil"/>
              <w:bottom w:val="single" w:sz="4" w:space="0" w:color="auto"/>
              <w:right w:val="single" w:sz="4" w:space="0" w:color="auto"/>
            </w:tcBorders>
            <w:shd w:val="clear" w:color="auto" w:fill="auto"/>
            <w:noWrap/>
            <w:vAlign w:val="center"/>
            <w:hideMark/>
          </w:tcPr>
          <w:p w:rsidR="0003310F" w:rsidRPr="00526F2F" w:rsidRDefault="0003310F" w:rsidP="0003310F">
            <w:pPr>
              <w:tabs>
                <w:tab w:val="clear" w:pos="567"/>
                <w:tab w:val="clear" w:pos="1134"/>
                <w:tab w:val="clear" w:pos="1701"/>
                <w:tab w:val="clear" w:pos="2268"/>
                <w:tab w:val="clear" w:pos="2835"/>
              </w:tabs>
              <w:overflowPunct/>
              <w:autoSpaceDE/>
              <w:autoSpaceDN/>
              <w:adjustRightInd/>
              <w:spacing w:before="0"/>
              <w:textAlignment w:val="auto"/>
              <w:rPr>
                <w:rFonts w:cs="Arial"/>
                <w:sz w:val="20"/>
                <w:lang w:val="en-US" w:eastAsia="zh-CN"/>
              </w:rPr>
            </w:pPr>
            <w:r w:rsidRPr="00526F2F">
              <w:rPr>
                <w:rFonts w:cs="Arial"/>
                <w:sz w:val="20"/>
                <w:lang w:val="en-US" w:eastAsia="zh-CN"/>
              </w:rPr>
              <w:t>MASTERCARD ASIA/PACIFIC</w:t>
            </w:r>
          </w:p>
        </w:tc>
        <w:tc>
          <w:tcPr>
            <w:tcW w:w="813" w:type="pct"/>
            <w:tcBorders>
              <w:top w:val="nil"/>
              <w:left w:val="nil"/>
              <w:bottom w:val="single" w:sz="4" w:space="0" w:color="auto"/>
              <w:right w:val="single" w:sz="4" w:space="0" w:color="auto"/>
            </w:tcBorders>
            <w:shd w:val="clear" w:color="auto" w:fill="auto"/>
            <w:noWrap/>
            <w:vAlign w:val="center"/>
            <w:hideMark/>
          </w:tcPr>
          <w:p w:rsidR="0003310F" w:rsidRPr="00526F2F" w:rsidRDefault="0003310F" w:rsidP="0003310F">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526F2F">
              <w:rPr>
                <w:rFonts w:cs="Arial"/>
                <w:sz w:val="20"/>
                <w:lang w:val="en-US" w:eastAsia="zh-CN"/>
              </w:rPr>
              <w:t xml:space="preserve">              20,000.00 </w:t>
            </w:r>
          </w:p>
        </w:tc>
        <w:tc>
          <w:tcPr>
            <w:tcW w:w="434" w:type="pct"/>
            <w:tcBorders>
              <w:top w:val="nil"/>
              <w:left w:val="nil"/>
              <w:bottom w:val="single" w:sz="4" w:space="0" w:color="auto"/>
              <w:right w:val="single" w:sz="4" w:space="0" w:color="auto"/>
            </w:tcBorders>
            <w:shd w:val="clear" w:color="auto" w:fill="auto"/>
            <w:noWrap/>
            <w:vAlign w:val="center"/>
            <w:hideMark/>
          </w:tcPr>
          <w:p w:rsidR="0003310F" w:rsidRPr="00526F2F" w:rsidRDefault="0003310F" w:rsidP="0003310F">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526F2F">
              <w:rPr>
                <w:rFonts w:cs="Arial"/>
                <w:sz w:val="20"/>
                <w:lang w:val="en-US" w:eastAsia="zh-CN"/>
              </w:rPr>
              <w:t xml:space="preserve"> USD </w:t>
            </w:r>
          </w:p>
        </w:tc>
        <w:tc>
          <w:tcPr>
            <w:tcW w:w="729" w:type="pct"/>
            <w:tcBorders>
              <w:top w:val="nil"/>
              <w:left w:val="nil"/>
              <w:bottom w:val="single" w:sz="4" w:space="0" w:color="auto"/>
              <w:right w:val="single" w:sz="4" w:space="0" w:color="auto"/>
            </w:tcBorders>
            <w:shd w:val="clear" w:color="auto" w:fill="auto"/>
            <w:noWrap/>
            <w:vAlign w:val="center"/>
            <w:hideMark/>
          </w:tcPr>
          <w:p w:rsidR="0003310F" w:rsidRPr="00526F2F" w:rsidRDefault="0003310F" w:rsidP="0003310F">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526F2F">
              <w:rPr>
                <w:rFonts w:cs="Arial"/>
                <w:sz w:val="20"/>
                <w:lang w:val="en-US" w:eastAsia="zh-CN"/>
              </w:rPr>
              <w:t xml:space="preserve">           20,000.00 </w:t>
            </w:r>
          </w:p>
        </w:tc>
        <w:tc>
          <w:tcPr>
            <w:tcW w:w="328" w:type="pct"/>
            <w:tcBorders>
              <w:top w:val="nil"/>
              <w:left w:val="nil"/>
              <w:bottom w:val="single" w:sz="4" w:space="0" w:color="auto"/>
              <w:right w:val="single" w:sz="4" w:space="0" w:color="auto"/>
            </w:tcBorders>
            <w:shd w:val="clear" w:color="auto" w:fill="auto"/>
            <w:noWrap/>
            <w:vAlign w:val="center"/>
            <w:hideMark/>
          </w:tcPr>
          <w:p w:rsidR="0003310F" w:rsidRPr="00526F2F" w:rsidRDefault="0003310F" w:rsidP="0003310F">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526F2F">
              <w:rPr>
                <w:rFonts w:cs="Arial"/>
                <w:sz w:val="20"/>
                <w:lang w:val="en-US" w:eastAsia="zh-CN"/>
              </w:rPr>
              <w:t xml:space="preserve"> USD </w:t>
            </w:r>
          </w:p>
        </w:tc>
        <w:tc>
          <w:tcPr>
            <w:tcW w:w="664" w:type="pct"/>
            <w:tcBorders>
              <w:top w:val="nil"/>
              <w:left w:val="nil"/>
              <w:bottom w:val="single" w:sz="4" w:space="0" w:color="auto"/>
              <w:right w:val="single" w:sz="4" w:space="0" w:color="auto"/>
            </w:tcBorders>
            <w:shd w:val="clear" w:color="auto" w:fill="auto"/>
            <w:noWrap/>
            <w:vAlign w:val="center"/>
            <w:hideMark/>
          </w:tcPr>
          <w:p w:rsidR="0003310F" w:rsidRPr="00526F2F" w:rsidRDefault="0003310F" w:rsidP="0003310F">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526F2F">
              <w:rPr>
                <w:rFonts w:cs="Arial"/>
                <w:sz w:val="20"/>
                <w:lang w:val="en-US" w:eastAsia="zh-CN"/>
              </w:rPr>
              <w:t xml:space="preserve">        19,859.99 </w:t>
            </w:r>
          </w:p>
        </w:tc>
      </w:tr>
      <w:tr w:rsidR="0003310F" w:rsidRPr="00526F2F" w:rsidTr="0003310F">
        <w:trPr>
          <w:trHeight w:val="259"/>
        </w:trPr>
        <w:tc>
          <w:tcPr>
            <w:tcW w:w="676" w:type="pct"/>
            <w:tcBorders>
              <w:top w:val="nil"/>
              <w:left w:val="single" w:sz="4" w:space="0" w:color="auto"/>
              <w:bottom w:val="single" w:sz="4" w:space="0" w:color="auto"/>
              <w:right w:val="single" w:sz="4" w:space="0" w:color="auto"/>
            </w:tcBorders>
            <w:shd w:val="clear" w:color="auto" w:fill="auto"/>
            <w:noWrap/>
            <w:vAlign w:val="center"/>
            <w:hideMark/>
          </w:tcPr>
          <w:p w:rsidR="0003310F" w:rsidRPr="00526F2F" w:rsidRDefault="0003310F" w:rsidP="0003310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0"/>
                <w:lang w:val="en-US" w:eastAsia="zh-CN"/>
              </w:rPr>
            </w:pPr>
            <w:r w:rsidRPr="00526F2F">
              <w:rPr>
                <w:rFonts w:cs="Arial"/>
                <w:sz w:val="20"/>
                <w:lang w:val="en-US" w:eastAsia="zh-CN"/>
              </w:rPr>
              <w:t>P.10030.1.01</w:t>
            </w:r>
          </w:p>
        </w:tc>
        <w:tc>
          <w:tcPr>
            <w:tcW w:w="610" w:type="pct"/>
            <w:tcBorders>
              <w:top w:val="nil"/>
              <w:left w:val="nil"/>
              <w:bottom w:val="single" w:sz="4" w:space="0" w:color="auto"/>
              <w:right w:val="single" w:sz="4" w:space="0" w:color="auto"/>
            </w:tcBorders>
            <w:shd w:val="clear" w:color="auto" w:fill="auto"/>
            <w:noWrap/>
            <w:vAlign w:val="center"/>
            <w:hideMark/>
          </w:tcPr>
          <w:p w:rsidR="0003310F" w:rsidRPr="00526F2F" w:rsidRDefault="0003310F" w:rsidP="0003310F">
            <w:pPr>
              <w:tabs>
                <w:tab w:val="clear" w:pos="567"/>
                <w:tab w:val="clear" w:pos="1134"/>
                <w:tab w:val="clear" w:pos="1701"/>
                <w:tab w:val="clear" w:pos="2268"/>
                <w:tab w:val="clear" w:pos="2835"/>
              </w:tabs>
              <w:overflowPunct/>
              <w:autoSpaceDE/>
              <w:autoSpaceDN/>
              <w:adjustRightInd/>
              <w:spacing w:before="0"/>
              <w:textAlignment w:val="auto"/>
              <w:rPr>
                <w:rFonts w:cs="Arial"/>
                <w:sz w:val="20"/>
                <w:lang w:val="en-US" w:eastAsia="zh-CN"/>
              </w:rPr>
            </w:pPr>
            <w:r w:rsidRPr="00526F2F">
              <w:rPr>
                <w:rFonts w:cs="Arial"/>
                <w:sz w:val="20"/>
                <w:lang w:val="en-US" w:eastAsia="zh-CN"/>
              </w:rPr>
              <w:t>Switzerland</w:t>
            </w:r>
          </w:p>
        </w:tc>
        <w:tc>
          <w:tcPr>
            <w:tcW w:w="746" w:type="pct"/>
            <w:tcBorders>
              <w:top w:val="nil"/>
              <w:left w:val="nil"/>
              <w:bottom w:val="single" w:sz="4" w:space="0" w:color="auto"/>
              <w:right w:val="single" w:sz="4" w:space="0" w:color="auto"/>
            </w:tcBorders>
            <w:shd w:val="clear" w:color="auto" w:fill="auto"/>
            <w:noWrap/>
            <w:vAlign w:val="center"/>
            <w:hideMark/>
          </w:tcPr>
          <w:p w:rsidR="0003310F" w:rsidRPr="00526F2F" w:rsidRDefault="0003310F" w:rsidP="0003310F">
            <w:pPr>
              <w:tabs>
                <w:tab w:val="clear" w:pos="567"/>
                <w:tab w:val="clear" w:pos="1134"/>
                <w:tab w:val="clear" w:pos="1701"/>
                <w:tab w:val="clear" w:pos="2268"/>
                <w:tab w:val="clear" w:pos="2835"/>
              </w:tabs>
              <w:overflowPunct/>
              <w:autoSpaceDE/>
              <w:autoSpaceDN/>
              <w:adjustRightInd/>
              <w:spacing w:before="0"/>
              <w:textAlignment w:val="auto"/>
              <w:rPr>
                <w:rFonts w:cs="Arial"/>
                <w:sz w:val="20"/>
                <w:lang w:val="en-US" w:eastAsia="zh-CN"/>
              </w:rPr>
            </w:pPr>
            <w:r w:rsidRPr="00526F2F">
              <w:rPr>
                <w:rFonts w:cs="Arial"/>
                <w:sz w:val="20"/>
                <w:lang w:val="en-US" w:eastAsia="zh-CN"/>
              </w:rPr>
              <w:t>BAKOM, Bern</w:t>
            </w:r>
          </w:p>
        </w:tc>
        <w:tc>
          <w:tcPr>
            <w:tcW w:w="813" w:type="pct"/>
            <w:tcBorders>
              <w:top w:val="nil"/>
              <w:left w:val="nil"/>
              <w:bottom w:val="single" w:sz="4" w:space="0" w:color="auto"/>
              <w:right w:val="single" w:sz="4" w:space="0" w:color="auto"/>
            </w:tcBorders>
            <w:shd w:val="clear" w:color="auto" w:fill="auto"/>
            <w:noWrap/>
            <w:vAlign w:val="center"/>
            <w:hideMark/>
          </w:tcPr>
          <w:p w:rsidR="0003310F" w:rsidRPr="00526F2F" w:rsidRDefault="0003310F" w:rsidP="0003310F">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526F2F">
              <w:rPr>
                <w:rFonts w:cs="Arial"/>
                <w:sz w:val="20"/>
                <w:lang w:val="en-US" w:eastAsia="zh-CN"/>
              </w:rPr>
              <w:t xml:space="preserve">             15,000.00 </w:t>
            </w:r>
          </w:p>
        </w:tc>
        <w:tc>
          <w:tcPr>
            <w:tcW w:w="434" w:type="pct"/>
            <w:tcBorders>
              <w:top w:val="nil"/>
              <w:left w:val="nil"/>
              <w:bottom w:val="single" w:sz="4" w:space="0" w:color="auto"/>
              <w:right w:val="single" w:sz="4" w:space="0" w:color="auto"/>
            </w:tcBorders>
            <w:shd w:val="clear" w:color="auto" w:fill="auto"/>
            <w:noWrap/>
            <w:vAlign w:val="center"/>
            <w:hideMark/>
          </w:tcPr>
          <w:p w:rsidR="0003310F" w:rsidRPr="00526F2F" w:rsidRDefault="0003310F" w:rsidP="0003310F">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526F2F">
              <w:rPr>
                <w:rFonts w:cs="Arial"/>
                <w:sz w:val="20"/>
                <w:lang w:val="en-US" w:eastAsia="zh-CN"/>
              </w:rPr>
              <w:t xml:space="preserve"> CHF </w:t>
            </w:r>
          </w:p>
        </w:tc>
        <w:tc>
          <w:tcPr>
            <w:tcW w:w="729" w:type="pct"/>
            <w:tcBorders>
              <w:top w:val="nil"/>
              <w:left w:val="nil"/>
              <w:bottom w:val="single" w:sz="4" w:space="0" w:color="auto"/>
              <w:right w:val="single" w:sz="4" w:space="0" w:color="auto"/>
            </w:tcBorders>
            <w:shd w:val="clear" w:color="auto" w:fill="auto"/>
            <w:noWrap/>
            <w:vAlign w:val="center"/>
            <w:hideMark/>
          </w:tcPr>
          <w:p w:rsidR="0003310F" w:rsidRPr="00526F2F" w:rsidRDefault="0003310F" w:rsidP="0003310F">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526F2F">
              <w:rPr>
                <w:rFonts w:cs="Arial"/>
                <w:sz w:val="20"/>
                <w:lang w:val="en-US" w:eastAsia="zh-CN"/>
              </w:rPr>
              <w:t xml:space="preserve">           15,000.00 </w:t>
            </w:r>
          </w:p>
        </w:tc>
        <w:tc>
          <w:tcPr>
            <w:tcW w:w="328" w:type="pct"/>
            <w:tcBorders>
              <w:top w:val="nil"/>
              <w:left w:val="nil"/>
              <w:bottom w:val="single" w:sz="4" w:space="0" w:color="auto"/>
              <w:right w:val="single" w:sz="4" w:space="0" w:color="auto"/>
            </w:tcBorders>
            <w:shd w:val="clear" w:color="auto" w:fill="auto"/>
            <w:noWrap/>
            <w:vAlign w:val="center"/>
            <w:hideMark/>
          </w:tcPr>
          <w:p w:rsidR="0003310F" w:rsidRPr="00526F2F" w:rsidRDefault="0003310F" w:rsidP="0003310F">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526F2F">
              <w:rPr>
                <w:rFonts w:cs="Arial"/>
                <w:sz w:val="20"/>
                <w:lang w:val="en-US" w:eastAsia="zh-CN"/>
              </w:rPr>
              <w:t xml:space="preserve"> CHF </w:t>
            </w:r>
          </w:p>
        </w:tc>
        <w:tc>
          <w:tcPr>
            <w:tcW w:w="664" w:type="pct"/>
            <w:tcBorders>
              <w:top w:val="nil"/>
              <w:left w:val="nil"/>
              <w:bottom w:val="single" w:sz="4" w:space="0" w:color="auto"/>
              <w:right w:val="single" w:sz="4" w:space="0" w:color="auto"/>
            </w:tcBorders>
            <w:shd w:val="clear" w:color="auto" w:fill="auto"/>
            <w:noWrap/>
            <w:vAlign w:val="center"/>
            <w:hideMark/>
          </w:tcPr>
          <w:p w:rsidR="0003310F" w:rsidRPr="00526F2F" w:rsidRDefault="0003310F" w:rsidP="0003310F">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526F2F">
              <w:rPr>
                <w:rFonts w:cs="Arial"/>
                <w:sz w:val="20"/>
                <w:lang w:val="en-US" w:eastAsia="zh-CN"/>
              </w:rPr>
              <w:t xml:space="preserve">        15,000.00 </w:t>
            </w:r>
          </w:p>
        </w:tc>
      </w:tr>
      <w:tr w:rsidR="0003310F" w:rsidRPr="00526F2F" w:rsidTr="0003310F">
        <w:trPr>
          <w:trHeight w:val="259"/>
        </w:trPr>
        <w:tc>
          <w:tcPr>
            <w:tcW w:w="676" w:type="pct"/>
            <w:tcBorders>
              <w:top w:val="nil"/>
              <w:left w:val="single" w:sz="4" w:space="0" w:color="auto"/>
              <w:bottom w:val="single" w:sz="4" w:space="0" w:color="auto"/>
              <w:right w:val="single" w:sz="4" w:space="0" w:color="auto"/>
            </w:tcBorders>
            <w:shd w:val="clear" w:color="auto" w:fill="auto"/>
            <w:noWrap/>
            <w:vAlign w:val="center"/>
            <w:hideMark/>
          </w:tcPr>
          <w:p w:rsidR="0003310F" w:rsidRPr="00526F2F" w:rsidRDefault="0003310F" w:rsidP="0003310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0"/>
                <w:lang w:val="en-US" w:eastAsia="zh-CN"/>
              </w:rPr>
            </w:pPr>
            <w:r w:rsidRPr="00526F2F">
              <w:rPr>
                <w:rFonts w:cs="Arial"/>
                <w:sz w:val="20"/>
                <w:lang w:val="en-US" w:eastAsia="zh-CN"/>
              </w:rPr>
              <w:t>P.40663.1.01</w:t>
            </w:r>
          </w:p>
        </w:tc>
        <w:tc>
          <w:tcPr>
            <w:tcW w:w="610" w:type="pct"/>
            <w:tcBorders>
              <w:top w:val="nil"/>
              <w:left w:val="nil"/>
              <w:bottom w:val="single" w:sz="4" w:space="0" w:color="auto"/>
              <w:right w:val="single" w:sz="4" w:space="0" w:color="auto"/>
            </w:tcBorders>
            <w:shd w:val="clear" w:color="auto" w:fill="auto"/>
            <w:noWrap/>
            <w:vAlign w:val="center"/>
            <w:hideMark/>
          </w:tcPr>
          <w:p w:rsidR="0003310F" w:rsidRPr="00526F2F" w:rsidRDefault="0003310F" w:rsidP="0003310F">
            <w:pPr>
              <w:tabs>
                <w:tab w:val="clear" w:pos="567"/>
                <w:tab w:val="clear" w:pos="1134"/>
                <w:tab w:val="clear" w:pos="1701"/>
                <w:tab w:val="clear" w:pos="2268"/>
                <w:tab w:val="clear" w:pos="2835"/>
              </w:tabs>
              <w:overflowPunct/>
              <w:autoSpaceDE/>
              <w:autoSpaceDN/>
              <w:adjustRightInd/>
              <w:spacing w:before="0"/>
              <w:textAlignment w:val="auto"/>
              <w:rPr>
                <w:rFonts w:cs="Arial"/>
                <w:sz w:val="20"/>
                <w:lang w:val="en-US" w:eastAsia="zh-CN"/>
              </w:rPr>
            </w:pPr>
            <w:r w:rsidRPr="00526F2F">
              <w:rPr>
                <w:rFonts w:cs="Arial"/>
                <w:sz w:val="20"/>
                <w:lang w:val="en-US" w:eastAsia="zh-CN"/>
              </w:rPr>
              <w:t>Saudi Arabia</w:t>
            </w:r>
          </w:p>
        </w:tc>
        <w:tc>
          <w:tcPr>
            <w:tcW w:w="746" w:type="pct"/>
            <w:tcBorders>
              <w:top w:val="nil"/>
              <w:left w:val="nil"/>
              <w:bottom w:val="single" w:sz="4" w:space="0" w:color="auto"/>
              <w:right w:val="single" w:sz="4" w:space="0" w:color="auto"/>
            </w:tcBorders>
            <w:shd w:val="clear" w:color="auto" w:fill="auto"/>
            <w:noWrap/>
            <w:vAlign w:val="center"/>
            <w:hideMark/>
          </w:tcPr>
          <w:p w:rsidR="0003310F" w:rsidRPr="00526F2F" w:rsidRDefault="0003310F" w:rsidP="0003310F">
            <w:pPr>
              <w:tabs>
                <w:tab w:val="clear" w:pos="567"/>
                <w:tab w:val="clear" w:pos="1134"/>
                <w:tab w:val="clear" w:pos="1701"/>
                <w:tab w:val="clear" w:pos="2268"/>
                <w:tab w:val="clear" w:pos="2835"/>
              </w:tabs>
              <w:overflowPunct/>
              <w:autoSpaceDE/>
              <w:autoSpaceDN/>
              <w:adjustRightInd/>
              <w:spacing w:before="0"/>
              <w:textAlignment w:val="auto"/>
              <w:rPr>
                <w:rFonts w:cs="Arial"/>
                <w:sz w:val="20"/>
                <w:lang w:val="en-US" w:eastAsia="zh-CN"/>
              </w:rPr>
            </w:pPr>
            <w:r w:rsidRPr="00526F2F">
              <w:rPr>
                <w:rFonts w:cs="Arial"/>
                <w:sz w:val="20"/>
                <w:lang w:val="en-US" w:eastAsia="zh-CN"/>
              </w:rPr>
              <w:t>MCIT Riyadh</w:t>
            </w:r>
          </w:p>
        </w:tc>
        <w:tc>
          <w:tcPr>
            <w:tcW w:w="813" w:type="pct"/>
            <w:tcBorders>
              <w:top w:val="nil"/>
              <w:left w:val="nil"/>
              <w:bottom w:val="single" w:sz="4" w:space="0" w:color="auto"/>
              <w:right w:val="single" w:sz="4" w:space="0" w:color="auto"/>
            </w:tcBorders>
            <w:shd w:val="clear" w:color="auto" w:fill="auto"/>
            <w:noWrap/>
            <w:vAlign w:val="center"/>
            <w:hideMark/>
          </w:tcPr>
          <w:p w:rsidR="0003310F" w:rsidRPr="00526F2F" w:rsidRDefault="0003310F" w:rsidP="0003310F">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526F2F">
              <w:rPr>
                <w:rFonts w:cs="Arial"/>
                <w:sz w:val="20"/>
                <w:lang w:val="en-US" w:eastAsia="zh-CN"/>
              </w:rPr>
              <w:t xml:space="preserve">            800,800.00 </w:t>
            </w:r>
          </w:p>
        </w:tc>
        <w:tc>
          <w:tcPr>
            <w:tcW w:w="434" w:type="pct"/>
            <w:tcBorders>
              <w:top w:val="nil"/>
              <w:left w:val="nil"/>
              <w:bottom w:val="single" w:sz="4" w:space="0" w:color="auto"/>
              <w:right w:val="single" w:sz="4" w:space="0" w:color="auto"/>
            </w:tcBorders>
            <w:shd w:val="clear" w:color="auto" w:fill="auto"/>
            <w:noWrap/>
            <w:vAlign w:val="center"/>
            <w:hideMark/>
          </w:tcPr>
          <w:p w:rsidR="0003310F" w:rsidRPr="00526F2F" w:rsidRDefault="0003310F" w:rsidP="0003310F">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526F2F">
              <w:rPr>
                <w:rFonts w:cs="Arial"/>
                <w:sz w:val="20"/>
                <w:lang w:val="en-US" w:eastAsia="zh-CN"/>
              </w:rPr>
              <w:t xml:space="preserve"> USD </w:t>
            </w:r>
          </w:p>
        </w:tc>
        <w:tc>
          <w:tcPr>
            <w:tcW w:w="729" w:type="pct"/>
            <w:tcBorders>
              <w:top w:val="nil"/>
              <w:left w:val="nil"/>
              <w:bottom w:val="single" w:sz="4" w:space="0" w:color="auto"/>
              <w:right w:val="single" w:sz="4" w:space="0" w:color="auto"/>
            </w:tcBorders>
            <w:shd w:val="clear" w:color="auto" w:fill="auto"/>
            <w:noWrap/>
            <w:vAlign w:val="center"/>
            <w:hideMark/>
          </w:tcPr>
          <w:p w:rsidR="0003310F" w:rsidRPr="00526F2F" w:rsidRDefault="0003310F" w:rsidP="0003310F">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526F2F">
              <w:rPr>
                <w:rFonts w:cs="Arial"/>
                <w:sz w:val="20"/>
                <w:lang w:val="en-US" w:eastAsia="zh-CN"/>
              </w:rPr>
              <w:t xml:space="preserve">        800,800.00 </w:t>
            </w:r>
          </w:p>
        </w:tc>
        <w:tc>
          <w:tcPr>
            <w:tcW w:w="328" w:type="pct"/>
            <w:tcBorders>
              <w:top w:val="nil"/>
              <w:left w:val="nil"/>
              <w:bottom w:val="single" w:sz="4" w:space="0" w:color="auto"/>
              <w:right w:val="single" w:sz="4" w:space="0" w:color="auto"/>
            </w:tcBorders>
            <w:shd w:val="clear" w:color="auto" w:fill="auto"/>
            <w:noWrap/>
            <w:vAlign w:val="center"/>
            <w:hideMark/>
          </w:tcPr>
          <w:p w:rsidR="0003310F" w:rsidRPr="00526F2F" w:rsidRDefault="0003310F" w:rsidP="0003310F">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526F2F">
              <w:rPr>
                <w:rFonts w:cs="Arial"/>
                <w:sz w:val="20"/>
                <w:lang w:val="en-US" w:eastAsia="zh-CN"/>
              </w:rPr>
              <w:t xml:space="preserve"> USD </w:t>
            </w:r>
          </w:p>
        </w:tc>
        <w:tc>
          <w:tcPr>
            <w:tcW w:w="664" w:type="pct"/>
            <w:tcBorders>
              <w:top w:val="nil"/>
              <w:left w:val="nil"/>
              <w:bottom w:val="single" w:sz="4" w:space="0" w:color="auto"/>
              <w:right w:val="single" w:sz="4" w:space="0" w:color="auto"/>
            </w:tcBorders>
            <w:shd w:val="clear" w:color="auto" w:fill="auto"/>
            <w:noWrap/>
            <w:vAlign w:val="center"/>
            <w:hideMark/>
          </w:tcPr>
          <w:p w:rsidR="0003310F" w:rsidRPr="00526F2F" w:rsidRDefault="0003310F" w:rsidP="0003310F">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526F2F">
              <w:rPr>
                <w:rFonts w:cs="Arial"/>
                <w:sz w:val="20"/>
                <w:lang w:val="en-US" w:eastAsia="zh-CN"/>
              </w:rPr>
              <w:t xml:space="preserve">     797,593.67 </w:t>
            </w:r>
          </w:p>
        </w:tc>
      </w:tr>
      <w:tr w:rsidR="0003310F" w:rsidRPr="00526F2F" w:rsidTr="0003310F">
        <w:trPr>
          <w:trHeight w:val="259"/>
        </w:trPr>
        <w:tc>
          <w:tcPr>
            <w:tcW w:w="676" w:type="pct"/>
            <w:tcBorders>
              <w:top w:val="nil"/>
              <w:left w:val="single" w:sz="4" w:space="0" w:color="auto"/>
              <w:bottom w:val="single" w:sz="4" w:space="0" w:color="auto"/>
              <w:right w:val="single" w:sz="4" w:space="0" w:color="auto"/>
            </w:tcBorders>
            <w:shd w:val="clear" w:color="auto" w:fill="auto"/>
            <w:noWrap/>
            <w:vAlign w:val="center"/>
            <w:hideMark/>
          </w:tcPr>
          <w:p w:rsidR="0003310F" w:rsidRPr="00526F2F" w:rsidRDefault="0003310F" w:rsidP="0003310F">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0"/>
                <w:lang w:val="en-US" w:eastAsia="zh-CN"/>
              </w:rPr>
            </w:pPr>
            <w:r w:rsidRPr="00526F2F">
              <w:rPr>
                <w:rFonts w:cs="Arial"/>
                <w:sz w:val="20"/>
                <w:lang w:val="en-US" w:eastAsia="zh-CN"/>
              </w:rPr>
              <w:t>P.40663.1.01</w:t>
            </w:r>
          </w:p>
        </w:tc>
        <w:tc>
          <w:tcPr>
            <w:tcW w:w="610" w:type="pct"/>
            <w:tcBorders>
              <w:top w:val="nil"/>
              <w:left w:val="nil"/>
              <w:bottom w:val="single" w:sz="4" w:space="0" w:color="auto"/>
              <w:right w:val="single" w:sz="4" w:space="0" w:color="auto"/>
            </w:tcBorders>
            <w:shd w:val="clear" w:color="auto" w:fill="auto"/>
            <w:noWrap/>
            <w:vAlign w:val="center"/>
            <w:hideMark/>
          </w:tcPr>
          <w:p w:rsidR="0003310F" w:rsidRPr="00526F2F" w:rsidRDefault="0003310F" w:rsidP="0003310F">
            <w:pPr>
              <w:tabs>
                <w:tab w:val="clear" w:pos="567"/>
                <w:tab w:val="clear" w:pos="1134"/>
                <w:tab w:val="clear" w:pos="1701"/>
                <w:tab w:val="clear" w:pos="2268"/>
                <w:tab w:val="clear" w:pos="2835"/>
              </w:tabs>
              <w:overflowPunct/>
              <w:autoSpaceDE/>
              <w:autoSpaceDN/>
              <w:adjustRightInd/>
              <w:spacing w:before="0"/>
              <w:textAlignment w:val="auto"/>
              <w:rPr>
                <w:rFonts w:cs="Arial"/>
                <w:sz w:val="20"/>
                <w:lang w:val="en-US" w:eastAsia="zh-CN"/>
              </w:rPr>
            </w:pPr>
            <w:r w:rsidRPr="00526F2F">
              <w:rPr>
                <w:rFonts w:cs="Arial"/>
                <w:sz w:val="20"/>
                <w:lang w:val="en-US" w:eastAsia="zh-CN"/>
              </w:rPr>
              <w:t>Zimbabwe</w:t>
            </w:r>
          </w:p>
        </w:tc>
        <w:tc>
          <w:tcPr>
            <w:tcW w:w="746" w:type="pct"/>
            <w:tcBorders>
              <w:top w:val="nil"/>
              <w:left w:val="nil"/>
              <w:bottom w:val="single" w:sz="4" w:space="0" w:color="auto"/>
              <w:right w:val="single" w:sz="4" w:space="0" w:color="auto"/>
            </w:tcBorders>
            <w:shd w:val="clear" w:color="auto" w:fill="auto"/>
            <w:noWrap/>
            <w:vAlign w:val="center"/>
            <w:hideMark/>
          </w:tcPr>
          <w:p w:rsidR="0003310F" w:rsidRPr="00526F2F" w:rsidRDefault="0003310F" w:rsidP="0003310F">
            <w:pPr>
              <w:tabs>
                <w:tab w:val="clear" w:pos="567"/>
                <w:tab w:val="clear" w:pos="1134"/>
                <w:tab w:val="clear" w:pos="1701"/>
                <w:tab w:val="clear" w:pos="2268"/>
                <w:tab w:val="clear" w:pos="2835"/>
              </w:tabs>
              <w:overflowPunct/>
              <w:autoSpaceDE/>
              <w:autoSpaceDN/>
              <w:adjustRightInd/>
              <w:spacing w:before="0"/>
              <w:textAlignment w:val="auto"/>
              <w:rPr>
                <w:rFonts w:cs="Arial"/>
                <w:sz w:val="20"/>
                <w:lang w:val="en-US" w:eastAsia="zh-CN"/>
              </w:rPr>
            </w:pPr>
            <w:r w:rsidRPr="00526F2F">
              <w:rPr>
                <w:rFonts w:cs="Arial"/>
                <w:sz w:val="20"/>
                <w:lang w:val="en-US" w:eastAsia="zh-CN"/>
              </w:rPr>
              <w:t>POTRAZ</w:t>
            </w:r>
          </w:p>
        </w:tc>
        <w:tc>
          <w:tcPr>
            <w:tcW w:w="813" w:type="pct"/>
            <w:tcBorders>
              <w:top w:val="nil"/>
              <w:left w:val="nil"/>
              <w:bottom w:val="single" w:sz="4" w:space="0" w:color="auto"/>
              <w:right w:val="single" w:sz="4" w:space="0" w:color="auto"/>
            </w:tcBorders>
            <w:shd w:val="clear" w:color="auto" w:fill="auto"/>
            <w:noWrap/>
            <w:vAlign w:val="center"/>
            <w:hideMark/>
          </w:tcPr>
          <w:p w:rsidR="0003310F" w:rsidRPr="00526F2F" w:rsidRDefault="0003310F" w:rsidP="0003310F">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526F2F">
              <w:rPr>
                <w:rFonts w:cs="Arial"/>
                <w:sz w:val="20"/>
                <w:lang w:val="en-US" w:eastAsia="zh-CN"/>
              </w:rPr>
              <w:t xml:space="preserve">            398,400.00 </w:t>
            </w:r>
          </w:p>
        </w:tc>
        <w:tc>
          <w:tcPr>
            <w:tcW w:w="434" w:type="pct"/>
            <w:tcBorders>
              <w:top w:val="nil"/>
              <w:left w:val="nil"/>
              <w:bottom w:val="single" w:sz="4" w:space="0" w:color="auto"/>
              <w:right w:val="single" w:sz="4" w:space="0" w:color="auto"/>
            </w:tcBorders>
            <w:shd w:val="clear" w:color="auto" w:fill="auto"/>
            <w:noWrap/>
            <w:vAlign w:val="center"/>
            <w:hideMark/>
          </w:tcPr>
          <w:p w:rsidR="0003310F" w:rsidRPr="00526F2F" w:rsidRDefault="0003310F" w:rsidP="0003310F">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526F2F">
              <w:rPr>
                <w:rFonts w:cs="Arial"/>
                <w:sz w:val="20"/>
                <w:lang w:val="en-US" w:eastAsia="zh-CN"/>
              </w:rPr>
              <w:t xml:space="preserve"> USD </w:t>
            </w:r>
          </w:p>
        </w:tc>
        <w:tc>
          <w:tcPr>
            <w:tcW w:w="729" w:type="pct"/>
            <w:tcBorders>
              <w:top w:val="nil"/>
              <w:left w:val="nil"/>
              <w:bottom w:val="single" w:sz="4" w:space="0" w:color="auto"/>
              <w:right w:val="single" w:sz="4" w:space="0" w:color="auto"/>
            </w:tcBorders>
            <w:shd w:val="clear" w:color="auto" w:fill="auto"/>
            <w:noWrap/>
            <w:vAlign w:val="center"/>
            <w:hideMark/>
          </w:tcPr>
          <w:p w:rsidR="0003310F" w:rsidRPr="00526F2F" w:rsidRDefault="0003310F" w:rsidP="0003310F">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526F2F">
              <w:rPr>
                <w:rFonts w:cs="Arial"/>
                <w:sz w:val="20"/>
                <w:lang w:val="en-US" w:eastAsia="zh-CN"/>
              </w:rPr>
              <w:t xml:space="preserve">        398,400.00 </w:t>
            </w:r>
          </w:p>
        </w:tc>
        <w:tc>
          <w:tcPr>
            <w:tcW w:w="328" w:type="pct"/>
            <w:tcBorders>
              <w:top w:val="nil"/>
              <w:left w:val="nil"/>
              <w:bottom w:val="single" w:sz="4" w:space="0" w:color="auto"/>
              <w:right w:val="single" w:sz="4" w:space="0" w:color="auto"/>
            </w:tcBorders>
            <w:shd w:val="clear" w:color="auto" w:fill="auto"/>
            <w:noWrap/>
            <w:vAlign w:val="center"/>
            <w:hideMark/>
          </w:tcPr>
          <w:p w:rsidR="0003310F" w:rsidRPr="00526F2F" w:rsidRDefault="0003310F" w:rsidP="0003310F">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526F2F">
              <w:rPr>
                <w:rFonts w:cs="Arial"/>
                <w:sz w:val="20"/>
                <w:lang w:val="en-US" w:eastAsia="zh-CN"/>
              </w:rPr>
              <w:t xml:space="preserve"> USD </w:t>
            </w:r>
          </w:p>
        </w:tc>
        <w:tc>
          <w:tcPr>
            <w:tcW w:w="664" w:type="pct"/>
            <w:tcBorders>
              <w:top w:val="nil"/>
              <w:left w:val="nil"/>
              <w:bottom w:val="single" w:sz="4" w:space="0" w:color="auto"/>
              <w:right w:val="single" w:sz="4" w:space="0" w:color="auto"/>
            </w:tcBorders>
            <w:shd w:val="clear" w:color="auto" w:fill="auto"/>
            <w:noWrap/>
            <w:vAlign w:val="center"/>
            <w:hideMark/>
          </w:tcPr>
          <w:p w:rsidR="0003310F" w:rsidRPr="00526F2F" w:rsidRDefault="0003310F" w:rsidP="0003310F">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526F2F">
              <w:rPr>
                <w:rFonts w:cs="Arial"/>
                <w:sz w:val="20"/>
                <w:lang w:val="en-US" w:eastAsia="zh-CN"/>
              </w:rPr>
              <w:t xml:space="preserve">     387,243.51 </w:t>
            </w:r>
          </w:p>
        </w:tc>
      </w:tr>
      <w:tr w:rsidR="0003310F" w:rsidRPr="00526F2F" w:rsidTr="0003310F">
        <w:trPr>
          <w:trHeight w:val="259"/>
        </w:trPr>
        <w:tc>
          <w:tcPr>
            <w:tcW w:w="676" w:type="pct"/>
            <w:tcBorders>
              <w:top w:val="nil"/>
              <w:left w:val="single" w:sz="4" w:space="0" w:color="auto"/>
              <w:bottom w:val="single" w:sz="4" w:space="0" w:color="auto"/>
              <w:right w:val="single" w:sz="4" w:space="0" w:color="auto"/>
            </w:tcBorders>
            <w:shd w:val="clear" w:color="auto" w:fill="auto"/>
            <w:noWrap/>
            <w:vAlign w:val="center"/>
            <w:hideMark/>
          </w:tcPr>
          <w:p w:rsidR="0003310F" w:rsidRPr="00526F2F" w:rsidRDefault="0003310F" w:rsidP="0003310F">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0"/>
                <w:lang w:val="en-US" w:eastAsia="zh-CN"/>
              </w:rPr>
            </w:pPr>
            <w:r w:rsidRPr="00526F2F">
              <w:rPr>
                <w:rFonts w:cs="Arial"/>
                <w:b/>
                <w:bCs/>
                <w:sz w:val="20"/>
                <w:lang w:val="en-US" w:eastAsia="zh-CN"/>
              </w:rPr>
              <w:t> </w:t>
            </w:r>
          </w:p>
        </w:tc>
        <w:tc>
          <w:tcPr>
            <w:tcW w:w="610" w:type="pct"/>
            <w:tcBorders>
              <w:top w:val="nil"/>
              <w:left w:val="nil"/>
              <w:bottom w:val="single" w:sz="4" w:space="0" w:color="auto"/>
              <w:right w:val="single" w:sz="4" w:space="0" w:color="auto"/>
            </w:tcBorders>
            <w:shd w:val="clear" w:color="auto" w:fill="auto"/>
            <w:noWrap/>
            <w:vAlign w:val="center"/>
            <w:hideMark/>
          </w:tcPr>
          <w:p w:rsidR="0003310F" w:rsidRPr="00526F2F" w:rsidRDefault="0003310F" w:rsidP="0003310F">
            <w:pPr>
              <w:tabs>
                <w:tab w:val="clear" w:pos="567"/>
                <w:tab w:val="clear" w:pos="1134"/>
                <w:tab w:val="clear" w:pos="1701"/>
                <w:tab w:val="clear" w:pos="2268"/>
                <w:tab w:val="clear" w:pos="2835"/>
              </w:tabs>
              <w:overflowPunct/>
              <w:autoSpaceDE/>
              <w:autoSpaceDN/>
              <w:adjustRightInd/>
              <w:spacing w:before="0"/>
              <w:textAlignment w:val="auto"/>
              <w:rPr>
                <w:rFonts w:cs="Arial"/>
                <w:sz w:val="20"/>
                <w:lang w:val="en-US" w:eastAsia="zh-CN"/>
              </w:rPr>
            </w:pPr>
            <w:r w:rsidRPr="00526F2F">
              <w:rPr>
                <w:rFonts w:cs="Arial"/>
                <w:sz w:val="20"/>
                <w:lang w:val="en-US" w:eastAsia="zh-CN"/>
              </w:rPr>
              <w:t> </w:t>
            </w:r>
          </w:p>
        </w:tc>
        <w:tc>
          <w:tcPr>
            <w:tcW w:w="746" w:type="pct"/>
            <w:tcBorders>
              <w:top w:val="nil"/>
              <w:left w:val="nil"/>
              <w:bottom w:val="single" w:sz="4" w:space="0" w:color="auto"/>
              <w:right w:val="single" w:sz="4" w:space="0" w:color="auto"/>
            </w:tcBorders>
            <w:shd w:val="clear" w:color="auto" w:fill="auto"/>
            <w:noWrap/>
            <w:vAlign w:val="center"/>
            <w:hideMark/>
          </w:tcPr>
          <w:p w:rsidR="0003310F" w:rsidRPr="00526F2F" w:rsidRDefault="0003310F" w:rsidP="0003310F">
            <w:pPr>
              <w:tabs>
                <w:tab w:val="clear" w:pos="567"/>
                <w:tab w:val="clear" w:pos="1134"/>
                <w:tab w:val="clear" w:pos="1701"/>
                <w:tab w:val="clear" w:pos="2268"/>
                <w:tab w:val="clear" w:pos="2835"/>
              </w:tabs>
              <w:overflowPunct/>
              <w:autoSpaceDE/>
              <w:autoSpaceDN/>
              <w:adjustRightInd/>
              <w:spacing w:before="0"/>
              <w:textAlignment w:val="auto"/>
              <w:rPr>
                <w:rFonts w:cs="Arial"/>
                <w:b/>
                <w:bCs/>
                <w:sz w:val="20"/>
                <w:lang w:val="en-US" w:eastAsia="zh-CN"/>
              </w:rPr>
            </w:pPr>
            <w:r w:rsidRPr="00526F2F">
              <w:rPr>
                <w:rFonts w:cs="Arial"/>
                <w:b/>
                <w:bCs/>
                <w:sz w:val="20"/>
                <w:lang w:val="en-US" w:eastAsia="zh-CN"/>
              </w:rPr>
              <w:t>TOTAL</w:t>
            </w:r>
          </w:p>
        </w:tc>
        <w:tc>
          <w:tcPr>
            <w:tcW w:w="813" w:type="pct"/>
            <w:tcBorders>
              <w:top w:val="nil"/>
              <w:left w:val="nil"/>
              <w:bottom w:val="single" w:sz="4" w:space="0" w:color="auto"/>
              <w:right w:val="single" w:sz="4" w:space="0" w:color="auto"/>
            </w:tcBorders>
            <w:shd w:val="clear" w:color="auto" w:fill="auto"/>
            <w:noWrap/>
            <w:vAlign w:val="center"/>
            <w:hideMark/>
          </w:tcPr>
          <w:p w:rsidR="0003310F" w:rsidRPr="00526F2F" w:rsidRDefault="0003310F" w:rsidP="0003310F">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526F2F">
              <w:rPr>
                <w:rFonts w:cs="Arial"/>
                <w:sz w:val="20"/>
                <w:lang w:val="en-US" w:eastAsia="zh-CN"/>
              </w:rPr>
              <w:t> </w:t>
            </w:r>
          </w:p>
        </w:tc>
        <w:tc>
          <w:tcPr>
            <w:tcW w:w="434" w:type="pct"/>
            <w:tcBorders>
              <w:top w:val="nil"/>
              <w:left w:val="nil"/>
              <w:bottom w:val="single" w:sz="4" w:space="0" w:color="auto"/>
              <w:right w:val="single" w:sz="4" w:space="0" w:color="auto"/>
            </w:tcBorders>
            <w:shd w:val="clear" w:color="auto" w:fill="auto"/>
            <w:noWrap/>
            <w:vAlign w:val="center"/>
            <w:hideMark/>
          </w:tcPr>
          <w:p w:rsidR="0003310F" w:rsidRPr="00526F2F" w:rsidRDefault="0003310F" w:rsidP="0003310F">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20"/>
                <w:lang w:val="en-US" w:eastAsia="zh-CN"/>
              </w:rPr>
            </w:pPr>
            <w:r w:rsidRPr="00526F2F">
              <w:rPr>
                <w:rFonts w:cs="Arial"/>
                <w:b/>
                <w:bCs/>
                <w:sz w:val="20"/>
                <w:lang w:val="en-US" w:eastAsia="zh-CN"/>
              </w:rPr>
              <w:t> </w:t>
            </w:r>
          </w:p>
        </w:tc>
        <w:tc>
          <w:tcPr>
            <w:tcW w:w="729" w:type="pct"/>
            <w:tcBorders>
              <w:top w:val="nil"/>
              <w:left w:val="nil"/>
              <w:bottom w:val="single" w:sz="4" w:space="0" w:color="auto"/>
              <w:right w:val="single" w:sz="4" w:space="0" w:color="auto"/>
            </w:tcBorders>
            <w:shd w:val="clear" w:color="auto" w:fill="auto"/>
            <w:noWrap/>
            <w:vAlign w:val="center"/>
            <w:hideMark/>
          </w:tcPr>
          <w:p w:rsidR="0003310F" w:rsidRPr="00526F2F" w:rsidRDefault="0003310F" w:rsidP="0003310F">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20"/>
                <w:lang w:val="en-US" w:eastAsia="zh-CN"/>
              </w:rPr>
            </w:pPr>
            <w:r w:rsidRPr="00526F2F">
              <w:rPr>
                <w:rFonts w:cs="Arial"/>
                <w:b/>
                <w:bCs/>
                <w:sz w:val="20"/>
                <w:lang w:val="en-US" w:eastAsia="zh-CN"/>
              </w:rPr>
              <w:t> </w:t>
            </w:r>
          </w:p>
        </w:tc>
        <w:tc>
          <w:tcPr>
            <w:tcW w:w="328" w:type="pct"/>
            <w:tcBorders>
              <w:top w:val="nil"/>
              <w:left w:val="nil"/>
              <w:bottom w:val="single" w:sz="4" w:space="0" w:color="auto"/>
              <w:right w:val="single" w:sz="4" w:space="0" w:color="auto"/>
            </w:tcBorders>
            <w:shd w:val="clear" w:color="auto" w:fill="auto"/>
            <w:noWrap/>
            <w:vAlign w:val="center"/>
            <w:hideMark/>
          </w:tcPr>
          <w:p w:rsidR="0003310F" w:rsidRPr="00526F2F" w:rsidRDefault="0003310F" w:rsidP="0003310F">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20"/>
                <w:lang w:val="en-US" w:eastAsia="zh-CN"/>
              </w:rPr>
            </w:pPr>
            <w:r w:rsidRPr="00526F2F">
              <w:rPr>
                <w:rFonts w:cs="Arial"/>
                <w:b/>
                <w:bCs/>
                <w:sz w:val="20"/>
                <w:lang w:val="en-US" w:eastAsia="zh-CN"/>
              </w:rPr>
              <w:t> </w:t>
            </w:r>
          </w:p>
        </w:tc>
        <w:tc>
          <w:tcPr>
            <w:tcW w:w="664" w:type="pct"/>
            <w:tcBorders>
              <w:top w:val="nil"/>
              <w:left w:val="nil"/>
              <w:bottom w:val="single" w:sz="4" w:space="0" w:color="auto"/>
              <w:right w:val="single" w:sz="4" w:space="0" w:color="auto"/>
            </w:tcBorders>
            <w:shd w:val="clear" w:color="auto" w:fill="auto"/>
            <w:noWrap/>
            <w:vAlign w:val="center"/>
            <w:hideMark/>
          </w:tcPr>
          <w:p w:rsidR="0003310F" w:rsidRPr="00526F2F" w:rsidRDefault="0003310F" w:rsidP="0003310F">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20"/>
                <w:lang w:val="en-US" w:eastAsia="zh-CN"/>
              </w:rPr>
            </w:pPr>
            <w:r w:rsidRPr="00526F2F">
              <w:rPr>
                <w:rFonts w:cs="Arial"/>
                <w:b/>
                <w:bCs/>
                <w:sz w:val="20"/>
                <w:lang w:val="en-US" w:eastAsia="zh-CN"/>
              </w:rPr>
              <w:t xml:space="preserve">  1,242,893.18 </w:t>
            </w:r>
          </w:p>
        </w:tc>
      </w:tr>
    </w:tbl>
    <w:p w:rsidR="00613E4D" w:rsidRPr="00526F2F" w:rsidRDefault="00613E4D" w:rsidP="00DD09AF">
      <w:pPr>
        <w:rPr>
          <w:lang w:val="en-US"/>
        </w:rPr>
      </w:pPr>
    </w:p>
    <w:p w:rsidR="00AA57A1" w:rsidRPr="00526F2F" w:rsidRDefault="00AA57A1" w:rsidP="00DD09AF">
      <w:pPr>
        <w:rPr>
          <w:lang w:val="en-US"/>
        </w:rPr>
      </w:pPr>
    </w:p>
    <w:p w:rsidR="00121088" w:rsidRPr="00526F2F" w:rsidRDefault="00121088" w:rsidP="00121088">
      <w:pPr>
        <w:jc w:val="center"/>
        <w:rPr>
          <w:sz w:val="22"/>
          <w:szCs w:val="18"/>
          <w:lang w:val="en-US"/>
        </w:rPr>
      </w:pPr>
      <w:r w:rsidRPr="00526F2F">
        <w:rPr>
          <w:sz w:val="22"/>
          <w:szCs w:val="18"/>
          <w:lang w:val="en-US"/>
        </w:rPr>
        <w:t>__________________</w:t>
      </w:r>
    </w:p>
    <w:sectPr w:rsidR="00121088" w:rsidRPr="00526F2F" w:rsidSect="008A7F19">
      <w:footerReference w:type="first" r:id="rId58"/>
      <w:pgSz w:w="11907" w:h="16834"/>
      <w:pgMar w:top="720" w:right="720" w:bottom="720" w:left="720"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5EF" w:rsidRDefault="006625EF">
      <w:r>
        <w:separator/>
      </w:r>
    </w:p>
  </w:endnote>
  <w:endnote w:type="continuationSeparator" w:id="0">
    <w:p w:rsidR="006625EF" w:rsidRDefault="00662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Avenir Next LT Pro">
    <w:altName w:val="Avenir Next LT Pro"/>
    <w:panose1 w:val="00000000000000000000"/>
    <w:charset w:val="00"/>
    <w:family w:val="swiss"/>
    <w:notTrueType/>
    <w:pitch w:val="default"/>
    <w:sig w:usb0="00000003" w:usb1="00000000" w:usb2="00000000" w:usb3="00000000" w:csb0="00000001" w:csb1="00000000"/>
  </w:font>
  <w:font w:name="DengXian">
    <w:altName w:val="等线"/>
    <w:charset w:val="86"/>
    <w:family w:val="auto"/>
    <w:pitch w:val="variable"/>
    <w:sig w:usb0="A00002BF" w:usb1="38CF7CFA" w:usb2="00000016" w:usb3="00000000" w:csb0="0004000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0B6" w:rsidRPr="00CA2EAB" w:rsidRDefault="001870B6" w:rsidP="005D3458">
    <w:pPr>
      <w:pStyle w:val="Footer"/>
      <w:rPr>
        <w:lang w:val="fr-CH"/>
      </w:rPr>
    </w:pPr>
    <w:r>
      <w:fldChar w:fldCharType="begin"/>
    </w:r>
    <w:r w:rsidRPr="00CA2EAB">
      <w:rPr>
        <w:lang w:val="fr-CH"/>
      </w:rPr>
      <w:instrText xml:space="preserve"> FILENAME \p  \* MERGEFORMAT </w:instrText>
    </w:r>
    <w:r>
      <w:fldChar w:fldCharType="separate"/>
    </w:r>
    <w:r w:rsidR="00370AAC">
      <w:rPr>
        <w:lang w:val="fr-CH"/>
      </w:rPr>
      <w:t>F:\SECRETARIAT\COUNCIL\2018\RAPGES\MASTER Rapport de gestion 2017 EN.docx</w:t>
    </w:r>
    <w:r>
      <w:fldChar w:fldCharType="end"/>
    </w:r>
    <w:r w:rsidRPr="00CA2EAB">
      <w:rPr>
        <w:lang w:val="fr-CH"/>
      </w:rPr>
      <w:t xml:space="preserve"> (306162)</w:t>
    </w:r>
    <w:r w:rsidRPr="00CA2EAB">
      <w:rPr>
        <w:lang w:val="fr-CH"/>
      </w:rPr>
      <w:tab/>
    </w:r>
    <w:r>
      <w:fldChar w:fldCharType="begin"/>
    </w:r>
    <w:r>
      <w:instrText xml:space="preserve"> SAVEDATE \@ DD.MM.YY </w:instrText>
    </w:r>
    <w:r>
      <w:fldChar w:fldCharType="separate"/>
    </w:r>
    <w:r w:rsidR="002F1292">
      <w:t>13.04.18</w:t>
    </w:r>
    <w:r>
      <w:fldChar w:fldCharType="end"/>
    </w:r>
    <w:r w:rsidRPr="00CA2EAB">
      <w:rPr>
        <w:lang w:val="fr-CH"/>
      </w:rPr>
      <w:tab/>
    </w:r>
    <w:r>
      <w:fldChar w:fldCharType="begin"/>
    </w:r>
    <w:r>
      <w:instrText xml:space="preserve"> PRINTDATE \@ DD.MM.YY </w:instrText>
    </w:r>
    <w:r>
      <w:fldChar w:fldCharType="separate"/>
    </w:r>
    <w:r w:rsidR="00370AAC">
      <w:t>04.04.18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0B6" w:rsidRPr="00CA2EAB" w:rsidRDefault="001870B6" w:rsidP="005D3458">
    <w:pPr>
      <w:pStyle w:val="Footer"/>
      <w:rPr>
        <w:lang w:val="fr-CH"/>
      </w:rPr>
    </w:pPr>
    <w:r>
      <w:fldChar w:fldCharType="begin"/>
    </w:r>
    <w:r w:rsidRPr="00CA2EAB">
      <w:rPr>
        <w:lang w:val="fr-CH"/>
      </w:rPr>
      <w:instrText xml:space="preserve"> FILENAME \p  \* MERGEFORMAT </w:instrText>
    </w:r>
    <w:r>
      <w:fldChar w:fldCharType="separate"/>
    </w:r>
    <w:r w:rsidR="00370AAC">
      <w:rPr>
        <w:lang w:val="fr-CH"/>
      </w:rPr>
      <w:t>F:\SECRETARIAT\COUNCIL\2018\RAPGES\MASTER Rapport de gestion 2017 EN.docx</w:t>
    </w:r>
    <w:r>
      <w:fldChar w:fldCharType="end"/>
    </w:r>
    <w:r w:rsidRPr="00CA2EAB">
      <w:rPr>
        <w:lang w:val="fr-CH"/>
      </w:rPr>
      <w:t xml:space="preserve"> (306162)</w:t>
    </w:r>
    <w:r w:rsidRPr="00CA2EAB">
      <w:rPr>
        <w:lang w:val="fr-CH"/>
      </w:rPr>
      <w:tab/>
    </w:r>
    <w:r>
      <w:fldChar w:fldCharType="begin"/>
    </w:r>
    <w:r>
      <w:instrText xml:space="preserve"> SAVEDATE \@ DD.MM.YY </w:instrText>
    </w:r>
    <w:r>
      <w:fldChar w:fldCharType="separate"/>
    </w:r>
    <w:r w:rsidR="002F1292">
      <w:t>13.04.18</w:t>
    </w:r>
    <w:r>
      <w:fldChar w:fldCharType="end"/>
    </w:r>
    <w:r w:rsidRPr="00CA2EAB">
      <w:rPr>
        <w:lang w:val="fr-CH"/>
      </w:rPr>
      <w:tab/>
    </w:r>
    <w:r>
      <w:fldChar w:fldCharType="begin"/>
    </w:r>
    <w:r>
      <w:instrText xml:space="preserve"> PRINTDATE \@ DD.MM.YY </w:instrText>
    </w:r>
    <w:r>
      <w:fldChar w:fldCharType="separate"/>
    </w:r>
    <w:r w:rsidR="00370AAC">
      <w:t>04.04.18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0B6" w:rsidRDefault="001870B6">
    <w:pPr>
      <w:spacing w:after="120"/>
      <w:jc w:val="center"/>
    </w:pPr>
    <w:r>
      <w:t xml:space="preserve">• </w:t>
    </w:r>
    <w:hyperlink r:id="rId1" w:history="1">
      <w:r>
        <w:rPr>
          <w:rStyle w:val="Hyperlink"/>
        </w:rPr>
        <w:t>http://www.itu.int/council</w:t>
      </w:r>
    </w:hyperlink>
    <w:r>
      <w:t xml:space="preserve"> •</w:t>
    </w:r>
  </w:p>
  <w:p w:rsidR="001870B6" w:rsidRPr="00CA2EAB" w:rsidRDefault="001870B6">
    <w:pPr>
      <w:pStyle w:val="Footer"/>
      <w:rPr>
        <w:lang w:val="fr-CH"/>
      </w:rPr>
    </w:pPr>
    <w:r>
      <w:fldChar w:fldCharType="begin"/>
    </w:r>
    <w:r w:rsidRPr="00CA2EAB">
      <w:rPr>
        <w:lang w:val="fr-CH"/>
      </w:rPr>
      <w:instrText xml:space="preserve"> FILENAME \p  \* MERGEFORMAT </w:instrText>
    </w:r>
    <w:r>
      <w:fldChar w:fldCharType="separate"/>
    </w:r>
    <w:r w:rsidR="00370AAC">
      <w:rPr>
        <w:lang w:val="fr-CH"/>
      </w:rPr>
      <w:t>F:\SECRETARIAT\COUNCIL\2018\RAPGES\MASTER Rapport de gestion 2017 EN.docx</w:t>
    </w:r>
    <w:r>
      <w:fldChar w:fldCharType="end"/>
    </w:r>
    <w:r w:rsidRPr="00CA2EAB">
      <w:rPr>
        <w:lang w:val="fr-CH"/>
      </w:rPr>
      <w:tab/>
    </w:r>
    <w:r>
      <w:fldChar w:fldCharType="begin"/>
    </w:r>
    <w:r>
      <w:instrText xml:space="preserve"> SAVEDATE \@ DD.MM.YY </w:instrText>
    </w:r>
    <w:r>
      <w:fldChar w:fldCharType="separate"/>
    </w:r>
    <w:r w:rsidR="002F1292">
      <w:t>13.04.18</w:t>
    </w:r>
    <w:r>
      <w:fldChar w:fldCharType="end"/>
    </w:r>
    <w:r w:rsidRPr="00CA2EAB">
      <w:rPr>
        <w:lang w:val="fr-CH"/>
      </w:rPr>
      <w:tab/>
    </w:r>
    <w:r>
      <w:fldChar w:fldCharType="begin"/>
    </w:r>
    <w:r>
      <w:instrText xml:space="preserve"> PRINTDATE \@ DD.MM.YY </w:instrText>
    </w:r>
    <w:r>
      <w:fldChar w:fldCharType="separate"/>
    </w:r>
    <w:r w:rsidR="00370AAC">
      <w:t>04.04.18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5EF" w:rsidRDefault="006625EF">
      <w:r>
        <w:t>____________________</w:t>
      </w:r>
    </w:p>
  </w:footnote>
  <w:footnote w:type="continuationSeparator" w:id="0">
    <w:p w:rsidR="006625EF" w:rsidRDefault="006625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0B6" w:rsidRPr="006A7D15" w:rsidRDefault="001870B6" w:rsidP="00B574FF">
    <w:pPr>
      <w:pStyle w:val="Header"/>
      <w:rPr>
        <w:sz w:val="22"/>
        <w:szCs w:val="22"/>
      </w:rPr>
    </w:pPr>
    <w:r w:rsidRPr="006A7D15">
      <w:rPr>
        <w:sz w:val="22"/>
        <w:szCs w:val="22"/>
      </w:rPr>
      <w:t>- </w:t>
    </w:r>
    <w:sdt>
      <w:sdtPr>
        <w:rPr>
          <w:sz w:val="22"/>
          <w:szCs w:val="22"/>
        </w:rPr>
        <w:id w:val="440650193"/>
        <w:docPartObj>
          <w:docPartGallery w:val="Page Numbers (Top of Page)"/>
          <w:docPartUnique/>
        </w:docPartObj>
      </w:sdtPr>
      <w:sdtEndPr>
        <w:rPr>
          <w:noProof/>
        </w:rPr>
      </w:sdtEndPr>
      <w:sdtContent>
        <w:r w:rsidRPr="006A7D15">
          <w:rPr>
            <w:sz w:val="22"/>
            <w:szCs w:val="22"/>
          </w:rPr>
          <w:fldChar w:fldCharType="begin"/>
        </w:r>
        <w:r w:rsidRPr="006A7D15">
          <w:rPr>
            <w:sz w:val="22"/>
            <w:szCs w:val="22"/>
          </w:rPr>
          <w:instrText xml:space="preserve"> PAGE   \* MERGEFORMAT </w:instrText>
        </w:r>
        <w:r w:rsidRPr="006A7D15">
          <w:rPr>
            <w:sz w:val="22"/>
            <w:szCs w:val="22"/>
          </w:rPr>
          <w:fldChar w:fldCharType="separate"/>
        </w:r>
        <w:r w:rsidR="006A5037">
          <w:rPr>
            <w:noProof/>
            <w:sz w:val="22"/>
            <w:szCs w:val="22"/>
          </w:rPr>
          <w:t>15</w:t>
        </w:r>
        <w:r w:rsidRPr="006A7D15">
          <w:rPr>
            <w:noProof/>
            <w:sz w:val="22"/>
            <w:szCs w:val="22"/>
          </w:rPr>
          <w:fldChar w:fldCharType="end"/>
        </w:r>
        <w:r w:rsidRPr="006A7D15">
          <w:rPr>
            <w:noProof/>
            <w:sz w:val="22"/>
            <w:szCs w:val="22"/>
          </w:rPr>
          <w:t> -</w:t>
        </w:r>
      </w:sdtContent>
    </w:sdt>
  </w:p>
  <w:p w:rsidR="001870B6" w:rsidRDefault="001870B6" w:rsidP="008235A8">
    <w:pPr>
      <w:pStyle w:val="Header"/>
      <w:rPr>
        <w:sz w:val="22"/>
        <w:szCs w:val="22"/>
        <w:lang w:val="fr-CH"/>
      </w:rPr>
    </w:pPr>
    <w:r w:rsidRPr="006A7D15">
      <w:rPr>
        <w:sz w:val="22"/>
        <w:szCs w:val="22"/>
        <w:lang w:val="fr-CH"/>
      </w:rPr>
      <w:t>C1</w:t>
    </w:r>
    <w:r>
      <w:rPr>
        <w:sz w:val="22"/>
        <w:szCs w:val="22"/>
        <w:lang w:val="fr-CH"/>
      </w:rPr>
      <w:t>8</w:t>
    </w:r>
    <w:r w:rsidRPr="006A7D15">
      <w:rPr>
        <w:sz w:val="22"/>
        <w:szCs w:val="22"/>
        <w:lang w:val="fr-CH"/>
      </w:rPr>
      <w:t>/42-</w:t>
    </w:r>
    <w:r>
      <w:rPr>
        <w:sz w:val="22"/>
        <w:szCs w:val="22"/>
        <w:lang w:val="fr-CH"/>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E0C32"/>
    <w:multiLevelType w:val="hybridMultilevel"/>
    <w:tmpl w:val="194E23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358405B"/>
    <w:multiLevelType w:val="hybridMultilevel"/>
    <w:tmpl w:val="30686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20328C"/>
    <w:multiLevelType w:val="hybridMultilevel"/>
    <w:tmpl w:val="C3341E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3E0395"/>
    <w:multiLevelType w:val="hybridMultilevel"/>
    <w:tmpl w:val="D806F958"/>
    <w:lvl w:ilvl="0" w:tplc="9C62C458">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F60FA7"/>
    <w:multiLevelType w:val="hybridMultilevel"/>
    <w:tmpl w:val="C8E0D2A8"/>
    <w:lvl w:ilvl="0" w:tplc="FD740AFA">
      <w:start w:val="1"/>
      <w:numFmt w:val="decimal"/>
      <w:pStyle w:val="elencopuntatononrientrato"/>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start w:val="1"/>
      <w:numFmt w:val="lowerRoman"/>
      <w:lvlText w:val="%3."/>
      <w:lvlJc w:val="right"/>
      <w:pPr>
        <w:ind w:left="2225" w:hanging="180"/>
      </w:pPr>
    </w:lvl>
    <w:lvl w:ilvl="3" w:tplc="0809000F">
      <w:start w:val="1"/>
      <w:numFmt w:val="decimal"/>
      <w:lvlText w:val="%4."/>
      <w:lvlJc w:val="left"/>
      <w:pPr>
        <w:ind w:left="2945" w:hanging="360"/>
      </w:pPr>
    </w:lvl>
    <w:lvl w:ilvl="4" w:tplc="08090019">
      <w:start w:val="1"/>
      <w:numFmt w:val="lowerLetter"/>
      <w:lvlText w:val="%5."/>
      <w:lvlJc w:val="left"/>
      <w:pPr>
        <w:ind w:left="3665" w:hanging="360"/>
      </w:pPr>
    </w:lvl>
    <w:lvl w:ilvl="5" w:tplc="0809001B">
      <w:start w:val="1"/>
      <w:numFmt w:val="lowerRoman"/>
      <w:lvlText w:val="%6."/>
      <w:lvlJc w:val="right"/>
      <w:pPr>
        <w:ind w:left="4385" w:hanging="180"/>
      </w:pPr>
    </w:lvl>
    <w:lvl w:ilvl="6" w:tplc="0809000F">
      <w:start w:val="1"/>
      <w:numFmt w:val="decimal"/>
      <w:lvlText w:val="%7."/>
      <w:lvlJc w:val="left"/>
      <w:pPr>
        <w:ind w:left="5105" w:hanging="360"/>
      </w:pPr>
    </w:lvl>
    <w:lvl w:ilvl="7" w:tplc="08090019">
      <w:start w:val="1"/>
      <w:numFmt w:val="lowerLetter"/>
      <w:lvlText w:val="%8."/>
      <w:lvlJc w:val="left"/>
      <w:pPr>
        <w:ind w:left="5825" w:hanging="360"/>
      </w:pPr>
    </w:lvl>
    <w:lvl w:ilvl="8" w:tplc="0809001B">
      <w:start w:val="1"/>
      <w:numFmt w:val="lowerRoman"/>
      <w:lvlText w:val="%9."/>
      <w:lvlJc w:val="right"/>
      <w:pPr>
        <w:ind w:left="6545" w:hanging="180"/>
      </w:pPr>
    </w:lvl>
  </w:abstractNum>
  <w:abstractNum w:abstractNumId="5" w15:restartNumberingAfterBreak="0">
    <w:nsid w:val="202C5E41"/>
    <w:multiLevelType w:val="hybridMultilevel"/>
    <w:tmpl w:val="7E585FCE"/>
    <w:lvl w:ilvl="0" w:tplc="898A0720">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4D83AA1"/>
    <w:multiLevelType w:val="hybridMultilevel"/>
    <w:tmpl w:val="3710BC5C"/>
    <w:lvl w:ilvl="0" w:tplc="318E6CCC">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3679CB"/>
    <w:multiLevelType w:val="hybridMultilevel"/>
    <w:tmpl w:val="AA7AB0DC"/>
    <w:lvl w:ilvl="0" w:tplc="67CA3A22">
      <w:start w:val="89"/>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8" w15:restartNumberingAfterBreak="0">
    <w:nsid w:val="2B8D6CFD"/>
    <w:multiLevelType w:val="hybridMultilevel"/>
    <w:tmpl w:val="2D2E93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FD70369"/>
    <w:multiLevelType w:val="hybridMultilevel"/>
    <w:tmpl w:val="9E98B9A6"/>
    <w:lvl w:ilvl="0" w:tplc="DF80DE0A">
      <w:start w:val="40"/>
      <w:numFmt w:val="decimal"/>
      <w:lvlText w:val="%1"/>
      <w:lvlJc w:val="left"/>
      <w:pPr>
        <w:ind w:left="1920" w:hanging="360"/>
      </w:pPr>
      <w:rPr>
        <w:rFonts w:ascii="Calibri" w:hAnsi="Calibri"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59C6D9C"/>
    <w:multiLevelType w:val="hybridMultilevel"/>
    <w:tmpl w:val="FC3A00B8"/>
    <w:lvl w:ilvl="0" w:tplc="26E45548">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EB0733"/>
    <w:multiLevelType w:val="hybridMultilevel"/>
    <w:tmpl w:val="E1C251FE"/>
    <w:lvl w:ilvl="0" w:tplc="6E7A9782">
      <w:start w:val="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E65758"/>
    <w:multiLevelType w:val="hybridMultilevel"/>
    <w:tmpl w:val="38ECFEA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16D435D"/>
    <w:multiLevelType w:val="hybridMultilevel"/>
    <w:tmpl w:val="14DE0D0E"/>
    <w:lvl w:ilvl="0" w:tplc="FFE0F9C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945EE1"/>
    <w:multiLevelType w:val="hybridMultilevel"/>
    <w:tmpl w:val="81AABC5E"/>
    <w:lvl w:ilvl="0" w:tplc="D144D414">
      <w:start w:val="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C355F6C"/>
    <w:multiLevelType w:val="hybridMultilevel"/>
    <w:tmpl w:val="45648C5E"/>
    <w:lvl w:ilvl="0" w:tplc="38C41EAE">
      <w:start w:val="2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904FB5"/>
    <w:multiLevelType w:val="hybridMultilevel"/>
    <w:tmpl w:val="DA1E48C8"/>
    <w:lvl w:ilvl="0" w:tplc="18B4FFC2">
      <w:start w:val="1"/>
      <w:numFmt w:val="decimal"/>
      <w:lvlText w:val="%1"/>
      <w:lvlJc w:val="left"/>
      <w:pPr>
        <w:ind w:left="570" w:hanging="570"/>
      </w:pPr>
      <w:rPr>
        <w:rFonts w:asciiTheme="minorHAnsi" w:hAnsiTheme="minorHAnsi" w:cs="Calibri"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094CF7"/>
    <w:multiLevelType w:val="hybridMultilevel"/>
    <w:tmpl w:val="931E65DE"/>
    <w:lvl w:ilvl="0" w:tplc="5BB0FDEA">
      <w:start w:val="45"/>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9F73296"/>
    <w:multiLevelType w:val="hybridMultilevel"/>
    <w:tmpl w:val="B0C870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645B45"/>
    <w:multiLevelType w:val="hybridMultilevel"/>
    <w:tmpl w:val="96F6CD5A"/>
    <w:lvl w:ilvl="0" w:tplc="4218FB0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A378E7"/>
    <w:multiLevelType w:val="hybridMultilevel"/>
    <w:tmpl w:val="787A8022"/>
    <w:lvl w:ilvl="0" w:tplc="35C65E78">
      <w:start w:val="40"/>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74634EA"/>
    <w:multiLevelType w:val="hybridMultilevel"/>
    <w:tmpl w:val="57EEB284"/>
    <w:lvl w:ilvl="0" w:tplc="F124707E">
      <w:start w:val="1"/>
      <w:numFmt w:val="bullet"/>
      <w:pStyle w:val="elencopuntato1"/>
      <w:lvlText w:val=""/>
      <w:lvlJc w:val="left"/>
      <w:pPr>
        <w:ind w:left="900"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2" w15:restartNumberingAfterBreak="0">
    <w:nsid w:val="6A8A0368"/>
    <w:multiLevelType w:val="hybridMultilevel"/>
    <w:tmpl w:val="55D0640A"/>
    <w:lvl w:ilvl="0" w:tplc="DB7A547A">
      <w:start w:val="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0B80ACE"/>
    <w:multiLevelType w:val="hybridMultilevel"/>
    <w:tmpl w:val="3B442304"/>
    <w:lvl w:ilvl="0" w:tplc="CAAEEF3A">
      <w:start w:val="3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51A2C8B"/>
    <w:multiLevelType w:val="hybridMultilevel"/>
    <w:tmpl w:val="35DA5496"/>
    <w:lvl w:ilvl="0" w:tplc="11E26A5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10065E"/>
    <w:multiLevelType w:val="hybridMultilevel"/>
    <w:tmpl w:val="F8047D46"/>
    <w:lvl w:ilvl="0" w:tplc="75580BB8">
      <w:start w:val="25"/>
      <w:numFmt w:val="decimal"/>
      <w:lvlText w:val="%1"/>
      <w:lvlJc w:val="left"/>
      <w:pPr>
        <w:ind w:left="570" w:hanging="570"/>
      </w:pPr>
      <w:rPr>
        <w:rFonts w:asciiTheme="minorHAnsi" w:hAnsiTheme="minorHAnsi" w:cs="Calibri"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AC2785"/>
    <w:multiLevelType w:val="hybridMultilevel"/>
    <w:tmpl w:val="12746E3C"/>
    <w:lvl w:ilvl="0" w:tplc="18B4FFC2">
      <w:start w:val="1"/>
      <w:numFmt w:val="decimal"/>
      <w:lvlText w:val="%1"/>
      <w:lvlJc w:val="left"/>
      <w:pPr>
        <w:ind w:left="570" w:hanging="570"/>
      </w:pPr>
      <w:rPr>
        <w:rFonts w:asciiTheme="minorHAnsi" w:hAnsiTheme="minorHAnsi" w:cs="Calibri"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BB5B42"/>
    <w:multiLevelType w:val="hybridMultilevel"/>
    <w:tmpl w:val="5B9E0F5A"/>
    <w:lvl w:ilvl="0" w:tplc="0ECE77F4">
      <w:start w:val="1"/>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D1738D7"/>
    <w:multiLevelType w:val="hybridMultilevel"/>
    <w:tmpl w:val="B6F44A9E"/>
    <w:lvl w:ilvl="0" w:tplc="1E4C8A2C">
      <w:start w:val="67"/>
      <w:numFmt w:val="decimal"/>
      <w:lvlText w:val="%1"/>
      <w:lvlJc w:val="left"/>
      <w:pPr>
        <w:ind w:left="1080" w:hanging="360"/>
      </w:pPr>
      <w:rPr>
        <w:rFonts w:ascii="Calibri" w:hAnsi="Calibri" w:hint="default"/>
        <w:w w:val="1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E3F139C"/>
    <w:multiLevelType w:val="hybridMultilevel"/>
    <w:tmpl w:val="9286978C"/>
    <w:lvl w:ilvl="0" w:tplc="35486D60">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782161"/>
    <w:multiLevelType w:val="hybridMultilevel"/>
    <w:tmpl w:val="5BC2858C"/>
    <w:lvl w:ilvl="0" w:tplc="374A67B8">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
  </w:num>
  <w:num w:numId="3">
    <w:abstractNumId w:val="12"/>
  </w:num>
  <w:num w:numId="4">
    <w:abstractNumId w:val="18"/>
  </w:num>
  <w:num w:numId="5">
    <w:abstractNumId w:val="2"/>
  </w:num>
  <w:num w:numId="6">
    <w:abstractNumId w:val="26"/>
  </w:num>
  <w:num w:numId="7">
    <w:abstractNumId w:val="30"/>
  </w:num>
  <w:num w:numId="8">
    <w:abstractNumId w:val="3"/>
  </w:num>
  <w:num w:numId="9">
    <w:abstractNumId w:val="29"/>
  </w:num>
  <w:num w:numId="10">
    <w:abstractNumId w:val="10"/>
  </w:num>
  <w:num w:numId="11">
    <w:abstractNumId w:val="11"/>
  </w:num>
  <w:num w:numId="12">
    <w:abstractNumId w:val="23"/>
  </w:num>
  <w:num w:numId="13">
    <w:abstractNumId w:val="17"/>
  </w:num>
  <w:num w:numId="14">
    <w:abstractNumId w:val="6"/>
  </w:num>
  <w:num w:numId="15">
    <w:abstractNumId w:val="14"/>
  </w:num>
  <w:num w:numId="16">
    <w:abstractNumId w:val="22"/>
  </w:num>
  <w:num w:numId="17">
    <w:abstractNumId w:val="20"/>
  </w:num>
  <w:num w:numId="18">
    <w:abstractNumId w:val="9"/>
  </w:num>
  <w:num w:numId="19">
    <w:abstractNumId w:val="28"/>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6"/>
  </w:num>
  <w:num w:numId="24">
    <w:abstractNumId w:val="15"/>
  </w:num>
  <w:num w:numId="25">
    <w:abstractNumId w:val="25"/>
  </w:num>
  <w:num w:numId="26">
    <w:abstractNumId w:val="27"/>
  </w:num>
  <w:num w:numId="27">
    <w:abstractNumId w:val="19"/>
  </w:num>
  <w:num w:numId="28">
    <w:abstractNumId w:val="13"/>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73A"/>
    <w:rsid w:val="00000316"/>
    <w:rsid w:val="0000034A"/>
    <w:rsid w:val="00000F22"/>
    <w:rsid w:val="0000145D"/>
    <w:rsid w:val="00001E2A"/>
    <w:rsid w:val="0000231C"/>
    <w:rsid w:val="000023CF"/>
    <w:rsid w:val="00002A6A"/>
    <w:rsid w:val="00002F47"/>
    <w:rsid w:val="000030C7"/>
    <w:rsid w:val="00003385"/>
    <w:rsid w:val="000035AD"/>
    <w:rsid w:val="0000441F"/>
    <w:rsid w:val="00004716"/>
    <w:rsid w:val="0000519D"/>
    <w:rsid w:val="00005567"/>
    <w:rsid w:val="000057EB"/>
    <w:rsid w:val="00006047"/>
    <w:rsid w:val="000064A3"/>
    <w:rsid w:val="00006D78"/>
    <w:rsid w:val="00007059"/>
    <w:rsid w:val="00007623"/>
    <w:rsid w:val="00007C90"/>
    <w:rsid w:val="0001022D"/>
    <w:rsid w:val="000107D0"/>
    <w:rsid w:val="00010F28"/>
    <w:rsid w:val="00011770"/>
    <w:rsid w:val="00011DD9"/>
    <w:rsid w:val="000122F4"/>
    <w:rsid w:val="00012800"/>
    <w:rsid w:val="000129E1"/>
    <w:rsid w:val="00012E08"/>
    <w:rsid w:val="000131DC"/>
    <w:rsid w:val="0001347D"/>
    <w:rsid w:val="00014050"/>
    <w:rsid w:val="000144D1"/>
    <w:rsid w:val="00014CFD"/>
    <w:rsid w:val="0001593F"/>
    <w:rsid w:val="000160FC"/>
    <w:rsid w:val="000164C0"/>
    <w:rsid w:val="00016646"/>
    <w:rsid w:val="00016864"/>
    <w:rsid w:val="00016ACA"/>
    <w:rsid w:val="00017A10"/>
    <w:rsid w:val="00017FE2"/>
    <w:rsid w:val="000209BE"/>
    <w:rsid w:val="00020FFC"/>
    <w:rsid w:val="0002174A"/>
    <w:rsid w:val="000219D0"/>
    <w:rsid w:val="00021C50"/>
    <w:rsid w:val="00023B58"/>
    <w:rsid w:val="00023B7F"/>
    <w:rsid w:val="00023E3A"/>
    <w:rsid w:val="0002495B"/>
    <w:rsid w:val="00025E7E"/>
    <w:rsid w:val="000261EA"/>
    <w:rsid w:val="000267BA"/>
    <w:rsid w:val="000269FB"/>
    <w:rsid w:val="00026C1B"/>
    <w:rsid w:val="00026D70"/>
    <w:rsid w:val="00026FD5"/>
    <w:rsid w:val="0002718D"/>
    <w:rsid w:val="0002725C"/>
    <w:rsid w:val="0002763A"/>
    <w:rsid w:val="00027A1B"/>
    <w:rsid w:val="00027FE6"/>
    <w:rsid w:val="00030950"/>
    <w:rsid w:val="00030B60"/>
    <w:rsid w:val="00031036"/>
    <w:rsid w:val="00031055"/>
    <w:rsid w:val="000310BD"/>
    <w:rsid w:val="00031250"/>
    <w:rsid w:val="00031853"/>
    <w:rsid w:val="00031F42"/>
    <w:rsid w:val="00031FC9"/>
    <w:rsid w:val="000329E0"/>
    <w:rsid w:val="00032AFD"/>
    <w:rsid w:val="00032E50"/>
    <w:rsid w:val="0003310F"/>
    <w:rsid w:val="00033ADB"/>
    <w:rsid w:val="0003422E"/>
    <w:rsid w:val="00035625"/>
    <w:rsid w:val="0003593F"/>
    <w:rsid w:val="00035C3C"/>
    <w:rsid w:val="00035CC0"/>
    <w:rsid w:val="000366D6"/>
    <w:rsid w:val="00037126"/>
    <w:rsid w:val="000375BC"/>
    <w:rsid w:val="000400CB"/>
    <w:rsid w:val="000404E5"/>
    <w:rsid w:val="00040BEE"/>
    <w:rsid w:val="00041286"/>
    <w:rsid w:val="00041613"/>
    <w:rsid w:val="0004198C"/>
    <w:rsid w:val="00042672"/>
    <w:rsid w:val="00042DB1"/>
    <w:rsid w:val="0004364D"/>
    <w:rsid w:val="00043BAD"/>
    <w:rsid w:val="000441E5"/>
    <w:rsid w:val="00044F18"/>
    <w:rsid w:val="00045580"/>
    <w:rsid w:val="0004612D"/>
    <w:rsid w:val="000469A9"/>
    <w:rsid w:val="0004773A"/>
    <w:rsid w:val="00047B6A"/>
    <w:rsid w:val="00047CBF"/>
    <w:rsid w:val="0005027A"/>
    <w:rsid w:val="00051DEF"/>
    <w:rsid w:val="00051F22"/>
    <w:rsid w:val="00052258"/>
    <w:rsid w:val="000526D3"/>
    <w:rsid w:val="00052741"/>
    <w:rsid w:val="00052E7D"/>
    <w:rsid w:val="00052E82"/>
    <w:rsid w:val="00054185"/>
    <w:rsid w:val="00055095"/>
    <w:rsid w:val="0005517C"/>
    <w:rsid w:val="000552CF"/>
    <w:rsid w:val="000558EA"/>
    <w:rsid w:val="00055B07"/>
    <w:rsid w:val="00055DB4"/>
    <w:rsid w:val="00056474"/>
    <w:rsid w:val="000567C2"/>
    <w:rsid w:val="00056E64"/>
    <w:rsid w:val="000572A5"/>
    <w:rsid w:val="0005747F"/>
    <w:rsid w:val="000575B0"/>
    <w:rsid w:val="000576B2"/>
    <w:rsid w:val="00057918"/>
    <w:rsid w:val="00057B81"/>
    <w:rsid w:val="00057E5B"/>
    <w:rsid w:val="000601BB"/>
    <w:rsid w:val="00060B07"/>
    <w:rsid w:val="000619B5"/>
    <w:rsid w:val="0006298F"/>
    <w:rsid w:val="00062A4B"/>
    <w:rsid w:val="00063016"/>
    <w:rsid w:val="0006353A"/>
    <w:rsid w:val="000637A1"/>
    <w:rsid w:val="00063B70"/>
    <w:rsid w:val="00063D3A"/>
    <w:rsid w:val="00064B78"/>
    <w:rsid w:val="00064D23"/>
    <w:rsid w:val="000668E5"/>
    <w:rsid w:val="0006748A"/>
    <w:rsid w:val="00067BEC"/>
    <w:rsid w:val="00070018"/>
    <w:rsid w:val="0007008D"/>
    <w:rsid w:val="00071CB4"/>
    <w:rsid w:val="00072486"/>
    <w:rsid w:val="00072842"/>
    <w:rsid w:val="00073504"/>
    <w:rsid w:val="00073540"/>
    <w:rsid w:val="00074F8B"/>
    <w:rsid w:val="0007677D"/>
    <w:rsid w:val="00076AF6"/>
    <w:rsid w:val="00076BA4"/>
    <w:rsid w:val="00076BD9"/>
    <w:rsid w:val="00076E97"/>
    <w:rsid w:val="00076F5E"/>
    <w:rsid w:val="000772B8"/>
    <w:rsid w:val="000777AD"/>
    <w:rsid w:val="00077949"/>
    <w:rsid w:val="00077DA4"/>
    <w:rsid w:val="00080AA7"/>
    <w:rsid w:val="00080E3A"/>
    <w:rsid w:val="00081388"/>
    <w:rsid w:val="00083075"/>
    <w:rsid w:val="000837F8"/>
    <w:rsid w:val="00083FDC"/>
    <w:rsid w:val="000847C2"/>
    <w:rsid w:val="00084EBD"/>
    <w:rsid w:val="000854EA"/>
    <w:rsid w:val="0008578B"/>
    <w:rsid w:val="00085CF2"/>
    <w:rsid w:val="00085D2D"/>
    <w:rsid w:val="00085D97"/>
    <w:rsid w:val="00086951"/>
    <w:rsid w:val="00086983"/>
    <w:rsid w:val="0008710E"/>
    <w:rsid w:val="0008739D"/>
    <w:rsid w:val="00091339"/>
    <w:rsid w:val="00091827"/>
    <w:rsid w:val="000927AB"/>
    <w:rsid w:val="000943A1"/>
    <w:rsid w:val="00094519"/>
    <w:rsid w:val="000963B5"/>
    <w:rsid w:val="00096DB6"/>
    <w:rsid w:val="00096DD0"/>
    <w:rsid w:val="000970C5"/>
    <w:rsid w:val="00097483"/>
    <w:rsid w:val="00097791"/>
    <w:rsid w:val="00097FA9"/>
    <w:rsid w:val="000A039E"/>
    <w:rsid w:val="000A12B9"/>
    <w:rsid w:val="000A1858"/>
    <w:rsid w:val="000A1DAE"/>
    <w:rsid w:val="000A25CF"/>
    <w:rsid w:val="000A3546"/>
    <w:rsid w:val="000A370B"/>
    <w:rsid w:val="000A4004"/>
    <w:rsid w:val="000A4526"/>
    <w:rsid w:val="000A4A07"/>
    <w:rsid w:val="000A5565"/>
    <w:rsid w:val="000A5717"/>
    <w:rsid w:val="000A59FF"/>
    <w:rsid w:val="000A5A87"/>
    <w:rsid w:val="000A5AAD"/>
    <w:rsid w:val="000A5F7A"/>
    <w:rsid w:val="000A6669"/>
    <w:rsid w:val="000A6EEF"/>
    <w:rsid w:val="000A72CE"/>
    <w:rsid w:val="000A7955"/>
    <w:rsid w:val="000B0105"/>
    <w:rsid w:val="000B01B2"/>
    <w:rsid w:val="000B066C"/>
    <w:rsid w:val="000B07D2"/>
    <w:rsid w:val="000B08FB"/>
    <w:rsid w:val="000B14FE"/>
    <w:rsid w:val="000B1705"/>
    <w:rsid w:val="000B17D8"/>
    <w:rsid w:val="000B1910"/>
    <w:rsid w:val="000B1C1D"/>
    <w:rsid w:val="000B1E0A"/>
    <w:rsid w:val="000B29D3"/>
    <w:rsid w:val="000B2A4E"/>
    <w:rsid w:val="000B52FD"/>
    <w:rsid w:val="000B57C0"/>
    <w:rsid w:val="000B5814"/>
    <w:rsid w:val="000B5CC5"/>
    <w:rsid w:val="000B5DE2"/>
    <w:rsid w:val="000B6C0A"/>
    <w:rsid w:val="000B7B31"/>
    <w:rsid w:val="000B7B44"/>
    <w:rsid w:val="000C01CC"/>
    <w:rsid w:val="000C0A67"/>
    <w:rsid w:val="000C0BA8"/>
    <w:rsid w:val="000C0E4B"/>
    <w:rsid w:val="000C10C6"/>
    <w:rsid w:val="000C1156"/>
    <w:rsid w:val="000C191B"/>
    <w:rsid w:val="000C20FE"/>
    <w:rsid w:val="000C24E5"/>
    <w:rsid w:val="000C2557"/>
    <w:rsid w:val="000C2D54"/>
    <w:rsid w:val="000C372B"/>
    <w:rsid w:val="000C3C2F"/>
    <w:rsid w:val="000C484A"/>
    <w:rsid w:val="000C52ED"/>
    <w:rsid w:val="000C5501"/>
    <w:rsid w:val="000C56B9"/>
    <w:rsid w:val="000C5D44"/>
    <w:rsid w:val="000C6876"/>
    <w:rsid w:val="000C6D3F"/>
    <w:rsid w:val="000C6EB7"/>
    <w:rsid w:val="000C705A"/>
    <w:rsid w:val="000C7AEF"/>
    <w:rsid w:val="000C7B24"/>
    <w:rsid w:val="000D01E6"/>
    <w:rsid w:val="000D09E0"/>
    <w:rsid w:val="000D0E36"/>
    <w:rsid w:val="000D0F63"/>
    <w:rsid w:val="000D181D"/>
    <w:rsid w:val="000D3471"/>
    <w:rsid w:val="000D35B7"/>
    <w:rsid w:val="000D369A"/>
    <w:rsid w:val="000D3893"/>
    <w:rsid w:val="000D3C40"/>
    <w:rsid w:val="000D3D0F"/>
    <w:rsid w:val="000D4435"/>
    <w:rsid w:val="000D5EEB"/>
    <w:rsid w:val="000D68BA"/>
    <w:rsid w:val="000D6C1A"/>
    <w:rsid w:val="000D74C7"/>
    <w:rsid w:val="000D752E"/>
    <w:rsid w:val="000D75B2"/>
    <w:rsid w:val="000D762F"/>
    <w:rsid w:val="000D7C4D"/>
    <w:rsid w:val="000E0715"/>
    <w:rsid w:val="000E079B"/>
    <w:rsid w:val="000E117A"/>
    <w:rsid w:val="000E1B73"/>
    <w:rsid w:val="000E2789"/>
    <w:rsid w:val="000E27B5"/>
    <w:rsid w:val="000E2B5E"/>
    <w:rsid w:val="000E32E7"/>
    <w:rsid w:val="000E373D"/>
    <w:rsid w:val="000E3BF2"/>
    <w:rsid w:val="000E3C2D"/>
    <w:rsid w:val="000E3C95"/>
    <w:rsid w:val="000E3FD9"/>
    <w:rsid w:val="000E536A"/>
    <w:rsid w:val="000E7A6E"/>
    <w:rsid w:val="000E7D94"/>
    <w:rsid w:val="000F0509"/>
    <w:rsid w:val="000F0920"/>
    <w:rsid w:val="000F096E"/>
    <w:rsid w:val="000F0B22"/>
    <w:rsid w:val="000F0FF4"/>
    <w:rsid w:val="000F1F01"/>
    <w:rsid w:val="000F214E"/>
    <w:rsid w:val="000F2FBB"/>
    <w:rsid w:val="000F3090"/>
    <w:rsid w:val="000F37B4"/>
    <w:rsid w:val="000F3E13"/>
    <w:rsid w:val="000F48C3"/>
    <w:rsid w:val="000F4C63"/>
    <w:rsid w:val="000F573C"/>
    <w:rsid w:val="000F59E0"/>
    <w:rsid w:val="000F5CAD"/>
    <w:rsid w:val="000F7767"/>
    <w:rsid w:val="000F7C48"/>
    <w:rsid w:val="000F7D4B"/>
    <w:rsid w:val="000F7F99"/>
    <w:rsid w:val="001002AE"/>
    <w:rsid w:val="00100E44"/>
    <w:rsid w:val="0010139B"/>
    <w:rsid w:val="0010152D"/>
    <w:rsid w:val="00101841"/>
    <w:rsid w:val="00101F4B"/>
    <w:rsid w:val="00101FB9"/>
    <w:rsid w:val="001022C1"/>
    <w:rsid w:val="00102349"/>
    <w:rsid w:val="00102367"/>
    <w:rsid w:val="00102375"/>
    <w:rsid w:val="001030D3"/>
    <w:rsid w:val="00103D66"/>
    <w:rsid w:val="00103E9A"/>
    <w:rsid w:val="001041D5"/>
    <w:rsid w:val="0010429A"/>
    <w:rsid w:val="001042F3"/>
    <w:rsid w:val="001043DD"/>
    <w:rsid w:val="001046A7"/>
    <w:rsid w:val="0010479A"/>
    <w:rsid w:val="00104965"/>
    <w:rsid w:val="00104A3E"/>
    <w:rsid w:val="00106C0D"/>
    <w:rsid w:val="00106D57"/>
    <w:rsid w:val="0010738C"/>
    <w:rsid w:val="0010743B"/>
    <w:rsid w:val="0010750A"/>
    <w:rsid w:val="00107CAD"/>
    <w:rsid w:val="00107E99"/>
    <w:rsid w:val="00110874"/>
    <w:rsid w:val="00110DB6"/>
    <w:rsid w:val="00110E1F"/>
    <w:rsid w:val="001114BA"/>
    <w:rsid w:val="00111A74"/>
    <w:rsid w:val="00111BDD"/>
    <w:rsid w:val="00111E44"/>
    <w:rsid w:val="001121F5"/>
    <w:rsid w:val="00112515"/>
    <w:rsid w:val="00112742"/>
    <w:rsid w:val="00112B74"/>
    <w:rsid w:val="00112BCF"/>
    <w:rsid w:val="001136E7"/>
    <w:rsid w:val="001139AF"/>
    <w:rsid w:val="00113C37"/>
    <w:rsid w:val="00114765"/>
    <w:rsid w:val="00114D24"/>
    <w:rsid w:val="0011568C"/>
    <w:rsid w:val="00115ABA"/>
    <w:rsid w:val="0011687A"/>
    <w:rsid w:val="001171B2"/>
    <w:rsid w:val="00117F57"/>
    <w:rsid w:val="001202C7"/>
    <w:rsid w:val="00120A66"/>
    <w:rsid w:val="00120C62"/>
    <w:rsid w:val="00121088"/>
    <w:rsid w:val="001216B1"/>
    <w:rsid w:val="0012192B"/>
    <w:rsid w:val="00121D6F"/>
    <w:rsid w:val="001224E6"/>
    <w:rsid w:val="00122724"/>
    <w:rsid w:val="00122725"/>
    <w:rsid w:val="00122AD8"/>
    <w:rsid w:val="00122B8A"/>
    <w:rsid w:val="00122B9A"/>
    <w:rsid w:val="001250AB"/>
    <w:rsid w:val="001264B8"/>
    <w:rsid w:val="00126F56"/>
    <w:rsid w:val="00127756"/>
    <w:rsid w:val="00127825"/>
    <w:rsid w:val="00127D3C"/>
    <w:rsid w:val="00132398"/>
    <w:rsid w:val="00132DFB"/>
    <w:rsid w:val="0013355D"/>
    <w:rsid w:val="0013363C"/>
    <w:rsid w:val="00133F8D"/>
    <w:rsid w:val="001343D2"/>
    <w:rsid w:val="00134657"/>
    <w:rsid w:val="0013545B"/>
    <w:rsid w:val="00136AF7"/>
    <w:rsid w:val="001373D1"/>
    <w:rsid w:val="00137F6F"/>
    <w:rsid w:val="00140423"/>
    <w:rsid w:val="00140CE1"/>
    <w:rsid w:val="0014121B"/>
    <w:rsid w:val="00141AD2"/>
    <w:rsid w:val="00142681"/>
    <w:rsid w:val="001427DD"/>
    <w:rsid w:val="00142CF1"/>
    <w:rsid w:val="00143130"/>
    <w:rsid w:val="0014314E"/>
    <w:rsid w:val="00143305"/>
    <w:rsid w:val="00143A8A"/>
    <w:rsid w:val="001449B0"/>
    <w:rsid w:val="00144A30"/>
    <w:rsid w:val="001452AA"/>
    <w:rsid w:val="001453BA"/>
    <w:rsid w:val="00145B1C"/>
    <w:rsid w:val="00145B2E"/>
    <w:rsid w:val="00145BBE"/>
    <w:rsid w:val="00145D69"/>
    <w:rsid w:val="001463A0"/>
    <w:rsid w:val="00147240"/>
    <w:rsid w:val="00147CC2"/>
    <w:rsid w:val="00147CDA"/>
    <w:rsid w:val="00150691"/>
    <w:rsid w:val="001509C2"/>
    <w:rsid w:val="00152277"/>
    <w:rsid w:val="00153705"/>
    <w:rsid w:val="00153D9C"/>
    <w:rsid w:val="00154FEB"/>
    <w:rsid w:val="0015517E"/>
    <w:rsid w:val="00155545"/>
    <w:rsid w:val="0015572D"/>
    <w:rsid w:val="0015582C"/>
    <w:rsid w:val="0015612B"/>
    <w:rsid w:val="0015643B"/>
    <w:rsid w:val="00157069"/>
    <w:rsid w:val="00157645"/>
    <w:rsid w:val="001577D5"/>
    <w:rsid w:val="00157DD2"/>
    <w:rsid w:val="00157ECE"/>
    <w:rsid w:val="001601FE"/>
    <w:rsid w:val="0016062E"/>
    <w:rsid w:val="00161F31"/>
    <w:rsid w:val="00162853"/>
    <w:rsid w:val="001631AD"/>
    <w:rsid w:val="00163F83"/>
    <w:rsid w:val="00165788"/>
    <w:rsid w:val="00165BEF"/>
    <w:rsid w:val="00166040"/>
    <w:rsid w:val="00166147"/>
    <w:rsid w:val="00166717"/>
    <w:rsid w:val="00166AFA"/>
    <w:rsid w:val="00166F0A"/>
    <w:rsid w:val="0016746D"/>
    <w:rsid w:val="001678E2"/>
    <w:rsid w:val="00167E73"/>
    <w:rsid w:val="001702E6"/>
    <w:rsid w:val="00170598"/>
    <w:rsid w:val="00170C8F"/>
    <w:rsid w:val="0017128F"/>
    <w:rsid w:val="00171543"/>
    <w:rsid w:val="0017188F"/>
    <w:rsid w:val="00171BE6"/>
    <w:rsid w:val="00171D37"/>
    <w:rsid w:val="001725BC"/>
    <w:rsid w:val="00172D50"/>
    <w:rsid w:val="00172E99"/>
    <w:rsid w:val="00173010"/>
    <w:rsid w:val="0017363F"/>
    <w:rsid w:val="00173D7F"/>
    <w:rsid w:val="0017476D"/>
    <w:rsid w:val="00174CC9"/>
    <w:rsid w:val="00174F23"/>
    <w:rsid w:val="0017539C"/>
    <w:rsid w:val="001753D3"/>
    <w:rsid w:val="00175AC2"/>
    <w:rsid w:val="0017609F"/>
    <w:rsid w:val="001762E6"/>
    <w:rsid w:val="00176614"/>
    <w:rsid w:val="0017709E"/>
    <w:rsid w:val="001770B6"/>
    <w:rsid w:val="001773E6"/>
    <w:rsid w:val="00177904"/>
    <w:rsid w:val="0018017B"/>
    <w:rsid w:val="00180ABD"/>
    <w:rsid w:val="00181704"/>
    <w:rsid w:val="00181EC7"/>
    <w:rsid w:val="00182450"/>
    <w:rsid w:val="00182457"/>
    <w:rsid w:val="00182F90"/>
    <w:rsid w:val="00183289"/>
    <w:rsid w:val="00183E85"/>
    <w:rsid w:val="0018495A"/>
    <w:rsid w:val="0018566A"/>
    <w:rsid w:val="00185A58"/>
    <w:rsid w:val="00185C60"/>
    <w:rsid w:val="00186465"/>
    <w:rsid w:val="001870B6"/>
    <w:rsid w:val="00187270"/>
    <w:rsid w:val="001900EF"/>
    <w:rsid w:val="001901A1"/>
    <w:rsid w:val="001902ED"/>
    <w:rsid w:val="001906A8"/>
    <w:rsid w:val="00190C86"/>
    <w:rsid w:val="00191F5B"/>
    <w:rsid w:val="0019329D"/>
    <w:rsid w:val="00193964"/>
    <w:rsid w:val="00193AEF"/>
    <w:rsid w:val="00193D7F"/>
    <w:rsid w:val="001945EA"/>
    <w:rsid w:val="001949F5"/>
    <w:rsid w:val="0019503C"/>
    <w:rsid w:val="0019688C"/>
    <w:rsid w:val="00196B8F"/>
    <w:rsid w:val="00197C93"/>
    <w:rsid w:val="001A0500"/>
    <w:rsid w:val="001A064E"/>
    <w:rsid w:val="001A071A"/>
    <w:rsid w:val="001A0867"/>
    <w:rsid w:val="001A09AB"/>
    <w:rsid w:val="001A13C6"/>
    <w:rsid w:val="001A13F2"/>
    <w:rsid w:val="001A2491"/>
    <w:rsid w:val="001A29CB"/>
    <w:rsid w:val="001A2AFC"/>
    <w:rsid w:val="001A2DD3"/>
    <w:rsid w:val="001A30FA"/>
    <w:rsid w:val="001A316A"/>
    <w:rsid w:val="001A3353"/>
    <w:rsid w:val="001A386C"/>
    <w:rsid w:val="001A4448"/>
    <w:rsid w:val="001A5D63"/>
    <w:rsid w:val="001A5E6E"/>
    <w:rsid w:val="001A62E3"/>
    <w:rsid w:val="001A6652"/>
    <w:rsid w:val="001A66BA"/>
    <w:rsid w:val="001A7854"/>
    <w:rsid w:val="001A7BAE"/>
    <w:rsid w:val="001A7DAA"/>
    <w:rsid w:val="001A7FEB"/>
    <w:rsid w:val="001B0FA2"/>
    <w:rsid w:val="001B12F4"/>
    <w:rsid w:val="001B1B7B"/>
    <w:rsid w:val="001B276A"/>
    <w:rsid w:val="001B2BA7"/>
    <w:rsid w:val="001B2DD7"/>
    <w:rsid w:val="001B36F0"/>
    <w:rsid w:val="001B3B7A"/>
    <w:rsid w:val="001B3ED9"/>
    <w:rsid w:val="001B40AC"/>
    <w:rsid w:val="001B42C1"/>
    <w:rsid w:val="001B58AF"/>
    <w:rsid w:val="001B5947"/>
    <w:rsid w:val="001B68FA"/>
    <w:rsid w:val="001B6AF0"/>
    <w:rsid w:val="001B6D51"/>
    <w:rsid w:val="001B7091"/>
    <w:rsid w:val="001B7334"/>
    <w:rsid w:val="001C0566"/>
    <w:rsid w:val="001C064F"/>
    <w:rsid w:val="001C0691"/>
    <w:rsid w:val="001C0780"/>
    <w:rsid w:val="001C1407"/>
    <w:rsid w:val="001C16E5"/>
    <w:rsid w:val="001C18AE"/>
    <w:rsid w:val="001C1A00"/>
    <w:rsid w:val="001C24A5"/>
    <w:rsid w:val="001C2D49"/>
    <w:rsid w:val="001C30CA"/>
    <w:rsid w:val="001C37B5"/>
    <w:rsid w:val="001C43C2"/>
    <w:rsid w:val="001C47A1"/>
    <w:rsid w:val="001C4CD2"/>
    <w:rsid w:val="001C567E"/>
    <w:rsid w:val="001C577B"/>
    <w:rsid w:val="001C59DF"/>
    <w:rsid w:val="001C5A82"/>
    <w:rsid w:val="001C5C4E"/>
    <w:rsid w:val="001C5E82"/>
    <w:rsid w:val="001C5FC2"/>
    <w:rsid w:val="001C6080"/>
    <w:rsid w:val="001C628E"/>
    <w:rsid w:val="001C6301"/>
    <w:rsid w:val="001C63B9"/>
    <w:rsid w:val="001C656D"/>
    <w:rsid w:val="001C745C"/>
    <w:rsid w:val="001C77B1"/>
    <w:rsid w:val="001C7EE6"/>
    <w:rsid w:val="001D0638"/>
    <w:rsid w:val="001D1F3B"/>
    <w:rsid w:val="001D235F"/>
    <w:rsid w:val="001D2D8C"/>
    <w:rsid w:val="001D3DC0"/>
    <w:rsid w:val="001D3EA2"/>
    <w:rsid w:val="001D4B87"/>
    <w:rsid w:val="001D5100"/>
    <w:rsid w:val="001D573B"/>
    <w:rsid w:val="001D5EBC"/>
    <w:rsid w:val="001D6E9C"/>
    <w:rsid w:val="001D72CD"/>
    <w:rsid w:val="001D7B12"/>
    <w:rsid w:val="001D7FEB"/>
    <w:rsid w:val="001E0019"/>
    <w:rsid w:val="001E0F7B"/>
    <w:rsid w:val="001E189D"/>
    <w:rsid w:val="001E1AC1"/>
    <w:rsid w:val="001E1D65"/>
    <w:rsid w:val="001E2BC4"/>
    <w:rsid w:val="001E2DC6"/>
    <w:rsid w:val="001E39EF"/>
    <w:rsid w:val="001E3B5A"/>
    <w:rsid w:val="001E3C76"/>
    <w:rsid w:val="001E3E34"/>
    <w:rsid w:val="001E4C2D"/>
    <w:rsid w:val="001E5F00"/>
    <w:rsid w:val="001E6BC3"/>
    <w:rsid w:val="001E6BE5"/>
    <w:rsid w:val="001E7B3F"/>
    <w:rsid w:val="001F0045"/>
    <w:rsid w:val="001F0129"/>
    <w:rsid w:val="001F0354"/>
    <w:rsid w:val="001F04DA"/>
    <w:rsid w:val="001F08C3"/>
    <w:rsid w:val="001F0A2B"/>
    <w:rsid w:val="001F0AA7"/>
    <w:rsid w:val="001F0C93"/>
    <w:rsid w:val="001F162A"/>
    <w:rsid w:val="001F2326"/>
    <w:rsid w:val="001F289E"/>
    <w:rsid w:val="001F2AEE"/>
    <w:rsid w:val="001F458B"/>
    <w:rsid w:val="001F4955"/>
    <w:rsid w:val="001F501C"/>
    <w:rsid w:val="001F52C8"/>
    <w:rsid w:val="001F5D3E"/>
    <w:rsid w:val="001F613A"/>
    <w:rsid w:val="001F61C9"/>
    <w:rsid w:val="001F65E2"/>
    <w:rsid w:val="001F6E8B"/>
    <w:rsid w:val="001F777E"/>
    <w:rsid w:val="00200697"/>
    <w:rsid w:val="00201A26"/>
    <w:rsid w:val="002029BD"/>
    <w:rsid w:val="00202A0A"/>
    <w:rsid w:val="002032D5"/>
    <w:rsid w:val="002038A4"/>
    <w:rsid w:val="002039FB"/>
    <w:rsid w:val="00203A5C"/>
    <w:rsid w:val="00203F0F"/>
    <w:rsid w:val="00204246"/>
    <w:rsid w:val="002042D9"/>
    <w:rsid w:val="002042FC"/>
    <w:rsid w:val="0020485E"/>
    <w:rsid w:val="00205267"/>
    <w:rsid w:val="00205674"/>
    <w:rsid w:val="00205768"/>
    <w:rsid w:val="002058FE"/>
    <w:rsid w:val="0020696D"/>
    <w:rsid w:val="00206B2B"/>
    <w:rsid w:val="002070E3"/>
    <w:rsid w:val="002074E5"/>
    <w:rsid w:val="00210C5D"/>
    <w:rsid w:val="00210C72"/>
    <w:rsid w:val="002119FD"/>
    <w:rsid w:val="00211A65"/>
    <w:rsid w:val="00211FB4"/>
    <w:rsid w:val="00211FE5"/>
    <w:rsid w:val="002122C8"/>
    <w:rsid w:val="00212CAA"/>
    <w:rsid w:val="002130E0"/>
    <w:rsid w:val="00213A8F"/>
    <w:rsid w:val="002143A3"/>
    <w:rsid w:val="00214B9C"/>
    <w:rsid w:val="00214D9D"/>
    <w:rsid w:val="0021519A"/>
    <w:rsid w:val="002156E2"/>
    <w:rsid w:val="00215F9D"/>
    <w:rsid w:val="002163A6"/>
    <w:rsid w:val="0021649B"/>
    <w:rsid w:val="0021769C"/>
    <w:rsid w:val="00220795"/>
    <w:rsid w:val="002214BA"/>
    <w:rsid w:val="00221E3D"/>
    <w:rsid w:val="002226AD"/>
    <w:rsid w:val="00222A9C"/>
    <w:rsid w:val="00223394"/>
    <w:rsid w:val="0022373A"/>
    <w:rsid w:val="00223C3F"/>
    <w:rsid w:val="00223F7C"/>
    <w:rsid w:val="00224A06"/>
    <w:rsid w:val="0022546A"/>
    <w:rsid w:val="002257A2"/>
    <w:rsid w:val="002259A6"/>
    <w:rsid w:val="00225EA2"/>
    <w:rsid w:val="00227201"/>
    <w:rsid w:val="002274EB"/>
    <w:rsid w:val="002279E6"/>
    <w:rsid w:val="00230092"/>
    <w:rsid w:val="002300FD"/>
    <w:rsid w:val="00230AFF"/>
    <w:rsid w:val="00231437"/>
    <w:rsid w:val="00231502"/>
    <w:rsid w:val="002315B7"/>
    <w:rsid w:val="00231B1B"/>
    <w:rsid w:val="00231C39"/>
    <w:rsid w:val="00231CF2"/>
    <w:rsid w:val="00232F87"/>
    <w:rsid w:val="0023317A"/>
    <w:rsid w:val="00233605"/>
    <w:rsid w:val="0023376F"/>
    <w:rsid w:val="00234CF8"/>
    <w:rsid w:val="00234E5C"/>
    <w:rsid w:val="002352F1"/>
    <w:rsid w:val="00235917"/>
    <w:rsid w:val="00235C58"/>
    <w:rsid w:val="00236397"/>
    <w:rsid w:val="0023654B"/>
    <w:rsid w:val="0023683A"/>
    <w:rsid w:val="00237BB2"/>
    <w:rsid w:val="0024091A"/>
    <w:rsid w:val="00240B92"/>
    <w:rsid w:val="00241AC1"/>
    <w:rsid w:val="00241C79"/>
    <w:rsid w:val="00241FA3"/>
    <w:rsid w:val="002422A7"/>
    <w:rsid w:val="00242F33"/>
    <w:rsid w:val="002439D2"/>
    <w:rsid w:val="0024440B"/>
    <w:rsid w:val="0024469D"/>
    <w:rsid w:val="00245D8B"/>
    <w:rsid w:val="00246EA4"/>
    <w:rsid w:val="00247287"/>
    <w:rsid w:val="0025003C"/>
    <w:rsid w:val="002500C6"/>
    <w:rsid w:val="002502E2"/>
    <w:rsid w:val="002506D6"/>
    <w:rsid w:val="00250AA8"/>
    <w:rsid w:val="00250CAB"/>
    <w:rsid w:val="00250F9D"/>
    <w:rsid w:val="0025138C"/>
    <w:rsid w:val="00251842"/>
    <w:rsid w:val="00251F5B"/>
    <w:rsid w:val="00252A75"/>
    <w:rsid w:val="00252C2A"/>
    <w:rsid w:val="002534CB"/>
    <w:rsid w:val="00253C58"/>
    <w:rsid w:val="00254224"/>
    <w:rsid w:val="002558B9"/>
    <w:rsid w:val="002560A2"/>
    <w:rsid w:val="002564F9"/>
    <w:rsid w:val="0025697D"/>
    <w:rsid w:val="00256F5B"/>
    <w:rsid w:val="002573DC"/>
    <w:rsid w:val="0026023A"/>
    <w:rsid w:val="00260DDB"/>
    <w:rsid w:val="00261536"/>
    <w:rsid w:val="00261599"/>
    <w:rsid w:val="002616AC"/>
    <w:rsid w:val="00262010"/>
    <w:rsid w:val="002620D2"/>
    <w:rsid w:val="00262E0A"/>
    <w:rsid w:val="00262F02"/>
    <w:rsid w:val="00263027"/>
    <w:rsid w:val="002639B7"/>
    <w:rsid w:val="00264036"/>
    <w:rsid w:val="002649E9"/>
    <w:rsid w:val="0026533B"/>
    <w:rsid w:val="00265875"/>
    <w:rsid w:val="0026707C"/>
    <w:rsid w:val="0026716A"/>
    <w:rsid w:val="00267454"/>
    <w:rsid w:val="00267AD6"/>
    <w:rsid w:val="002702D4"/>
    <w:rsid w:val="00270D7A"/>
    <w:rsid w:val="002721D1"/>
    <w:rsid w:val="0027303B"/>
    <w:rsid w:val="00273504"/>
    <w:rsid w:val="00273640"/>
    <w:rsid w:val="00273B29"/>
    <w:rsid w:val="00273F43"/>
    <w:rsid w:val="002741CF"/>
    <w:rsid w:val="002746F2"/>
    <w:rsid w:val="00274EB1"/>
    <w:rsid w:val="002753A3"/>
    <w:rsid w:val="00275689"/>
    <w:rsid w:val="002757CC"/>
    <w:rsid w:val="00276273"/>
    <w:rsid w:val="002762FD"/>
    <w:rsid w:val="00277753"/>
    <w:rsid w:val="0028109B"/>
    <w:rsid w:val="002810A1"/>
    <w:rsid w:val="0028127C"/>
    <w:rsid w:val="002818C2"/>
    <w:rsid w:val="00281EF4"/>
    <w:rsid w:val="00282BC2"/>
    <w:rsid w:val="00282DC1"/>
    <w:rsid w:val="0028353F"/>
    <w:rsid w:val="0028367F"/>
    <w:rsid w:val="002838CD"/>
    <w:rsid w:val="00283B5F"/>
    <w:rsid w:val="00283CD7"/>
    <w:rsid w:val="0028442A"/>
    <w:rsid w:val="00284487"/>
    <w:rsid w:val="00284AFF"/>
    <w:rsid w:val="00284E11"/>
    <w:rsid w:val="00285128"/>
    <w:rsid w:val="002856FD"/>
    <w:rsid w:val="00285C3A"/>
    <w:rsid w:val="00286FCA"/>
    <w:rsid w:val="00287217"/>
    <w:rsid w:val="00287591"/>
    <w:rsid w:val="002877D4"/>
    <w:rsid w:val="002908CA"/>
    <w:rsid w:val="00290C5B"/>
    <w:rsid w:val="0029124F"/>
    <w:rsid w:val="002918F2"/>
    <w:rsid w:val="0029191C"/>
    <w:rsid w:val="00291E03"/>
    <w:rsid w:val="00292686"/>
    <w:rsid w:val="00292796"/>
    <w:rsid w:val="002928BE"/>
    <w:rsid w:val="00292A47"/>
    <w:rsid w:val="00292FEB"/>
    <w:rsid w:val="002934A2"/>
    <w:rsid w:val="002942E9"/>
    <w:rsid w:val="0029451E"/>
    <w:rsid w:val="00294628"/>
    <w:rsid w:val="00294A68"/>
    <w:rsid w:val="00294DC1"/>
    <w:rsid w:val="00294EED"/>
    <w:rsid w:val="00294F70"/>
    <w:rsid w:val="00295484"/>
    <w:rsid w:val="00295659"/>
    <w:rsid w:val="00295D48"/>
    <w:rsid w:val="00295F5A"/>
    <w:rsid w:val="002965FC"/>
    <w:rsid w:val="00296667"/>
    <w:rsid w:val="00296678"/>
    <w:rsid w:val="00296930"/>
    <w:rsid w:val="002970EC"/>
    <w:rsid w:val="00297599"/>
    <w:rsid w:val="00297C74"/>
    <w:rsid w:val="00297ECF"/>
    <w:rsid w:val="002A0C57"/>
    <w:rsid w:val="002A1897"/>
    <w:rsid w:val="002A199F"/>
    <w:rsid w:val="002A2109"/>
    <w:rsid w:val="002A4126"/>
    <w:rsid w:val="002A45D1"/>
    <w:rsid w:val="002A4A7D"/>
    <w:rsid w:val="002A50A1"/>
    <w:rsid w:val="002A5A63"/>
    <w:rsid w:val="002A63D9"/>
    <w:rsid w:val="002A6A0C"/>
    <w:rsid w:val="002A6B53"/>
    <w:rsid w:val="002A6C8D"/>
    <w:rsid w:val="002A7759"/>
    <w:rsid w:val="002A7812"/>
    <w:rsid w:val="002B07DF"/>
    <w:rsid w:val="002B10BD"/>
    <w:rsid w:val="002B1F58"/>
    <w:rsid w:val="002B21D4"/>
    <w:rsid w:val="002B274B"/>
    <w:rsid w:val="002B3C35"/>
    <w:rsid w:val="002B447E"/>
    <w:rsid w:val="002B454F"/>
    <w:rsid w:val="002B4605"/>
    <w:rsid w:val="002B4AE9"/>
    <w:rsid w:val="002B55BB"/>
    <w:rsid w:val="002B58F6"/>
    <w:rsid w:val="002B6118"/>
    <w:rsid w:val="002B68AF"/>
    <w:rsid w:val="002B736C"/>
    <w:rsid w:val="002B7853"/>
    <w:rsid w:val="002B797A"/>
    <w:rsid w:val="002C0314"/>
    <w:rsid w:val="002C071F"/>
    <w:rsid w:val="002C0C6C"/>
    <w:rsid w:val="002C0F27"/>
    <w:rsid w:val="002C15F2"/>
    <w:rsid w:val="002C1C7A"/>
    <w:rsid w:val="002C2DD2"/>
    <w:rsid w:val="002C2E8B"/>
    <w:rsid w:val="002C39C0"/>
    <w:rsid w:val="002C3B3C"/>
    <w:rsid w:val="002C4BD9"/>
    <w:rsid w:val="002C4D62"/>
    <w:rsid w:val="002C4EEF"/>
    <w:rsid w:val="002C5178"/>
    <w:rsid w:val="002C54AE"/>
    <w:rsid w:val="002C5B8A"/>
    <w:rsid w:val="002C69E6"/>
    <w:rsid w:val="002C6FAF"/>
    <w:rsid w:val="002C74A5"/>
    <w:rsid w:val="002C7A27"/>
    <w:rsid w:val="002C7E8A"/>
    <w:rsid w:val="002D0D72"/>
    <w:rsid w:val="002D0DE3"/>
    <w:rsid w:val="002D160C"/>
    <w:rsid w:val="002D37B7"/>
    <w:rsid w:val="002D464B"/>
    <w:rsid w:val="002D50B7"/>
    <w:rsid w:val="002D54C6"/>
    <w:rsid w:val="002D64AC"/>
    <w:rsid w:val="002D6C39"/>
    <w:rsid w:val="002D6CEC"/>
    <w:rsid w:val="002D6F5B"/>
    <w:rsid w:val="002D7067"/>
    <w:rsid w:val="002D7603"/>
    <w:rsid w:val="002D76AD"/>
    <w:rsid w:val="002D7702"/>
    <w:rsid w:val="002D7E22"/>
    <w:rsid w:val="002D7E5E"/>
    <w:rsid w:val="002D7F2C"/>
    <w:rsid w:val="002E05E6"/>
    <w:rsid w:val="002E13B8"/>
    <w:rsid w:val="002E15E7"/>
    <w:rsid w:val="002E19E3"/>
    <w:rsid w:val="002E2120"/>
    <w:rsid w:val="002E22C3"/>
    <w:rsid w:val="002E2C64"/>
    <w:rsid w:val="002E335F"/>
    <w:rsid w:val="002E36E6"/>
    <w:rsid w:val="002E44EA"/>
    <w:rsid w:val="002E4DA6"/>
    <w:rsid w:val="002E56CE"/>
    <w:rsid w:val="002E59F6"/>
    <w:rsid w:val="002E5A76"/>
    <w:rsid w:val="002E7333"/>
    <w:rsid w:val="002E7FDE"/>
    <w:rsid w:val="002F067F"/>
    <w:rsid w:val="002F085B"/>
    <w:rsid w:val="002F0DE3"/>
    <w:rsid w:val="002F117B"/>
    <w:rsid w:val="002F1292"/>
    <w:rsid w:val="002F1496"/>
    <w:rsid w:val="002F1DC6"/>
    <w:rsid w:val="002F2FD0"/>
    <w:rsid w:val="002F321E"/>
    <w:rsid w:val="002F3628"/>
    <w:rsid w:val="002F37C1"/>
    <w:rsid w:val="002F37F1"/>
    <w:rsid w:val="002F3DDC"/>
    <w:rsid w:val="002F46E2"/>
    <w:rsid w:val="002F4E12"/>
    <w:rsid w:val="00300306"/>
    <w:rsid w:val="00300507"/>
    <w:rsid w:val="0030160F"/>
    <w:rsid w:val="003019A0"/>
    <w:rsid w:val="00301A56"/>
    <w:rsid w:val="00302A22"/>
    <w:rsid w:val="003035BD"/>
    <w:rsid w:val="00303CCC"/>
    <w:rsid w:val="00304294"/>
    <w:rsid w:val="003051CD"/>
    <w:rsid w:val="00305D17"/>
    <w:rsid w:val="0030625F"/>
    <w:rsid w:val="00306F16"/>
    <w:rsid w:val="003077EE"/>
    <w:rsid w:val="0031017D"/>
    <w:rsid w:val="003102D6"/>
    <w:rsid w:val="0031070E"/>
    <w:rsid w:val="00310CD4"/>
    <w:rsid w:val="003111C9"/>
    <w:rsid w:val="003111E5"/>
    <w:rsid w:val="0031134A"/>
    <w:rsid w:val="00311532"/>
    <w:rsid w:val="00311745"/>
    <w:rsid w:val="003121E3"/>
    <w:rsid w:val="00312779"/>
    <w:rsid w:val="0031311C"/>
    <w:rsid w:val="00314AB3"/>
    <w:rsid w:val="00315CB6"/>
    <w:rsid w:val="00316825"/>
    <w:rsid w:val="0031684D"/>
    <w:rsid w:val="0031790C"/>
    <w:rsid w:val="003200DC"/>
    <w:rsid w:val="003204CE"/>
    <w:rsid w:val="00320B21"/>
    <w:rsid w:val="00320D22"/>
    <w:rsid w:val="00320DDE"/>
    <w:rsid w:val="00321362"/>
    <w:rsid w:val="00321B9C"/>
    <w:rsid w:val="00322613"/>
    <w:rsid w:val="00322A52"/>
    <w:rsid w:val="00322C17"/>
    <w:rsid w:val="00322D0D"/>
    <w:rsid w:val="00322D20"/>
    <w:rsid w:val="00322E70"/>
    <w:rsid w:val="00323967"/>
    <w:rsid w:val="0032422C"/>
    <w:rsid w:val="003249D5"/>
    <w:rsid w:val="003250C6"/>
    <w:rsid w:val="0032558F"/>
    <w:rsid w:val="00325F0E"/>
    <w:rsid w:val="0032611D"/>
    <w:rsid w:val="00326677"/>
    <w:rsid w:val="003268A1"/>
    <w:rsid w:val="003277DF"/>
    <w:rsid w:val="00327A6D"/>
    <w:rsid w:val="0033038F"/>
    <w:rsid w:val="003309BD"/>
    <w:rsid w:val="00330EE8"/>
    <w:rsid w:val="0033122A"/>
    <w:rsid w:val="00332099"/>
    <w:rsid w:val="0033223E"/>
    <w:rsid w:val="003323A0"/>
    <w:rsid w:val="003323CA"/>
    <w:rsid w:val="00332AAA"/>
    <w:rsid w:val="00333AD3"/>
    <w:rsid w:val="00334699"/>
    <w:rsid w:val="00334AF3"/>
    <w:rsid w:val="00334F08"/>
    <w:rsid w:val="00335675"/>
    <w:rsid w:val="0033600B"/>
    <w:rsid w:val="003364B4"/>
    <w:rsid w:val="003365B7"/>
    <w:rsid w:val="00336641"/>
    <w:rsid w:val="00336D8A"/>
    <w:rsid w:val="00337009"/>
    <w:rsid w:val="00337246"/>
    <w:rsid w:val="0033762C"/>
    <w:rsid w:val="00337E69"/>
    <w:rsid w:val="003401E8"/>
    <w:rsid w:val="00340211"/>
    <w:rsid w:val="00340607"/>
    <w:rsid w:val="00340AD4"/>
    <w:rsid w:val="00340EBD"/>
    <w:rsid w:val="00341680"/>
    <w:rsid w:val="00341817"/>
    <w:rsid w:val="0034182F"/>
    <w:rsid w:val="003418F3"/>
    <w:rsid w:val="00341FA6"/>
    <w:rsid w:val="003422EA"/>
    <w:rsid w:val="00342EDD"/>
    <w:rsid w:val="003430CA"/>
    <w:rsid w:val="00343703"/>
    <w:rsid w:val="0034398E"/>
    <w:rsid w:val="00344B4A"/>
    <w:rsid w:val="00345A1B"/>
    <w:rsid w:val="00345F60"/>
    <w:rsid w:val="00346504"/>
    <w:rsid w:val="00346828"/>
    <w:rsid w:val="00346AED"/>
    <w:rsid w:val="00346DA0"/>
    <w:rsid w:val="003502D0"/>
    <w:rsid w:val="003503D6"/>
    <w:rsid w:val="00350C94"/>
    <w:rsid w:val="0035100E"/>
    <w:rsid w:val="00351254"/>
    <w:rsid w:val="00352D54"/>
    <w:rsid w:val="003535E5"/>
    <w:rsid w:val="00353642"/>
    <w:rsid w:val="003556D3"/>
    <w:rsid w:val="003569A9"/>
    <w:rsid w:val="00356EE1"/>
    <w:rsid w:val="003601E2"/>
    <w:rsid w:val="00360BDB"/>
    <w:rsid w:val="00361A59"/>
    <w:rsid w:val="00362DBC"/>
    <w:rsid w:val="0036331B"/>
    <w:rsid w:val="00363757"/>
    <w:rsid w:val="00364129"/>
    <w:rsid w:val="003647F7"/>
    <w:rsid w:val="003650AE"/>
    <w:rsid w:val="003650BB"/>
    <w:rsid w:val="003653F0"/>
    <w:rsid w:val="003656A7"/>
    <w:rsid w:val="00365CB4"/>
    <w:rsid w:val="003661AD"/>
    <w:rsid w:val="00366D61"/>
    <w:rsid w:val="00367B82"/>
    <w:rsid w:val="0037002F"/>
    <w:rsid w:val="0037066B"/>
    <w:rsid w:val="00370AAC"/>
    <w:rsid w:val="003713F5"/>
    <w:rsid w:val="00371DE4"/>
    <w:rsid w:val="003721A3"/>
    <w:rsid w:val="0037360A"/>
    <w:rsid w:val="00373677"/>
    <w:rsid w:val="00373C37"/>
    <w:rsid w:val="003743BC"/>
    <w:rsid w:val="00374EDF"/>
    <w:rsid w:val="00375257"/>
    <w:rsid w:val="0037618E"/>
    <w:rsid w:val="0037721B"/>
    <w:rsid w:val="00377439"/>
    <w:rsid w:val="003774B3"/>
    <w:rsid w:val="00380F00"/>
    <w:rsid w:val="00382644"/>
    <w:rsid w:val="003829E6"/>
    <w:rsid w:val="00382BBA"/>
    <w:rsid w:val="00382D49"/>
    <w:rsid w:val="00383470"/>
    <w:rsid w:val="0038366E"/>
    <w:rsid w:val="003837B0"/>
    <w:rsid w:val="00383DBC"/>
    <w:rsid w:val="00384558"/>
    <w:rsid w:val="00385328"/>
    <w:rsid w:val="00385C10"/>
    <w:rsid w:val="00386643"/>
    <w:rsid w:val="00386843"/>
    <w:rsid w:val="00386A24"/>
    <w:rsid w:val="00386D58"/>
    <w:rsid w:val="00386E17"/>
    <w:rsid w:val="0038710F"/>
    <w:rsid w:val="0038754C"/>
    <w:rsid w:val="003878CA"/>
    <w:rsid w:val="00390394"/>
    <w:rsid w:val="00390451"/>
    <w:rsid w:val="0039088D"/>
    <w:rsid w:val="003910CB"/>
    <w:rsid w:val="00392A49"/>
    <w:rsid w:val="00393012"/>
    <w:rsid w:val="003930B3"/>
    <w:rsid w:val="00393238"/>
    <w:rsid w:val="003938C6"/>
    <w:rsid w:val="00393FB2"/>
    <w:rsid w:val="003942D4"/>
    <w:rsid w:val="00394D57"/>
    <w:rsid w:val="00395210"/>
    <w:rsid w:val="0039523B"/>
    <w:rsid w:val="00395439"/>
    <w:rsid w:val="003958A8"/>
    <w:rsid w:val="003966D7"/>
    <w:rsid w:val="00396E01"/>
    <w:rsid w:val="00396F06"/>
    <w:rsid w:val="0039718D"/>
    <w:rsid w:val="00397937"/>
    <w:rsid w:val="003A01C5"/>
    <w:rsid w:val="003A034C"/>
    <w:rsid w:val="003A03B8"/>
    <w:rsid w:val="003A0471"/>
    <w:rsid w:val="003A063D"/>
    <w:rsid w:val="003A072F"/>
    <w:rsid w:val="003A1D36"/>
    <w:rsid w:val="003A23CF"/>
    <w:rsid w:val="003A3D35"/>
    <w:rsid w:val="003A40AA"/>
    <w:rsid w:val="003A41C5"/>
    <w:rsid w:val="003A48FD"/>
    <w:rsid w:val="003A5446"/>
    <w:rsid w:val="003A585D"/>
    <w:rsid w:val="003A65C0"/>
    <w:rsid w:val="003A694A"/>
    <w:rsid w:val="003A6956"/>
    <w:rsid w:val="003B1E4F"/>
    <w:rsid w:val="003B1FBE"/>
    <w:rsid w:val="003B2476"/>
    <w:rsid w:val="003B24FD"/>
    <w:rsid w:val="003B2C52"/>
    <w:rsid w:val="003B3060"/>
    <w:rsid w:val="003B37C4"/>
    <w:rsid w:val="003B3A8B"/>
    <w:rsid w:val="003B4793"/>
    <w:rsid w:val="003B4C9B"/>
    <w:rsid w:val="003B4DD2"/>
    <w:rsid w:val="003B536C"/>
    <w:rsid w:val="003B59E2"/>
    <w:rsid w:val="003B620C"/>
    <w:rsid w:val="003B769A"/>
    <w:rsid w:val="003B7E8E"/>
    <w:rsid w:val="003C0740"/>
    <w:rsid w:val="003C076E"/>
    <w:rsid w:val="003C157E"/>
    <w:rsid w:val="003C1E2A"/>
    <w:rsid w:val="003C2D58"/>
    <w:rsid w:val="003C2DE9"/>
    <w:rsid w:val="003C2EDC"/>
    <w:rsid w:val="003C4507"/>
    <w:rsid w:val="003C4E71"/>
    <w:rsid w:val="003C4EF8"/>
    <w:rsid w:val="003C5125"/>
    <w:rsid w:val="003C548D"/>
    <w:rsid w:val="003C55D8"/>
    <w:rsid w:val="003C55E5"/>
    <w:rsid w:val="003C5A24"/>
    <w:rsid w:val="003C5C74"/>
    <w:rsid w:val="003C79E0"/>
    <w:rsid w:val="003D053D"/>
    <w:rsid w:val="003D092F"/>
    <w:rsid w:val="003D0C8F"/>
    <w:rsid w:val="003D0DB7"/>
    <w:rsid w:val="003D1970"/>
    <w:rsid w:val="003D2130"/>
    <w:rsid w:val="003D29B1"/>
    <w:rsid w:val="003D2AA4"/>
    <w:rsid w:val="003D2D3A"/>
    <w:rsid w:val="003D31D4"/>
    <w:rsid w:val="003D31F2"/>
    <w:rsid w:val="003D37B1"/>
    <w:rsid w:val="003D3F53"/>
    <w:rsid w:val="003D4F3D"/>
    <w:rsid w:val="003D51D7"/>
    <w:rsid w:val="003D51EC"/>
    <w:rsid w:val="003D7899"/>
    <w:rsid w:val="003D789A"/>
    <w:rsid w:val="003D7C98"/>
    <w:rsid w:val="003E01A3"/>
    <w:rsid w:val="003E0642"/>
    <w:rsid w:val="003E0A9F"/>
    <w:rsid w:val="003E0EC2"/>
    <w:rsid w:val="003E17A1"/>
    <w:rsid w:val="003E2BDB"/>
    <w:rsid w:val="003E338B"/>
    <w:rsid w:val="003E3A58"/>
    <w:rsid w:val="003E3A99"/>
    <w:rsid w:val="003E3E39"/>
    <w:rsid w:val="003E4096"/>
    <w:rsid w:val="003E455A"/>
    <w:rsid w:val="003E4ACF"/>
    <w:rsid w:val="003E4C58"/>
    <w:rsid w:val="003E5D14"/>
    <w:rsid w:val="003E61B9"/>
    <w:rsid w:val="003E71E4"/>
    <w:rsid w:val="003E794C"/>
    <w:rsid w:val="003E7E8A"/>
    <w:rsid w:val="003F07F6"/>
    <w:rsid w:val="003F0A24"/>
    <w:rsid w:val="003F0B6C"/>
    <w:rsid w:val="003F181E"/>
    <w:rsid w:val="003F1AD7"/>
    <w:rsid w:val="003F1C9C"/>
    <w:rsid w:val="003F298D"/>
    <w:rsid w:val="003F2DED"/>
    <w:rsid w:val="003F36F0"/>
    <w:rsid w:val="003F420F"/>
    <w:rsid w:val="003F531D"/>
    <w:rsid w:val="003F59E7"/>
    <w:rsid w:val="003F6048"/>
    <w:rsid w:val="003F640B"/>
    <w:rsid w:val="003F68B7"/>
    <w:rsid w:val="003F6A69"/>
    <w:rsid w:val="003F74FA"/>
    <w:rsid w:val="004009E9"/>
    <w:rsid w:val="004037B0"/>
    <w:rsid w:val="00403835"/>
    <w:rsid w:val="0040435A"/>
    <w:rsid w:val="0040527C"/>
    <w:rsid w:val="0040529D"/>
    <w:rsid w:val="00405472"/>
    <w:rsid w:val="004057FE"/>
    <w:rsid w:val="00405EF1"/>
    <w:rsid w:val="00406641"/>
    <w:rsid w:val="00406EAC"/>
    <w:rsid w:val="004072A9"/>
    <w:rsid w:val="004077B8"/>
    <w:rsid w:val="00407889"/>
    <w:rsid w:val="00407FF6"/>
    <w:rsid w:val="004114B0"/>
    <w:rsid w:val="0041159C"/>
    <w:rsid w:val="004115BB"/>
    <w:rsid w:val="00411824"/>
    <w:rsid w:val="0041284F"/>
    <w:rsid w:val="00412B8E"/>
    <w:rsid w:val="00413613"/>
    <w:rsid w:val="0041376E"/>
    <w:rsid w:val="004139C1"/>
    <w:rsid w:val="00413C48"/>
    <w:rsid w:val="0041589C"/>
    <w:rsid w:val="004158DD"/>
    <w:rsid w:val="00415E94"/>
    <w:rsid w:val="00416089"/>
    <w:rsid w:val="00417D3C"/>
    <w:rsid w:val="004206B9"/>
    <w:rsid w:val="00420CCE"/>
    <w:rsid w:val="00420EB1"/>
    <w:rsid w:val="004223F2"/>
    <w:rsid w:val="004224A3"/>
    <w:rsid w:val="00422870"/>
    <w:rsid w:val="00422ED8"/>
    <w:rsid w:val="004239A3"/>
    <w:rsid w:val="00424990"/>
    <w:rsid w:val="00424DD4"/>
    <w:rsid w:val="00425004"/>
    <w:rsid w:val="0042562F"/>
    <w:rsid w:val="00425B4F"/>
    <w:rsid w:val="004269D4"/>
    <w:rsid w:val="004270D2"/>
    <w:rsid w:val="0042710D"/>
    <w:rsid w:val="00427941"/>
    <w:rsid w:val="00427AAA"/>
    <w:rsid w:val="00427FE8"/>
    <w:rsid w:val="00431D97"/>
    <w:rsid w:val="00431D9E"/>
    <w:rsid w:val="004324FE"/>
    <w:rsid w:val="00432A53"/>
    <w:rsid w:val="00432B3E"/>
    <w:rsid w:val="0043334A"/>
    <w:rsid w:val="00433CE8"/>
    <w:rsid w:val="00433FE9"/>
    <w:rsid w:val="0043416A"/>
    <w:rsid w:val="004345F3"/>
    <w:rsid w:val="00434A5C"/>
    <w:rsid w:val="00434BE2"/>
    <w:rsid w:val="00434C5C"/>
    <w:rsid w:val="00434E0F"/>
    <w:rsid w:val="004353B0"/>
    <w:rsid w:val="004353D5"/>
    <w:rsid w:val="004357E9"/>
    <w:rsid w:val="00435A1A"/>
    <w:rsid w:val="00435B69"/>
    <w:rsid w:val="00436B63"/>
    <w:rsid w:val="00437011"/>
    <w:rsid w:val="004372CE"/>
    <w:rsid w:val="00437CF2"/>
    <w:rsid w:val="00440403"/>
    <w:rsid w:val="0044065F"/>
    <w:rsid w:val="004425AA"/>
    <w:rsid w:val="00442986"/>
    <w:rsid w:val="00443E7F"/>
    <w:rsid w:val="004443FB"/>
    <w:rsid w:val="00444653"/>
    <w:rsid w:val="004454EE"/>
    <w:rsid w:val="00445819"/>
    <w:rsid w:val="00446B7A"/>
    <w:rsid w:val="00447753"/>
    <w:rsid w:val="00447F01"/>
    <w:rsid w:val="0045089E"/>
    <w:rsid w:val="00451382"/>
    <w:rsid w:val="00451448"/>
    <w:rsid w:val="0045188E"/>
    <w:rsid w:val="00451977"/>
    <w:rsid w:val="00452491"/>
    <w:rsid w:val="00452FD0"/>
    <w:rsid w:val="00453092"/>
    <w:rsid w:val="0045410A"/>
    <w:rsid w:val="004544D9"/>
    <w:rsid w:val="00454D42"/>
    <w:rsid w:val="00455C4A"/>
    <w:rsid w:val="004561D1"/>
    <w:rsid w:val="00456E9A"/>
    <w:rsid w:val="00457280"/>
    <w:rsid w:val="00457C1F"/>
    <w:rsid w:val="004607DD"/>
    <w:rsid w:val="00460A04"/>
    <w:rsid w:val="00461506"/>
    <w:rsid w:val="004619A8"/>
    <w:rsid w:val="00461FA9"/>
    <w:rsid w:val="0046222D"/>
    <w:rsid w:val="00462279"/>
    <w:rsid w:val="00462CE6"/>
    <w:rsid w:val="004630BD"/>
    <w:rsid w:val="00463C00"/>
    <w:rsid w:val="00463D16"/>
    <w:rsid w:val="00464363"/>
    <w:rsid w:val="004643EB"/>
    <w:rsid w:val="00464B16"/>
    <w:rsid w:val="00464D97"/>
    <w:rsid w:val="0046534A"/>
    <w:rsid w:val="004655C4"/>
    <w:rsid w:val="00465C37"/>
    <w:rsid w:val="0046602C"/>
    <w:rsid w:val="0046692D"/>
    <w:rsid w:val="00466960"/>
    <w:rsid w:val="00466979"/>
    <w:rsid w:val="0046704C"/>
    <w:rsid w:val="00467EBA"/>
    <w:rsid w:val="004702C9"/>
    <w:rsid w:val="00471355"/>
    <w:rsid w:val="004716D5"/>
    <w:rsid w:val="00471941"/>
    <w:rsid w:val="00471A59"/>
    <w:rsid w:val="00472919"/>
    <w:rsid w:val="00472BD7"/>
    <w:rsid w:val="004737F4"/>
    <w:rsid w:val="00473A47"/>
    <w:rsid w:val="0047410F"/>
    <w:rsid w:val="00474330"/>
    <w:rsid w:val="00475164"/>
    <w:rsid w:val="004757AE"/>
    <w:rsid w:val="004759B0"/>
    <w:rsid w:val="00475B14"/>
    <w:rsid w:val="00477089"/>
    <w:rsid w:val="004778E2"/>
    <w:rsid w:val="00477E6D"/>
    <w:rsid w:val="004800AA"/>
    <w:rsid w:val="004809C1"/>
    <w:rsid w:val="00480A04"/>
    <w:rsid w:val="00481040"/>
    <w:rsid w:val="00481F7C"/>
    <w:rsid w:val="004821B2"/>
    <w:rsid w:val="00482416"/>
    <w:rsid w:val="00482A2F"/>
    <w:rsid w:val="00482EBC"/>
    <w:rsid w:val="00484766"/>
    <w:rsid w:val="00484D04"/>
    <w:rsid w:val="00485135"/>
    <w:rsid w:val="00485971"/>
    <w:rsid w:val="00486048"/>
    <w:rsid w:val="0048704A"/>
    <w:rsid w:val="0049005D"/>
    <w:rsid w:val="00490446"/>
    <w:rsid w:val="00490E72"/>
    <w:rsid w:val="00491286"/>
    <w:rsid w:val="004921C8"/>
    <w:rsid w:val="00493057"/>
    <w:rsid w:val="004930EA"/>
    <w:rsid w:val="00494397"/>
    <w:rsid w:val="0049475C"/>
    <w:rsid w:val="004949CF"/>
    <w:rsid w:val="00494A09"/>
    <w:rsid w:val="00494DE0"/>
    <w:rsid w:val="004950D1"/>
    <w:rsid w:val="004955C8"/>
    <w:rsid w:val="00495697"/>
    <w:rsid w:val="004970ED"/>
    <w:rsid w:val="004975CE"/>
    <w:rsid w:val="004A0D3B"/>
    <w:rsid w:val="004A102E"/>
    <w:rsid w:val="004A1F3A"/>
    <w:rsid w:val="004A1FF5"/>
    <w:rsid w:val="004A208E"/>
    <w:rsid w:val="004A254E"/>
    <w:rsid w:val="004A372B"/>
    <w:rsid w:val="004A48DB"/>
    <w:rsid w:val="004A4A3D"/>
    <w:rsid w:val="004A65F4"/>
    <w:rsid w:val="004A6728"/>
    <w:rsid w:val="004A6781"/>
    <w:rsid w:val="004A6B03"/>
    <w:rsid w:val="004A70CD"/>
    <w:rsid w:val="004A7111"/>
    <w:rsid w:val="004B063E"/>
    <w:rsid w:val="004B1B55"/>
    <w:rsid w:val="004B23C4"/>
    <w:rsid w:val="004B258B"/>
    <w:rsid w:val="004B2D90"/>
    <w:rsid w:val="004B31EC"/>
    <w:rsid w:val="004B34A5"/>
    <w:rsid w:val="004B36F9"/>
    <w:rsid w:val="004B454F"/>
    <w:rsid w:val="004B55E5"/>
    <w:rsid w:val="004B570F"/>
    <w:rsid w:val="004B5C2B"/>
    <w:rsid w:val="004B5D26"/>
    <w:rsid w:val="004B6A34"/>
    <w:rsid w:val="004B6C76"/>
    <w:rsid w:val="004B6E99"/>
    <w:rsid w:val="004B707A"/>
    <w:rsid w:val="004B76AA"/>
    <w:rsid w:val="004C01CB"/>
    <w:rsid w:val="004C07ED"/>
    <w:rsid w:val="004C167D"/>
    <w:rsid w:val="004C2EEE"/>
    <w:rsid w:val="004C2F58"/>
    <w:rsid w:val="004C3540"/>
    <w:rsid w:val="004C3987"/>
    <w:rsid w:val="004C424A"/>
    <w:rsid w:val="004C4C2F"/>
    <w:rsid w:val="004C4C8C"/>
    <w:rsid w:val="004C53B4"/>
    <w:rsid w:val="004C596C"/>
    <w:rsid w:val="004C67B4"/>
    <w:rsid w:val="004C71C0"/>
    <w:rsid w:val="004C7A90"/>
    <w:rsid w:val="004C7DCB"/>
    <w:rsid w:val="004D0671"/>
    <w:rsid w:val="004D0BAF"/>
    <w:rsid w:val="004D11EE"/>
    <w:rsid w:val="004D1228"/>
    <w:rsid w:val="004D14A6"/>
    <w:rsid w:val="004D1851"/>
    <w:rsid w:val="004D1FCA"/>
    <w:rsid w:val="004D3687"/>
    <w:rsid w:val="004D452B"/>
    <w:rsid w:val="004D4886"/>
    <w:rsid w:val="004D599D"/>
    <w:rsid w:val="004D5AF6"/>
    <w:rsid w:val="004D5EBB"/>
    <w:rsid w:val="004D6371"/>
    <w:rsid w:val="004D6495"/>
    <w:rsid w:val="004D740A"/>
    <w:rsid w:val="004D7ABD"/>
    <w:rsid w:val="004E04CA"/>
    <w:rsid w:val="004E0F69"/>
    <w:rsid w:val="004E2529"/>
    <w:rsid w:val="004E2531"/>
    <w:rsid w:val="004E2561"/>
    <w:rsid w:val="004E2628"/>
    <w:rsid w:val="004E2D38"/>
    <w:rsid w:val="004E2EA5"/>
    <w:rsid w:val="004E3214"/>
    <w:rsid w:val="004E33EE"/>
    <w:rsid w:val="004E3A16"/>
    <w:rsid w:val="004E3AEB"/>
    <w:rsid w:val="004E3BD5"/>
    <w:rsid w:val="004E4BA5"/>
    <w:rsid w:val="004E5360"/>
    <w:rsid w:val="004E54A6"/>
    <w:rsid w:val="004E5B3B"/>
    <w:rsid w:val="004E5C92"/>
    <w:rsid w:val="004E656B"/>
    <w:rsid w:val="004F0B5B"/>
    <w:rsid w:val="004F10D3"/>
    <w:rsid w:val="004F1263"/>
    <w:rsid w:val="004F13F5"/>
    <w:rsid w:val="004F247A"/>
    <w:rsid w:val="004F2C1E"/>
    <w:rsid w:val="004F31A2"/>
    <w:rsid w:val="004F3466"/>
    <w:rsid w:val="004F4A3C"/>
    <w:rsid w:val="004F4C42"/>
    <w:rsid w:val="004F4DCC"/>
    <w:rsid w:val="004F544B"/>
    <w:rsid w:val="004F546C"/>
    <w:rsid w:val="004F54B1"/>
    <w:rsid w:val="004F54F3"/>
    <w:rsid w:val="004F5B84"/>
    <w:rsid w:val="004F5D38"/>
    <w:rsid w:val="004F6395"/>
    <w:rsid w:val="004F667E"/>
    <w:rsid w:val="004F6A8F"/>
    <w:rsid w:val="004F6B9D"/>
    <w:rsid w:val="004F6BDD"/>
    <w:rsid w:val="004F6D1B"/>
    <w:rsid w:val="004F7674"/>
    <w:rsid w:val="004F78B5"/>
    <w:rsid w:val="004F7C6A"/>
    <w:rsid w:val="004F7FBF"/>
    <w:rsid w:val="00501798"/>
    <w:rsid w:val="005019AB"/>
    <w:rsid w:val="0050223C"/>
    <w:rsid w:val="00502634"/>
    <w:rsid w:val="00502E68"/>
    <w:rsid w:val="00502E8C"/>
    <w:rsid w:val="00503311"/>
    <w:rsid w:val="00503C3B"/>
    <w:rsid w:val="00503E0A"/>
    <w:rsid w:val="00505853"/>
    <w:rsid w:val="00505975"/>
    <w:rsid w:val="005059E0"/>
    <w:rsid w:val="005060A1"/>
    <w:rsid w:val="0050642A"/>
    <w:rsid w:val="00506F76"/>
    <w:rsid w:val="00507072"/>
    <w:rsid w:val="0050773A"/>
    <w:rsid w:val="00507978"/>
    <w:rsid w:val="00507EC3"/>
    <w:rsid w:val="005105FC"/>
    <w:rsid w:val="00510E57"/>
    <w:rsid w:val="00510F68"/>
    <w:rsid w:val="005110B0"/>
    <w:rsid w:val="005114D5"/>
    <w:rsid w:val="00511B8B"/>
    <w:rsid w:val="00511BE6"/>
    <w:rsid w:val="00512A07"/>
    <w:rsid w:val="00513039"/>
    <w:rsid w:val="005133DD"/>
    <w:rsid w:val="005138D2"/>
    <w:rsid w:val="00513D10"/>
    <w:rsid w:val="005140D0"/>
    <w:rsid w:val="0051439E"/>
    <w:rsid w:val="00514994"/>
    <w:rsid w:val="00514ABA"/>
    <w:rsid w:val="0051547C"/>
    <w:rsid w:val="005165F8"/>
    <w:rsid w:val="00516E3C"/>
    <w:rsid w:val="0052045A"/>
    <w:rsid w:val="005209B5"/>
    <w:rsid w:val="00520B2F"/>
    <w:rsid w:val="00520CC4"/>
    <w:rsid w:val="00520DE7"/>
    <w:rsid w:val="00521DA3"/>
    <w:rsid w:val="0052202C"/>
    <w:rsid w:val="005220F3"/>
    <w:rsid w:val="00522674"/>
    <w:rsid w:val="00522773"/>
    <w:rsid w:val="00522AB5"/>
    <w:rsid w:val="00522C77"/>
    <w:rsid w:val="00523B11"/>
    <w:rsid w:val="005243FF"/>
    <w:rsid w:val="00524459"/>
    <w:rsid w:val="00524570"/>
    <w:rsid w:val="00524802"/>
    <w:rsid w:val="00524DF0"/>
    <w:rsid w:val="00525385"/>
    <w:rsid w:val="005254BD"/>
    <w:rsid w:val="0052589C"/>
    <w:rsid w:val="005265A1"/>
    <w:rsid w:val="00526E73"/>
    <w:rsid w:val="00526ED9"/>
    <w:rsid w:val="00526F2F"/>
    <w:rsid w:val="0052728B"/>
    <w:rsid w:val="005316DD"/>
    <w:rsid w:val="00531751"/>
    <w:rsid w:val="005317A1"/>
    <w:rsid w:val="0053187B"/>
    <w:rsid w:val="0053234D"/>
    <w:rsid w:val="00532615"/>
    <w:rsid w:val="005331CC"/>
    <w:rsid w:val="005337D9"/>
    <w:rsid w:val="00533F67"/>
    <w:rsid w:val="005347CD"/>
    <w:rsid w:val="00534C54"/>
    <w:rsid w:val="00535923"/>
    <w:rsid w:val="005360F8"/>
    <w:rsid w:val="0053659D"/>
    <w:rsid w:val="005370BF"/>
    <w:rsid w:val="005401AC"/>
    <w:rsid w:val="005403CB"/>
    <w:rsid w:val="00540645"/>
    <w:rsid w:val="0054089F"/>
    <w:rsid w:val="00541078"/>
    <w:rsid w:val="005411F7"/>
    <w:rsid w:val="00541240"/>
    <w:rsid w:val="0054175A"/>
    <w:rsid w:val="00541C22"/>
    <w:rsid w:val="00541E64"/>
    <w:rsid w:val="005431D8"/>
    <w:rsid w:val="0054356A"/>
    <w:rsid w:val="00544490"/>
    <w:rsid w:val="00544A6D"/>
    <w:rsid w:val="00545479"/>
    <w:rsid w:val="0054640C"/>
    <w:rsid w:val="00546F2F"/>
    <w:rsid w:val="005471F9"/>
    <w:rsid w:val="005473BE"/>
    <w:rsid w:val="005476AB"/>
    <w:rsid w:val="00547D83"/>
    <w:rsid w:val="005507A6"/>
    <w:rsid w:val="00550B4B"/>
    <w:rsid w:val="00550C38"/>
    <w:rsid w:val="0055134A"/>
    <w:rsid w:val="005513C2"/>
    <w:rsid w:val="00552377"/>
    <w:rsid w:val="005523E8"/>
    <w:rsid w:val="005527D3"/>
    <w:rsid w:val="00552D63"/>
    <w:rsid w:val="00552ED7"/>
    <w:rsid w:val="0055392E"/>
    <w:rsid w:val="00553CB9"/>
    <w:rsid w:val="00553D8B"/>
    <w:rsid w:val="00556A5C"/>
    <w:rsid w:val="00556DF6"/>
    <w:rsid w:val="00556EE0"/>
    <w:rsid w:val="005574C0"/>
    <w:rsid w:val="005577BE"/>
    <w:rsid w:val="00557CCC"/>
    <w:rsid w:val="00560AA4"/>
    <w:rsid w:val="00560B1F"/>
    <w:rsid w:val="00560F4D"/>
    <w:rsid w:val="005615AA"/>
    <w:rsid w:val="00561A64"/>
    <w:rsid w:val="005626E8"/>
    <w:rsid w:val="00562739"/>
    <w:rsid w:val="00562BE7"/>
    <w:rsid w:val="0056307D"/>
    <w:rsid w:val="00563630"/>
    <w:rsid w:val="00564053"/>
    <w:rsid w:val="00564C2F"/>
    <w:rsid w:val="00564FBC"/>
    <w:rsid w:val="005650A3"/>
    <w:rsid w:val="00565184"/>
    <w:rsid w:val="00565B80"/>
    <w:rsid w:val="00566938"/>
    <w:rsid w:val="005669A0"/>
    <w:rsid w:val="00566C46"/>
    <w:rsid w:val="0056715E"/>
    <w:rsid w:val="00567820"/>
    <w:rsid w:val="00571283"/>
    <w:rsid w:val="0057131B"/>
    <w:rsid w:val="00571752"/>
    <w:rsid w:val="0057180A"/>
    <w:rsid w:val="00572B45"/>
    <w:rsid w:val="00572EF0"/>
    <w:rsid w:val="00573302"/>
    <w:rsid w:val="00573AE3"/>
    <w:rsid w:val="00573B7A"/>
    <w:rsid w:val="00573C72"/>
    <w:rsid w:val="00573C83"/>
    <w:rsid w:val="00573FEE"/>
    <w:rsid w:val="0057403D"/>
    <w:rsid w:val="00574891"/>
    <w:rsid w:val="00574941"/>
    <w:rsid w:val="00575550"/>
    <w:rsid w:val="00575862"/>
    <w:rsid w:val="005759A0"/>
    <w:rsid w:val="00575E1B"/>
    <w:rsid w:val="00575E9F"/>
    <w:rsid w:val="005760C0"/>
    <w:rsid w:val="005760D6"/>
    <w:rsid w:val="00576138"/>
    <w:rsid w:val="005764D3"/>
    <w:rsid w:val="005770A0"/>
    <w:rsid w:val="00577A2A"/>
    <w:rsid w:val="00577EAD"/>
    <w:rsid w:val="005802F3"/>
    <w:rsid w:val="00580C69"/>
    <w:rsid w:val="00581490"/>
    <w:rsid w:val="00582442"/>
    <w:rsid w:val="005826C4"/>
    <w:rsid w:val="0058383A"/>
    <w:rsid w:val="00583D06"/>
    <w:rsid w:val="005843EF"/>
    <w:rsid w:val="00584643"/>
    <w:rsid w:val="005847AA"/>
    <w:rsid w:val="00585034"/>
    <w:rsid w:val="005856AA"/>
    <w:rsid w:val="00585AC2"/>
    <w:rsid w:val="00585AEF"/>
    <w:rsid w:val="005866F3"/>
    <w:rsid w:val="00586B02"/>
    <w:rsid w:val="00586CF9"/>
    <w:rsid w:val="005900CB"/>
    <w:rsid w:val="00590433"/>
    <w:rsid w:val="005910CB"/>
    <w:rsid w:val="005936D8"/>
    <w:rsid w:val="0059374A"/>
    <w:rsid w:val="00594FBE"/>
    <w:rsid w:val="0059694B"/>
    <w:rsid w:val="0059707C"/>
    <w:rsid w:val="005A0A3C"/>
    <w:rsid w:val="005A0F7C"/>
    <w:rsid w:val="005A1161"/>
    <w:rsid w:val="005A1268"/>
    <w:rsid w:val="005A1428"/>
    <w:rsid w:val="005A1475"/>
    <w:rsid w:val="005A17A6"/>
    <w:rsid w:val="005A1AF1"/>
    <w:rsid w:val="005A1B94"/>
    <w:rsid w:val="005A21AA"/>
    <w:rsid w:val="005A22A6"/>
    <w:rsid w:val="005A3061"/>
    <w:rsid w:val="005A3FC9"/>
    <w:rsid w:val="005A48F6"/>
    <w:rsid w:val="005A4B34"/>
    <w:rsid w:val="005A4B88"/>
    <w:rsid w:val="005A587B"/>
    <w:rsid w:val="005A6D74"/>
    <w:rsid w:val="005A70E3"/>
    <w:rsid w:val="005A77B7"/>
    <w:rsid w:val="005A7EFF"/>
    <w:rsid w:val="005B045B"/>
    <w:rsid w:val="005B0810"/>
    <w:rsid w:val="005B0B73"/>
    <w:rsid w:val="005B2BC0"/>
    <w:rsid w:val="005B2EEB"/>
    <w:rsid w:val="005B2F8A"/>
    <w:rsid w:val="005B3F5A"/>
    <w:rsid w:val="005B4D90"/>
    <w:rsid w:val="005B53AF"/>
    <w:rsid w:val="005B59BD"/>
    <w:rsid w:val="005B5BB6"/>
    <w:rsid w:val="005B6877"/>
    <w:rsid w:val="005B6E20"/>
    <w:rsid w:val="005B78B3"/>
    <w:rsid w:val="005C0647"/>
    <w:rsid w:val="005C0B9D"/>
    <w:rsid w:val="005C0E44"/>
    <w:rsid w:val="005C109F"/>
    <w:rsid w:val="005C10F8"/>
    <w:rsid w:val="005C167B"/>
    <w:rsid w:val="005C16BA"/>
    <w:rsid w:val="005C1ADA"/>
    <w:rsid w:val="005C1CF5"/>
    <w:rsid w:val="005C2524"/>
    <w:rsid w:val="005C2D0B"/>
    <w:rsid w:val="005C2FBE"/>
    <w:rsid w:val="005C3159"/>
    <w:rsid w:val="005C32EC"/>
    <w:rsid w:val="005C3405"/>
    <w:rsid w:val="005C3C40"/>
    <w:rsid w:val="005C3FA0"/>
    <w:rsid w:val="005C40DB"/>
    <w:rsid w:val="005C41A5"/>
    <w:rsid w:val="005C441C"/>
    <w:rsid w:val="005C4E9B"/>
    <w:rsid w:val="005C5070"/>
    <w:rsid w:val="005C5D4D"/>
    <w:rsid w:val="005C6F65"/>
    <w:rsid w:val="005C6FF0"/>
    <w:rsid w:val="005C7FA5"/>
    <w:rsid w:val="005D05E8"/>
    <w:rsid w:val="005D1217"/>
    <w:rsid w:val="005D13F6"/>
    <w:rsid w:val="005D2C78"/>
    <w:rsid w:val="005D3458"/>
    <w:rsid w:val="005D429C"/>
    <w:rsid w:val="005D480E"/>
    <w:rsid w:val="005D4B63"/>
    <w:rsid w:val="005D4B71"/>
    <w:rsid w:val="005D558B"/>
    <w:rsid w:val="005D5832"/>
    <w:rsid w:val="005D61E0"/>
    <w:rsid w:val="005D62B8"/>
    <w:rsid w:val="005D6674"/>
    <w:rsid w:val="005D69D7"/>
    <w:rsid w:val="005D6DB9"/>
    <w:rsid w:val="005E05C6"/>
    <w:rsid w:val="005E2087"/>
    <w:rsid w:val="005E25BD"/>
    <w:rsid w:val="005E2AA5"/>
    <w:rsid w:val="005E40C9"/>
    <w:rsid w:val="005E4116"/>
    <w:rsid w:val="005E4A04"/>
    <w:rsid w:val="005E4D8A"/>
    <w:rsid w:val="005E4EE3"/>
    <w:rsid w:val="005E55AF"/>
    <w:rsid w:val="005E5DB5"/>
    <w:rsid w:val="005E644E"/>
    <w:rsid w:val="005E6DA7"/>
    <w:rsid w:val="005E730F"/>
    <w:rsid w:val="005E77AA"/>
    <w:rsid w:val="005E7DCF"/>
    <w:rsid w:val="005E7EC2"/>
    <w:rsid w:val="005F01D8"/>
    <w:rsid w:val="005F0CBF"/>
    <w:rsid w:val="005F0FE2"/>
    <w:rsid w:val="005F10A5"/>
    <w:rsid w:val="005F1382"/>
    <w:rsid w:val="005F14DE"/>
    <w:rsid w:val="005F1DC6"/>
    <w:rsid w:val="005F1EB2"/>
    <w:rsid w:val="005F1FB4"/>
    <w:rsid w:val="005F20FC"/>
    <w:rsid w:val="005F212E"/>
    <w:rsid w:val="005F2947"/>
    <w:rsid w:val="005F2AF6"/>
    <w:rsid w:val="005F2BA2"/>
    <w:rsid w:val="005F2F2F"/>
    <w:rsid w:val="005F3E99"/>
    <w:rsid w:val="005F3F1F"/>
    <w:rsid w:val="005F40D5"/>
    <w:rsid w:val="005F4C24"/>
    <w:rsid w:val="005F4CA7"/>
    <w:rsid w:val="005F5748"/>
    <w:rsid w:val="005F57BF"/>
    <w:rsid w:val="005F5CD2"/>
    <w:rsid w:val="005F5EA1"/>
    <w:rsid w:val="005F7158"/>
    <w:rsid w:val="006002FA"/>
    <w:rsid w:val="006004CD"/>
    <w:rsid w:val="006014A1"/>
    <w:rsid w:val="00601A76"/>
    <w:rsid w:val="00601F7F"/>
    <w:rsid w:val="0060210E"/>
    <w:rsid w:val="00602513"/>
    <w:rsid w:val="0060308D"/>
    <w:rsid w:val="00603646"/>
    <w:rsid w:val="00603AD8"/>
    <w:rsid w:val="00603FE9"/>
    <w:rsid w:val="00604C65"/>
    <w:rsid w:val="00604E54"/>
    <w:rsid w:val="0060530C"/>
    <w:rsid w:val="0060601A"/>
    <w:rsid w:val="00607EC5"/>
    <w:rsid w:val="00610283"/>
    <w:rsid w:val="0061078E"/>
    <w:rsid w:val="006109C4"/>
    <w:rsid w:val="00611108"/>
    <w:rsid w:val="006113F3"/>
    <w:rsid w:val="00611715"/>
    <w:rsid w:val="00611C14"/>
    <w:rsid w:val="00611D45"/>
    <w:rsid w:val="00613E4D"/>
    <w:rsid w:val="006145EF"/>
    <w:rsid w:val="00614BC3"/>
    <w:rsid w:val="00614C69"/>
    <w:rsid w:val="00614E2E"/>
    <w:rsid w:val="006152AF"/>
    <w:rsid w:val="0061551D"/>
    <w:rsid w:val="00616F03"/>
    <w:rsid w:val="0061730D"/>
    <w:rsid w:val="00617BE8"/>
    <w:rsid w:val="00620270"/>
    <w:rsid w:val="00620B99"/>
    <w:rsid w:val="0062134A"/>
    <w:rsid w:val="006218FC"/>
    <w:rsid w:val="00622372"/>
    <w:rsid w:val="006223DB"/>
    <w:rsid w:val="006229F9"/>
    <w:rsid w:val="00623875"/>
    <w:rsid w:val="006239BE"/>
    <w:rsid w:val="0062412D"/>
    <w:rsid w:val="00624CBE"/>
    <w:rsid w:val="0062532D"/>
    <w:rsid w:val="00625E67"/>
    <w:rsid w:val="00625FBE"/>
    <w:rsid w:val="0062714C"/>
    <w:rsid w:val="00627892"/>
    <w:rsid w:val="006310DF"/>
    <w:rsid w:val="0063126A"/>
    <w:rsid w:val="006323CA"/>
    <w:rsid w:val="00632836"/>
    <w:rsid w:val="00632F65"/>
    <w:rsid w:val="0063415D"/>
    <w:rsid w:val="006346AA"/>
    <w:rsid w:val="00634C0A"/>
    <w:rsid w:val="00634F18"/>
    <w:rsid w:val="00635041"/>
    <w:rsid w:val="00635463"/>
    <w:rsid w:val="006359CC"/>
    <w:rsid w:val="00636548"/>
    <w:rsid w:val="00637561"/>
    <w:rsid w:val="00637D5A"/>
    <w:rsid w:val="0064024A"/>
    <w:rsid w:val="006410A3"/>
    <w:rsid w:val="00641A4B"/>
    <w:rsid w:val="006424AE"/>
    <w:rsid w:val="0064329C"/>
    <w:rsid w:val="00643593"/>
    <w:rsid w:val="00643AD9"/>
    <w:rsid w:val="006440EE"/>
    <w:rsid w:val="00644AAA"/>
    <w:rsid w:val="00644E5A"/>
    <w:rsid w:val="00645C3C"/>
    <w:rsid w:val="00646A13"/>
    <w:rsid w:val="006475EC"/>
    <w:rsid w:val="00647734"/>
    <w:rsid w:val="00647ABC"/>
    <w:rsid w:val="00647FC5"/>
    <w:rsid w:val="00647FEE"/>
    <w:rsid w:val="00647FEF"/>
    <w:rsid w:val="00650370"/>
    <w:rsid w:val="00650464"/>
    <w:rsid w:val="006506EB"/>
    <w:rsid w:val="006506F5"/>
    <w:rsid w:val="00651019"/>
    <w:rsid w:val="00651A31"/>
    <w:rsid w:val="006526C4"/>
    <w:rsid w:val="006527FB"/>
    <w:rsid w:val="00652B05"/>
    <w:rsid w:val="0065310A"/>
    <w:rsid w:val="006535F1"/>
    <w:rsid w:val="00654F05"/>
    <w:rsid w:val="00655439"/>
    <w:rsid w:val="0065557D"/>
    <w:rsid w:val="00656DAF"/>
    <w:rsid w:val="00656E30"/>
    <w:rsid w:val="00657A3E"/>
    <w:rsid w:val="00657F02"/>
    <w:rsid w:val="00660278"/>
    <w:rsid w:val="006615C6"/>
    <w:rsid w:val="00661B43"/>
    <w:rsid w:val="00661D48"/>
    <w:rsid w:val="006625EF"/>
    <w:rsid w:val="006627FA"/>
    <w:rsid w:val="00662984"/>
    <w:rsid w:val="0066421D"/>
    <w:rsid w:val="00665442"/>
    <w:rsid w:val="00665E12"/>
    <w:rsid w:val="00665E85"/>
    <w:rsid w:val="00666555"/>
    <w:rsid w:val="00666608"/>
    <w:rsid w:val="00666A3F"/>
    <w:rsid w:val="00666B97"/>
    <w:rsid w:val="00667259"/>
    <w:rsid w:val="00667D3F"/>
    <w:rsid w:val="00667DC9"/>
    <w:rsid w:val="00670084"/>
    <w:rsid w:val="006701DA"/>
    <w:rsid w:val="00670898"/>
    <w:rsid w:val="00671577"/>
    <w:rsid w:val="00671F36"/>
    <w:rsid w:val="00671FAB"/>
    <w:rsid w:val="0067259B"/>
    <w:rsid w:val="00672EBD"/>
    <w:rsid w:val="006730F7"/>
    <w:rsid w:val="0067397F"/>
    <w:rsid w:val="00673C70"/>
    <w:rsid w:val="00673DE2"/>
    <w:rsid w:val="00675719"/>
    <w:rsid w:val="00675AFE"/>
    <w:rsid w:val="00675BE3"/>
    <w:rsid w:val="00676F97"/>
    <w:rsid w:val="00677C5B"/>
    <w:rsid w:val="0068015C"/>
    <w:rsid w:val="00680862"/>
    <w:rsid w:val="0068126F"/>
    <w:rsid w:val="0068271C"/>
    <w:rsid w:val="0068277A"/>
    <w:rsid w:val="00682949"/>
    <w:rsid w:val="00682DAD"/>
    <w:rsid w:val="00682E1B"/>
    <w:rsid w:val="00683927"/>
    <w:rsid w:val="00683CBD"/>
    <w:rsid w:val="00684370"/>
    <w:rsid w:val="00685485"/>
    <w:rsid w:val="0068577A"/>
    <w:rsid w:val="00686D92"/>
    <w:rsid w:val="00686EEB"/>
    <w:rsid w:val="00687891"/>
    <w:rsid w:val="00687A2C"/>
    <w:rsid w:val="00687B90"/>
    <w:rsid w:val="00690D65"/>
    <w:rsid w:val="0069266B"/>
    <w:rsid w:val="00692CF3"/>
    <w:rsid w:val="00692F1E"/>
    <w:rsid w:val="0069419C"/>
    <w:rsid w:val="0069585F"/>
    <w:rsid w:val="00695AF2"/>
    <w:rsid w:val="00696E33"/>
    <w:rsid w:val="0069715C"/>
    <w:rsid w:val="00697331"/>
    <w:rsid w:val="006973F1"/>
    <w:rsid w:val="0069784D"/>
    <w:rsid w:val="006978BC"/>
    <w:rsid w:val="006A014D"/>
    <w:rsid w:val="006A1159"/>
    <w:rsid w:val="006A18DB"/>
    <w:rsid w:val="006A1954"/>
    <w:rsid w:val="006A1D68"/>
    <w:rsid w:val="006A1D7A"/>
    <w:rsid w:val="006A24C5"/>
    <w:rsid w:val="006A2571"/>
    <w:rsid w:val="006A294A"/>
    <w:rsid w:val="006A2A67"/>
    <w:rsid w:val="006A2D12"/>
    <w:rsid w:val="006A2DD4"/>
    <w:rsid w:val="006A30F6"/>
    <w:rsid w:val="006A41FA"/>
    <w:rsid w:val="006A440E"/>
    <w:rsid w:val="006A5037"/>
    <w:rsid w:val="006A583E"/>
    <w:rsid w:val="006A59A2"/>
    <w:rsid w:val="006A5BA7"/>
    <w:rsid w:val="006A5D29"/>
    <w:rsid w:val="006A5DB7"/>
    <w:rsid w:val="006A5EDF"/>
    <w:rsid w:val="006A687A"/>
    <w:rsid w:val="006A6B80"/>
    <w:rsid w:val="006A7317"/>
    <w:rsid w:val="006A7CF2"/>
    <w:rsid w:val="006A7D15"/>
    <w:rsid w:val="006B0DD4"/>
    <w:rsid w:val="006B154E"/>
    <w:rsid w:val="006B20FB"/>
    <w:rsid w:val="006B2E0B"/>
    <w:rsid w:val="006B3C3A"/>
    <w:rsid w:val="006B43F0"/>
    <w:rsid w:val="006B444F"/>
    <w:rsid w:val="006B474B"/>
    <w:rsid w:val="006B4A57"/>
    <w:rsid w:val="006B4FB7"/>
    <w:rsid w:val="006B5EB0"/>
    <w:rsid w:val="006B5EB8"/>
    <w:rsid w:val="006B62B7"/>
    <w:rsid w:val="006B674B"/>
    <w:rsid w:val="006B69B1"/>
    <w:rsid w:val="006B6DCC"/>
    <w:rsid w:val="006B71AA"/>
    <w:rsid w:val="006B7566"/>
    <w:rsid w:val="006B7A0C"/>
    <w:rsid w:val="006B7A76"/>
    <w:rsid w:val="006B7C14"/>
    <w:rsid w:val="006C0DBF"/>
    <w:rsid w:val="006C259C"/>
    <w:rsid w:val="006C27CD"/>
    <w:rsid w:val="006C3844"/>
    <w:rsid w:val="006C43E8"/>
    <w:rsid w:val="006C5B22"/>
    <w:rsid w:val="006C601E"/>
    <w:rsid w:val="006C619C"/>
    <w:rsid w:val="006C6C67"/>
    <w:rsid w:val="006C6EDD"/>
    <w:rsid w:val="006C7F68"/>
    <w:rsid w:val="006C7F6B"/>
    <w:rsid w:val="006D0241"/>
    <w:rsid w:val="006D0B03"/>
    <w:rsid w:val="006D12F8"/>
    <w:rsid w:val="006D17BB"/>
    <w:rsid w:val="006D17FE"/>
    <w:rsid w:val="006D1819"/>
    <w:rsid w:val="006D2E61"/>
    <w:rsid w:val="006D3D13"/>
    <w:rsid w:val="006D4E48"/>
    <w:rsid w:val="006D4EA6"/>
    <w:rsid w:val="006D5870"/>
    <w:rsid w:val="006D5A50"/>
    <w:rsid w:val="006D5CED"/>
    <w:rsid w:val="006D6475"/>
    <w:rsid w:val="006D6709"/>
    <w:rsid w:val="006D735A"/>
    <w:rsid w:val="006D747B"/>
    <w:rsid w:val="006E00F7"/>
    <w:rsid w:val="006E0FFF"/>
    <w:rsid w:val="006E1E85"/>
    <w:rsid w:val="006E27BF"/>
    <w:rsid w:val="006E29CA"/>
    <w:rsid w:val="006E41FC"/>
    <w:rsid w:val="006E5383"/>
    <w:rsid w:val="006E53B3"/>
    <w:rsid w:val="006E59A8"/>
    <w:rsid w:val="006E5DF8"/>
    <w:rsid w:val="006E6075"/>
    <w:rsid w:val="006E6786"/>
    <w:rsid w:val="006E6CD3"/>
    <w:rsid w:val="006E776D"/>
    <w:rsid w:val="006E7FE4"/>
    <w:rsid w:val="006F00AA"/>
    <w:rsid w:val="006F0140"/>
    <w:rsid w:val="006F0378"/>
    <w:rsid w:val="006F0592"/>
    <w:rsid w:val="006F05F5"/>
    <w:rsid w:val="006F0CE1"/>
    <w:rsid w:val="006F1824"/>
    <w:rsid w:val="006F1A96"/>
    <w:rsid w:val="006F1B9F"/>
    <w:rsid w:val="006F21D7"/>
    <w:rsid w:val="006F241C"/>
    <w:rsid w:val="006F39D5"/>
    <w:rsid w:val="006F3BBC"/>
    <w:rsid w:val="006F3EA2"/>
    <w:rsid w:val="006F4099"/>
    <w:rsid w:val="006F4122"/>
    <w:rsid w:val="006F42AE"/>
    <w:rsid w:val="006F47A2"/>
    <w:rsid w:val="006F507E"/>
    <w:rsid w:val="006F513C"/>
    <w:rsid w:val="006F5988"/>
    <w:rsid w:val="006F64EA"/>
    <w:rsid w:val="006F676A"/>
    <w:rsid w:val="006F6AF0"/>
    <w:rsid w:val="006F6DD5"/>
    <w:rsid w:val="006F73E8"/>
    <w:rsid w:val="006F7C19"/>
    <w:rsid w:val="006F7E85"/>
    <w:rsid w:val="00700601"/>
    <w:rsid w:val="00701F73"/>
    <w:rsid w:val="00703159"/>
    <w:rsid w:val="0070318B"/>
    <w:rsid w:val="0070333A"/>
    <w:rsid w:val="007039B0"/>
    <w:rsid w:val="00703D5D"/>
    <w:rsid w:val="00704252"/>
    <w:rsid w:val="00704988"/>
    <w:rsid w:val="00704A10"/>
    <w:rsid w:val="00705267"/>
    <w:rsid w:val="00705F65"/>
    <w:rsid w:val="00706DDA"/>
    <w:rsid w:val="00706E3E"/>
    <w:rsid w:val="007072D0"/>
    <w:rsid w:val="007111EB"/>
    <w:rsid w:val="007117A0"/>
    <w:rsid w:val="0071197A"/>
    <w:rsid w:val="00711BF9"/>
    <w:rsid w:val="007125F1"/>
    <w:rsid w:val="0071266B"/>
    <w:rsid w:val="007129CA"/>
    <w:rsid w:val="00713597"/>
    <w:rsid w:val="00713865"/>
    <w:rsid w:val="007159FB"/>
    <w:rsid w:val="0071603A"/>
    <w:rsid w:val="00716BCE"/>
    <w:rsid w:val="00716DA7"/>
    <w:rsid w:val="00716E82"/>
    <w:rsid w:val="00716E8A"/>
    <w:rsid w:val="007177F2"/>
    <w:rsid w:val="00717A84"/>
    <w:rsid w:val="00717BB7"/>
    <w:rsid w:val="00717DC9"/>
    <w:rsid w:val="00717DDF"/>
    <w:rsid w:val="0072101D"/>
    <w:rsid w:val="007213E3"/>
    <w:rsid w:val="00721974"/>
    <w:rsid w:val="007223D6"/>
    <w:rsid w:val="00723117"/>
    <w:rsid w:val="00723966"/>
    <w:rsid w:val="007245F8"/>
    <w:rsid w:val="00724851"/>
    <w:rsid w:val="0072533C"/>
    <w:rsid w:val="00725C89"/>
    <w:rsid w:val="00725EB5"/>
    <w:rsid w:val="0072668D"/>
    <w:rsid w:val="00726B3A"/>
    <w:rsid w:val="0072716E"/>
    <w:rsid w:val="00727AB6"/>
    <w:rsid w:val="00727CB4"/>
    <w:rsid w:val="00727DA1"/>
    <w:rsid w:val="00733742"/>
    <w:rsid w:val="00734446"/>
    <w:rsid w:val="00734B40"/>
    <w:rsid w:val="00734BD9"/>
    <w:rsid w:val="00735886"/>
    <w:rsid w:val="00736382"/>
    <w:rsid w:val="0073657E"/>
    <w:rsid w:val="00737D33"/>
    <w:rsid w:val="00740396"/>
    <w:rsid w:val="00740787"/>
    <w:rsid w:val="007407A6"/>
    <w:rsid w:val="00741B7B"/>
    <w:rsid w:val="00742906"/>
    <w:rsid w:val="00742D62"/>
    <w:rsid w:val="00743298"/>
    <w:rsid w:val="007434DD"/>
    <w:rsid w:val="00743C18"/>
    <w:rsid w:val="00743C8A"/>
    <w:rsid w:val="00743C9B"/>
    <w:rsid w:val="00743CC2"/>
    <w:rsid w:val="00744E47"/>
    <w:rsid w:val="007450E4"/>
    <w:rsid w:val="0074519C"/>
    <w:rsid w:val="00745575"/>
    <w:rsid w:val="00746925"/>
    <w:rsid w:val="00746BAC"/>
    <w:rsid w:val="00747D96"/>
    <w:rsid w:val="00747E30"/>
    <w:rsid w:val="0075027E"/>
    <w:rsid w:val="0075051B"/>
    <w:rsid w:val="00750620"/>
    <w:rsid w:val="00750645"/>
    <w:rsid w:val="0075074C"/>
    <w:rsid w:val="0075084C"/>
    <w:rsid w:val="00750B67"/>
    <w:rsid w:val="00750CD1"/>
    <w:rsid w:val="007511F5"/>
    <w:rsid w:val="007515E4"/>
    <w:rsid w:val="00751913"/>
    <w:rsid w:val="00751D47"/>
    <w:rsid w:val="00752F2D"/>
    <w:rsid w:val="00753089"/>
    <w:rsid w:val="007535E9"/>
    <w:rsid w:val="00753AE6"/>
    <w:rsid w:val="00753BD2"/>
    <w:rsid w:val="00754501"/>
    <w:rsid w:val="00755453"/>
    <w:rsid w:val="00755AB8"/>
    <w:rsid w:val="00755B95"/>
    <w:rsid w:val="00755CF3"/>
    <w:rsid w:val="00755F77"/>
    <w:rsid w:val="007564E6"/>
    <w:rsid w:val="007570ED"/>
    <w:rsid w:val="007604B9"/>
    <w:rsid w:val="0076062A"/>
    <w:rsid w:val="007606DE"/>
    <w:rsid w:val="00760ED5"/>
    <w:rsid w:val="00761E04"/>
    <w:rsid w:val="00762F82"/>
    <w:rsid w:val="00763710"/>
    <w:rsid w:val="0076371C"/>
    <w:rsid w:val="00763A13"/>
    <w:rsid w:val="00764606"/>
    <w:rsid w:val="00764773"/>
    <w:rsid w:val="0076578B"/>
    <w:rsid w:val="007659CA"/>
    <w:rsid w:val="00765FB7"/>
    <w:rsid w:val="0076607B"/>
    <w:rsid w:val="0076667B"/>
    <w:rsid w:val="0077026E"/>
    <w:rsid w:val="0077175B"/>
    <w:rsid w:val="007717B7"/>
    <w:rsid w:val="00771D71"/>
    <w:rsid w:val="0077200F"/>
    <w:rsid w:val="00772528"/>
    <w:rsid w:val="007727BE"/>
    <w:rsid w:val="00772DA2"/>
    <w:rsid w:val="00772E50"/>
    <w:rsid w:val="0077334B"/>
    <w:rsid w:val="00773920"/>
    <w:rsid w:val="00773C7D"/>
    <w:rsid w:val="00774EE8"/>
    <w:rsid w:val="00775010"/>
    <w:rsid w:val="0077556E"/>
    <w:rsid w:val="0077576B"/>
    <w:rsid w:val="00775B37"/>
    <w:rsid w:val="00775BDE"/>
    <w:rsid w:val="00776BA1"/>
    <w:rsid w:val="0077765F"/>
    <w:rsid w:val="007776C2"/>
    <w:rsid w:val="00777EE7"/>
    <w:rsid w:val="007804C6"/>
    <w:rsid w:val="0078083C"/>
    <w:rsid w:val="00781AA3"/>
    <w:rsid w:val="00781AF1"/>
    <w:rsid w:val="00782664"/>
    <w:rsid w:val="00782875"/>
    <w:rsid w:val="00782C73"/>
    <w:rsid w:val="00782D6A"/>
    <w:rsid w:val="0078428B"/>
    <w:rsid w:val="00784410"/>
    <w:rsid w:val="00784558"/>
    <w:rsid w:val="007862AE"/>
    <w:rsid w:val="00786C75"/>
    <w:rsid w:val="00787229"/>
    <w:rsid w:val="007874C1"/>
    <w:rsid w:val="00787B06"/>
    <w:rsid w:val="00790530"/>
    <w:rsid w:val="00790768"/>
    <w:rsid w:val="00790802"/>
    <w:rsid w:val="00790ECF"/>
    <w:rsid w:val="0079102D"/>
    <w:rsid w:val="007910A8"/>
    <w:rsid w:val="0079154C"/>
    <w:rsid w:val="00792A58"/>
    <w:rsid w:val="00793132"/>
    <w:rsid w:val="00793631"/>
    <w:rsid w:val="0079385E"/>
    <w:rsid w:val="00794363"/>
    <w:rsid w:val="00794572"/>
    <w:rsid w:val="00794B42"/>
    <w:rsid w:val="00794C2D"/>
    <w:rsid w:val="00794D34"/>
    <w:rsid w:val="00795C11"/>
    <w:rsid w:val="00797D92"/>
    <w:rsid w:val="007A011D"/>
    <w:rsid w:val="007A0272"/>
    <w:rsid w:val="007A03B2"/>
    <w:rsid w:val="007A065A"/>
    <w:rsid w:val="007A07CC"/>
    <w:rsid w:val="007A0968"/>
    <w:rsid w:val="007A0F7F"/>
    <w:rsid w:val="007A113F"/>
    <w:rsid w:val="007A1724"/>
    <w:rsid w:val="007A175C"/>
    <w:rsid w:val="007A24C0"/>
    <w:rsid w:val="007A2952"/>
    <w:rsid w:val="007A2E06"/>
    <w:rsid w:val="007A2F07"/>
    <w:rsid w:val="007A31E3"/>
    <w:rsid w:val="007A32EE"/>
    <w:rsid w:val="007A3670"/>
    <w:rsid w:val="007A3A58"/>
    <w:rsid w:val="007A3D30"/>
    <w:rsid w:val="007A49F0"/>
    <w:rsid w:val="007A5027"/>
    <w:rsid w:val="007A552E"/>
    <w:rsid w:val="007A6C3E"/>
    <w:rsid w:val="007A7D5C"/>
    <w:rsid w:val="007B0E8F"/>
    <w:rsid w:val="007B1A87"/>
    <w:rsid w:val="007B1A94"/>
    <w:rsid w:val="007B201C"/>
    <w:rsid w:val="007B23F7"/>
    <w:rsid w:val="007B296E"/>
    <w:rsid w:val="007B2ED3"/>
    <w:rsid w:val="007B36B9"/>
    <w:rsid w:val="007B4252"/>
    <w:rsid w:val="007B4E6D"/>
    <w:rsid w:val="007B610D"/>
    <w:rsid w:val="007B626C"/>
    <w:rsid w:val="007B6432"/>
    <w:rsid w:val="007B65D8"/>
    <w:rsid w:val="007B725B"/>
    <w:rsid w:val="007B72B2"/>
    <w:rsid w:val="007C0913"/>
    <w:rsid w:val="007C0A02"/>
    <w:rsid w:val="007C11C4"/>
    <w:rsid w:val="007C134E"/>
    <w:rsid w:val="007C1E1B"/>
    <w:rsid w:val="007C247D"/>
    <w:rsid w:val="007C269E"/>
    <w:rsid w:val="007C346B"/>
    <w:rsid w:val="007C3A95"/>
    <w:rsid w:val="007C401D"/>
    <w:rsid w:val="007C4877"/>
    <w:rsid w:val="007C5F44"/>
    <w:rsid w:val="007C729C"/>
    <w:rsid w:val="007C7C22"/>
    <w:rsid w:val="007D0087"/>
    <w:rsid w:val="007D0104"/>
    <w:rsid w:val="007D02A1"/>
    <w:rsid w:val="007D0AD0"/>
    <w:rsid w:val="007D11C9"/>
    <w:rsid w:val="007D3035"/>
    <w:rsid w:val="007D327E"/>
    <w:rsid w:val="007D4BBA"/>
    <w:rsid w:val="007D4CFA"/>
    <w:rsid w:val="007D50BC"/>
    <w:rsid w:val="007D66FF"/>
    <w:rsid w:val="007D71D7"/>
    <w:rsid w:val="007D7263"/>
    <w:rsid w:val="007D74B7"/>
    <w:rsid w:val="007D7862"/>
    <w:rsid w:val="007D7C26"/>
    <w:rsid w:val="007E0B11"/>
    <w:rsid w:val="007E0B5C"/>
    <w:rsid w:val="007E0E04"/>
    <w:rsid w:val="007E0E57"/>
    <w:rsid w:val="007E1137"/>
    <w:rsid w:val="007E1892"/>
    <w:rsid w:val="007E3570"/>
    <w:rsid w:val="007E35A4"/>
    <w:rsid w:val="007E37EB"/>
    <w:rsid w:val="007E38B2"/>
    <w:rsid w:val="007E3DA2"/>
    <w:rsid w:val="007E4890"/>
    <w:rsid w:val="007E4C8E"/>
    <w:rsid w:val="007E4FF1"/>
    <w:rsid w:val="007E643E"/>
    <w:rsid w:val="007E747B"/>
    <w:rsid w:val="007E7E8D"/>
    <w:rsid w:val="007F0059"/>
    <w:rsid w:val="007F05DE"/>
    <w:rsid w:val="007F1086"/>
    <w:rsid w:val="007F15D9"/>
    <w:rsid w:val="007F2D35"/>
    <w:rsid w:val="007F3152"/>
    <w:rsid w:val="007F31F3"/>
    <w:rsid w:val="007F3645"/>
    <w:rsid w:val="007F3844"/>
    <w:rsid w:val="007F3AE8"/>
    <w:rsid w:val="007F4321"/>
    <w:rsid w:val="007F4BA7"/>
    <w:rsid w:val="007F5068"/>
    <w:rsid w:val="007F5342"/>
    <w:rsid w:val="007F54FF"/>
    <w:rsid w:val="007F5CC8"/>
    <w:rsid w:val="007F6331"/>
    <w:rsid w:val="007F696B"/>
    <w:rsid w:val="007F69FD"/>
    <w:rsid w:val="007F6BB1"/>
    <w:rsid w:val="007F76B4"/>
    <w:rsid w:val="008000A3"/>
    <w:rsid w:val="00800181"/>
    <w:rsid w:val="008015AF"/>
    <w:rsid w:val="008015F2"/>
    <w:rsid w:val="008025C3"/>
    <w:rsid w:val="0080265B"/>
    <w:rsid w:val="008027E2"/>
    <w:rsid w:val="00803257"/>
    <w:rsid w:val="00803C91"/>
    <w:rsid w:val="00804464"/>
    <w:rsid w:val="00805121"/>
    <w:rsid w:val="00805C3D"/>
    <w:rsid w:val="00805EBD"/>
    <w:rsid w:val="008060D0"/>
    <w:rsid w:val="008061D4"/>
    <w:rsid w:val="008068EC"/>
    <w:rsid w:val="00806915"/>
    <w:rsid w:val="008076A8"/>
    <w:rsid w:val="00807A0A"/>
    <w:rsid w:val="00807EA7"/>
    <w:rsid w:val="0081037F"/>
    <w:rsid w:val="008104EA"/>
    <w:rsid w:val="0081094F"/>
    <w:rsid w:val="00811DE8"/>
    <w:rsid w:val="00812107"/>
    <w:rsid w:val="0081258F"/>
    <w:rsid w:val="008126DE"/>
    <w:rsid w:val="0081285D"/>
    <w:rsid w:val="00813119"/>
    <w:rsid w:val="00813BB2"/>
    <w:rsid w:val="00813E5E"/>
    <w:rsid w:val="00813F2A"/>
    <w:rsid w:val="00813FE0"/>
    <w:rsid w:val="0081414D"/>
    <w:rsid w:val="008153C5"/>
    <w:rsid w:val="00815974"/>
    <w:rsid w:val="00815E8A"/>
    <w:rsid w:val="00816778"/>
    <w:rsid w:val="008179E3"/>
    <w:rsid w:val="00817E7E"/>
    <w:rsid w:val="00817F70"/>
    <w:rsid w:val="0082007B"/>
    <w:rsid w:val="00820ACD"/>
    <w:rsid w:val="00821A38"/>
    <w:rsid w:val="00821A48"/>
    <w:rsid w:val="00821AE4"/>
    <w:rsid w:val="00821C1D"/>
    <w:rsid w:val="00822330"/>
    <w:rsid w:val="00822ADD"/>
    <w:rsid w:val="00823212"/>
    <w:rsid w:val="008235A8"/>
    <w:rsid w:val="008241E6"/>
    <w:rsid w:val="00824F4A"/>
    <w:rsid w:val="00826B78"/>
    <w:rsid w:val="00826FAC"/>
    <w:rsid w:val="0082727D"/>
    <w:rsid w:val="00827FF8"/>
    <w:rsid w:val="0083040F"/>
    <w:rsid w:val="0083054B"/>
    <w:rsid w:val="008306E0"/>
    <w:rsid w:val="00830C3D"/>
    <w:rsid w:val="00830CA5"/>
    <w:rsid w:val="008311B0"/>
    <w:rsid w:val="008312AF"/>
    <w:rsid w:val="00831BFD"/>
    <w:rsid w:val="00832C65"/>
    <w:rsid w:val="008330AF"/>
    <w:rsid w:val="008333CA"/>
    <w:rsid w:val="00833B63"/>
    <w:rsid w:val="00834D1F"/>
    <w:rsid w:val="00835082"/>
    <w:rsid w:val="0083581B"/>
    <w:rsid w:val="008362EC"/>
    <w:rsid w:val="0083697E"/>
    <w:rsid w:val="00836BFE"/>
    <w:rsid w:val="00836DBF"/>
    <w:rsid w:val="008372E8"/>
    <w:rsid w:val="00840208"/>
    <w:rsid w:val="00840795"/>
    <w:rsid w:val="00840A43"/>
    <w:rsid w:val="00840B74"/>
    <w:rsid w:val="00840C32"/>
    <w:rsid w:val="00840FBE"/>
    <w:rsid w:val="00841305"/>
    <w:rsid w:val="00841449"/>
    <w:rsid w:val="00841874"/>
    <w:rsid w:val="00841ADF"/>
    <w:rsid w:val="00842AAC"/>
    <w:rsid w:val="00843991"/>
    <w:rsid w:val="00843FEA"/>
    <w:rsid w:val="00844D34"/>
    <w:rsid w:val="0084510F"/>
    <w:rsid w:val="008452C8"/>
    <w:rsid w:val="008455F8"/>
    <w:rsid w:val="008459BF"/>
    <w:rsid w:val="00846D1B"/>
    <w:rsid w:val="008474F6"/>
    <w:rsid w:val="00847634"/>
    <w:rsid w:val="00847B64"/>
    <w:rsid w:val="0085093C"/>
    <w:rsid w:val="00850AE6"/>
    <w:rsid w:val="00850C5F"/>
    <w:rsid w:val="00851421"/>
    <w:rsid w:val="00851C2C"/>
    <w:rsid w:val="00851D7C"/>
    <w:rsid w:val="0085222A"/>
    <w:rsid w:val="00852DF4"/>
    <w:rsid w:val="00853033"/>
    <w:rsid w:val="0085330E"/>
    <w:rsid w:val="00853DD6"/>
    <w:rsid w:val="00854821"/>
    <w:rsid w:val="008553F0"/>
    <w:rsid w:val="00855697"/>
    <w:rsid w:val="00855D07"/>
    <w:rsid w:val="008565D3"/>
    <w:rsid w:val="00856E7D"/>
    <w:rsid w:val="0085793B"/>
    <w:rsid w:val="00860B07"/>
    <w:rsid w:val="00860C6B"/>
    <w:rsid w:val="00860CE2"/>
    <w:rsid w:val="008617E3"/>
    <w:rsid w:val="00862995"/>
    <w:rsid w:val="00862EAD"/>
    <w:rsid w:val="0086447F"/>
    <w:rsid w:val="00864A9D"/>
    <w:rsid w:val="00864AFF"/>
    <w:rsid w:val="00864D0F"/>
    <w:rsid w:val="008651F2"/>
    <w:rsid w:val="00865543"/>
    <w:rsid w:val="00866634"/>
    <w:rsid w:val="0086719F"/>
    <w:rsid w:val="0087089D"/>
    <w:rsid w:val="008708D2"/>
    <w:rsid w:val="008713B0"/>
    <w:rsid w:val="00874499"/>
    <w:rsid w:val="00874565"/>
    <w:rsid w:val="008746FA"/>
    <w:rsid w:val="008747B0"/>
    <w:rsid w:val="00874EE3"/>
    <w:rsid w:val="0087549D"/>
    <w:rsid w:val="008758AF"/>
    <w:rsid w:val="00875A9C"/>
    <w:rsid w:val="00876002"/>
    <w:rsid w:val="008761FD"/>
    <w:rsid w:val="00876378"/>
    <w:rsid w:val="00876866"/>
    <w:rsid w:val="008769F7"/>
    <w:rsid w:val="00876B46"/>
    <w:rsid w:val="00876DAD"/>
    <w:rsid w:val="00876E7C"/>
    <w:rsid w:val="008774D3"/>
    <w:rsid w:val="0087761F"/>
    <w:rsid w:val="00877BA7"/>
    <w:rsid w:val="00877C20"/>
    <w:rsid w:val="008808AA"/>
    <w:rsid w:val="00880BD0"/>
    <w:rsid w:val="00882B3A"/>
    <w:rsid w:val="00883297"/>
    <w:rsid w:val="00883812"/>
    <w:rsid w:val="00883A18"/>
    <w:rsid w:val="00884AD0"/>
    <w:rsid w:val="00884D5A"/>
    <w:rsid w:val="00884EB9"/>
    <w:rsid w:val="00884F50"/>
    <w:rsid w:val="00885437"/>
    <w:rsid w:val="0088592C"/>
    <w:rsid w:val="00885D1B"/>
    <w:rsid w:val="00886FFF"/>
    <w:rsid w:val="008908AB"/>
    <w:rsid w:val="00891C8C"/>
    <w:rsid w:val="00891E79"/>
    <w:rsid w:val="008924DD"/>
    <w:rsid w:val="00892947"/>
    <w:rsid w:val="00892E42"/>
    <w:rsid w:val="00893CFA"/>
    <w:rsid w:val="00893D77"/>
    <w:rsid w:val="008941A4"/>
    <w:rsid w:val="00894DA3"/>
    <w:rsid w:val="00894F92"/>
    <w:rsid w:val="0089539D"/>
    <w:rsid w:val="00895E88"/>
    <w:rsid w:val="008963B5"/>
    <w:rsid w:val="00896AAE"/>
    <w:rsid w:val="0089730A"/>
    <w:rsid w:val="008979C4"/>
    <w:rsid w:val="00897D23"/>
    <w:rsid w:val="008A02ED"/>
    <w:rsid w:val="008A0ADC"/>
    <w:rsid w:val="008A0B8C"/>
    <w:rsid w:val="008A0BF3"/>
    <w:rsid w:val="008A0E65"/>
    <w:rsid w:val="008A11D0"/>
    <w:rsid w:val="008A1508"/>
    <w:rsid w:val="008A1735"/>
    <w:rsid w:val="008A2B46"/>
    <w:rsid w:val="008A2F0A"/>
    <w:rsid w:val="008A3F5C"/>
    <w:rsid w:val="008A4001"/>
    <w:rsid w:val="008A5233"/>
    <w:rsid w:val="008A5E54"/>
    <w:rsid w:val="008A623D"/>
    <w:rsid w:val="008A63B5"/>
    <w:rsid w:val="008A6431"/>
    <w:rsid w:val="008A643F"/>
    <w:rsid w:val="008A6529"/>
    <w:rsid w:val="008A687F"/>
    <w:rsid w:val="008A7383"/>
    <w:rsid w:val="008A7B41"/>
    <w:rsid w:val="008A7DDF"/>
    <w:rsid w:val="008A7F19"/>
    <w:rsid w:val="008A7FE5"/>
    <w:rsid w:val="008B0FBD"/>
    <w:rsid w:val="008B17CC"/>
    <w:rsid w:val="008B3D52"/>
    <w:rsid w:val="008B3D99"/>
    <w:rsid w:val="008B3FA9"/>
    <w:rsid w:val="008B3FE8"/>
    <w:rsid w:val="008B436A"/>
    <w:rsid w:val="008B49E5"/>
    <w:rsid w:val="008B4A6A"/>
    <w:rsid w:val="008B51A6"/>
    <w:rsid w:val="008B56DF"/>
    <w:rsid w:val="008B5723"/>
    <w:rsid w:val="008B59FD"/>
    <w:rsid w:val="008B6358"/>
    <w:rsid w:val="008B637D"/>
    <w:rsid w:val="008B6471"/>
    <w:rsid w:val="008B6C2F"/>
    <w:rsid w:val="008B6EC8"/>
    <w:rsid w:val="008B7182"/>
    <w:rsid w:val="008B75E3"/>
    <w:rsid w:val="008B7C85"/>
    <w:rsid w:val="008C0477"/>
    <w:rsid w:val="008C1140"/>
    <w:rsid w:val="008C188D"/>
    <w:rsid w:val="008C25A6"/>
    <w:rsid w:val="008C2955"/>
    <w:rsid w:val="008C551C"/>
    <w:rsid w:val="008C6139"/>
    <w:rsid w:val="008C7E27"/>
    <w:rsid w:val="008C7E75"/>
    <w:rsid w:val="008D0483"/>
    <w:rsid w:val="008D0674"/>
    <w:rsid w:val="008D06F1"/>
    <w:rsid w:val="008D0826"/>
    <w:rsid w:val="008D1744"/>
    <w:rsid w:val="008D17AC"/>
    <w:rsid w:val="008D25B0"/>
    <w:rsid w:val="008D32FB"/>
    <w:rsid w:val="008D382E"/>
    <w:rsid w:val="008D3C00"/>
    <w:rsid w:val="008D3D72"/>
    <w:rsid w:val="008D41FC"/>
    <w:rsid w:val="008D4651"/>
    <w:rsid w:val="008D4953"/>
    <w:rsid w:val="008D4ED9"/>
    <w:rsid w:val="008D560C"/>
    <w:rsid w:val="008D59A5"/>
    <w:rsid w:val="008D60FE"/>
    <w:rsid w:val="008D6711"/>
    <w:rsid w:val="008D6C99"/>
    <w:rsid w:val="008D6F84"/>
    <w:rsid w:val="008D6FDF"/>
    <w:rsid w:val="008D7022"/>
    <w:rsid w:val="008D7198"/>
    <w:rsid w:val="008D791B"/>
    <w:rsid w:val="008D7B67"/>
    <w:rsid w:val="008D7E13"/>
    <w:rsid w:val="008E02B4"/>
    <w:rsid w:val="008E05D1"/>
    <w:rsid w:val="008E2555"/>
    <w:rsid w:val="008E2834"/>
    <w:rsid w:val="008E2AD4"/>
    <w:rsid w:val="008E33CE"/>
    <w:rsid w:val="008E3CD6"/>
    <w:rsid w:val="008E4228"/>
    <w:rsid w:val="008E4DF2"/>
    <w:rsid w:val="008E5226"/>
    <w:rsid w:val="008E5816"/>
    <w:rsid w:val="008E5AA4"/>
    <w:rsid w:val="008E5B5E"/>
    <w:rsid w:val="008E5F74"/>
    <w:rsid w:val="008E5FA2"/>
    <w:rsid w:val="008E6429"/>
    <w:rsid w:val="008E723B"/>
    <w:rsid w:val="008E7307"/>
    <w:rsid w:val="008E7BCC"/>
    <w:rsid w:val="008F0435"/>
    <w:rsid w:val="008F07F3"/>
    <w:rsid w:val="008F09DA"/>
    <w:rsid w:val="008F0ABB"/>
    <w:rsid w:val="008F1464"/>
    <w:rsid w:val="008F1584"/>
    <w:rsid w:val="008F15E9"/>
    <w:rsid w:val="008F15EC"/>
    <w:rsid w:val="008F1FA2"/>
    <w:rsid w:val="008F2678"/>
    <w:rsid w:val="008F2E72"/>
    <w:rsid w:val="008F33DF"/>
    <w:rsid w:val="008F4145"/>
    <w:rsid w:val="008F4496"/>
    <w:rsid w:val="008F4C3C"/>
    <w:rsid w:val="008F4F33"/>
    <w:rsid w:val="008F5784"/>
    <w:rsid w:val="008F5DD6"/>
    <w:rsid w:val="008F6441"/>
    <w:rsid w:val="008F65D0"/>
    <w:rsid w:val="008F67CD"/>
    <w:rsid w:val="008F6E84"/>
    <w:rsid w:val="008F705E"/>
    <w:rsid w:val="008F76A1"/>
    <w:rsid w:val="008F79E1"/>
    <w:rsid w:val="008F7AA6"/>
    <w:rsid w:val="008F7F60"/>
    <w:rsid w:val="009006BD"/>
    <w:rsid w:val="00900732"/>
    <w:rsid w:val="009009FF"/>
    <w:rsid w:val="00901DB6"/>
    <w:rsid w:val="00902496"/>
    <w:rsid w:val="00902E5D"/>
    <w:rsid w:val="00903056"/>
    <w:rsid w:val="00903C8F"/>
    <w:rsid w:val="00903EA1"/>
    <w:rsid w:val="009053D6"/>
    <w:rsid w:val="0090586A"/>
    <w:rsid w:val="00905D87"/>
    <w:rsid w:val="00906209"/>
    <w:rsid w:val="009064C3"/>
    <w:rsid w:val="009067F6"/>
    <w:rsid w:val="009070CC"/>
    <w:rsid w:val="0090761E"/>
    <w:rsid w:val="009076B3"/>
    <w:rsid w:val="00907FFE"/>
    <w:rsid w:val="00910855"/>
    <w:rsid w:val="009116EB"/>
    <w:rsid w:val="00911B53"/>
    <w:rsid w:val="009122C5"/>
    <w:rsid w:val="00912329"/>
    <w:rsid w:val="009128AC"/>
    <w:rsid w:val="00912C0A"/>
    <w:rsid w:val="00913058"/>
    <w:rsid w:val="009134CB"/>
    <w:rsid w:val="009138C2"/>
    <w:rsid w:val="0091390C"/>
    <w:rsid w:val="009144D6"/>
    <w:rsid w:val="00914A81"/>
    <w:rsid w:val="00914C09"/>
    <w:rsid w:val="00914E30"/>
    <w:rsid w:val="00915558"/>
    <w:rsid w:val="00915770"/>
    <w:rsid w:val="009162E6"/>
    <w:rsid w:val="009170DF"/>
    <w:rsid w:val="009172C4"/>
    <w:rsid w:val="009173EF"/>
    <w:rsid w:val="00920BB7"/>
    <w:rsid w:val="00920F83"/>
    <w:rsid w:val="00920FD8"/>
    <w:rsid w:val="009215B6"/>
    <w:rsid w:val="009215BA"/>
    <w:rsid w:val="009220E1"/>
    <w:rsid w:val="00922458"/>
    <w:rsid w:val="0092245C"/>
    <w:rsid w:val="009228D9"/>
    <w:rsid w:val="00922BC7"/>
    <w:rsid w:val="009242D8"/>
    <w:rsid w:val="00924559"/>
    <w:rsid w:val="00924AF3"/>
    <w:rsid w:val="00925335"/>
    <w:rsid w:val="0092544B"/>
    <w:rsid w:val="009256A7"/>
    <w:rsid w:val="00925829"/>
    <w:rsid w:val="009259A7"/>
    <w:rsid w:val="00927BDD"/>
    <w:rsid w:val="00930754"/>
    <w:rsid w:val="009308CA"/>
    <w:rsid w:val="00931193"/>
    <w:rsid w:val="009313A6"/>
    <w:rsid w:val="00931FB7"/>
    <w:rsid w:val="00932005"/>
    <w:rsid w:val="00932906"/>
    <w:rsid w:val="00932EEE"/>
    <w:rsid w:val="00932EF7"/>
    <w:rsid w:val="009332DC"/>
    <w:rsid w:val="0093368A"/>
    <w:rsid w:val="009337B4"/>
    <w:rsid w:val="00933C1C"/>
    <w:rsid w:val="00933D47"/>
    <w:rsid w:val="009347F6"/>
    <w:rsid w:val="009353BF"/>
    <w:rsid w:val="0093576A"/>
    <w:rsid w:val="00935872"/>
    <w:rsid w:val="00935E87"/>
    <w:rsid w:val="00936114"/>
    <w:rsid w:val="00936D61"/>
    <w:rsid w:val="009405A7"/>
    <w:rsid w:val="00940889"/>
    <w:rsid w:val="00940926"/>
    <w:rsid w:val="009434C2"/>
    <w:rsid w:val="00943BB9"/>
    <w:rsid w:val="0094402C"/>
    <w:rsid w:val="0094411C"/>
    <w:rsid w:val="009455FB"/>
    <w:rsid w:val="00946180"/>
    <w:rsid w:val="00946215"/>
    <w:rsid w:val="009465DA"/>
    <w:rsid w:val="00946C0C"/>
    <w:rsid w:val="00946F9B"/>
    <w:rsid w:val="009475E1"/>
    <w:rsid w:val="00950799"/>
    <w:rsid w:val="00950C99"/>
    <w:rsid w:val="009514B0"/>
    <w:rsid w:val="00951558"/>
    <w:rsid w:val="00952220"/>
    <w:rsid w:val="0095235F"/>
    <w:rsid w:val="00952504"/>
    <w:rsid w:val="0095256C"/>
    <w:rsid w:val="00953101"/>
    <w:rsid w:val="0095445B"/>
    <w:rsid w:val="00954471"/>
    <w:rsid w:val="00954583"/>
    <w:rsid w:val="009558B3"/>
    <w:rsid w:val="0095685E"/>
    <w:rsid w:val="00956903"/>
    <w:rsid w:val="00956DA0"/>
    <w:rsid w:val="00957DEC"/>
    <w:rsid w:val="00960153"/>
    <w:rsid w:val="00960792"/>
    <w:rsid w:val="009618C6"/>
    <w:rsid w:val="00961B0B"/>
    <w:rsid w:val="00961E54"/>
    <w:rsid w:val="009623EA"/>
    <w:rsid w:val="00962DB3"/>
    <w:rsid w:val="0096438E"/>
    <w:rsid w:val="00964C2C"/>
    <w:rsid w:val="00964C58"/>
    <w:rsid w:val="00965860"/>
    <w:rsid w:val="00965BF4"/>
    <w:rsid w:val="00966288"/>
    <w:rsid w:val="009665FF"/>
    <w:rsid w:val="00966752"/>
    <w:rsid w:val="0096783F"/>
    <w:rsid w:val="00970614"/>
    <w:rsid w:val="00970740"/>
    <w:rsid w:val="00970896"/>
    <w:rsid w:val="0097099C"/>
    <w:rsid w:val="00970A27"/>
    <w:rsid w:val="00971035"/>
    <w:rsid w:val="009714B9"/>
    <w:rsid w:val="009717BA"/>
    <w:rsid w:val="009717F5"/>
    <w:rsid w:val="00971954"/>
    <w:rsid w:val="009726F2"/>
    <w:rsid w:val="00972B0D"/>
    <w:rsid w:val="00972D89"/>
    <w:rsid w:val="009735A7"/>
    <w:rsid w:val="00973D42"/>
    <w:rsid w:val="009742E4"/>
    <w:rsid w:val="0097542C"/>
    <w:rsid w:val="00975574"/>
    <w:rsid w:val="009757D9"/>
    <w:rsid w:val="00975CC2"/>
    <w:rsid w:val="00975F9D"/>
    <w:rsid w:val="00980006"/>
    <w:rsid w:val="009803FA"/>
    <w:rsid w:val="009803FC"/>
    <w:rsid w:val="0098051D"/>
    <w:rsid w:val="0098113A"/>
    <w:rsid w:val="009811AC"/>
    <w:rsid w:val="00981780"/>
    <w:rsid w:val="00981FA7"/>
    <w:rsid w:val="00982619"/>
    <w:rsid w:val="00982FC1"/>
    <w:rsid w:val="009832E6"/>
    <w:rsid w:val="00983391"/>
    <w:rsid w:val="009838B0"/>
    <w:rsid w:val="00983A65"/>
    <w:rsid w:val="00983BAA"/>
    <w:rsid w:val="00983DD0"/>
    <w:rsid w:val="009842BA"/>
    <w:rsid w:val="00984B5B"/>
    <w:rsid w:val="00984C92"/>
    <w:rsid w:val="00985154"/>
    <w:rsid w:val="0098570D"/>
    <w:rsid w:val="00985A66"/>
    <w:rsid w:val="0098600C"/>
    <w:rsid w:val="00987260"/>
    <w:rsid w:val="009873C6"/>
    <w:rsid w:val="00987C4A"/>
    <w:rsid w:val="009900B0"/>
    <w:rsid w:val="0099096C"/>
    <w:rsid w:val="00990DB2"/>
    <w:rsid w:val="009913CF"/>
    <w:rsid w:val="00991717"/>
    <w:rsid w:val="00992867"/>
    <w:rsid w:val="00993203"/>
    <w:rsid w:val="009935A1"/>
    <w:rsid w:val="00995601"/>
    <w:rsid w:val="0099587F"/>
    <w:rsid w:val="00996A87"/>
    <w:rsid w:val="00996E1A"/>
    <w:rsid w:val="00997A20"/>
    <w:rsid w:val="009A0A3A"/>
    <w:rsid w:val="009A0DC5"/>
    <w:rsid w:val="009A222F"/>
    <w:rsid w:val="009A2E60"/>
    <w:rsid w:val="009A4679"/>
    <w:rsid w:val="009A565D"/>
    <w:rsid w:val="009A5FC6"/>
    <w:rsid w:val="009A640E"/>
    <w:rsid w:val="009A6474"/>
    <w:rsid w:val="009A6634"/>
    <w:rsid w:val="009A779C"/>
    <w:rsid w:val="009A7B07"/>
    <w:rsid w:val="009A7CCD"/>
    <w:rsid w:val="009B0CD8"/>
    <w:rsid w:val="009B1B15"/>
    <w:rsid w:val="009B1EEB"/>
    <w:rsid w:val="009B20A6"/>
    <w:rsid w:val="009B2104"/>
    <w:rsid w:val="009B2954"/>
    <w:rsid w:val="009B36AD"/>
    <w:rsid w:val="009B4805"/>
    <w:rsid w:val="009B4E18"/>
    <w:rsid w:val="009B4E69"/>
    <w:rsid w:val="009B566E"/>
    <w:rsid w:val="009B5694"/>
    <w:rsid w:val="009B5838"/>
    <w:rsid w:val="009B63BD"/>
    <w:rsid w:val="009B7296"/>
    <w:rsid w:val="009B73EF"/>
    <w:rsid w:val="009C03AE"/>
    <w:rsid w:val="009C0511"/>
    <w:rsid w:val="009C0AE0"/>
    <w:rsid w:val="009C1B6C"/>
    <w:rsid w:val="009C2849"/>
    <w:rsid w:val="009C285D"/>
    <w:rsid w:val="009C2A9F"/>
    <w:rsid w:val="009C2E5E"/>
    <w:rsid w:val="009C337E"/>
    <w:rsid w:val="009C44AC"/>
    <w:rsid w:val="009C4949"/>
    <w:rsid w:val="009C4ABA"/>
    <w:rsid w:val="009C4CA1"/>
    <w:rsid w:val="009C547C"/>
    <w:rsid w:val="009C5595"/>
    <w:rsid w:val="009C658D"/>
    <w:rsid w:val="009C6CF8"/>
    <w:rsid w:val="009C7054"/>
    <w:rsid w:val="009C75F8"/>
    <w:rsid w:val="009C7A12"/>
    <w:rsid w:val="009C7EF9"/>
    <w:rsid w:val="009D015A"/>
    <w:rsid w:val="009D0398"/>
    <w:rsid w:val="009D1098"/>
    <w:rsid w:val="009D254D"/>
    <w:rsid w:val="009D2797"/>
    <w:rsid w:val="009D28A2"/>
    <w:rsid w:val="009D2AFE"/>
    <w:rsid w:val="009D2FF5"/>
    <w:rsid w:val="009D3CDD"/>
    <w:rsid w:val="009D3F2E"/>
    <w:rsid w:val="009D47E4"/>
    <w:rsid w:val="009D4975"/>
    <w:rsid w:val="009D4C7B"/>
    <w:rsid w:val="009D4CB9"/>
    <w:rsid w:val="009D4EAB"/>
    <w:rsid w:val="009D53F0"/>
    <w:rsid w:val="009D5D37"/>
    <w:rsid w:val="009D5D81"/>
    <w:rsid w:val="009D7522"/>
    <w:rsid w:val="009E07AD"/>
    <w:rsid w:val="009E13BD"/>
    <w:rsid w:val="009E17BD"/>
    <w:rsid w:val="009E18CA"/>
    <w:rsid w:val="009E1ABD"/>
    <w:rsid w:val="009E1B6D"/>
    <w:rsid w:val="009E2817"/>
    <w:rsid w:val="009E3B74"/>
    <w:rsid w:val="009E4C6F"/>
    <w:rsid w:val="009E51A6"/>
    <w:rsid w:val="009E5368"/>
    <w:rsid w:val="009E540A"/>
    <w:rsid w:val="009E6928"/>
    <w:rsid w:val="009E79DA"/>
    <w:rsid w:val="009E7B63"/>
    <w:rsid w:val="009F0407"/>
    <w:rsid w:val="009F0E44"/>
    <w:rsid w:val="009F16EC"/>
    <w:rsid w:val="009F18E2"/>
    <w:rsid w:val="009F1C4F"/>
    <w:rsid w:val="009F1CAC"/>
    <w:rsid w:val="009F211B"/>
    <w:rsid w:val="009F294E"/>
    <w:rsid w:val="009F2A92"/>
    <w:rsid w:val="009F32CA"/>
    <w:rsid w:val="009F3607"/>
    <w:rsid w:val="009F397E"/>
    <w:rsid w:val="009F3B49"/>
    <w:rsid w:val="009F42F6"/>
    <w:rsid w:val="009F430D"/>
    <w:rsid w:val="009F48B6"/>
    <w:rsid w:val="009F4DDB"/>
    <w:rsid w:val="009F55B6"/>
    <w:rsid w:val="009F561B"/>
    <w:rsid w:val="009F60E1"/>
    <w:rsid w:val="009F68AC"/>
    <w:rsid w:val="009F6A46"/>
    <w:rsid w:val="009F6B74"/>
    <w:rsid w:val="009F6FA2"/>
    <w:rsid w:val="009F730F"/>
    <w:rsid w:val="00A003B2"/>
    <w:rsid w:val="00A00AE2"/>
    <w:rsid w:val="00A00AFA"/>
    <w:rsid w:val="00A00B0F"/>
    <w:rsid w:val="00A01021"/>
    <w:rsid w:val="00A012F3"/>
    <w:rsid w:val="00A014BC"/>
    <w:rsid w:val="00A014F1"/>
    <w:rsid w:val="00A0167F"/>
    <w:rsid w:val="00A01B9D"/>
    <w:rsid w:val="00A02316"/>
    <w:rsid w:val="00A027BD"/>
    <w:rsid w:val="00A02FC3"/>
    <w:rsid w:val="00A036E9"/>
    <w:rsid w:val="00A03FE9"/>
    <w:rsid w:val="00A04CEC"/>
    <w:rsid w:val="00A05F95"/>
    <w:rsid w:val="00A07BEA"/>
    <w:rsid w:val="00A07C9C"/>
    <w:rsid w:val="00A10541"/>
    <w:rsid w:val="00A1077C"/>
    <w:rsid w:val="00A10B92"/>
    <w:rsid w:val="00A11AB1"/>
    <w:rsid w:val="00A125C5"/>
    <w:rsid w:val="00A12839"/>
    <w:rsid w:val="00A13182"/>
    <w:rsid w:val="00A13247"/>
    <w:rsid w:val="00A13886"/>
    <w:rsid w:val="00A13DEE"/>
    <w:rsid w:val="00A1460F"/>
    <w:rsid w:val="00A146E9"/>
    <w:rsid w:val="00A1528D"/>
    <w:rsid w:val="00A165D6"/>
    <w:rsid w:val="00A16C79"/>
    <w:rsid w:val="00A1715E"/>
    <w:rsid w:val="00A17679"/>
    <w:rsid w:val="00A17696"/>
    <w:rsid w:val="00A177FF"/>
    <w:rsid w:val="00A20140"/>
    <w:rsid w:val="00A201D4"/>
    <w:rsid w:val="00A20D11"/>
    <w:rsid w:val="00A2133F"/>
    <w:rsid w:val="00A21968"/>
    <w:rsid w:val="00A219E0"/>
    <w:rsid w:val="00A21CD5"/>
    <w:rsid w:val="00A21D2D"/>
    <w:rsid w:val="00A23073"/>
    <w:rsid w:val="00A23721"/>
    <w:rsid w:val="00A2471E"/>
    <w:rsid w:val="00A2514A"/>
    <w:rsid w:val="00A2598B"/>
    <w:rsid w:val="00A27B9C"/>
    <w:rsid w:val="00A27F92"/>
    <w:rsid w:val="00A30C49"/>
    <w:rsid w:val="00A310AA"/>
    <w:rsid w:val="00A310CE"/>
    <w:rsid w:val="00A317CE"/>
    <w:rsid w:val="00A32257"/>
    <w:rsid w:val="00A322C7"/>
    <w:rsid w:val="00A32D97"/>
    <w:rsid w:val="00A33B70"/>
    <w:rsid w:val="00A33C76"/>
    <w:rsid w:val="00A33FF0"/>
    <w:rsid w:val="00A348D8"/>
    <w:rsid w:val="00A35143"/>
    <w:rsid w:val="00A351F4"/>
    <w:rsid w:val="00A35689"/>
    <w:rsid w:val="00A35E58"/>
    <w:rsid w:val="00A362F1"/>
    <w:rsid w:val="00A36670"/>
    <w:rsid w:val="00A36CBC"/>
    <w:rsid w:val="00A372DE"/>
    <w:rsid w:val="00A37EC6"/>
    <w:rsid w:val="00A4027A"/>
    <w:rsid w:val="00A40F7E"/>
    <w:rsid w:val="00A40FFE"/>
    <w:rsid w:val="00A41AA7"/>
    <w:rsid w:val="00A42670"/>
    <w:rsid w:val="00A434DE"/>
    <w:rsid w:val="00A43A1C"/>
    <w:rsid w:val="00A43BBE"/>
    <w:rsid w:val="00A43DB6"/>
    <w:rsid w:val="00A44F43"/>
    <w:rsid w:val="00A4540F"/>
    <w:rsid w:val="00A45CE6"/>
    <w:rsid w:val="00A46461"/>
    <w:rsid w:val="00A46E15"/>
    <w:rsid w:val="00A47127"/>
    <w:rsid w:val="00A471DF"/>
    <w:rsid w:val="00A4720B"/>
    <w:rsid w:val="00A47550"/>
    <w:rsid w:val="00A50EBB"/>
    <w:rsid w:val="00A51870"/>
    <w:rsid w:val="00A51F37"/>
    <w:rsid w:val="00A5229F"/>
    <w:rsid w:val="00A5309C"/>
    <w:rsid w:val="00A53968"/>
    <w:rsid w:val="00A53E1B"/>
    <w:rsid w:val="00A53EFC"/>
    <w:rsid w:val="00A540B3"/>
    <w:rsid w:val="00A540B6"/>
    <w:rsid w:val="00A5413A"/>
    <w:rsid w:val="00A542CD"/>
    <w:rsid w:val="00A54388"/>
    <w:rsid w:val="00A55622"/>
    <w:rsid w:val="00A5572C"/>
    <w:rsid w:val="00A55C36"/>
    <w:rsid w:val="00A55FB2"/>
    <w:rsid w:val="00A56915"/>
    <w:rsid w:val="00A601E2"/>
    <w:rsid w:val="00A61AF8"/>
    <w:rsid w:val="00A62B91"/>
    <w:rsid w:val="00A634E2"/>
    <w:rsid w:val="00A63A3A"/>
    <w:rsid w:val="00A6404B"/>
    <w:rsid w:val="00A64860"/>
    <w:rsid w:val="00A64A9A"/>
    <w:rsid w:val="00A64B52"/>
    <w:rsid w:val="00A65A30"/>
    <w:rsid w:val="00A66CE4"/>
    <w:rsid w:val="00A66FC0"/>
    <w:rsid w:val="00A676BF"/>
    <w:rsid w:val="00A703D2"/>
    <w:rsid w:val="00A7046E"/>
    <w:rsid w:val="00A705FC"/>
    <w:rsid w:val="00A7118C"/>
    <w:rsid w:val="00A717BA"/>
    <w:rsid w:val="00A71945"/>
    <w:rsid w:val="00A71B11"/>
    <w:rsid w:val="00A72A24"/>
    <w:rsid w:val="00A72F86"/>
    <w:rsid w:val="00A73407"/>
    <w:rsid w:val="00A763A2"/>
    <w:rsid w:val="00A76A98"/>
    <w:rsid w:val="00A76D9C"/>
    <w:rsid w:val="00A77529"/>
    <w:rsid w:val="00A80E98"/>
    <w:rsid w:val="00A81316"/>
    <w:rsid w:val="00A8162F"/>
    <w:rsid w:val="00A817FC"/>
    <w:rsid w:val="00A81A5E"/>
    <w:rsid w:val="00A825E2"/>
    <w:rsid w:val="00A82DB1"/>
    <w:rsid w:val="00A83502"/>
    <w:rsid w:val="00A8479D"/>
    <w:rsid w:val="00A849F5"/>
    <w:rsid w:val="00A84A98"/>
    <w:rsid w:val="00A84E53"/>
    <w:rsid w:val="00A852C9"/>
    <w:rsid w:val="00A858C8"/>
    <w:rsid w:val="00A85953"/>
    <w:rsid w:val="00A859AE"/>
    <w:rsid w:val="00A85CD6"/>
    <w:rsid w:val="00A85E29"/>
    <w:rsid w:val="00A86FB6"/>
    <w:rsid w:val="00A87128"/>
    <w:rsid w:val="00A87F93"/>
    <w:rsid w:val="00A9013B"/>
    <w:rsid w:val="00A90A56"/>
    <w:rsid w:val="00A91641"/>
    <w:rsid w:val="00A916FF"/>
    <w:rsid w:val="00A9195B"/>
    <w:rsid w:val="00A91B6A"/>
    <w:rsid w:val="00A92380"/>
    <w:rsid w:val="00A929E6"/>
    <w:rsid w:val="00A93149"/>
    <w:rsid w:val="00A93260"/>
    <w:rsid w:val="00A93635"/>
    <w:rsid w:val="00A9386D"/>
    <w:rsid w:val="00A94BCD"/>
    <w:rsid w:val="00A95BAA"/>
    <w:rsid w:val="00A9736A"/>
    <w:rsid w:val="00A97703"/>
    <w:rsid w:val="00A97C83"/>
    <w:rsid w:val="00A97FB7"/>
    <w:rsid w:val="00AA0C55"/>
    <w:rsid w:val="00AA0E7E"/>
    <w:rsid w:val="00AA1187"/>
    <w:rsid w:val="00AA1577"/>
    <w:rsid w:val="00AA18AC"/>
    <w:rsid w:val="00AA1E3C"/>
    <w:rsid w:val="00AA20AB"/>
    <w:rsid w:val="00AA2488"/>
    <w:rsid w:val="00AA36C4"/>
    <w:rsid w:val="00AA3786"/>
    <w:rsid w:val="00AA3AC1"/>
    <w:rsid w:val="00AA421C"/>
    <w:rsid w:val="00AA446D"/>
    <w:rsid w:val="00AA4485"/>
    <w:rsid w:val="00AA4C06"/>
    <w:rsid w:val="00AA4C70"/>
    <w:rsid w:val="00AA57A1"/>
    <w:rsid w:val="00AA588E"/>
    <w:rsid w:val="00AA6326"/>
    <w:rsid w:val="00AA6932"/>
    <w:rsid w:val="00AA6F4B"/>
    <w:rsid w:val="00AA7224"/>
    <w:rsid w:val="00AA7263"/>
    <w:rsid w:val="00AA7C55"/>
    <w:rsid w:val="00AB0B77"/>
    <w:rsid w:val="00AB0BA6"/>
    <w:rsid w:val="00AB0CF2"/>
    <w:rsid w:val="00AB1394"/>
    <w:rsid w:val="00AB1945"/>
    <w:rsid w:val="00AB1BCD"/>
    <w:rsid w:val="00AB1CE1"/>
    <w:rsid w:val="00AB1FC8"/>
    <w:rsid w:val="00AB22E9"/>
    <w:rsid w:val="00AB3CAC"/>
    <w:rsid w:val="00AB400A"/>
    <w:rsid w:val="00AB457E"/>
    <w:rsid w:val="00AB4902"/>
    <w:rsid w:val="00AB4B58"/>
    <w:rsid w:val="00AB4BF4"/>
    <w:rsid w:val="00AB56B0"/>
    <w:rsid w:val="00AB5809"/>
    <w:rsid w:val="00AB5D27"/>
    <w:rsid w:val="00AB6F59"/>
    <w:rsid w:val="00AB6FDF"/>
    <w:rsid w:val="00AC0705"/>
    <w:rsid w:val="00AC0769"/>
    <w:rsid w:val="00AC12DC"/>
    <w:rsid w:val="00AC206F"/>
    <w:rsid w:val="00AC28E9"/>
    <w:rsid w:val="00AC3A88"/>
    <w:rsid w:val="00AC3C4C"/>
    <w:rsid w:val="00AC3CF2"/>
    <w:rsid w:val="00AC3FB9"/>
    <w:rsid w:val="00AC4173"/>
    <w:rsid w:val="00AC4695"/>
    <w:rsid w:val="00AC4F1A"/>
    <w:rsid w:val="00AC6467"/>
    <w:rsid w:val="00AC66A9"/>
    <w:rsid w:val="00AC6890"/>
    <w:rsid w:val="00AC6F43"/>
    <w:rsid w:val="00AC70CA"/>
    <w:rsid w:val="00AC74E1"/>
    <w:rsid w:val="00AC786D"/>
    <w:rsid w:val="00AD02C6"/>
    <w:rsid w:val="00AD1289"/>
    <w:rsid w:val="00AD21EB"/>
    <w:rsid w:val="00AD29EC"/>
    <w:rsid w:val="00AD2B11"/>
    <w:rsid w:val="00AD2C3F"/>
    <w:rsid w:val="00AD3042"/>
    <w:rsid w:val="00AD3085"/>
    <w:rsid w:val="00AD3B09"/>
    <w:rsid w:val="00AD4557"/>
    <w:rsid w:val="00AD5388"/>
    <w:rsid w:val="00AD540D"/>
    <w:rsid w:val="00AD563E"/>
    <w:rsid w:val="00AD58D1"/>
    <w:rsid w:val="00AD5A6F"/>
    <w:rsid w:val="00AD6031"/>
    <w:rsid w:val="00AD637F"/>
    <w:rsid w:val="00AD64E8"/>
    <w:rsid w:val="00AD656E"/>
    <w:rsid w:val="00AD660E"/>
    <w:rsid w:val="00AD7FAD"/>
    <w:rsid w:val="00AE023D"/>
    <w:rsid w:val="00AE02CB"/>
    <w:rsid w:val="00AE0341"/>
    <w:rsid w:val="00AE0548"/>
    <w:rsid w:val="00AE0A92"/>
    <w:rsid w:val="00AE0FFE"/>
    <w:rsid w:val="00AE11DC"/>
    <w:rsid w:val="00AE1A99"/>
    <w:rsid w:val="00AE1DD1"/>
    <w:rsid w:val="00AE2165"/>
    <w:rsid w:val="00AE2BD3"/>
    <w:rsid w:val="00AE2BDB"/>
    <w:rsid w:val="00AE3220"/>
    <w:rsid w:val="00AE33B8"/>
    <w:rsid w:val="00AE35B9"/>
    <w:rsid w:val="00AE3706"/>
    <w:rsid w:val="00AE393F"/>
    <w:rsid w:val="00AE3FFF"/>
    <w:rsid w:val="00AE41C6"/>
    <w:rsid w:val="00AE524A"/>
    <w:rsid w:val="00AE5939"/>
    <w:rsid w:val="00AE597A"/>
    <w:rsid w:val="00AE6D90"/>
    <w:rsid w:val="00AE761C"/>
    <w:rsid w:val="00AE7E98"/>
    <w:rsid w:val="00AE7F79"/>
    <w:rsid w:val="00AF0549"/>
    <w:rsid w:val="00AF0A10"/>
    <w:rsid w:val="00AF24F3"/>
    <w:rsid w:val="00AF2515"/>
    <w:rsid w:val="00AF2866"/>
    <w:rsid w:val="00AF2869"/>
    <w:rsid w:val="00AF2F44"/>
    <w:rsid w:val="00AF3040"/>
    <w:rsid w:val="00AF3493"/>
    <w:rsid w:val="00AF3BC1"/>
    <w:rsid w:val="00AF4C2B"/>
    <w:rsid w:val="00AF4DD0"/>
    <w:rsid w:val="00AF5739"/>
    <w:rsid w:val="00AF6053"/>
    <w:rsid w:val="00AF6A2F"/>
    <w:rsid w:val="00AF6E49"/>
    <w:rsid w:val="00AF7540"/>
    <w:rsid w:val="00AF7D90"/>
    <w:rsid w:val="00B003DD"/>
    <w:rsid w:val="00B0078E"/>
    <w:rsid w:val="00B00F6F"/>
    <w:rsid w:val="00B01835"/>
    <w:rsid w:val="00B0342A"/>
    <w:rsid w:val="00B03B00"/>
    <w:rsid w:val="00B04210"/>
    <w:rsid w:val="00B0495F"/>
    <w:rsid w:val="00B04A09"/>
    <w:rsid w:val="00B04A67"/>
    <w:rsid w:val="00B0528A"/>
    <w:rsid w:val="00B05606"/>
    <w:rsid w:val="00B0583C"/>
    <w:rsid w:val="00B05D5B"/>
    <w:rsid w:val="00B06025"/>
    <w:rsid w:val="00B06098"/>
    <w:rsid w:val="00B06154"/>
    <w:rsid w:val="00B06A9A"/>
    <w:rsid w:val="00B06AA6"/>
    <w:rsid w:val="00B07252"/>
    <w:rsid w:val="00B0747B"/>
    <w:rsid w:val="00B07C98"/>
    <w:rsid w:val="00B105D6"/>
    <w:rsid w:val="00B10870"/>
    <w:rsid w:val="00B10DC3"/>
    <w:rsid w:val="00B112F8"/>
    <w:rsid w:val="00B11AA3"/>
    <w:rsid w:val="00B11B17"/>
    <w:rsid w:val="00B123DA"/>
    <w:rsid w:val="00B12BB3"/>
    <w:rsid w:val="00B13572"/>
    <w:rsid w:val="00B13B3B"/>
    <w:rsid w:val="00B147C2"/>
    <w:rsid w:val="00B15992"/>
    <w:rsid w:val="00B15B5D"/>
    <w:rsid w:val="00B175D7"/>
    <w:rsid w:val="00B17F52"/>
    <w:rsid w:val="00B202DD"/>
    <w:rsid w:val="00B202F7"/>
    <w:rsid w:val="00B205A1"/>
    <w:rsid w:val="00B21153"/>
    <w:rsid w:val="00B21FB6"/>
    <w:rsid w:val="00B2207F"/>
    <w:rsid w:val="00B22765"/>
    <w:rsid w:val="00B227EB"/>
    <w:rsid w:val="00B22AA6"/>
    <w:rsid w:val="00B230A1"/>
    <w:rsid w:val="00B25252"/>
    <w:rsid w:val="00B2552C"/>
    <w:rsid w:val="00B2583D"/>
    <w:rsid w:val="00B30182"/>
    <w:rsid w:val="00B31F6F"/>
    <w:rsid w:val="00B32B5A"/>
    <w:rsid w:val="00B3353F"/>
    <w:rsid w:val="00B34577"/>
    <w:rsid w:val="00B347D9"/>
    <w:rsid w:val="00B34BF8"/>
    <w:rsid w:val="00B34F0F"/>
    <w:rsid w:val="00B3515F"/>
    <w:rsid w:val="00B352A9"/>
    <w:rsid w:val="00B354AF"/>
    <w:rsid w:val="00B359C0"/>
    <w:rsid w:val="00B360E8"/>
    <w:rsid w:val="00B3629E"/>
    <w:rsid w:val="00B3659A"/>
    <w:rsid w:val="00B367D2"/>
    <w:rsid w:val="00B36EF5"/>
    <w:rsid w:val="00B373B4"/>
    <w:rsid w:val="00B377BA"/>
    <w:rsid w:val="00B37DF8"/>
    <w:rsid w:val="00B40141"/>
    <w:rsid w:val="00B407E7"/>
    <w:rsid w:val="00B409EF"/>
    <w:rsid w:val="00B40A81"/>
    <w:rsid w:val="00B40B56"/>
    <w:rsid w:val="00B40D4F"/>
    <w:rsid w:val="00B4127B"/>
    <w:rsid w:val="00B41555"/>
    <w:rsid w:val="00B41A3F"/>
    <w:rsid w:val="00B4202F"/>
    <w:rsid w:val="00B421C9"/>
    <w:rsid w:val="00B436D1"/>
    <w:rsid w:val="00B43B31"/>
    <w:rsid w:val="00B43C3F"/>
    <w:rsid w:val="00B445FD"/>
    <w:rsid w:val="00B44910"/>
    <w:rsid w:val="00B45090"/>
    <w:rsid w:val="00B457F4"/>
    <w:rsid w:val="00B45BBF"/>
    <w:rsid w:val="00B461A5"/>
    <w:rsid w:val="00B4620F"/>
    <w:rsid w:val="00B46449"/>
    <w:rsid w:val="00B47621"/>
    <w:rsid w:val="00B47FDF"/>
    <w:rsid w:val="00B5011D"/>
    <w:rsid w:val="00B5081E"/>
    <w:rsid w:val="00B50827"/>
    <w:rsid w:val="00B51122"/>
    <w:rsid w:val="00B51AAD"/>
    <w:rsid w:val="00B51ACD"/>
    <w:rsid w:val="00B51C97"/>
    <w:rsid w:val="00B51CF4"/>
    <w:rsid w:val="00B51F2D"/>
    <w:rsid w:val="00B5290E"/>
    <w:rsid w:val="00B530C1"/>
    <w:rsid w:val="00B538C1"/>
    <w:rsid w:val="00B54183"/>
    <w:rsid w:val="00B54AA6"/>
    <w:rsid w:val="00B54D10"/>
    <w:rsid w:val="00B54D2F"/>
    <w:rsid w:val="00B54F88"/>
    <w:rsid w:val="00B562FA"/>
    <w:rsid w:val="00B56368"/>
    <w:rsid w:val="00B564C2"/>
    <w:rsid w:val="00B56B3A"/>
    <w:rsid w:val="00B56BD0"/>
    <w:rsid w:val="00B574FF"/>
    <w:rsid w:val="00B6084A"/>
    <w:rsid w:val="00B608BF"/>
    <w:rsid w:val="00B60E4A"/>
    <w:rsid w:val="00B60EAD"/>
    <w:rsid w:val="00B6153B"/>
    <w:rsid w:val="00B616D0"/>
    <w:rsid w:val="00B61B27"/>
    <w:rsid w:val="00B61CA7"/>
    <w:rsid w:val="00B620C4"/>
    <w:rsid w:val="00B62AC9"/>
    <w:rsid w:val="00B62AD2"/>
    <w:rsid w:val="00B63D58"/>
    <w:rsid w:val="00B6443D"/>
    <w:rsid w:val="00B646C0"/>
    <w:rsid w:val="00B64DE6"/>
    <w:rsid w:val="00B65002"/>
    <w:rsid w:val="00B65249"/>
    <w:rsid w:val="00B659CB"/>
    <w:rsid w:val="00B66281"/>
    <w:rsid w:val="00B666DB"/>
    <w:rsid w:val="00B668D3"/>
    <w:rsid w:val="00B66B2E"/>
    <w:rsid w:val="00B66ED1"/>
    <w:rsid w:val="00B67645"/>
    <w:rsid w:val="00B70047"/>
    <w:rsid w:val="00B7047B"/>
    <w:rsid w:val="00B70627"/>
    <w:rsid w:val="00B70CD3"/>
    <w:rsid w:val="00B71390"/>
    <w:rsid w:val="00B71E09"/>
    <w:rsid w:val="00B72024"/>
    <w:rsid w:val="00B72267"/>
    <w:rsid w:val="00B72F90"/>
    <w:rsid w:val="00B73818"/>
    <w:rsid w:val="00B73D90"/>
    <w:rsid w:val="00B73E47"/>
    <w:rsid w:val="00B7401A"/>
    <w:rsid w:val="00B742B2"/>
    <w:rsid w:val="00B742BA"/>
    <w:rsid w:val="00B74ACB"/>
    <w:rsid w:val="00B74DD8"/>
    <w:rsid w:val="00B7542D"/>
    <w:rsid w:val="00B756CE"/>
    <w:rsid w:val="00B75881"/>
    <w:rsid w:val="00B75C1F"/>
    <w:rsid w:val="00B761DF"/>
    <w:rsid w:val="00B765E8"/>
    <w:rsid w:val="00B76D1B"/>
    <w:rsid w:val="00B76EB6"/>
    <w:rsid w:val="00B80668"/>
    <w:rsid w:val="00B8069D"/>
    <w:rsid w:val="00B809F2"/>
    <w:rsid w:val="00B824C8"/>
    <w:rsid w:val="00B84E4C"/>
    <w:rsid w:val="00B85F33"/>
    <w:rsid w:val="00B869D5"/>
    <w:rsid w:val="00B86C2C"/>
    <w:rsid w:val="00B86EBE"/>
    <w:rsid w:val="00B86F6A"/>
    <w:rsid w:val="00B87176"/>
    <w:rsid w:val="00B904A7"/>
    <w:rsid w:val="00B913D1"/>
    <w:rsid w:val="00B92453"/>
    <w:rsid w:val="00B9292A"/>
    <w:rsid w:val="00B92C6D"/>
    <w:rsid w:val="00B943FA"/>
    <w:rsid w:val="00B9510B"/>
    <w:rsid w:val="00B95B4C"/>
    <w:rsid w:val="00B97C57"/>
    <w:rsid w:val="00BA043C"/>
    <w:rsid w:val="00BA0B97"/>
    <w:rsid w:val="00BA17DC"/>
    <w:rsid w:val="00BA22D1"/>
    <w:rsid w:val="00BA2A6C"/>
    <w:rsid w:val="00BA312F"/>
    <w:rsid w:val="00BA31CD"/>
    <w:rsid w:val="00BA3419"/>
    <w:rsid w:val="00BA356D"/>
    <w:rsid w:val="00BA365B"/>
    <w:rsid w:val="00BA42A2"/>
    <w:rsid w:val="00BA43BB"/>
    <w:rsid w:val="00BA44F2"/>
    <w:rsid w:val="00BA4A58"/>
    <w:rsid w:val="00BA5812"/>
    <w:rsid w:val="00BA65EA"/>
    <w:rsid w:val="00BA7F16"/>
    <w:rsid w:val="00BB0579"/>
    <w:rsid w:val="00BB069A"/>
    <w:rsid w:val="00BB0F0D"/>
    <w:rsid w:val="00BB1961"/>
    <w:rsid w:val="00BB1F01"/>
    <w:rsid w:val="00BB3C23"/>
    <w:rsid w:val="00BB4776"/>
    <w:rsid w:val="00BB4C01"/>
    <w:rsid w:val="00BB553A"/>
    <w:rsid w:val="00BB58CE"/>
    <w:rsid w:val="00BB6957"/>
    <w:rsid w:val="00BB724E"/>
    <w:rsid w:val="00BC01CB"/>
    <w:rsid w:val="00BC066C"/>
    <w:rsid w:val="00BC07FF"/>
    <w:rsid w:val="00BC0A6B"/>
    <w:rsid w:val="00BC2491"/>
    <w:rsid w:val="00BC251A"/>
    <w:rsid w:val="00BC25EB"/>
    <w:rsid w:val="00BC2788"/>
    <w:rsid w:val="00BC27B8"/>
    <w:rsid w:val="00BC307C"/>
    <w:rsid w:val="00BC3905"/>
    <w:rsid w:val="00BC49A3"/>
    <w:rsid w:val="00BC57AC"/>
    <w:rsid w:val="00BC5D19"/>
    <w:rsid w:val="00BC6670"/>
    <w:rsid w:val="00BC69AA"/>
    <w:rsid w:val="00BC6B67"/>
    <w:rsid w:val="00BD032B"/>
    <w:rsid w:val="00BD0E0E"/>
    <w:rsid w:val="00BD29AA"/>
    <w:rsid w:val="00BD321E"/>
    <w:rsid w:val="00BD35A3"/>
    <w:rsid w:val="00BD37FA"/>
    <w:rsid w:val="00BD38D2"/>
    <w:rsid w:val="00BD41CB"/>
    <w:rsid w:val="00BD46C5"/>
    <w:rsid w:val="00BD470C"/>
    <w:rsid w:val="00BD4C15"/>
    <w:rsid w:val="00BD5122"/>
    <w:rsid w:val="00BD5698"/>
    <w:rsid w:val="00BD570E"/>
    <w:rsid w:val="00BD5795"/>
    <w:rsid w:val="00BD61C4"/>
    <w:rsid w:val="00BD68D5"/>
    <w:rsid w:val="00BD7288"/>
    <w:rsid w:val="00BD7301"/>
    <w:rsid w:val="00BE02D7"/>
    <w:rsid w:val="00BE0319"/>
    <w:rsid w:val="00BE06CB"/>
    <w:rsid w:val="00BE070A"/>
    <w:rsid w:val="00BE17C9"/>
    <w:rsid w:val="00BE238A"/>
    <w:rsid w:val="00BE2640"/>
    <w:rsid w:val="00BE2A29"/>
    <w:rsid w:val="00BE3177"/>
    <w:rsid w:val="00BE3C2E"/>
    <w:rsid w:val="00BE52B8"/>
    <w:rsid w:val="00BE52DF"/>
    <w:rsid w:val="00BE55DA"/>
    <w:rsid w:val="00BE5761"/>
    <w:rsid w:val="00BE5A6B"/>
    <w:rsid w:val="00BE5B79"/>
    <w:rsid w:val="00BE5D2A"/>
    <w:rsid w:val="00BE629D"/>
    <w:rsid w:val="00BE6B31"/>
    <w:rsid w:val="00BE7792"/>
    <w:rsid w:val="00BE797B"/>
    <w:rsid w:val="00BE79AB"/>
    <w:rsid w:val="00BF07DF"/>
    <w:rsid w:val="00BF0C4F"/>
    <w:rsid w:val="00BF244E"/>
    <w:rsid w:val="00BF252A"/>
    <w:rsid w:val="00BF26ED"/>
    <w:rsid w:val="00BF2BC1"/>
    <w:rsid w:val="00BF2CAF"/>
    <w:rsid w:val="00BF2E8D"/>
    <w:rsid w:val="00BF30B7"/>
    <w:rsid w:val="00BF34DB"/>
    <w:rsid w:val="00BF34EF"/>
    <w:rsid w:val="00BF3DB3"/>
    <w:rsid w:val="00BF409B"/>
    <w:rsid w:val="00BF44CB"/>
    <w:rsid w:val="00BF48DA"/>
    <w:rsid w:val="00BF54F2"/>
    <w:rsid w:val="00BF5C42"/>
    <w:rsid w:val="00BF5D67"/>
    <w:rsid w:val="00BF6F02"/>
    <w:rsid w:val="00BF7758"/>
    <w:rsid w:val="00C007DC"/>
    <w:rsid w:val="00C00838"/>
    <w:rsid w:val="00C0085A"/>
    <w:rsid w:val="00C01189"/>
    <w:rsid w:val="00C0179E"/>
    <w:rsid w:val="00C0277F"/>
    <w:rsid w:val="00C029C6"/>
    <w:rsid w:val="00C02AE0"/>
    <w:rsid w:val="00C039B0"/>
    <w:rsid w:val="00C041FE"/>
    <w:rsid w:val="00C044BB"/>
    <w:rsid w:val="00C04785"/>
    <w:rsid w:val="00C04A7F"/>
    <w:rsid w:val="00C0555A"/>
    <w:rsid w:val="00C076D4"/>
    <w:rsid w:val="00C07CA0"/>
    <w:rsid w:val="00C106C3"/>
    <w:rsid w:val="00C10DF1"/>
    <w:rsid w:val="00C10F21"/>
    <w:rsid w:val="00C1120A"/>
    <w:rsid w:val="00C11E81"/>
    <w:rsid w:val="00C12167"/>
    <w:rsid w:val="00C129DB"/>
    <w:rsid w:val="00C12B8F"/>
    <w:rsid w:val="00C136B0"/>
    <w:rsid w:val="00C14137"/>
    <w:rsid w:val="00C14330"/>
    <w:rsid w:val="00C14D7B"/>
    <w:rsid w:val="00C15071"/>
    <w:rsid w:val="00C15816"/>
    <w:rsid w:val="00C15DBF"/>
    <w:rsid w:val="00C162B7"/>
    <w:rsid w:val="00C16477"/>
    <w:rsid w:val="00C16838"/>
    <w:rsid w:val="00C20781"/>
    <w:rsid w:val="00C20B1B"/>
    <w:rsid w:val="00C20BB6"/>
    <w:rsid w:val="00C20E85"/>
    <w:rsid w:val="00C21564"/>
    <w:rsid w:val="00C2163E"/>
    <w:rsid w:val="00C22A0D"/>
    <w:rsid w:val="00C22BFF"/>
    <w:rsid w:val="00C22FDE"/>
    <w:rsid w:val="00C23094"/>
    <w:rsid w:val="00C24096"/>
    <w:rsid w:val="00C24A48"/>
    <w:rsid w:val="00C27436"/>
    <w:rsid w:val="00C27B25"/>
    <w:rsid w:val="00C27F91"/>
    <w:rsid w:val="00C30067"/>
    <w:rsid w:val="00C3006A"/>
    <w:rsid w:val="00C30673"/>
    <w:rsid w:val="00C30E35"/>
    <w:rsid w:val="00C30EB4"/>
    <w:rsid w:val="00C3134F"/>
    <w:rsid w:val="00C32117"/>
    <w:rsid w:val="00C3213C"/>
    <w:rsid w:val="00C3297F"/>
    <w:rsid w:val="00C3351C"/>
    <w:rsid w:val="00C34FA0"/>
    <w:rsid w:val="00C353E6"/>
    <w:rsid w:val="00C35D3B"/>
    <w:rsid w:val="00C35D3F"/>
    <w:rsid w:val="00C36F25"/>
    <w:rsid w:val="00C370FC"/>
    <w:rsid w:val="00C371F8"/>
    <w:rsid w:val="00C374DE"/>
    <w:rsid w:val="00C3771F"/>
    <w:rsid w:val="00C37929"/>
    <w:rsid w:val="00C401DA"/>
    <w:rsid w:val="00C404A9"/>
    <w:rsid w:val="00C40BCA"/>
    <w:rsid w:val="00C42F69"/>
    <w:rsid w:val="00C43133"/>
    <w:rsid w:val="00C43855"/>
    <w:rsid w:val="00C43BE9"/>
    <w:rsid w:val="00C44781"/>
    <w:rsid w:val="00C4514E"/>
    <w:rsid w:val="00C455D5"/>
    <w:rsid w:val="00C45FC5"/>
    <w:rsid w:val="00C46105"/>
    <w:rsid w:val="00C466E7"/>
    <w:rsid w:val="00C46BD2"/>
    <w:rsid w:val="00C46DD8"/>
    <w:rsid w:val="00C470E2"/>
    <w:rsid w:val="00C47AD4"/>
    <w:rsid w:val="00C47B2F"/>
    <w:rsid w:val="00C50026"/>
    <w:rsid w:val="00C505C2"/>
    <w:rsid w:val="00C50737"/>
    <w:rsid w:val="00C50AF6"/>
    <w:rsid w:val="00C51EEB"/>
    <w:rsid w:val="00C52511"/>
    <w:rsid w:val="00C52D81"/>
    <w:rsid w:val="00C5350B"/>
    <w:rsid w:val="00C537D6"/>
    <w:rsid w:val="00C54321"/>
    <w:rsid w:val="00C54ED6"/>
    <w:rsid w:val="00C54F4F"/>
    <w:rsid w:val="00C54FCF"/>
    <w:rsid w:val="00C55198"/>
    <w:rsid w:val="00C56528"/>
    <w:rsid w:val="00C56585"/>
    <w:rsid w:val="00C56608"/>
    <w:rsid w:val="00C567E6"/>
    <w:rsid w:val="00C569CF"/>
    <w:rsid w:val="00C56A8A"/>
    <w:rsid w:val="00C60446"/>
    <w:rsid w:val="00C6078F"/>
    <w:rsid w:val="00C60CF6"/>
    <w:rsid w:val="00C61604"/>
    <w:rsid w:val="00C6243D"/>
    <w:rsid w:val="00C625D0"/>
    <w:rsid w:val="00C63283"/>
    <w:rsid w:val="00C6350B"/>
    <w:rsid w:val="00C639E5"/>
    <w:rsid w:val="00C63AC8"/>
    <w:rsid w:val="00C63B95"/>
    <w:rsid w:val="00C64621"/>
    <w:rsid w:val="00C64736"/>
    <w:rsid w:val="00C6510A"/>
    <w:rsid w:val="00C652E7"/>
    <w:rsid w:val="00C6572F"/>
    <w:rsid w:val="00C6605D"/>
    <w:rsid w:val="00C661E9"/>
    <w:rsid w:val="00C6624B"/>
    <w:rsid w:val="00C665A7"/>
    <w:rsid w:val="00C66AE8"/>
    <w:rsid w:val="00C66BAD"/>
    <w:rsid w:val="00C700DF"/>
    <w:rsid w:val="00C70EA1"/>
    <w:rsid w:val="00C710A3"/>
    <w:rsid w:val="00C71B0C"/>
    <w:rsid w:val="00C71BE9"/>
    <w:rsid w:val="00C732BB"/>
    <w:rsid w:val="00C74288"/>
    <w:rsid w:val="00C74307"/>
    <w:rsid w:val="00C74F40"/>
    <w:rsid w:val="00C75576"/>
    <w:rsid w:val="00C76DAC"/>
    <w:rsid w:val="00C772B4"/>
    <w:rsid w:val="00C772CB"/>
    <w:rsid w:val="00C774FB"/>
    <w:rsid w:val="00C802BB"/>
    <w:rsid w:val="00C81962"/>
    <w:rsid w:val="00C819F9"/>
    <w:rsid w:val="00C81B79"/>
    <w:rsid w:val="00C81B86"/>
    <w:rsid w:val="00C82801"/>
    <w:rsid w:val="00C82E11"/>
    <w:rsid w:val="00C82EA0"/>
    <w:rsid w:val="00C834E4"/>
    <w:rsid w:val="00C838CC"/>
    <w:rsid w:val="00C83B92"/>
    <w:rsid w:val="00C83BA5"/>
    <w:rsid w:val="00C83CFB"/>
    <w:rsid w:val="00C841D0"/>
    <w:rsid w:val="00C841E9"/>
    <w:rsid w:val="00C84673"/>
    <w:rsid w:val="00C85834"/>
    <w:rsid w:val="00C85E22"/>
    <w:rsid w:val="00C85E62"/>
    <w:rsid w:val="00C86272"/>
    <w:rsid w:val="00C868B9"/>
    <w:rsid w:val="00C869F4"/>
    <w:rsid w:val="00C87DE1"/>
    <w:rsid w:val="00C91454"/>
    <w:rsid w:val="00C91C82"/>
    <w:rsid w:val="00C925F5"/>
    <w:rsid w:val="00C927C8"/>
    <w:rsid w:val="00C92AA7"/>
    <w:rsid w:val="00C93935"/>
    <w:rsid w:val="00C94128"/>
    <w:rsid w:val="00C94915"/>
    <w:rsid w:val="00C94DD6"/>
    <w:rsid w:val="00C94E4A"/>
    <w:rsid w:val="00C95098"/>
    <w:rsid w:val="00C95A2C"/>
    <w:rsid w:val="00C96865"/>
    <w:rsid w:val="00C96CC0"/>
    <w:rsid w:val="00C97168"/>
    <w:rsid w:val="00C972B1"/>
    <w:rsid w:val="00C97537"/>
    <w:rsid w:val="00C97641"/>
    <w:rsid w:val="00CA09D3"/>
    <w:rsid w:val="00CA0E35"/>
    <w:rsid w:val="00CA21FD"/>
    <w:rsid w:val="00CA2264"/>
    <w:rsid w:val="00CA2862"/>
    <w:rsid w:val="00CA2EAB"/>
    <w:rsid w:val="00CA3F4E"/>
    <w:rsid w:val="00CA4294"/>
    <w:rsid w:val="00CA49D4"/>
    <w:rsid w:val="00CA4A32"/>
    <w:rsid w:val="00CA4E8C"/>
    <w:rsid w:val="00CA56B6"/>
    <w:rsid w:val="00CA5AF7"/>
    <w:rsid w:val="00CA5D52"/>
    <w:rsid w:val="00CA6234"/>
    <w:rsid w:val="00CA6393"/>
    <w:rsid w:val="00CA6744"/>
    <w:rsid w:val="00CA686B"/>
    <w:rsid w:val="00CA68B0"/>
    <w:rsid w:val="00CA7176"/>
    <w:rsid w:val="00CA729C"/>
    <w:rsid w:val="00CA7373"/>
    <w:rsid w:val="00CA7BDA"/>
    <w:rsid w:val="00CB1312"/>
    <w:rsid w:val="00CB18FF"/>
    <w:rsid w:val="00CB1A52"/>
    <w:rsid w:val="00CB1D53"/>
    <w:rsid w:val="00CB29AA"/>
    <w:rsid w:val="00CB39B4"/>
    <w:rsid w:val="00CB3C6F"/>
    <w:rsid w:val="00CB3CCD"/>
    <w:rsid w:val="00CB4F83"/>
    <w:rsid w:val="00CB54FB"/>
    <w:rsid w:val="00CB561C"/>
    <w:rsid w:val="00CB5720"/>
    <w:rsid w:val="00CB5927"/>
    <w:rsid w:val="00CB5C3B"/>
    <w:rsid w:val="00CB657D"/>
    <w:rsid w:val="00CB69C8"/>
    <w:rsid w:val="00CB6B7E"/>
    <w:rsid w:val="00CB6E08"/>
    <w:rsid w:val="00CB6F00"/>
    <w:rsid w:val="00CB708C"/>
    <w:rsid w:val="00CB7204"/>
    <w:rsid w:val="00CB7301"/>
    <w:rsid w:val="00CB7A85"/>
    <w:rsid w:val="00CB7F99"/>
    <w:rsid w:val="00CC0170"/>
    <w:rsid w:val="00CC0299"/>
    <w:rsid w:val="00CC0C5B"/>
    <w:rsid w:val="00CC0D49"/>
    <w:rsid w:val="00CC0E30"/>
    <w:rsid w:val="00CC1CC4"/>
    <w:rsid w:val="00CC2388"/>
    <w:rsid w:val="00CC239A"/>
    <w:rsid w:val="00CC26E1"/>
    <w:rsid w:val="00CC295F"/>
    <w:rsid w:val="00CC36C4"/>
    <w:rsid w:val="00CC37D2"/>
    <w:rsid w:val="00CC3F11"/>
    <w:rsid w:val="00CC3F8E"/>
    <w:rsid w:val="00CC43A4"/>
    <w:rsid w:val="00CC4B45"/>
    <w:rsid w:val="00CC527B"/>
    <w:rsid w:val="00CC57AE"/>
    <w:rsid w:val="00CC70C1"/>
    <w:rsid w:val="00CC71FD"/>
    <w:rsid w:val="00CC752A"/>
    <w:rsid w:val="00CC7A6A"/>
    <w:rsid w:val="00CC7AE5"/>
    <w:rsid w:val="00CD07C1"/>
    <w:rsid w:val="00CD0C08"/>
    <w:rsid w:val="00CD0D73"/>
    <w:rsid w:val="00CD0F7D"/>
    <w:rsid w:val="00CD14EF"/>
    <w:rsid w:val="00CD2034"/>
    <w:rsid w:val="00CD28E5"/>
    <w:rsid w:val="00CD30DC"/>
    <w:rsid w:val="00CD36C4"/>
    <w:rsid w:val="00CD37B7"/>
    <w:rsid w:val="00CD3EF0"/>
    <w:rsid w:val="00CD3FF5"/>
    <w:rsid w:val="00CD4203"/>
    <w:rsid w:val="00CD46D1"/>
    <w:rsid w:val="00CD5ECA"/>
    <w:rsid w:val="00CD60EA"/>
    <w:rsid w:val="00CD7201"/>
    <w:rsid w:val="00CD72D9"/>
    <w:rsid w:val="00CD7307"/>
    <w:rsid w:val="00CD7AB9"/>
    <w:rsid w:val="00CD7EC2"/>
    <w:rsid w:val="00CE00AE"/>
    <w:rsid w:val="00CE025E"/>
    <w:rsid w:val="00CE03AE"/>
    <w:rsid w:val="00CE03FC"/>
    <w:rsid w:val="00CE0609"/>
    <w:rsid w:val="00CE077E"/>
    <w:rsid w:val="00CE1BF8"/>
    <w:rsid w:val="00CE3541"/>
    <w:rsid w:val="00CE427D"/>
    <w:rsid w:val="00CE433C"/>
    <w:rsid w:val="00CE4A71"/>
    <w:rsid w:val="00CE4F80"/>
    <w:rsid w:val="00CE5346"/>
    <w:rsid w:val="00CE56DE"/>
    <w:rsid w:val="00CE7040"/>
    <w:rsid w:val="00CF139F"/>
    <w:rsid w:val="00CF1E52"/>
    <w:rsid w:val="00CF1FDC"/>
    <w:rsid w:val="00CF2CE4"/>
    <w:rsid w:val="00CF2D68"/>
    <w:rsid w:val="00CF3331"/>
    <w:rsid w:val="00CF33F3"/>
    <w:rsid w:val="00CF3531"/>
    <w:rsid w:val="00CF3D11"/>
    <w:rsid w:val="00CF43D8"/>
    <w:rsid w:val="00CF4E25"/>
    <w:rsid w:val="00CF4E4F"/>
    <w:rsid w:val="00CF565C"/>
    <w:rsid w:val="00CF5947"/>
    <w:rsid w:val="00CF59BF"/>
    <w:rsid w:val="00CF5A18"/>
    <w:rsid w:val="00CF5A26"/>
    <w:rsid w:val="00CF5E85"/>
    <w:rsid w:val="00CF6863"/>
    <w:rsid w:val="00CF77B2"/>
    <w:rsid w:val="00D003F3"/>
    <w:rsid w:val="00D00764"/>
    <w:rsid w:val="00D007B2"/>
    <w:rsid w:val="00D007E9"/>
    <w:rsid w:val="00D017D7"/>
    <w:rsid w:val="00D021B1"/>
    <w:rsid w:val="00D0234C"/>
    <w:rsid w:val="00D025B3"/>
    <w:rsid w:val="00D0273D"/>
    <w:rsid w:val="00D02B5A"/>
    <w:rsid w:val="00D02DFB"/>
    <w:rsid w:val="00D041BF"/>
    <w:rsid w:val="00D04A12"/>
    <w:rsid w:val="00D05081"/>
    <w:rsid w:val="00D05A51"/>
    <w:rsid w:val="00D05A7B"/>
    <w:rsid w:val="00D06038"/>
    <w:rsid w:val="00D06183"/>
    <w:rsid w:val="00D0631B"/>
    <w:rsid w:val="00D06680"/>
    <w:rsid w:val="00D0711A"/>
    <w:rsid w:val="00D07329"/>
    <w:rsid w:val="00D073A3"/>
    <w:rsid w:val="00D0768E"/>
    <w:rsid w:val="00D1001F"/>
    <w:rsid w:val="00D10D4D"/>
    <w:rsid w:val="00D12844"/>
    <w:rsid w:val="00D128FC"/>
    <w:rsid w:val="00D14AF5"/>
    <w:rsid w:val="00D14B74"/>
    <w:rsid w:val="00D14E4B"/>
    <w:rsid w:val="00D1538D"/>
    <w:rsid w:val="00D15E1C"/>
    <w:rsid w:val="00D16948"/>
    <w:rsid w:val="00D16EC8"/>
    <w:rsid w:val="00D1711A"/>
    <w:rsid w:val="00D17253"/>
    <w:rsid w:val="00D173D8"/>
    <w:rsid w:val="00D17A4D"/>
    <w:rsid w:val="00D20180"/>
    <w:rsid w:val="00D208A9"/>
    <w:rsid w:val="00D21B8E"/>
    <w:rsid w:val="00D22409"/>
    <w:rsid w:val="00D22418"/>
    <w:rsid w:val="00D2288C"/>
    <w:rsid w:val="00D22C42"/>
    <w:rsid w:val="00D230AA"/>
    <w:rsid w:val="00D23722"/>
    <w:rsid w:val="00D23A6D"/>
    <w:rsid w:val="00D23D6A"/>
    <w:rsid w:val="00D2431D"/>
    <w:rsid w:val="00D24B7D"/>
    <w:rsid w:val="00D251FA"/>
    <w:rsid w:val="00D25287"/>
    <w:rsid w:val="00D25B15"/>
    <w:rsid w:val="00D2600F"/>
    <w:rsid w:val="00D27417"/>
    <w:rsid w:val="00D275B3"/>
    <w:rsid w:val="00D27B5F"/>
    <w:rsid w:val="00D30C17"/>
    <w:rsid w:val="00D3113E"/>
    <w:rsid w:val="00D318AD"/>
    <w:rsid w:val="00D31B5A"/>
    <w:rsid w:val="00D31BBF"/>
    <w:rsid w:val="00D3252B"/>
    <w:rsid w:val="00D32912"/>
    <w:rsid w:val="00D3396C"/>
    <w:rsid w:val="00D34A54"/>
    <w:rsid w:val="00D34DD8"/>
    <w:rsid w:val="00D34E02"/>
    <w:rsid w:val="00D34EB0"/>
    <w:rsid w:val="00D353BA"/>
    <w:rsid w:val="00D357BF"/>
    <w:rsid w:val="00D35BB3"/>
    <w:rsid w:val="00D3643A"/>
    <w:rsid w:val="00D36575"/>
    <w:rsid w:val="00D37387"/>
    <w:rsid w:val="00D37442"/>
    <w:rsid w:val="00D37833"/>
    <w:rsid w:val="00D40C71"/>
    <w:rsid w:val="00D41C52"/>
    <w:rsid w:val="00D43A14"/>
    <w:rsid w:val="00D445FE"/>
    <w:rsid w:val="00D451C8"/>
    <w:rsid w:val="00D45485"/>
    <w:rsid w:val="00D455DA"/>
    <w:rsid w:val="00D45679"/>
    <w:rsid w:val="00D456CF"/>
    <w:rsid w:val="00D46476"/>
    <w:rsid w:val="00D46E64"/>
    <w:rsid w:val="00D47435"/>
    <w:rsid w:val="00D476E2"/>
    <w:rsid w:val="00D477D8"/>
    <w:rsid w:val="00D512C3"/>
    <w:rsid w:val="00D51AD8"/>
    <w:rsid w:val="00D5213E"/>
    <w:rsid w:val="00D5247C"/>
    <w:rsid w:val="00D524AA"/>
    <w:rsid w:val="00D525F8"/>
    <w:rsid w:val="00D52786"/>
    <w:rsid w:val="00D533F9"/>
    <w:rsid w:val="00D546A0"/>
    <w:rsid w:val="00D55278"/>
    <w:rsid w:val="00D555E8"/>
    <w:rsid w:val="00D56677"/>
    <w:rsid w:val="00D56B7E"/>
    <w:rsid w:val="00D570CC"/>
    <w:rsid w:val="00D57940"/>
    <w:rsid w:val="00D60110"/>
    <w:rsid w:val="00D60FA0"/>
    <w:rsid w:val="00D61B50"/>
    <w:rsid w:val="00D61D00"/>
    <w:rsid w:val="00D62BEA"/>
    <w:rsid w:val="00D63A1C"/>
    <w:rsid w:val="00D63CB3"/>
    <w:rsid w:val="00D64E99"/>
    <w:rsid w:val="00D65041"/>
    <w:rsid w:val="00D65B8C"/>
    <w:rsid w:val="00D6651A"/>
    <w:rsid w:val="00D66C0F"/>
    <w:rsid w:val="00D67002"/>
    <w:rsid w:val="00D6711C"/>
    <w:rsid w:val="00D67769"/>
    <w:rsid w:val="00D67935"/>
    <w:rsid w:val="00D701F7"/>
    <w:rsid w:val="00D70CA5"/>
    <w:rsid w:val="00D717C9"/>
    <w:rsid w:val="00D736EA"/>
    <w:rsid w:val="00D76138"/>
    <w:rsid w:val="00D76385"/>
    <w:rsid w:val="00D76EBA"/>
    <w:rsid w:val="00D76FC6"/>
    <w:rsid w:val="00D771D0"/>
    <w:rsid w:val="00D77802"/>
    <w:rsid w:val="00D77D66"/>
    <w:rsid w:val="00D77D98"/>
    <w:rsid w:val="00D80700"/>
    <w:rsid w:val="00D80EC3"/>
    <w:rsid w:val="00D81C08"/>
    <w:rsid w:val="00D823E4"/>
    <w:rsid w:val="00D82A95"/>
    <w:rsid w:val="00D82CB1"/>
    <w:rsid w:val="00D83679"/>
    <w:rsid w:val="00D836FA"/>
    <w:rsid w:val="00D83A5A"/>
    <w:rsid w:val="00D849A6"/>
    <w:rsid w:val="00D84B01"/>
    <w:rsid w:val="00D84C0A"/>
    <w:rsid w:val="00D84C39"/>
    <w:rsid w:val="00D84FDC"/>
    <w:rsid w:val="00D8518C"/>
    <w:rsid w:val="00D86513"/>
    <w:rsid w:val="00D86B0C"/>
    <w:rsid w:val="00D86C03"/>
    <w:rsid w:val="00D86CB5"/>
    <w:rsid w:val="00D87729"/>
    <w:rsid w:val="00D87C36"/>
    <w:rsid w:val="00D87FEE"/>
    <w:rsid w:val="00D90FF0"/>
    <w:rsid w:val="00D91B10"/>
    <w:rsid w:val="00D92E9D"/>
    <w:rsid w:val="00D9353B"/>
    <w:rsid w:val="00D94E6B"/>
    <w:rsid w:val="00D94EBB"/>
    <w:rsid w:val="00D94F8D"/>
    <w:rsid w:val="00D9561F"/>
    <w:rsid w:val="00D956AC"/>
    <w:rsid w:val="00D95CD2"/>
    <w:rsid w:val="00D96FE8"/>
    <w:rsid w:val="00D96FEC"/>
    <w:rsid w:val="00D976E0"/>
    <w:rsid w:val="00DA039D"/>
    <w:rsid w:val="00DA0A09"/>
    <w:rsid w:val="00DA130E"/>
    <w:rsid w:val="00DA1549"/>
    <w:rsid w:val="00DA1BDF"/>
    <w:rsid w:val="00DA1EC5"/>
    <w:rsid w:val="00DA2ABD"/>
    <w:rsid w:val="00DA38F3"/>
    <w:rsid w:val="00DA4047"/>
    <w:rsid w:val="00DA71EF"/>
    <w:rsid w:val="00DB0598"/>
    <w:rsid w:val="00DB171C"/>
    <w:rsid w:val="00DB17F9"/>
    <w:rsid w:val="00DB18D2"/>
    <w:rsid w:val="00DB19DF"/>
    <w:rsid w:val="00DB2906"/>
    <w:rsid w:val="00DB2BD3"/>
    <w:rsid w:val="00DB335B"/>
    <w:rsid w:val="00DB38B2"/>
    <w:rsid w:val="00DB435C"/>
    <w:rsid w:val="00DB4546"/>
    <w:rsid w:val="00DB47A3"/>
    <w:rsid w:val="00DB56A6"/>
    <w:rsid w:val="00DB56BE"/>
    <w:rsid w:val="00DB5A81"/>
    <w:rsid w:val="00DB5E04"/>
    <w:rsid w:val="00DB6B28"/>
    <w:rsid w:val="00DB6E68"/>
    <w:rsid w:val="00DB6EF0"/>
    <w:rsid w:val="00DB7916"/>
    <w:rsid w:val="00DB7A44"/>
    <w:rsid w:val="00DC13A5"/>
    <w:rsid w:val="00DC13E1"/>
    <w:rsid w:val="00DC17C2"/>
    <w:rsid w:val="00DC182B"/>
    <w:rsid w:val="00DC1EC3"/>
    <w:rsid w:val="00DC26F2"/>
    <w:rsid w:val="00DC35B8"/>
    <w:rsid w:val="00DC3913"/>
    <w:rsid w:val="00DC3AFF"/>
    <w:rsid w:val="00DC3DFD"/>
    <w:rsid w:val="00DC4225"/>
    <w:rsid w:val="00DC44AD"/>
    <w:rsid w:val="00DC5BD2"/>
    <w:rsid w:val="00DC72A3"/>
    <w:rsid w:val="00DC74B5"/>
    <w:rsid w:val="00DD00DD"/>
    <w:rsid w:val="00DD0502"/>
    <w:rsid w:val="00DD07F1"/>
    <w:rsid w:val="00DD09AF"/>
    <w:rsid w:val="00DD0B3D"/>
    <w:rsid w:val="00DD1900"/>
    <w:rsid w:val="00DD2267"/>
    <w:rsid w:val="00DD2334"/>
    <w:rsid w:val="00DD2A87"/>
    <w:rsid w:val="00DD2C42"/>
    <w:rsid w:val="00DD2E54"/>
    <w:rsid w:val="00DD32F4"/>
    <w:rsid w:val="00DD43BB"/>
    <w:rsid w:val="00DD4E58"/>
    <w:rsid w:val="00DD56B0"/>
    <w:rsid w:val="00DD56DF"/>
    <w:rsid w:val="00DD7940"/>
    <w:rsid w:val="00DE0D3E"/>
    <w:rsid w:val="00DE1AC8"/>
    <w:rsid w:val="00DE25A3"/>
    <w:rsid w:val="00DE295B"/>
    <w:rsid w:val="00DE2A09"/>
    <w:rsid w:val="00DE2BA9"/>
    <w:rsid w:val="00DE2EDF"/>
    <w:rsid w:val="00DE371E"/>
    <w:rsid w:val="00DE5698"/>
    <w:rsid w:val="00DE6608"/>
    <w:rsid w:val="00DE6D95"/>
    <w:rsid w:val="00DE7106"/>
    <w:rsid w:val="00DE714C"/>
    <w:rsid w:val="00DE7638"/>
    <w:rsid w:val="00DF0754"/>
    <w:rsid w:val="00DF0997"/>
    <w:rsid w:val="00DF0BAD"/>
    <w:rsid w:val="00DF0BD8"/>
    <w:rsid w:val="00DF0C40"/>
    <w:rsid w:val="00DF1851"/>
    <w:rsid w:val="00DF1A97"/>
    <w:rsid w:val="00DF1AC5"/>
    <w:rsid w:val="00DF1CA2"/>
    <w:rsid w:val="00DF1EA0"/>
    <w:rsid w:val="00DF4076"/>
    <w:rsid w:val="00DF48D6"/>
    <w:rsid w:val="00DF4E5B"/>
    <w:rsid w:val="00DF55C9"/>
    <w:rsid w:val="00DF5B13"/>
    <w:rsid w:val="00DF5B6E"/>
    <w:rsid w:val="00DF5DD9"/>
    <w:rsid w:val="00DF6173"/>
    <w:rsid w:val="00DF62E5"/>
    <w:rsid w:val="00DF64C8"/>
    <w:rsid w:val="00DF6F1A"/>
    <w:rsid w:val="00DF718D"/>
    <w:rsid w:val="00DF7572"/>
    <w:rsid w:val="00DF77D5"/>
    <w:rsid w:val="00E00581"/>
    <w:rsid w:val="00E010E6"/>
    <w:rsid w:val="00E01499"/>
    <w:rsid w:val="00E01F2B"/>
    <w:rsid w:val="00E021D4"/>
    <w:rsid w:val="00E02586"/>
    <w:rsid w:val="00E0376C"/>
    <w:rsid w:val="00E049A2"/>
    <w:rsid w:val="00E05223"/>
    <w:rsid w:val="00E0575D"/>
    <w:rsid w:val="00E05815"/>
    <w:rsid w:val="00E062F4"/>
    <w:rsid w:val="00E06365"/>
    <w:rsid w:val="00E06D1A"/>
    <w:rsid w:val="00E06ECD"/>
    <w:rsid w:val="00E07FA0"/>
    <w:rsid w:val="00E10295"/>
    <w:rsid w:val="00E10E80"/>
    <w:rsid w:val="00E10F4A"/>
    <w:rsid w:val="00E11950"/>
    <w:rsid w:val="00E124F0"/>
    <w:rsid w:val="00E1250A"/>
    <w:rsid w:val="00E12F07"/>
    <w:rsid w:val="00E13516"/>
    <w:rsid w:val="00E136F3"/>
    <w:rsid w:val="00E144C3"/>
    <w:rsid w:val="00E14E15"/>
    <w:rsid w:val="00E150EB"/>
    <w:rsid w:val="00E1539E"/>
    <w:rsid w:val="00E15AC4"/>
    <w:rsid w:val="00E16BC0"/>
    <w:rsid w:val="00E16C87"/>
    <w:rsid w:val="00E17106"/>
    <w:rsid w:val="00E17198"/>
    <w:rsid w:val="00E17396"/>
    <w:rsid w:val="00E1753C"/>
    <w:rsid w:val="00E17874"/>
    <w:rsid w:val="00E179FC"/>
    <w:rsid w:val="00E20276"/>
    <w:rsid w:val="00E20CED"/>
    <w:rsid w:val="00E2181D"/>
    <w:rsid w:val="00E21937"/>
    <w:rsid w:val="00E21DCA"/>
    <w:rsid w:val="00E220FB"/>
    <w:rsid w:val="00E221FB"/>
    <w:rsid w:val="00E22B4A"/>
    <w:rsid w:val="00E22DA0"/>
    <w:rsid w:val="00E23237"/>
    <w:rsid w:val="00E23E3E"/>
    <w:rsid w:val="00E242E5"/>
    <w:rsid w:val="00E242FA"/>
    <w:rsid w:val="00E246D2"/>
    <w:rsid w:val="00E24E9D"/>
    <w:rsid w:val="00E26563"/>
    <w:rsid w:val="00E27646"/>
    <w:rsid w:val="00E27C4E"/>
    <w:rsid w:val="00E30C5C"/>
    <w:rsid w:val="00E31694"/>
    <w:rsid w:val="00E316D1"/>
    <w:rsid w:val="00E32BFB"/>
    <w:rsid w:val="00E3371E"/>
    <w:rsid w:val="00E33F27"/>
    <w:rsid w:val="00E33F52"/>
    <w:rsid w:val="00E343E7"/>
    <w:rsid w:val="00E34B38"/>
    <w:rsid w:val="00E34D0A"/>
    <w:rsid w:val="00E353F2"/>
    <w:rsid w:val="00E35514"/>
    <w:rsid w:val="00E35C0B"/>
    <w:rsid w:val="00E363D6"/>
    <w:rsid w:val="00E37E95"/>
    <w:rsid w:val="00E403CD"/>
    <w:rsid w:val="00E40591"/>
    <w:rsid w:val="00E4113A"/>
    <w:rsid w:val="00E41263"/>
    <w:rsid w:val="00E412AF"/>
    <w:rsid w:val="00E4170C"/>
    <w:rsid w:val="00E420C3"/>
    <w:rsid w:val="00E4298D"/>
    <w:rsid w:val="00E42B9F"/>
    <w:rsid w:val="00E42E81"/>
    <w:rsid w:val="00E43112"/>
    <w:rsid w:val="00E433D2"/>
    <w:rsid w:val="00E43B5C"/>
    <w:rsid w:val="00E44B6A"/>
    <w:rsid w:val="00E44DC5"/>
    <w:rsid w:val="00E45369"/>
    <w:rsid w:val="00E46047"/>
    <w:rsid w:val="00E46ACC"/>
    <w:rsid w:val="00E46C62"/>
    <w:rsid w:val="00E47170"/>
    <w:rsid w:val="00E47CAD"/>
    <w:rsid w:val="00E50CCE"/>
    <w:rsid w:val="00E51001"/>
    <w:rsid w:val="00E518E4"/>
    <w:rsid w:val="00E5198F"/>
    <w:rsid w:val="00E51E89"/>
    <w:rsid w:val="00E53A79"/>
    <w:rsid w:val="00E54433"/>
    <w:rsid w:val="00E54D9D"/>
    <w:rsid w:val="00E54F79"/>
    <w:rsid w:val="00E55315"/>
    <w:rsid w:val="00E5555E"/>
    <w:rsid w:val="00E55BC7"/>
    <w:rsid w:val="00E55BE8"/>
    <w:rsid w:val="00E55D32"/>
    <w:rsid w:val="00E562BF"/>
    <w:rsid w:val="00E56420"/>
    <w:rsid w:val="00E56B61"/>
    <w:rsid w:val="00E56BA7"/>
    <w:rsid w:val="00E57BE6"/>
    <w:rsid w:val="00E60398"/>
    <w:rsid w:val="00E603F5"/>
    <w:rsid w:val="00E60A6A"/>
    <w:rsid w:val="00E60FB5"/>
    <w:rsid w:val="00E61156"/>
    <w:rsid w:val="00E61620"/>
    <w:rsid w:val="00E61A40"/>
    <w:rsid w:val="00E63755"/>
    <w:rsid w:val="00E64449"/>
    <w:rsid w:val="00E653FF"/>
    <w:rsid w:val="00E656A1"/>
    <w:rsid w:val="00E65B28"/>
    <w:rsid w:val="00E65C38"/>
    <w:rsid w:val="00E65E71"/>
    <w:rsid w:val="00E65FDD"/>
    <w:rsid w:val="00E67231"/>
    <w:rsid w:val="00E67323"/>
    <w:rsid w:val="00E67402"/>
    <w:rsid w:val="00E67442"/>
    <w:rsid w:val="00E6748C"/>
    <w:rsid w:val="00E67E26"/>
    <w:rsid w:val="00E70153"/>
    <w:rsid w:val="00E70D46"/>
    <w:rsid w:val="00E70FC7"/>
    <w:rsid w:val="00E714E4"/>
    <w:rsid w:val="00E7187E"/>
    <w:rsid w:val="00E73C20"/>
    <w:rsid w:val="00E74854"/>
    <w:rsid w:val="00E755AA"/>
    <w:rsid w:val="00E75BC6"/>
    <w:rsid w:val="00E75D05"/>
    <w:rsid w:val="00E76BE6"/>
    <w:rsid w:val="00E771E0"/>
    <w:rsid w:val="00E77549"/>
    <w:rsid w:val="00E77B6B"/>
    <w:rsid w:val="00E77DF3"/>
    <w:rsid w:val="00E80129"/>
    <w:rsid w:val="00E806B7"/>
    <w:rsid w:val="00E80CC7"/>
    <w:rsid w:val="00E815A5"/>
    <w:rsid w:val="00E81C3A"/>
    <w:rsid w:val="00E820C6"/>
    <w:rsid w:val="00E8232F"/>
    <w:rsid w:val="00E82FE7"/>
    <w:rsid w:val="00E831C5"/>
    <w:rsid w:val="00E84A94"/>
    <w:rsid w:val="00E85A60"/>
    <w:rsid w:val="00E85DCD"/>
    <w:rsid w:val="00E869BD"/>
    <w:rsid w:val="00E86B52"/>
    <w:rsid w:val="00E86EF6"/>
    <w:rsid w:val="00E86F9E"/>
    <w:rsid w:val="00E871E7"/>
    <w:rsid w:val="00E90727"/>
    <w:rsid w:val="00E907E3"/>
    <w:rsid w:val="00E914D7"/>
    <w:rsid w:val="00E91790"/>
    <w:rsid w:val="00E91BBF"/>
    <w:rsid w:val="00E91FF9"/>
    <w:rsid w:val="00E93188"/>
    <w:rsid w:val="00E935DA"/>
    <w:rsid w:val="00E93C3B"/>
    <w:rsid w:val="00E93E6C"/>
    <w:rsid w:val="00E94121"/>
    <w:rsid w:val="00E941AC"/>
    <w:rsid w:val="00E941CD"/>
    <w:rsid w:val="00E9438E"/>
    <w:rsid w:val="00E943FB"/>
    <w:rsid w:val="00E94467"/>
    <w:rsid w:val="00E95352"/>
    <w:rsid w:val="00E967D5"/>
    <w:rsid w:val="00E96A7E"/>
    <w:rsid w:val="00E96BCB"/>
    <w:rsid w:val="00E973F6"/>
    <w:rsid w:val="00E97531"/>
    <w:rsid w:val="00E976E4"/>
    <w:rsid w:val="00E97DE5"/>
    <w:rsid w:val="00E97F6F"/>
    <w:rsid w:val="00EA10CE"/>
    <w:rsid w:val="00EA165B"/>
    <w:rsid w:val="00EA1A21"/>
    <w:rsid w:val="00EA1AB7"/>
    <w:rsid w:val="00EA2EFF"/>
    <w:rsid w:val="00EA373D"/>
    <w:rsid w:val="00EA394E"/>
    <w:rsid w:val="00EA4086"/>
    <w:rsid w:val="00EA4662"/>
    <w:rsid w:val="00EA49F7"/>
    <w:rsid w:val="00EA4F85"/>
    <w:rsid w:val="00EA524F"/>
    <w:rsid w:val="00EA5FEA"/>
    <w:rsid w:val="00EA6CD7"/>
    <w:rsid w:val="00EA6DB0"/>
    <w:rsid w:val="00EA7186"/>
    <w:rsid w:val="00EA793F"/>
    <w:rsid w:val="00EB029C"/>
    <w:rsid w:val="00EB054A"/>
    <w:rsid w:val="00EB0BC9"/>
    <w:rsid w:val="00EB0D6F"/>
    <w:rsid w:val="00EB1490"/>
    <w:rsid w:val="00EB2232"/>
    <w:rsid w:val="00EB2589"/>
    <w:rsid w:val="00EB2AF8"/>
    <w:rsid w:val="00EB2E67"/>
    <w:rsid w:val="00EB3525"/>
    <w:rsid w:val="00EB3A74"/>
    <w:rsid w:val="00EB3EEF"/>
    <w:rsid w:val="00EB4223"/>
    <w:rsid w:val="00EB43C3"/>
    <w:rsid w:val="00EB4980"/>
    <w:rsid w:val="00EB57DE"/>
    <w:rsid w:val="00EC0291"/>
    <w:rsid w:val="00EC02E5"/>
    <w:rsid w:val="00EC0718"/>
    <w:rsid w:val="00EC091C"/>
    <w:rsid w:val="00EC1003"/>
    <w:rsid w:val="00EC15AA"/>
    <w:rsid w:val="00EC1A03"/>
    <w:rsid w:val="00EC4859"/>
    <w:rsid w:val="00EC5337"/>
    <w:rsid w:val="00EC5523"/>
    <w:rsid w:val="00EC6ACC"/>
    <w:rsid w:val="00EC6EF8"/>
    <w:rsid w:val="00EC715E"/>
    <w:rsid w:val="00EC727C"/>
    <w:rsid w:val="00EC7727"/>
    <w:rsid w:val="00EC7815"/>
    <w:rsid w:val="00EC7882"/>
    <w:rsid w:val="00EC79FF"/>
    <w:rsid w:val="00EC7BB0"/>
    <w:rsid w:val="00ED01E4"/>
    <w:rsid w:val="00ED0279"/>
    <w:rsid w:val="00ED1CDA"/>
    <w:rsid w:val="00ED2869"/>
    <w:rsid w:val="00ED3CB3"/>
    <w:rsid w:val="00ED40DA"/>
    <w:rsid w:val="00ED451E"/>
    <w:rsid w:val="00ED4650"/>
    <w:rsid w:val="00ED4E28"/>
    <w:rsid w:val="00ED58FF"/>
    <w:rsid w:val="00ED5AD4"/>
    <w:rsid w:val="00ED6261"/>
    <w:rsid w:val="00ED69EF"/>
    <w:rsid w:val="00ED71CA"/>
    <w:rsid w:val="00ED72E7"/>
    <w:rsid w:val="00EE0259"/>
    <w:rsid w:val="00EE03F7"/>
    <w:rsid w:val="00EE05CF"/>
    <w:rsid w:val="00EE08C2"/>
    <w:rsid w:val="00EE10BB"/>
    <w:rsid w:val="00EE231C"/>
    <w:rsid w:val="00EE259B"/>
    <w:rsid w:val="00EE2F13"/>
    <w:rsid w:val="00EE438A"/>
    <w:rsid w:val="00EE47B3"/>
    <w:rsid w:val="00EE4F2C"/>
    <w:rsid w:val="00EE526C"/>
    <w:rsid w:val="00EE5D77"/>
    <w:rsid w:val="00EE61B8"/>
    <w:rsid w:val="00EE6B8A"/>
    <w:rsid w:val="00EE6FE9"/>
    <w:rsid w:val="00EE7A94"/>
    <w:rsid w:val="00EE7B72"/>
    <w:rsid w:val="00EE7C7D"/>
    <w:rsid w:val="00EE7FC4"/>
    <w:rsid w:val="00EF0231"/>
    <w:rsid w:val="00EF1229"/>
    <w:rsid w:val="00EF1549"/>
    <w:rsid w:val="00EF1C65"/>
    <w:rsid w:val="00EF1CF8"/>
    <w:rsid w:val="00EF208A"/>
    <w:rsid w:val="00EF26F5"/>
    <w:rsid w:val="00EF2732"/>
    <w:rsid w:val="00EF3DCD"/>
    <w:rsid w:val="00EF43DD"/>
    <w:rsid w:val="00EF59A6"/>
    <w:rsid w:val="00EF5CE7"/>
    <w:rsid w:val="00EF5FDD"/>
    <w:rsid w:val="00EF66AF"/>
    <w:rsid w:val="00EF6C93"/>
    <w:rsid w:val="00EF7391"/>
    <w:rsid w:val="00F00000"/>
    <w:rsid w:val="00F00437"/>
    <w:rsid w:val="00F009D2"/>
    <w:rsid w:val="00F013B6"/>
    <w:rsid w:val="00F01943"/>
    <w:rsid w:val="00F024C4"/>
    <w:rsid w:val="00F0250B"/>
    <w:rsid w:val="00F02B05"/>
    <w:rsid w:val="00F02CAD"/>
    <w:rsid w:val="00F02CCC"/>
    <w:rsid w:val="00F02FC1"/>
    <w:rsid w:val="00F03DD8"/>
    <w:rsid w:val="00F03F24"/>
    <w:rsid w:val="00F0476F"/>
    <w:rsid w:val="00F04B3F"/>
    <w:rsid w:val="00F052D6"/>
    <w:rsid w:val="00F05318"/>
    <w:rsid w:val="00F06639"/>
    <w:rsid w:val="00F06A9C"/>
    <w:rsid w:val="00F11252"/>
    <w:rsid w:val="00F11A39"/>
    <w:rsid w:val="00F11EBB"/>
    <w:rsid w:val="00F12DA2"/>
    <w:rsid w:val="00F131D8"/>
    <w:rsid w:val="00F13315"/>
    <w:rsid w:val="00F136C1"/>
    <w:rsid w:val="00F140DE"/>
    <w:rsid w:val="00F14535"/>
    <w:rsid w:val="00F17525"/>
    <w:rsid w:val="00F176EF"/>
    <w:rsid w:val="00F17731"/>
    <w:rsid w:val="00F17A43"/>
    <w:rsid w:val="00F17E65"/>
    <w:rsid w:val="00F202AB"/>
    <w:rsid w:val="00F206A2"/>
    <w:rsid w:val="00F208AB"/>
    <w:rsid w:val="00F20995"/>
    <w:rsid w:val="00F20B94"/>
    <w:rsid w:val="00F214B8"/>
    <w:rsid w:val="00F2150A"/>
    <w:rsid w:val="00F2156F"/>
    <w:rsid w:val="00F224BC"/>
    <w:rsid w:val="00F231D8"/>
    <w:rsid w:val="00F231DF"/>
    <w:rsid w:val="00F23C61"/>
    <w:rsid w:val="00F242B7"/>
    <w:rsid w:val="00F244C7"/>
    <w:rsid w:val="00F249D8"/>
    <w:rsid w:val="00F2531F"/>
    <w:rsid w:val="00F2562A"/>
    <w:rsid w:val="00F25838"/>
    <w:rsid w:val="00F259B2"/>
    <w:rsid w:val="00F25BC9"/>
    <w:rsid w:val="00F25DF3"/>
    <w:rsid w:val="00F25F37"/>
    <w:rsid w:val="00F25FAA"/>
    <w:rsid w:val="00F26069"/>
    <w:rsid w:val="00F260FF"/>
    <w:rsid w:val="00F26AD0"/>
    <w:rsid w:val="00F26FB1"/>
    <w:rsid w:val="00F27718"/>
    <w:rsid w:val="00F27757"/>
    <w:rsid w:val="00F278B4"/>
    <w:rsid w:val="00F27DC2"/>
    <w:rsid w:val="00F27F1A"/>
    <w:rsid w:val="00F30793"/>
    <w:rsid w:val="00F307C0"/>
    <w:rsid w:val="00F30818"/>
    <w:rsid w:val="00F30BBA"/>
    <w:rsid w:val="00F329FF"/>
    <w:rsid w:val="00F33C41"/>
    <w:rsid w:val="00F34118"/>
    <w:rsid w:val="00F344EF"/>
    <w:rsid w:val="00F350E8"/>
    <w:rsid w:val="00F3526A"/>
    <w:rsid w:val="00F35A26"/>
    <w:rsid w:val="00F35DBC"/>
    <w:rsid w:val="00F36C7D"/>
    <w:rsid w:val="00F36F88"/>
    <w:rsid w:val="00F37C17"/>
    <w:rsid w:val="00F408CB"/>
    <w:rsid w:val="00F4102D"/>
    <w:rsid w:val="00F42682"/>
    <w:rsid w:val="00F434C0"/>
    <w:rsid w:val="00F4362D"/>
    <w:rsid w:val="00F43898"/>
    <w:rsid w:val="00F443CC"/>
    <w:rsid w:val="00F44AA2"/>
    <w:rsid w:val="00F46360"/>
    <w:rsid w:val="00F46632"/>
    <w:rsid w:val="00F46C5F"/>
    <w:rsid w:val="00F4736C"/>
    <w:rsid w:val="00F502D8"/>
    <w:rsid w:val="00F5070B"/>
    <w:rsid w:val="00F5106D"/>
    <w:rsid w:val="00F52E97"/>
    <w:rsid w:val="00F53BDB"/>
    <w:rsid w:val="00F54AF8"/>
    <w:rsid w:val="00F54C0B"/>
    <w:rsid w:val="00F54D89"/>
    <w:rsid w:val="00F554DE"/>
    <w:rsid w:val="00F555A3"/>
    <w:rsid w:val="00F5680E"/>
    <w:rsid w:val="00F571B4"/>
    <w:rsid w:val="00F57523"/>
    <w:rsid w:val="00F57FAF"/>
    <w:rsid w:val="00F60043"/>
    <w:rsid w:val="00F6067B"/>
    <w:rsid w:val="00F60A28"/>
    <w:rsid w:val="00F60CD2"/>
    <w:rsid w:val="00F618AF"/>
    <w:rsid w:val="00F626C7"/>
    <w:rsid w:val="00F63C41"/>
    <w:rsid w:val="00F64487"/>
    <w:rsid w:val="00F653D4"/>
    <w:rsid w:val="00F6549E"/>
    <w:rsid w:val="00F65C35"/>
    <w:rsid w:val="00F65D42"/>
    <w:rsid w:val="00F6603D"/>
    <w:rsid w:val="00F66429"/>
    <w:rsid w:val="00F66731"/>
    <w:rsid w:val="00F669F1"/>
    <w:rsid w:val="00F66FB4"/>
    <w:rsid w:val="00F670A2"/>
    <w:rsid w:val="00F67220"/>
    <w:rsid w:val="00F67C49"/>
    <w:rsid w:val="00F702E3"/>
    <w:rsid w:val="00F70676"/>
    <w:rsid w:val="00F7070E"/>
    <w:rsid w:val="00F71669"/>
    <w:rsid w:val="00F71A07"/>
    <w:rsid w:val="00F71A5B"/>
    <w:rsid w:val="00F71DE7"/>
    <w:rsid w:val="00F7232E"/>
    <w:rsid w:val="00F72E4D"/>
    <w:rsid w:val="00F7312D"/>
    <w:rsid w:val="00F74309"/>
    <w:rsid w:val="00F746AA"/>
    <w:rsid w:val="00F746F8"/>
    <w:rsid w:val="00F749B9"/>
    <w:rsid w:val="00F75A86"/>
    <w:rsid w:val="00F75B53"/>
    <w:rsid w:val="00F76ADE"/>
    <w:rsid w:val="00F76CFD"/>
    <w:rsid w:val="00F76D87"/>
    <w:rsid w:val="00F778FD"/>
    <w:rsid w:val="00F77B44"/>
    <w:rsid w:val="00F77B86"/>
    <w:rsid w:val="00F8022C"/>
    <w:rsid w:val="00F8030A"/>
    <w:rsid w:val="00F806FF"/>
    <w:rsid w:val="00F80812"/>
    <w:rsid w:val="00F80BD3"/>
    <w:rsid w:val="00F80DFB"/>
    <w:rsid w:val="00F810A6"/>
    <w:rsid w:val="00F8196C"/>
    <w:rsid w:val="00F81E28"/>
    <w:rsid w:val="00F821F8"/>
    <w:rsid w:val="00F82684"/>
    <w:rsid w:val="00F82BE2"/>
    <w:rsid w:val="00F83061"/>
    <w:rsid w:val="00F830AE"/>
    <w:rsid w:val="00F84821"/>
    <w:rsid w:val="00F84E71"/>
    <w:rsid w:val="00F85BBA"/>
    <w:rsid w:val="00F85CF0"/>
    <w:rsid w:val="00F85DDC"/>
    <w:rsid w:val="00F8620A"/>
    <w:rsid w:val="00F87733"/>
    <w:rsid w:val="00F87AD3"/>
    <w:rsid w:val="00F87CE3"/>
    <w:rsid w:val="00F90011"/>
    <w:rsid w:val="00F9049E"/>
    <w:rsid w:val="00F905D2"/>
    <w:rsid w:val="00F91DA6"/>
    <w:rsid w:val="00F9265E"/>
    <w:rsid w:val="00F93461"/>
    <w:rsid w:val="00F93DFE"/>
    <w:rsid w:val="00F93EB5"/>
    <w:rsid w:val="00F942F4"/>
    <w:rsid w:val="00F949D0"/>
    <w:rsid w:val="00F94A3B"/>
    <w:rsid w:val="00F94A63"/>
    <w:rsid w:val="00F94F61"/>
    <w:rsid w:val="00F9552B"/>
    <w:rsid w:val="00F962BF"/>
    <w:rsid w:val="00F964B7"/>
    <w:rsid w:val="00F96B5D"/>
    <w:rsid w:val="00F96E76"/>
    <w:rsid w:val="00F96EDB"/>
    <w:rsid w:val="00F97436"/>
    <w:rsid w:val="00F97A46"/>
    <w:rsid w:val="00F97BA9"/>
    <w:rsid w:val="00F97D5C"/>
    <w:rsid w:val="00FA010E"/>
    <w:rsid w:val="00FA0382"/>
    <w:rsid w:val="00FA0698"/>
    <w:rsid w:val="00FA0E3D"/>
    <w:rsid w:val="00FA0E9B"/>
    <w:rsid w:val="00FA239C"/>
    <w:rsid w:val="00FA34A4"/>
    <w:rsid w:val="00FA395D"/>
    <w:rsid w:val="00FA3992"/>
    <w:rsid w:val="00FA43A8"/>
    <w:rsid w:val="00FA45C0"/>
    <w:rsid w:val="00FA45D2"/>
    <w:rsid w:val="00FA6B53"/>
    <w:rsid w:val="00FA6D1E"/>
    <w:rsid w:val="00FA7319"/>
    <w:rsid w:val="00FB0511"/>
    <w:rsid w:val="00FB20EE"/>
    <w:rsid w:val="00FB2294"/>
    <w:rsid w:val="00FB2CE1"/>
    <w:rsid w:val="00FB2E0E"/>
    <w:rsid w:val="00FB338F"/>
    <w:rsid w:val="00FB42E8"/>
    <w:rsid w:val="00FB430A"/>
    <w:rsid w:val="00FB4B91"/>
    <w:rsid w:val="00FB53CE"/>
    <w:rsid w:val="00FB5C81"/>
    <w:rsid w:val="00FB5FC7"/>
    <w:rsid w:val="00FB7405"/>
    <w:rsid w:val="00FB768A"/>
    <w:rsid w:val="00FB79E8"/>
    <w:rsid w:val="00FC11F8"/>
    <w:rsid w:val="00FC14B2"/>
    <w:rsid w:val="00FC1A76"/>
    <w:rsid w:val="00FC2420"/>
    <w:rsid w:val="00FC2B36"/>
    <w:rsid w:val="00FC2B6F"/>
    <w:rsid w:val="00FC2B98"/>
    <w:rsid w:val="00FC2C50"/>
    <w:rsid w:val="00FC30B5"/>
    <w:rsid w:val="00FC3A9A"/>
    <w:rsid w:val="00FC3ED4"/>
    <w:rsid w:val="00FC4FE4"/>
    <w:rsid w:val="00FC5246"/>
    <w:rsid w:val="00FC5658"/>
    <w:rsid w:val="00FC602C"/>
    <w:rsid w:val="00FC6178"/>
    <w:rsid w:val="00FC6425"/>
    <w:rsid w:val="00FC65FA"/>
    <w:rsid w:val="00FC69C0"/>
    <w:rsid w:val="00FC7009"/>
    <w:rsid w:val="00FC732E"/>
    <w:rsid w:val="00FC7389"/>
    <w:rsid w:val="00FC7828"/>
    <w:rsid w:val="00FD0927"/>
    <w:rsid w:val="00FD1121"/>
    <w:rsid w:val="00FD1451"/>
    <w:rsid w:val="00FD15FD"/>
    <w:rsid w:val="00FD1E76"/>
    <w:rsid w:val="00FD20FD"/>
    <w:rsid w:val="00FD2102"/>
    <w:rsid w:val="00FD22D9"/>
    <w:rsid w:val="00FD24D6"/>
    <w:rsid w:val="00FD2C4D"/>
    <w:rsid w:val="00FD3FF5"/>
    <w:rsid w:val="00FD561C"/>
    <w:rsid w:val="00FD56DA"/>
    <w:rsid w:val="00FD72D6"/>
    <w:rsid w:val="00FD7E8C"/>
    <w:rsid w:val="00FE092D"/>
    <w:rsid w:val="00FE0C8C"/>
    <w:rsid w:val="00FE0E8C"/>
    <w:rsid w:val="00FE1706"/>
    <w:rsid w:val="00FE17D5"/>
    <w:rsid w:val="00FE20B0"/>
    <w:rsid w:val="00FE2624"/>
    <w:rsid w:val="00FE2C88"/>
    <w:rsid w:val="00FE2D93"/>
    <w:rsid w:val="00FE3105"/>
    <w:rsid w:val="00FE4EEF"/>
    <w:rsid w:val="00FE4F09"/>
    <w:rsid w:val="00FE5227"/>
    <w:rsid w:val="00FE6ED9"/>
    <w:rsid w:val="00FE75CC"/>
    <w:rsid w:val="00FE77D2"/>
    <w:rsid w:val="00FE7983"/>
    <w:rsid w:val="00FE7A2D"/>
    <w:rsid w:val="00FE7C0F"/>
    <w:rsid w:val="00FF0531"/>
    <w:rsid w:val="00FF084B"/>
    <w:rsid w:val="00FF1019"/>
    <w:rsid w:val="00FF10D4"/>
    <w:rsid w:val="00FF142A"/>
    <w:rsid w:val="00FF15E0"/>
    <w:rsid w:val="00FF2415"/>
    <w:rsid w:val="00FF252E"/>
    <w:rsid w:val="00FF2EDE"/>
    <w:rsid w:val="00FF3C14"/>
    <w:rsid w:val="00FF3EEE"/>
    <w:rsid w:val="00FF4112"/>
    <w:rsid w:val="00FF483A"/>
    <w:rsid w:val="00FF4BEB"/>
    <w:rsid w:val="00FF5156"/>
    <w:rsid w:val="00FF5C0C"/>
    <w:rsid w:val="00FF654B"/>
    <w:rsid w:val="00FF6779"/>
    <w:rsid w:val="00FF6FC4"/>
    <w:rsid w:val="00FF7065"/>
    <w:rsid w:val="00FF715A"/>
    <w:rsid w:val="00FF78D0"/>
    <w:rsid w:val="00FF7D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435E55AE-0A11-4043-8D22-B354E2A5D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2"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813E5E"/>
    <w:pPr>
      <w:keepNext/>
      <w:keepLines/>
      <w:spacing w:before="480"/>
      <w:ind w:left="567" w:hanging="567"/>
      <w:outlineLvl w:val="0"/>
    </w:pPr>
    <w:rPr>
      <w:b/>
      <w:sz w:val="28"/>
    </w:rPr>
  </w:style>
  <w:style w:type="paragraph" w:styleId="Heading2">
    <w:name w:val="heading 2"/>
    <w:basedOn w:val="Heading1"/>
    <w:next w:val="Normal"/>
    <w:link w:val="Heading2Char"/>
    <w:qFormat/>
    <w:rsid w:val="00813E5E"/>
    <w:pPr>
      <w:spacing w:before="320"/>
      <w:outlineLvl w:val="1"/>
    </w:pPr>
    <w:rPr>
      <w:sz w:val="24"/>
    </w:rPr>
  </w:style>
  <w:style w:type="paragraph" w:styleId="Heading3">
    <w:name w:val="heading 3"/>
    <w:basedOn w:val="Heading1"/>
    <w:next w:val="Normal"/>
    <w:link w:val="Heading3Char"/>
    <w:uiPriority w:val="2"/>
    <w:qFormat/>
    <w:rsid w:val="00813E5E"/>
    <w:pPr>
      <w:spacing w:before="200"/>
      <w:outlineLvl w:val="2"/>
    </w:pPr>
    <w:rPr>
      <w:sz w:val="24"/>
    </w:rPr>
  </w:style>
  <w:style w:type="paragraph" w:styleId="Heading4">
    <w:name w:val="heading 4"/>
    <w:basedOn w:val="Heading3"/>
    <w:next w:val="Normal"/>
    <w:link w:val="Heading4Char"/>
    <w:qFormat/>
    <w:rsid w:val="00813E5E"/>
    <w:pPr>
      <w:ind w:left="1134" w:hanging="1134"/>
      <w:outlineLvl w:val="3"/>
    </w:pPr>
  </w:style>
  <w:style w:type="paragraph" w:styleId="Heading5">
    <w:name w:val="heading 5"/>
    <w:basedOn w:val="Heading4"/>
    <w:next w:val="Normal"/>
    <w:link w:val="Heading5Char"/>
    <w:qFormat/>
    <w:rsid w:val="00813E5E"/>
    <w:pPr>
      <w:outlineLvl w:val="4"/>
    </w:pPr>
  </w:style>
  <w:style w:type="paragraph" w:styleId="Heading6">
    <w:name w:val="heading 6"/>
    <w:basedOn w:val="Heading4"/>
    <w:next w:val="Normal"/>
    <w:link w:val="Heading6Char"/>
    <w:qFormat/>
    <w:rsid w:val="00813E5E"/>
    <w:pPr>
      <w:outlineLvl w:val="5"/>
    </w:pPr>
  </w:style>
  <w:style w:type="paragraph" w:styleId="Heading7">
    <w:name w:val="heading 7"/>
    <w:basedOn w:val="Heading4"/>
    <w:next w:val="Normal"/>
    <w:link w:val="Heading7Char"/>
    <w:qFormat/>
    <w:rsid w:val="00813E5E"/>
    <w:pPr>
      <w:ind w:left="1701" w:hanging="1701"/>
      <w:outlineLvl w:val="6"/>
    </w:pPr>
  </w:style>
  <w:style w:type="paragraph" w:styleId="Heading8">
    <w:name w:val="heading 8"/>
    <w:basedOn w:val="Heading4"/>
    <w:next w:val="Normal"/>
    <w:link w:val="Heading8Char"/>
    <w:qFormat/>
    <w:rsid w:val="00813E5E"/>
    <w:pPr>
      <w:ind w:left="1701" w:hanging="1701"/>
      <w:outlineLvl w:val="7"/>
    </w:pPr>
  </w:style>
  <w:style w:type="paragraph" w:styleId="Heading9">
    <w:name w:val="heading 9"/>
    <w:basedOn w:val="Heading4"/>
    <w:next w:val="Normal"/>
    <w:link w:val="Heading9Char"/>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uiPriority w:val="39"/>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39"/>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rsid w:val="00813E5E"/>
    <w:rPr>
      <w:rFonts w:ascii="Calibri" w:hAnsi="Calibri"/>
      <w:position w:val="6"/>
      <w:sz w:val="16"/>
    </w:rPr>
  </w:style>
  <w:style w:type="paragraph" w:styleId="FootnoteText">
    <w:name w:val="footnote text"/>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link w:val="NormalaftertitleChar"/>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docnoted">
    <w:name w:val="docnoted"/>
    <w:basedOn w:val="Normal"/>
    <w:next w:val="Head"/>
    <w:rsid w:val="004D1851"/>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uiPriority w:val="99"/>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link w:val="CallChar"/>
    <w:rsid w:val="00813E5E"/>
    <w:pPr>
      <w:keepNext/>
      <w:keepLines/>
      <w:tabs>
        <w:tab w:val="clear" w:pos="1134"/>
        <w:tab w:val="clear" w:pos="1701"/>
        <w:tab w:val="clear" w:pos="2268"/>
        <w:tab w:val="clear" w:pos="2835"/>
      </w:tabs>
      <w:spacing w:before="160"/>
      <w:ind w:left="567"/>
    </w:pPr>
    <w:rPr>
      <w:i/>
    </w:rPr>
  </w:style>
  <w:style w:type="character" w:styleId="EndnoteReference">
    <w:name w:val="endnote reference"/>
    <w:rsid w:val="004D1851"/>
    <w:rPr>
      <w:vertAlign w:val="superscript"/>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b w:val="0"/>
      <w:i/>
    </w:rPr>
  </w:style>
  <w:style w:type="character" w:styleId="PageNumber">
    <w:name w:val="page number"/>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firstfooter0">
    <w:name w:val="firstfooter"/>
    <w:basedOn w:val="Normal"/>
    <w:rsid w:val="00813E5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6535F1"/>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Heading1Char">
    <w:name w:val="Heading 1 Char"/>
    <w:link w:val="Heading1"/>
    <w:rsid w:val="0022373A"/>
    <w:rPr>
      <w:rFonts w:ascii="Calibri" w:hAnsi="Calibri"/>
      <w:b/>
      <w:sz w:val="28"/>
      <w:lang w:val="en-GB" w:eastAsia="en-US"/>
    </w:rPr>
  </w:style>
  <w:style w:type="character" w:customStyle="1" w:styleId="Heading2Char">
    <w:name w:val="Heading 2 Char"/>
    <w:link w:val="Heading2"/>
    <w:rsid w:val="0022373A"/>
    <w:rPr>
      <w:rFonts w:ascii="Calibri" w:hAnsi="Calibri"/>
      <w:b/>
      <w:sz w:val="24"/>
      <w:lang w:val="en-GB" w:eastAsia="en-US"/>
    </w:rPr>
  </w:style>
  <w:style w:type="character" w:customStyle="1" w:styleId="Heading3Char">
    <w:name w:val="Heading 3 Char"/>
    <w:link w:val="Heading3"/>
    <w:uiPriority w:val="2"/>
    <w:rsid w:val="0022373A"/>
    <w:rPr>
      <w:rFonts w:ascii="Calibri" w:hAnsi="Calibri"/>
      <w:b/>
      <w:sz w:val="24"/>
      <w:lang w:val="en-GB" w:eastAsia="en-US"/>
    </w:rPr>
  </w:style>
  <w:style w:type="character" w:customStyle="1" w:styleId="Heading4Char">
    <w:name w:val="Heading 4 Char"/>
    <w:link w:val="Heading4"/>
    <w:rsid w:val="0022373A"/>
    <w:rPr>
      <w:rFonts w:ascii="Calibri" w:hAnsi="Calibri"/>
      <w:b/>
      <w:sz w:val="24"/>
      <w:lang w:val="en-GB" w:eastAsia="en-US"/>
    </w:rPr>
  </w:style>
  <w:style w:type="character" w:customStyle="1" w:styleId="Heading5Char">
    <w:name w:val="Heading 5 Char"/>
    <w:link w:val="Heading5"/>
    <w:rsid w:val="0022373A"/>
    <w:rPr>
      <w:rFonts w:ascii="Calibri" w:hAnsi="Calibri"/>
      <w:b/>
      <w:sz w:val="24"/>
      <w:lang w:val="en-GB" w:eastAsia="en-US"/>
    </w:rPr>
  </w:style>
  <w:style w:type="character" w:customStyle="1" w:styleId="Heading6Char">
    <w:name w:val="Heading 6 Char"/>
    <w:link w:val="Heading6"/>
    <w:rsid w:val="0022373A"/>
    <w:rPr>
      <w:rFonts w:ascii="Calibri" w:hAnsi="Calibri"/>
      <w:b/>
      <w:sz w:val="24"/>
      <w:lang w:val="en-GB" w:eastAsia="en-US"/>
    </w:rPr>
  </w:style>
  <w:style w:type="character" w:customStyle="1" w:styleId="Heading7Char">
    <w:name w:val="Heading 7 Char"/>
    <w:link w:val="Heading7"/>
    <w:rsid w:val="0022373A"/>
    <w:rPr>
      <w:rFonts w:ascii="Calibri" w:hAnsi="Calibri"/>
      <w:b/>
      <w:sz w:val="24"/>
      <w:lang w:val="en-GB" w:eastAsia="en-US"/>
    </w:rPr>
  </w:style>
  <w:style w:type="character" w:customStyle="1" w:styleId="Heading8Char">
    <w:name w:val="Heading 8 Char"/>
    <w:link w:val="Heading8"/>
    <w:rsid w:val="0022373A"/>
    <w:rPr>
      <w:rFonts w:ascii="Calibri" w:hAnsi="Calibri"/>
      <w:b/>
      <w:sz w:val="24"/>
      <w:lang w:val="en-GB" w:eastAsia="en-US"/>
    </w:rPr>
  </w:style>
  <w:style w:type="character" w:customStyle="1" w:styleId="Heading9Char">
    <w:name w:val="Heading 9 Char"/>
    <w:link w:val="Heading9"/>
    <w:rsid w:val="0022373A"/>
    <w:rPr>
      <w:rFonts w:ascii="Calibri" w:hAnsi="Calibri"/>
      <w:b/>
      <w:sz w:val="24"/>
      <w:lang w:val="en-GB" w:eastAsia="en-US"/>
    </w:rPr>
  </w:style>
  <w:style w:type="character" w:customStyle="1" w:styleId="FooterChar">
    <w:name w:val="Footer Char"/>
    <w:link w:val="Footer"/>
    <w:rsid w:val="0022373A"/>
    <w:rPr>
      <w:rFonts w:ascii="Calibri" w:hAnsi="Calibri"/>
      <w:caps/>
      <w:noProof/>
      <w:sz w:val="16"/>
      <w:lang w:val="en-GB" w:eastAsia="en-US"/>
    </w:rPr>
  </w:style>
  <w:style w:type="character" w:customStyle="1" w:styleId="HeaderChar">
    <w:name w:val="Header Char"/>
    <w:link w:val="Header"/>
    <w:uiPriority w:val="99"/>
    <w:rsid w:val="0022373A"/>
    <w:rPr>
      <w:rFonts w:ascii="Calibri" w:hAnsi="Calibri"/>
      <w:sz w:val="18"/>
      <w:lang w:val="en-GB" w:eastAsia="en-US"/>
    </w:rPr>
  </w:style>
  <w:style w:type="character" w:customStyle="1" w:styleId="FootnoteTextChar">
    <w:name w:val="Footnote Text Char"/>
    <w:link w:val="FootnoteText"/>
    <w:rsid w:val="0022373A"/>
    <w:rPr>
      <w:rFonts w:ascii="Calibri" w:hAnsi="Calibri"/>
      <w:sz w:val="24"/>
      <w:lang w:val="en-GB" w:eastAsia="en-US"/>
    </w:rPr>
  </w:style>
  <w:style w:type="character" w:customStyle="1" w:styleId="NormalaftertitleChar">
    <w:name w:val="Normal after title Char"/>
    <w:link w:val="Normalaftertitle"/>
    <w:rsid w:val="0022373A"/>
    <w:rPr>
      <w:rFonts w:ascii="Calibri" w:hAnsi="Calibri"/>
      <w:sz w:val="24"/>
      <w:lang w:val="en-GB" w:eastAsia="en-US"/>
    </w:rPr>
  </w:style>
  <w:style w:type="character" w:customStyle="1" w:styleId="CallChar">
    <w:name w:val="Call Char"/>
    <w:link w:val="Call"/>
    <w:rsid w:val="0022373A"/>
    <w:rPr>
      <w:rFonts w:ascii="Calibri" w:hAnsi="Calibri"/>
      <w:i/>
      <w:sz w:val="24"/>
      <w:lang w:val="en-GB" w:eastAsia="en-US"/>
    </w:rPr>
  </w:style>
  <w:style w:type="paragraph" w:styleId="NormalWeb">
    <w:name w:val="Normal (Web)"/>
    <w:basedOn w:val="Normal"/>
    <w:uiPriority w:val="99"/>
    <w:unhideWhenUsed/>
    <w:rsid w:val="0022373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table" w:styleId="TableGrid">
    <w:name w:val="Table Grid"/>
    <w:basedOn w:val="TableNormal"/>
    <w:rsid w:val="0022373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22373A"/>
    <w:pPr>
      <w:tabs>
        <w:tab w:val="left" w:pos="284"/>
        <w:tab w:val="left" w:pos="851"/>
        <w:tab w:val="left" w:pos="1418"/>
        <w:tab w:val="left" w:pos="1985"/>
        <w:tab w:val="left" w:pos="2552"/>
        <w:tab w:val="left" w:pos="3119"/>
        <w:tab w:val="left" w:pos="3402"/>
        <w:tab w:val="left" w:pos="3686"/>
        <w:tab w:val="left" w:pos="3969"/>
      </w:tabs>
      <w:spacing w:before="40" w:after="40"/>
    </w:pPr>
    <w:rPr>
      <w:rFonts w:ascii="Times New Roman" w:hAnsi="Times New Roman"/>
      <w:sz w:val="22"/>
      <w:lang w:val="fr-FR"/>
    </w:rPr>
  </w:style>
  <w:style w:type="paragraph" w:customStyle="1" w:styleId="TableHead0">
    <w:name w:val="Table_Head"/>
    <w:basedOn w:val="TableText0"/>
    <w:rsid w:val="0022373A"/>
    <w:pPr>
      <w:keepNext/>
      <w:spacing w:before="480" w:after="0"/>
      <w:jc w:val="center"/>
    </w:pPr>
    <w:rPr>
      <w:b/>
    </w:rPr>
  </w:style>
  <w:style w:type="paragraph" w:styleId="BalloonText">
    <w:name w:val="Balloon Text"/>
    <w:basedOn w:val="Normal"/>
    <w:link w:val="BalloonTextChar"/>
    <w:uiPriority w:val="99"/>
    <w:unhideWhenUsed/>
    <w:rsid w:val="0022373A"/>
    <w:pPr>
      <w:widowControl w:val="0"/>
      <w:tabs>
        <w:tab w:val="clear" w:pos="567"/>
        <w:tab w:val="clear" w:pos="1134"/>
        <w:tab w:val="clear" w:pos="1701"/>
        <w:tab w:val="clear" w:pos="2268"/>
        <w:tab w:val="clear" w:pos="2835"/>
      </w:tabs>
      <w:kinsoku w:val="0"/>
      <w:overflowPunct/>
      <w:autoSpaceDE/>
      <w:autoSpaceDN/>
      <w:adjustRightInd/>
      <w:spacing w:before="0"/>
      <w:textAlignment w:val="auto"/>
    </w:pPr>
    <w:rPr>
      <w:rFonts w:ascii="Tahoma" w:eastAsia="SimSun" w:hAnsi="Tahoma" w:cs="Tahoma"/>
      <w:sz w:val="16"/>
      <w:szCs w:val="16"/>
      <w:lang w:val="en-US" w:eastAsia="zh-CN"/>
    </w:rPr>
  </w:style>
  <w:style w:type="character" w:customStyle="1" w:styleId="BalloonTextChar">
    <w:name w:val="Balloon Text Char"/>
    <w:link w:val="BalloonText"/>
    <w:uiPriority w:val="99"/>
    <w:rsid w:val="0022373A"/>
    <w:rPr>
      <w:rFonts w:ascii="Tahoma" w:eastAsia="SimSun" w:hAnsi="Tahoma" w:cs="Tahoma"/>
      <w:sz w:val="16"/>
      <w:szCs w:val="16"/>
    </w:rPr>
  </w:style>
  <w:style w:type="paragraph" w:styleId="BodyTextIndent">
    <w:name w:val="Body Text Indent"/>
    <w:basedOn w:val="Normal"/>
    <w:link w:val="BodyTextIndentChar"/>
    <w:rsid w:val="0022373A"/>
    <w:pPr>
      <w:tabs>
        <w:tab w:val="clear" w:pos="567"/>
        <w:tab w:val="clear" w:pos="1701"/>
        <w:tab w:val="clear" w:pos="2268"/>
        <w:tab w:val="clear" w:pos="2835"/>
        <w:tab w:val="left" w:pos="0"/>
        <w:tab w:val="left" w:pos="851"/>
      </w:tabs>
      <w:spacing w:before="80" w:line="0" w:lineRule="atLeast"/>
      <w:ind w:left="1134" w:hanging="283"/>
    </w:pPr>
    <w:rPr>
      <w:rFonts w:ascii="Times New Roman" w:hAnsi="Times New Roman"/>
      <w:lang w:val="fr-FR"/>
    </w:rPr>
  </w:style>
  <w:style w:type="character" w:customStyle="1" w:styleId="BodyTextIndentChar">
    <w:name w:val="Body Text Indent Char"/>
    <w:link w:val="BodyTextIndent"/>
    <w:rsid w:val="0022373A"/>
    <w:rPr>
      <w:rFonts w:ascii="Times New Roman" w:hAnsi="Times New Roman"/>
      <w:sz w:val="24"/>
      <w:lang w:val="fr-FR" w:eastAsia="en-US"/>
    </w:rPr>
  </w:style>
  <w:style w:type="paragraph" w:styleId="BodyTextIndent3">
    <w:name w:val="Body Text Indent 3"/>
    <w:basedOn w:val="Normal"/>
    <w:link w:val="BodyTextIndent3Char"/>
    <w:rsid w:val="0022373A"/>
    <w:pPr>
      <w:tabs>
        <w:tab w:val="clear" w:pos="1701"/>
        <w:tab w:val="clear" w:pos="2268"/>
        <w:tab w:val="clear" w:pos="2835"/>
        <w:tab w:val="left" w:pos="851"/>
        <w:tab w:val="left" w:pos="1418"/>
      </w:tabs>
      <w:spacing w:line="240" w:lineRule="atLeast"/>
      <w:ind w:left="34"/>
    </w:pPr>
    <w:rPr>
      <w:rFonts w:ascii="Times New Roman" w:hAnsi="Times New Roman"/>
      <w:lang w:val="fr-FR"/>
    </w:rPr>
  </w:style>
  <w:style w:type="character" w:customStyle="1" w:styleId="BodyTextIndent3Char">
    <w:name w:val="Body Text Indent 3 Char"/>
    <w:link w:val="BodyTextIndent3"/>
    <w:rsid w:val="0022373A"/>
    <w:rPr>
      <w:rFonts w:ascii="Times New Roman" w:hAnsi="Times New Roman"/>
      <w:sz w:val="24"/>
      <w:lang w:val="fr-FR" w:eastAsia="en-US"/>
    </w:rPr>
  </w:style>
  <w:style w:type="paragraph" w:styleId="BodyText3">
    <w:name w:val="Body Text 3"/>
    <w:basedOn w:val="Normal"/>
    <w:link w:val="BodyText3Char"/>
    <w:uiPriority w:val="99"/>
    <w:unhideWhenUsed/>
    <w:rsid w:val="0022373A"/>
    <w:pPr>
      <w:widowControl w:val="0"/>
      <w:tabs>
        <w:tab w:val="clear" w:pos="567"/>
        <w:tab w:val="clear" w:pos="1134"/>
        <w:tab w:val="clear" w:pos="1701"/>
        <w:tab w:val="clear" w:pos="2268"/>
        <w:tab w:val="clear" w:pos="2835"/>
      </w:tabs>
      <w:kinsoku w:val="0"/>
      <w:overflowPunct/>
      <w:autoSpaceDE/>
      <w:autoSpaceDN/>
      <w:adjustRightInd/>
      <w:spacing w:before="0" w:after="120"/>
      <w:textAlignment w:val="auto"/>
    </w:pPr>
    <w:rPr>
      <w:rFonts w:ascii="Times New Roman" w:eastAsia="SimSun" w:hAnsi="Times New Roman"/>
      <w:sz w:val="16"/>
      <w:szCs w:val="16"/>
      <w:lang w:val="en-US" w:eastAsia="zh-CN"/>
    </w:rPr>
  </w:style>
  <w:style w:type="character" w:customStyle="1" w:styleId="BodyText3Char">
    <w:name w:val="Body Text 3 Char"/>
    <w:link w:val="BodyText3"/>
    <w:uiPriority w:val="99"/>
    <w:rsid w:val="0022373A"/>
    <w:rPr>
      <w:rFonts w:ascii="Times New Roman" w:eastAsia="SimSun" w:hAnsi="Times New Roman"/>
      <w:sz w:val="16"/>
      <w:szCs w:val="16"/>
    </w:rPr>
  </w:style>
  <w:style w:type="character" w:styleId="Strong">
    <w:name w:val="Strong"/>
    <w:uiPriority w:val="22"/>
    <w:qFormat/>
    <w:rsid w:val="0022373A"/>
    <w:rPr>
      <w:b/>
      <w:bCs/>
    </w:rPr>
  </w:style>
  <w:style w:type="character" w:styleId="CommentReference">
    <w:name w:val="annotation reference"/>
    <w:uiPriority w:val="99"/>
    <w:unhideWhenUsed/>
    <w:rsid w:val="0022373A"/>
    <w:rPr>
      <w:sz w:val="16"/>
      <w:szCs w:val="16"/>
    </w:rPr>
  </w:style>
  <w:style w:type="paragraph" w:styleId="CommentText">
    <w:name w:val="annotation text"/>
    <w:basedOn w:val="Normal"/>
    <w:link w:val="CommentTextChar"/>
    <w:uiPriority w:val="99"/>
    <w:unhideWhenUsed/>
    <w:rsid w:val="0022373A"/>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cs="Arial"/>
      <w:b/>
      <w:sz w:val="20"/>
      <w:lang w:val="fr-FR" w:eastAsia="fr-FR"/>
    </w:rPr>
  </w:style>
  <w:style w:type="character" w:customStyle="1" w:styleId="CommentTextChar">
    <w:name w:val="Comment Text Char"/>
    <w:link w:val="CommentText"/>
    <w:uiPriority w:val="99"/>
    <w:rsid w:val="0022373A"/>
    <w:rPr>
      <w:rFonts w:ascii="Times New Roman" w:hAnsi="Times New Roman" w:cs="Arial"/>
      <w:b/>
      <w:lang w:val="fr-FR" w:eastAsia="fr-FR"/>
    </w:rPr>
  </w:style>
  <w:style w:type="paragraph" w:styleId="CommentSubject">
    <w:name w:val="annotation subject"/>
    <w:basedOn w:val="CommentText"/>
    <w:next w:val="CommentText"/>
    <w:link w:val="CommentSubjectChar"/>
    <w:uiPriority w:val="99"/>
    <w:unhideWhenUsed/>
    <w:rsid w:val="0022373A"/>
    <w:rPr>
      <w:bCs/>
    </w:rPr>
  </w:style>
  <w:style w:type="character" w:customStyle="1" w:styleId="CommentSubjectChar">
    <w:name w:val="Comment Subject Char"/>
    <w:link w:val="CommentSubject"/>
    <w:uiPriority w:val="99"/>
    <w:rsid w:val="0022373A"/>
    <w:rPr>
      <w:rFonts w:ascii="Times New Roman" w:hAnsi="Times New Roman" w:cs="Arial"/>
      <w:b/>
      <w:bCs/>
      <w:lang w:val="fr-FR" w:eastAsia="fr-FR"/>
    </w:rPr>
  </w:style>
  <w:style w:type="paragraph" w:styleId="Revision">
    <w:name w:val="Revision"/>
    <w:hidden/>
    <w:uiPriority w:val="99"/>
    <w:semiHidden/>
    <w:rsid w:val="0022373A"/>
    <w:rPr>
      <w:rFonts w:ascii="Times New Roman" w:eastAsia="SimSun" w:hAnsi="Times New Roman"/>
      <w:sz w:val="24"/>
      <w:szCs w:val="24"/>
    </w:rPr>
  </w:style>
  <w:style w:type="paragraph" w:styleId="Caption">
    <w:name w:val="caption"/>
    <w:basedOn w:val="Normal"/>
    <w:next w:val="Normal"/>
    <w:uiPriority w:val="35"/>
    <w:unhideWhenUsed/>
    <w:qFormat/>
    <w:rsid w:val="0022373A"/>
    <w:pPr>
      <w:widowControl w:val="0"/>
      <w:tabs>
        <w:tab w:val="clear" w:pos="567"/>
        <w:tab w:val="clear" w:pos="1134"/>
        <w:tab w:val="clear" w:pos="1701"/>
        <w:tab w:val="clear" w:pos="2268"/>
        <w:tab w:val="clear" w:pos="2835"/>
      </w:tabs>
      <w:kinsoku w:val="0"/>
      <w:overflowPunct/>
      <w:autoSpaceDE/>
      <w:autoSpaceDN/>
      <w:adjustRightInd/>
      <w:spacing w:before="0" w:after="200"/>
      <w:textAlignment w:val="auto"/>
    </w:pPr>
    <w:rPr>
      <w:rFonts w:ascii="Times New Roman" w:eastAsia="SimSun" w:hAnsi="Times New Roman"/>
      <w:b/>
      <w:bCs/>
      <w:color w:val="4F81BD"/>
      <w:sz w:val="18"/>
      <w:szCs w:val="18"/>
      <w:lang w:val="en-US" w:eastAsia="zh-CN"/>
    </w:rPr>
  </w:style>
  <w:style w:type="paragraph" w:styleId="NoSpacing">
    <w:name w:val="No Spacing"/>
    <w:uiPriority w:val="1"/>
    <w:qFormat/>
    <w:rsid w:val="00CB1A52"/>
    <w:pPr>
      <w:spacing w:before="120" w:after="120" w:line="288" w:lineRule="auto"/>
    </w:pPr>
    <w:rPr>
      <w:rFonts w:ascii="Arial" w:hAnsi="Arial" w:cs="Arial"/>
      <w:szCs w:val="24"/>
      <w:lang w:val="fr-FR" w:eastAsia="fr-FR"/>
    </w:rPr>
  </w:style>
  <w:style w:type="paragraph" w:styleId="ListParagraph">
    <w:name w:val="List Paragraph"/>
    <w:aliases w:val="List Paragraph1,Recommendation,List Paragraph11"/>
    <w:basedOn w:val="Normal"/>
    <w:link w:val="ListParagraphChar"/>
    <w:uiPriority w:val="34"/>
    <w:qFormat/>
    <w:rsid w:val="0041159C"/>
    <w:pPr>
      <w:widowControl w:val="0"/>
      <w:tabs>
        <w:tab w:val="clear" w:pos="567"/>
        <w:tab w:val="clear" w:pos="1134"/>
        <w:tab w:val="clear" w:pos="1701"/>
        <w:tab w:val="clear" w:pos="2268"/>
        <w:tab w:val="clear" w:pos="2835"/>
      </w:tabs>
      <w:kinsoku w:val="0"/>
      <w:overflowPunct/>
      <w:autoSpaceDE/>
      <w:autoSpaceDN/>
      <w:adjustRightInd/>
      <w:spacing w:before="0"/>
      <w:ind w:left="720"/>
      <w:contextualSpacing/>
      <w:textAlignment w:val="auto"/>
    </w:pPr>
    <w:rPr>
      <w:rFonts w:ascii="Times New Roman" w:eastAsia="SimSun" w:hAnsi="Times New Roman"/>
      <w:szCs w:val="24"/>
      <w:lang w:val="en-US" w:eastAsia="zh-CN"/>
    </w:rPr>
  </w:style>
  <w:style w:type="paragraph" w:customStyle="1" w:styleId="headingb0">
    <w:name w:val="heading_b"/>
    <w:basedOn w:val="Heading3"/>
    <w:next w:val="Normal"/>
    <w:uiPriority w:val="99"/>
    <w:rsid w:val="0041159C"/>
    <w:pPr>
      <w:tabs>
        <w:tab w:val="clear" w:pos="567"/>
        <w:tab w:val="clear" w:pos="1134"/>
        <w:tab w:val="clear" w:pos="1701"/>
        <w:tab w:val="clear" w:pos="2268"/>
        <w:tab w:val="clear" w:pos="2835"/>
        <w:tab w:val="left" w:pos="794"/>
        <w:tab w:val="left" w:pos="2127"/>
        <w:tab w:val="left" w:pos="2410"/>
        <w:tab w:val="left" w:pos="2921"/>
        <w:tab w:val="left" w:pos="3261"/>
      </w:tabs>
      <w:spacing w:before="160"/>
      <w:ind w:left="0" w:firstLine="0"/>
      <w:outlineLvl w:val="9"/>
    </w:pPr>
    <w:rPr>
      <w:rFonts w:ascii="Times New Roman" w:hAnsi="Times New Roman"/>
      <w:lang w:val="fr-FR"/>
    </w:rPr>
  </w:style>
  <w:style w:type="numbering" w:customStyle="1" w:styleId="NoList1">
    <w:name w:val="No List1"/>
    <w:next w:val="NoList"/>
    <w:uiPriority w:val="99"/>
    <w:semiHidden/>
    <w:unhideWhenUsed/>
    <w:rsid w:val="0041159C"/>
  </w:style>
  <w:style w:type="numbering" w:customStyle="1" w:styleId="NoList2">
    <w:name w:val="No List2"/>
    <w:next w:val="NoList"/>
    <w:uiPriority w:val="99"/>
    <w:semiHidden/>
    <w:unhideWhenUsed/>
    <w:rsid w:val="003F74FA"/>
  </w:style>
  <w:style w:type="paragraph" w:customStyle="1" w:styleId="font5">
    <w:name w:val="font5"/>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65">
    <w:name w:val="xl65"/>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paragraph" w:customStyle="1" w:styleId="xl66">
    <w:name w:val="xl66"/>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sz w:val="22"/>
      <w:szCs w:val="22"/>
      <w:lang w:val="en-US" w:eastAsia="zh-CN"/>
    </w:rPr>
  </w:style>
  <w:style w:type="paragraph" w:customStyle="1" w:styleId="xl67">
    <w:name w:val="xl67"/>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b/>
      <w:bCs/>
      <w:sz w:val="22"/>
      <w:szCs w:val="22"/>
      <w:lang w:val="en-US" w:eastAsia="zh-CN"/>
    </w:rPr>
  </w:style>
  <w:style w:type="paragraph" w:customStyle="1" w:styleId="xl68">
    <w:name w:val="xl68"/>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cs="Calibri"/>
      <w:sz w:val="22"/>
      <w:szCs w:val="22"/>
      <w:lang w:val="en-US" w:eastAsia="zh-CN"/>
    </w:rPr>
  </w:style>
  <w:style w:type="paragraph" w:customStyle="1" w:styleId="xl69">
    <w:name w:val="xl69"/>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sz w:val="22"/>
      <w:szCs w:val="22"/>
      <w:lang w:val="en-US" w:eastAsia="zh-CN"/>
    </w:rPr>
  </w:style>
  <w:style w:type="paragraph" w:customStyle="1" w:styleId="xl70">
    <w:name w:val="xl70"/>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cs="Calibri"/>
      <w:b/>
      <w:bCs/>
      <w:sz w:val="22"/>
      <w:szCs w:val="22"/>
      <w:lang w:val="en-US" w:eastAsia="zh-CN"/>
    </w:rPr>
  </w:style>
  <w:style w:type="paragraph" w:customStyle="1" w:styleId="xl71">
    <w:name w:val="xl71"/>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cs="Calibri"/>
      <w:sz w:val="22"/>
      <w:szCs w:val="22"/>
      <w:lang w:val="en-US" w:eastAsia="zh-CN"/>
    </w:rPr>
  </w:style>
  <w:style w:type="paragraph" w:customStyle="1" w:styleId="xl72">
    <w:name w:val="xl72"/>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sz w:val="22"/>
      <w:szCs w:val="22"/>
      <w:lang w:val="en-US" w:eastAsia="zh-CN"/>
    </w:rPr>
  </w:style>
  <w:style w:type="paragraph" w:customStyle="1" w:styleId="xl73">
    <w:name w:val="xl73"/>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sz w:val="22"/>
      <w:szCs w:val="22"/>
      <w:lang w:val="en-US" w:eastAsia="zh-CN"/>
    </w:rPr>
  </w:style>
  <w:style w:type="paragraph" w:customStyle="1" w:styleId="xl74">
    <w:name w:val="xl74"/>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b/>
      <w:bCs/>
      <w:sz w:val="22"/>
      <w:szCs w:val="22"/>
      <w:lang w:val="en-US" w:eastAsia="zh-CN"/>
    </w:rPr>
  </w:style>
  <w:style w:type="paragraph" w:customStyle="1" w:styleId="xl75">
    <w:name w:val="xl75"/>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cs="Calibri"/>
      <w:b/>
      <w:bCs/>
      <w:sz w:val="22"/>
      <w:szCs w:val="22"/>
      <w:lang w:val="en-US" w:eastAsia="zh-CN"/>
    </w:rPr>
  </w:style>
  <w:style w:type="paragraph" w:customStyle="1" w:styleId="xl76">
    <w:name w:val="xl76"/>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77">
    <w:name w:val="xl77"/>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b/>
      <w:bCs/>
      <w:color w:val="000000"/>
      <w:sz w:val="22"/>
      <w:szCs w:val="22"/>
      <w:lang w:val="en-US" w:eastAsia="zh-CN"/>
    </w:rPr>
  </w:style>
  <w:style w:type="paragraph" w:customStyle="1" w:styleId="xl78">
    <w:name w:val="xl78"/>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cs="Calibri"/>
      <w:color w:val="000000"/>
      <w:sz w:val="22"/>
      <w:szCs w:val="22"/>
      <w:lang w:val="en-US" w:eastAsia="zh-CN"/>
    </w:rPr>
  </w:style>
  <w:style w:type="paragraph" w:customStyle="1" w:styleId="xl79">
    <w:name w:val="xl79"/>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80">
    <w:name w:val="xl80"/>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81">
    <w:name w:val="xl81"/>
    <w:basedOn w:val="Normal"/>
    <w:rsid w:val="003F74FA"/>
    <w:pPr>
      <w:pBdr>
        <w:top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82">
    <w:name w:val="xl82"/>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cs="Calibri"/>
      <w:color w:val="000000"/>
      <w:sz w:val="22"/>
      <w:szCs w:val="22"/>
      <w:lang w:val="en-US" w:eastAsia="zh-CN"/>
    </w:rPr>
  </w:style>
  <w:style w:type="paragraph" w:customStyle="1" w:styleId="xl83">
    <w:name w:val="xl83"/>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84">
    <w:name w:val="xl84"/>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cs="Calibri"/>
      <w:b/>
      <w:bCs/>
      <w:color w:val="000000"/>
      <w:sz w:val="22"/>
      <w:szCs w:val="22"/>
      <w:lang w:val="en-US" w:eastAsia="zh-CN"/>
    </w:rPr>
  </w:style>
  <w:style w:type="paragraph" w:customStyle="1" w:styleId="xl85">
    <w:name w:val="xl85"/>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b/>
      <w:bCs/>
      <w:color w:val="000000"/>
      <w:sz w:val="22"/>
      <w:szCs w:val="22"/>
      <w:lang w:val="en-US" w:eastAsia="zh-CN"/>
    </w:rPr>
  </w:style>
  <w:style w:type="paragraph" w:customStyle="1" w:styleId="xl86">
    <w:name w:val="xl86"/>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cs="Calibri"/>
      <w:b/>
      <w:bCs/>
      <w:color w:val="000000"/>
      <w:sz w:val="22"/>
      <w:szCs w:val="22"/>
      <w:lang w:val="en-US" w:eastAsia="zh-CN"/>
    </w:rPr>
  </w:style>
  <w:style w:type="paragraph" w:customStyle="1" w:styleId="xl87">
    <w:name w:val="xl87"/>
    <w:basedOn w:val="Normal"/>
    <w:rsid w:val="003F74FA"/>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88">
    <w:name w:val="xl88"/>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cs="Calibri"/>
      <w:color w:val="000000"/>
      <w:sz w:val="22"/>
      <w:szCs w:val="22"/>
      <w:lang w:val="en-US" w:eastAsia="zh-CN"/>
    </w:rPr>
  </w:style>
  <w:style w:type="paragraph" w:customStyle="1" w:styleId="xl89">
    <w:name w:val="xl89"/>
    <w:basedOn w:val="Normal"/>
    <w:rsid w:val="003F74FA"/>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90">
    <w:name w:val="xl90"/>
    <w:basedOn w:val="Normal"/>
    <w:rsid w:val="003F74FA"/>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cs="Calibri"/>
      <w:color w:val="000000"/>
      <w:sz w:val="22"/>
      <w:szCs w:val="22"/>
      <w:lang w:val="en-US" w:eastAsia="zh-CN"/>
    </w:rPr>
  </w:style>
  <w:style w:type="paragraph" w:customStyle="1" w:styleId="xl91">
    <w:name w:val="xl91"/>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92">
    <w:name w:val="xl92"/>
    <w:basedOn w:val="Normal"/>
    <w:rsid w:val="003F74FA"/>
    <w:pPr>
      <w:pBdr>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93">
    <w:name w:val="xl93"/>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0"/>
      <w:lang w:val="en-US" w:eastAsia="zh-CN"/>
    </w:rPr>
  </w:style>
  <w:style w:type="paragraph" w:styleId="Title">
    <w:name w:val="Title"/>
    <w:basedOn w:val="Normal"/>
    <w:link w:val="TitleChar"/>
    <w:qFormat/>
    <w:rsid w:val="00F67220"/>
    <w:pPr>
      <w:tabs>
        <w:tab w:val="clear" w:pos="567"/>
        <w:tab w:val="clear" w:pos="1134"/>
        <w:tab w:val="clear" w:pos="1701"/>
        <w:tab w:val="clear" w:pos="2268"/>
        <w:tab w:val="clear" w:pos="2835"/>
      </w:tabs>
      <w:overflowPunct/>
      <w:autoSpaceDE/>
      <w:autoSpaceDN/>
      <w:adjustRightInd/>
      <w:spacing w:before="0"/>
      <w:jc w:val="center"/>
      <w:textAlignment w:val="auto"/>
    </w:pPr>
    <w:rPr>
      <w:rFonts w:ascii="Arial" w:eastAsia="SimSun" w:hAnsi="Arial"/>
      <w:b/>
      <w:bCs/>
      <w:sz w:val="22"/>
      <w:szCs w:val="24"/>
      <w:lang w:eastAsia="zh-CN"/>
    </w:rPr>
  </w:style>
  <w:style w:type="character" w:customStyle="1" w:styleId="TitleChar">
    <w:name w:val="Title Char"/>
    <w:link w:val="Title"/>
    <w:rsid w:val="00F67220"/>
    <w:rPr>
      <w:rFonts w:ascii="Arial" w:eastAsia="SimSun" w:hAnsi="Arial"/>
      <w:b/>
      <w:bCs/>
      <w:sz w:val="22"/>
      <w:szCs w:val="24"/>
      <w:lang w:val="en-GB"/>
    </w:rPr>
  </w:style>
  <w:style w:type="paragraph" w:styleId="BlockText">
    <w:name w:val="Block Text"/>
    <w:basedOn w:val="Normal"/>
    <w:rsid w:val="00682E1B"/>
    <w:pPr>
      <w:tabs>
        <w:tab w:val="clear" w:pos="567"/>
        <w:tab w:val="clear" w:pos="1134"/>
        <w:tab w:val="clear" w:pos="1701"/>
        <w:tab w:val="clear" w:pos="2268"/>
        <w:tab w:val="clear" w:pos="2835"/>
      </w:tabs>
      <w:overflowPunct/>
      <w:autoSpaceDE/>
      <w:autoSpaceDN/>
      <w:adjustRightInd/>
      <w:spacing w:before="0"/>
      <w:ind w:left="567" w:right="566"/>
      <w:textAlignment w:val="auto"/>
    </w:pPr>
    <w:rPr>
      <w:rFonts w:ascii="Univers" w:hAnsi="Univers"/>
      <w:sz w:val="21"/>
      <w:szCs w:val="21"/>
    </w:rPr>
  </w:style>
  <w:style w:type="character" w:styleId="Emphasis">
    <w:name w:val="Emphasis"/>
    <w:basedOn w:val="DefaultParagraphFont"/>
    <w:uiPriority w:val="20"/>
    <w:qFormat/>
    <w:rsid w:val="00210C5D"/>
    <w:rPr>
      <w:i/>
      <w:iCs/>
    </w:rPr>
  </w:style>
  <w:style w:type="paragraph" w:customStyle="1" w:styleId="Default">
    <w:name w:val="Default"/>
    <w:rsid w:val="008E2834"/>
    <w:pPr>
      <w:autoSpaceDE w:val="0"/>
      <w:autoSpaceDN w:val="0"/>
      <w:adjustRightInd w:val="0"/>
    </w:pPr>
    <w:rPr>
      <w:rFonts w:ascii="Calibri" w:hAnsi="Calibri" w:cs="Calibri"/>
      <w:color w:val="000000"/>
      <w:sz w:val="24"/>
      <w:szCs w:val="24"/>
    </w:rPr>
  </w:style>
  <w:style w:type="character" w:customStyle="1" w:styleId="intro">
    <w:name w:val="intro"/>
    <w:basedOn w:val="DefaultParagraphFont"/>
    <w:rsid w:val="00AA7224"/>
  </w:style>
  <w:style w:type="character" w:customStyle="1" w:styleId="ms-rtefontsize-2">
    <w:name w:val="ms-rtefontsize-2"/>
    <w:basedOn w:val="DefaultParagraphFont"/>
    <w:rsid w:val="00CB5927"/>
  </w:style>
  <w:style w:type="paragraph" w:styleId="Date">
    <w:name w:val="Date"/>
    <w:basedOn w:val="Normal"/>
    <w:next w:val="Normal"/>
    <w:link w:val="DateChar"/>
    <w:rsid w:val="006973F1"/>
  </w:style>
  <w:style w:type="character" w:customStyle="1" w:styleId="DateChar">
    <w:name w:val="Date Char"/>
    <w:basedOn w:val="DefaultParagraphFont"/>
    <w:link w:val="Date"/>
    <w:rsid w:val="006973F1"/>
    <w:rPr>
      <w:rFonts w:ascii="Calibri" w:hAnsi="Calibri"/>
      <w:sz w:val="24"/>
      <w:lang w:val="en-GB" w:eastAsia="en-US"/>
    </w:rPr>
  </w:style>
  <w:style w:type="paragraph" w:customStyle="1" w:styleId="elencopuntato1">
    <w:name w:val="elenco puntato 1"/>
    <w:basedOn w:val="ListParagraph"/>
    <w:qFormat/>
    <w:rsid w:val="00A0167F"/>
    <w:pPr>
      <w:widowControl/>
      <w:numPr>
        <w:numId w:val="22"/>
      </w:numPr>
      <w:kinsoku/>
      <w:adjustRightInd w:val="0"/>
      <w:spacing w:before="120" w:line="319" w:lineRule="auto"/>
      <w:ind w:left="851" w:hanging="284"/>
      <w:contextualSpacing w:val="0"/>
      <w:jc w:val="both"/>
    </w:pPr>
    <w:rPr>
      <w:rFonts w:ascii="Arial" w:eastAsiaTheme="minorHAnsi" w:hAnsi="Arial"/>
      <w:lang w:val="en-GB" w:eastAsia="it-IT"/>
    </w:rPr>
  </w:style>
  <w:style w:type="paragraph" w:customStyle="1" w:styleId="elencopuntatononrientrato">
    <w:name w:val="elenco puntato non rientrato"/>
    <w:basedOn w:val="elencopuntato1"/>
    <w:qFormat/>
    <w:rsid w:val="00A0167F"/>
    <w:pPr>
      <w:numPr>
        <w:numId w:val="21"/>
      </w:numPr>
      <w:tabs>
        <w:tab w:val="num" w:pos="360"/>
      </w:tabs>
      <w:ind w:left="284" w:hanging="284"/>
    </w:pPr>
  </w:style>
  <w:style w:type="paragraph" w:customStyle="1" w:styleId="Pa8">
    <w:name w:val="Pa8"/>
    <w:basedOn w:val="Default"/>
    <w:next w:val="Default"/>
    <w:uiPriority w:val="99"/>
    <w:rsid w:val="0042562F"/>
    <w:pPr>
      <w:spacing w:line="191" w:lineRule="atLeast"/>
    </w:pPr>
    <w:rPr>
      <w:rFonts w:ascii="Avenir Next LT Pro" w:hAnsi="Avenir Next LT Pro" w:cs="Times New Roman"/>
      <w:color w:val="auto"/>
    </w:rPr>
  </w:style>
  <w:style w:type="paragraph" w:styleId="BodyText">
    <w:name w:val="Body Text"/>
    <w:basedOn w:val="Normal"/>
    <w:link w:val="BodyTextChar"/>
    <w:semiHidden/>
    <w:unhideWhenUsed/>
    <w:rsid w:val="009053D6"/>
    <w:pPr>
      <w:spacing w:after="120"/>
    </w:pPr>
  </w:style>
  <w:style w:type="character" w:customStyle="1" w:styleId="BodyTextChar">
    <w:name w:val="Body Text Char"/>
    <w:basedOn w:val="DefaultParagraphFont"/>
    <w:link w:val="BodyText"/>
    <w:semiHidden/>
    <w:rsid w:val="009053D6"/>
    <w:rPr>
      <w:rFonts w:ascii="Calibri" w:hAnsi="Calibri"/>
      <w:sz w:val="24"/>
      <w:lang w:val="en-GB" w:eastAsia="en-US"/>
    </w:rPr>
  </w:style>
  <w:style w:type="character" w:customStyle="1" w:styleId="Style1Char">
    <w:name w:val="Style1 Char"/>
    <w:basedOn w:val="DefaultParagraphFont"/>
    <w:link w:val="Style1"/>
    <w:locked/>
    <w:rsid w:val="009053D6"/>
    <w:rPr>
      <w:rFonts w:eastAsia="DengXian"/>
      <w:b/>
      <w:iCs/>
      <w:color w:val="548DD4" w:themeColor="text2" w:themeTint="99"/>
      <w:sz w:val="24"/>
      <w:szCs w:val="24"/>
      <w:lang w:eastAsia="en-US"/>
    </w:rPr>
  </w:style>
  <w:style w:type="paragraph" w:customStyle="1" w:styleId="Style1">
    <w:name w:val="Style1"/>
    <w:basedOn w:val="Normal"/>
    <w:link w:val="Style1Char"/>
    <w:qFormat/>
    <w:rsid w:val="009053D6"/>
    <w:pPr>
      <w:keepNext/>
      <w:tabs>
        <w:tab w:val="clear" w:pos="567"/>
        <w:tab w:val="clear" w:pos="1134"/>
        <w:tab w:val="clear" w:pos="1701"/>
        <w:tab w:val="clear" w:pos="2268"/>
        <w:tab w:val="clear" w:pos="2835"/>
      </w:tabs>
      <w:overflowPunct/>
      <w:autoSpaceDE/>
      <w:autoSpaceDN/>
      <w:adjustRightInd/>
      <w:spacing w:before="280" w:after="280" w:line="280" w:lineRule="atLeast"/>
      <w:jc w:val="both"/>
      <w:textAlignment w:val="auto"/>
      <w:outlineLvl w:val="7"/>
    </w:pPr>
    <w:rPr>
      <w:rFonts w:ascii="CG Times" w:eastAsia="DengXian" w:hAnsi="CG Times"/>
      <w:b/>
      <w:iCs/>
      <w:color w:val="548DD4" w:themeColor="text2" w:themeTint="99"/>
      <w:szCs w:val="24"/>
      <w:lang w:val="en-US"/>
    </w:rPr>
  </w:style>
  <w:style w:type="character" w:customStyle="1" w:styleId="ListParagraphChar">
    <w:name w:val="List Paragraph Char"/>
    <w:aliases w:val="List Paragraph1 Char,Recommendation Char,List Paragraph11 Char"/>
    <w:basedOn w:val="DefaultParagraphFont"/>
    <w:link w:val="ListParagraph"/>
    <w:uiPriority w:val="34"/>
    <w:rsid w:val="00344B4A"/>
    <w:rPr>
      <w:rFonts w:ascii="Times New Roman" w:eastAsia="SimSu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748">
      <w:bodyDiv w:val="1"/>
      <w:marLeft w:val="0"/>
      <w:marRight w:val="0"/>
      <w:marTop w:val="0"/>
      <w:marBottom w:val="0"/>
      <w:divBdr>
        <w:top w:val="none" w:sz="0" w:space="0" w:color="auto"/>
        <w:left w:val="none" w:sz="0" w:space="0" w:color="auto"/>
        <w:bottom w:val="none" w:sz="0" w:space="0" w:color="auto"/>
        <w:right w:val="none" w:sz="0" w:space="0" w:color="auto"/>
      </w:divBdr>
    </w:div>
    <w:div w:id="1444545">
      <w:bodyDiv w:val="1"/>
      <w:marLeft w:val="0"/>
      <w:marRight w:val="0"/>
      <w:marTop w:val="0"/>
      <w:marBottom w:val="0"/>
      <w:divBdr>
        <w:top w:val="none" w:sz="0" w:space="0" w:color="auto"/>
        <w:left w:val="none" w:sz="0" w:space="0" w:color="auto"/>
        <w:bottom w:val="none" w:sz="0" w:space="0" w:color="auto"/>
        <w:right w:val="none" w:sz="0" w:space="0" w:color="auto"/>
      </w:divBdr>
    </w:div>
    <w:div w:id="3896333">
      <w:bodyDiv w:val="1"/>
      <w:marLeft w:val="0"/>
      <w:marRight w:val="0"/>
      <w:marTop w:val="0"/>
      <w:marBottom w:val="0"/>
      <w:divBdr>
        <w:top w:val="none" w:sz="0" w:space="0" w:color="auto"/>
        <w:left w:val="none" w:sz="0" w:space="0" w:color="auto"/>
        <w:bottom w:val="none" w:sz="0" w:space="0" w:color="auto"/>
        <w:right w:val="none" w:sz="0" w:space="0" w:color="auto"/>
      </w:divBdr>
    </w:div>
    <w:div w:id="8878144">
      <w:bodyDiv w:val="1"/>
      <w:marLeft w:val="0"/>
      <w:marRight w:val="0"/>
      <w:marTop w:val="0"/>
      <w:marBottom w:val="0"/>
      <w:divBdr>
        <w:top w:val="none" w:sz="0" w:space="0" w:color="auto"/>
        <w:left w:val="none" w:sz="0" w:space="0" w:color="auto"/>
        <w:bottom w:val="none" w:sz="0" w:space="0" w:color="auto"/>
        <w:right w:val="none" w:sz="0" w:space="0" w:color="auto"/>
      </w:divBdr>
    </w:div>
    <w:div w:id="8995910">
      <w:bodyDiv w:val="1"/>
      <w:marLeft w:val="0"/>
      <w:marRight w:val="0"/>
      <w:marTop w:val="0"/>
      <w:marBottom w:val="0"/>
      <w:divBdr>
        <w:top w:val="none" w:sz="0" w:space="0" w:color="auto"/>
        <w:left w:val="none" w:sz="0" w:space="0" w:color="auto"/>
        <w:bottom w:val="none" w:sz="0" w:space="0" w:color="auto"/>
        <w:right w:val="none" w:sz="0" w:space="0" w:color="auto"/>
      </w:divBdr>
    </w:div>
    <w:div w:id="25107661">
      <w:bodyDiv w:val="1"/>
      <w:marLeft w:val="0"/>
      <w:marRight w:val="0"/>
      <w:marTop w:val="0"/>
      <w:marBottom w:val="0"/>
      <w:divBdr>
        <w:top w:val="none" w:sz="0" w:space="0" w:color="auto"/>
        <w:left w:val="none" w:sz="0" w:space="0" w:color="auto"/>
        <w:bottom w:val="none" w:sz="0" w:space="0" w:color="auto"/>
        <w:right w:val="none" w:sz="0" w:space="0" w:color="auto"/>
      </w:divBdr>
    </w:div>
    <w:div w:id="27414028">
      <w:bodyDiv w:val="1"/>
      <w:marLeft w:val="0"/>
      <w:marRight w:val="0"/>
      <w:marTop w:val="0"/>
      <w:marBottom w:val="0"/>
      <w:divBdr>
        <w:top w:val="none" w:sz="0" w:space="0" w:color="auto"/>
        <w:left w:val="none" w:sz="0" w:space="0" w:color="auto"/>
        <w:bottom w:val="none" w:sz="0" w:space="0" w:color="auto"/>
        <w:right w:val="none" w:sz="0" w:space="0" w:color="auto"/>
      </w:divBdr>
    </w:div>
    <w:div w:id="28455567">
      <w:bodyDiv w:val="1"/>
      <w:marLeft w:val="0"/>
      <w:marRight w:val="0"/>
      <w:marTop w:val="0"/>
      <w:marBottom w:val="0"/>
      <w:divBdr>
        <w:top w:val="none" w:sz="0" w:space="0" w:color="auto"/>
        <w:left w:val="none" w:sz="0" w:space="0" w:color="auto"/>
        <w:bottom w:val="none" w:sz="0" w:space="0" w:color="auto"/>
        <w:right w:val="none" w:sz="0" w:space="0" w:color="auto"/>
      </w:divBdr>
    </w:div>
    <w:div w:id="32973089">
      <w:bodyDiv w:val="1"/>
      <w:marLeft w:val="0"/>
      <w:marRight w:val="0"/>
      <w:marTop w:val="0"/>
      <w:marBottom w:val="0"/>
      <w:divBdr>
        <w:top w:val="none" w:sz="0" w:space="0" w:color="auto"/>
        <w:left w:val="none" w:sz="0" w:space="0" w:color="auto"/>
        <w:bottom w:val="none" w:sz="0" w:space="0" w:color="auto"/>
        <w:right w:val="none" w:sz="0" w:space="0" w:color="auto"/>
      </w:divBdr>
    </w:div>
    <w:div w:id="34696264">
      <w:bodyDiv w:val="1"/>
      <w:marLeft w:val="0"/>
      <w:marRight w:val="0"/>
      <w:marTop w:val="0"/>
      <w:marBottom w:val="0"/>
      <w:divBdr>
        <w:top w:val="none" w:sz="0" w:space="0" w:color="auto"/>
        <w:left w:val="none" w:sz="0" w:space="0" w:color="auto"/>
        <w:bottom w:val="none" w:sz="0" w:space="0" w:color="auto"/>
        <w:right w:val="none" w:sz="0" w:space="0" w:color="auto"/>
      </w:divBdr>
    </w:div>
    <w:div w:id="41909810">
      <w:bodyDiv w:val="1"/>
      <w:marLeft w:val="0"/>
      <w:marRight w:val="0"/>
      <w:marTop w:val="0"/>
      <w:marBottom w:val="0"/>
      <w:divBdr>
        <w:top w:val="none" w:sz="0" w:space="0" w:color="auto"/>
        <w:left w:val="none" w:sz="0" w:space="0" w:color="auto"/>
        <w:bottom w:val="none" w:sz="0" w:space="0" w:color="auto"/>
        <w:right w:val="none" w:sz="0" w:space="0" w:color="auto"/>
      </w:divBdr>
    </w:div>
    <w:div w:id="43022576">
      <w:bodyDiv w:val="1"/>
      <w:marLeft w:val="0"/>
      <w:marRight w:val="0"/>
      <w:marTop w:val="0"/>
      <w:marBottom w:val="0"/>
      <w:divBdr>
        <w:top w:val="none" w:sz="0" w:space="0" w:color="auto"/>
        <w:left w:val="none" w:sz="0" w:space="0" w:color="auto"/>
        <w:bottom w:val="none" w:sz="0" w:space="0" w:color="auto"/>
        <w:right w:val="none" w:sz="0" w:space="0" w:color="auto"/>
      </w:divBdr>
    </w:div>
    <w:div w:id="52897837">
      <w:bodyDiv w:val="1"/>
      <w:marLeft w:val="0"/>
      <w:marRight w:val="0"/>
      <w:marTop w:val="0"/>
      <w:marBottom w:val="0"/>
      <w:divBdr>
        <w:top w:val="none" w:sz="0" w:space="0" w:color="auto"/>
        <w:left w:val="none" w:sz="0" w:space="0" w:color="auto"/>
        <w:bottom w:val="none" w:sz="0" w:space="0" w:color="auto"/>
        <w:right w:val="none" w:sz="0" w:space="0" w:color="auto"/>
      </w:divBdr>
    </w:div>
    <w:div w:id="64105455">
      <w:bodyDiv w:val="1"/>
      <w:marLeft w:val="0"/>
      <w:marRight w:val="0"/>
      <w:marTop w:val="0"/>
      <w:marBottom w:val="0"/>
      <w:divBdr>
        <w:top w:val="none" w:sz="0" w:space="0" w:color="auto"/>
        <w:left w:val="none" w:sz="0" w:space="0" w:color="auto"/>
        <w:bottom w:val="none" w:sz="0" w:space="0" w:color="auto"/>
        <w:right w:val="none" w:sz="0" w:space="0" w:color="auto"/>
      </w:divBdr>
    </w:div>
    <w:div w:id="70350650">
      <w:bodyDiv w:val="1"/>
      <w:marLeft w:val="0"/>
      <w:marRight w:val="0"/>
      <w:marTop w:val="0"/>
      <w:marBottom w:val="0"/>
      <w:divBdr>
        <w:top w:val="none" w:sz="0" w:space="0" w:color="auto"/>
        <w:left w:val="none" w:sz="0" w:space="0" w:color="auto"/>
        <w:bottom w:val="none" w:sz="0" w:space="0" w:color="auto"/>
        <w:right w:val="none" w:sz="0" w:space="0" w:color="auto"/>
      </w:divBdr>
    </w:div>
    <w:div w:id="74982828">
      <w:bodyDiv w:val="1"/>
      <w:marLeft w:val="0"/>
      <w:marRight w:val="0"/>
      <w:marTop w:val="0"/>
      <w:marBottom w:val="0"/>
      <w:divBdr>
        <w:top w:val="none" w:sz="0" w:space="0" w:color="auto"/>
        <w:left w:val="none" w:sz="0" w:space="0" w:color="auto"/>
        <w:bottom w:val="none" w:sz="0" w:space="0" w:color="auto"/>
        <w:right w:val="none" w:sz="0" w:space="0" w:color="auto"/>
      </w:divBdr>
    </w:div>
    <w:div w:id="77795637">
      <w:bodyDiv w:val="1"/>
      <w:marLeft w:val="0"/>
      <w:marRight w:val="0"/>
      <w:marTop w:val="0"/>
      <w:marBottom w:val="0"/>
      <w:divBdr>
        <w:top w:val="none" w:sz="0" w:space="0" w:color="auto"/>
        <w:left w:val="none" w:sz="0" w:space="0" w:color="auto"/>
        <w:bottom w:val="none" w:sz="0" w:space="0" w:color="auto"/>
        <w:right w:val="none" w:sz="0" w:space="0" w:color="auto"/>
      </w:divBdr>
    </w:div>
    <w:div w:id="82379215">
      <w:bodyDiv w:val="1"/>
      <w:marLeft w:val="0"/>
      <w:marRight w:val="0"/>
      <w:marTop w:val="0"/>
      <w:marBottom w:val="0"/>
      <w:divBdr>
        <w:top w:val="none" w:sz="0" w:space="0" w:color="auto"/>
        <w:left w:val="none" w:sz="0" w:space="0" w:color="auto"/>
        <w:bottom w:val="none" w:sz="0" w:space="0" w:color="auto"/>
        <w:right w:val="none" w:sz="0" w:space="0" w:color="auto"/>
      </w:divBdr>
    </w:div>
    <w:div w:id="82455107">
      <w:bodyDiv w:val="1"/>
      <w:marLeft w:val="0"/>
      <w:marRight w:val="0"/>
      <w:marTop w:val="0"/>
      <w:marBottom w:val="0"/>
      <w:divBdr>
        <w:top w:val="none" w:sz="0" w:space="0" w:color="auto"/>
        <w:left w:val="none" w:sz="0" w:space="0" w:color="auto"/>
        <w:bottom w:val="none" w:sz="0" w:space="0" w:color="auto"/>
        <w:right w:val="none" w:sz="0" w:space="0" w:color="auto"/>
      </w:divBdr>
    </w:div>
    <w:div w:id="97797658">
      <w:bodyDiv w:val="1"/>
      <w:marLeft w:val="0"/>
      <w:marRight w:val="0"/>
      <w:marTop w:val="0"/>
      <w:marBottom w:val="0"/>
      <w:divBdr>
        <w:top w:val="none" w:sz="0" w:space="0" w:color="auto"/>
        <w:left w:val="none" w:sz="0" w:space="0" w:color="auto"/>
        <w:bottom w:val="none" w:sz="0" w:space="0" w:color="auto"/>
        <w:right w:val="none" w:sz="0" w:space="0" w:color="auto"/>
      </w:divBdr>
    </w:div>
    <w:div w:id="100691085">
      <w:bodyDiv w:val="1"/>
      <w:marLeft w:val="0"/>
      <w:marRight w:val="0"/>
      <w:marTop w:val="0"/>
      <w:marBottom w:val="0"/>
      <w:divBdr>
        <w:top w:val="none" w:sz="0" w:space="0" w:color="auto"/>
        <w:left w:val="none" w:sz="0" w:space="0" w:color="auto"/>
        <w:bottom w:val="none" w:sz="0" w:space="0" w:color="auto"/>
        <w:right w:val="none" w:sz="0" w:space="0" w:color="auto"/>
      </w:divBdr>
    </w:div>
    <w:div w:id="106777819">
      <w:bodyDiv w:val="1"/>
      <w:marLeft w:val="0"/>
      <w:marRight w:val="0"/>
      <w:marTop w:val="0"/>
      <w:marBottom w:val="0"/>
      <w:divBdr>
        <w:top w:val="none" w:sz="0" w:space="0" w:color="auto"/>
        <w:left w:val="none" w:sz="0" w:space="0" w:color="auto"/>
        <w:bottom w:val="none" w:sz="0" w:space="0" w:color="auto"/>
        <w:right w:val="none" w:sz="0" w:space="0" w:color="auto"/>
      </w:divBdr>
    </w:div>
    <w:div w:id="111485001">
      <w:bodyDiv w:val="1"/>
      <w:marLeft w:val="0"/>
      <w:marRight w:val="0"/>
      <w:marTop w:val="0"/>
      <w:marBottom w:val="0"/>
      <w:divBdr>
        <w:top w:val="none" w:sz="0" w:space="0" w:color="auto"/>
        <w:left w:val="none" w:sz="0" w:space="0" w:color="auto"/>
        <w:bottom w:val="none" w:sz="0" w:space="0" w:color="auto"/>
        <w:right w:val="none" w:sz="0" w:space="0" w:color="auto"/>
      </w:divBdr>
    </w:div>
    <w:div w:id="114952160">
      <w:bodyDiv w:val="1"/>
      <w:marLeft w:val="0"/>
      <w:marRight w:val="0"/>
      <w:marTop w:val="0"/>
      <w:marBottom w:val="0"/>
      <w:divBdr>
        <w:top w:val="none" w:sz="0" w:space="0" w:color="auto"/>
        <w:left w:val="none" w:sz="0" w:space="0" w:color="auto"/>
        <w:bottom w:val="none" w:sz="0" w:space="0" w:color="auto"/>
        <w:right w:val="none" w:sz="0" w:space="0" w:color="auto"/>
      </w:divBdr>
    </w:div>
    <w:div w:id="115607298">
      <w:bodyDiv w:val="1"/>
      <w:marLeft w:val="0"/>
      <w:marRight w:val="0"/>
      <w:marTop w:val="0"/>
      <w:marBottom w:val="0"/>
      <w:divBdr>
        <w:top w:val="none" w:sz="0" w:space="0" w:color="auto"/>
        <w:left w:val="none" w:sz="0" w:space="0" w:color="auto"/>
        <w:bottom w:val="none" w:sz="0" w:space="0" w:color="auto"/>
        <w:right w:val="none" w:sz="0" w:space="0" w:color="auto"/>
      </w:divBdr>
    </w:div>
    <w:div w:id="120851876">
      <w:bodyDiv w:val="1"/>
      <w:marLeft w:val="0"/>
      <w:marRight w:val="0"/>
      <w:marTop w:val="0"/>
      <w:marBottom w:val="0"/>
      <w:divBdr>
        <w:top w:val="none" w:sz="0" w:space="0" w:color="auto"/>
        <w:left w:val="none" w:sz="0" w:space="0" w:color="auto"/>
        <w:bottom w:val="none" w:sz="0" w:space="0" w:color="auto"/>
        <w:right w:val="none" w:sz="0" w:space="0" w:color="auto"/>
      </w:divBdr>
    </w:div>
    <w:div w:id="124742810">
      <w:bodyDiv w:val="1"/>
      <w:marLeft w:val="0"/>
      <w:marRight w:val="0"/>
      <w:marTop w:val="0"/>
      <w:marBottom w:val="0"/>
      <w:divBdr>
        <w:top w:val="none" w:sz="0" w:space="0" w:color="auto"/>
        <w:left w:val="none" w:sz="0" w:space="0" w:color="auto"/>
        <w:bottom w:val="none" w:sz="0" w:space="0" w:color="auto"/>
        <w:right w:val="none" w:sz="0" w:space="0" w:color="auto"/>
      </w:divBdr>
    </w:div>
    <w:div w:id="126049244">
      <w:bodyDiv w:val="1"/>
      <w:marLeft w:val="0"/>
      <w:marRight w:val="0"/>
      <w:marTop w:val="0"/>
      <w:marBottom w:val="0"/>
      <w:divBdr>
        <w:top w:val="none" w:sz="0" w:space="0" w:color="auto"/>
        <w:left w:val="none" w:sz="0" w:space="0" w:color="auto"/>
        <w:bottom w:val="none" w:sz="0" w:space="0" w:color="auto"/>
        <w:right w:val="none" w:sz="0" w:space="0" w:color="auto"/>
      </w:divBdr>
    </w:div>
    <w:div w:id="140463022">
      <w:bodyDiv w:val="1"/>
      <w:marLeft w:val="0"/>
      <w:marRight w:val="0"/>
      <w:marTop w:val="0"/>
      <w:marBottom w:val="0"/>
      <w:divBdr>
        <w:top w:val="none" w:sz="0" w:space="0" w:color="auto"/>
        <w:left w:val="none" w:sz="0" w:space="0" w:color="auto"/>
        <w:bottom w:val="none" w:sz="0" w:space="0" w:color="auto"/>
        <w:right w:val="none" w:sz="0" w:space="0" w:color="auto"/>
      </w:divBdr>
    </w:div>
    <w:div w:id="142428904">
      <w:bodyDiv w:val="1"/>
      <w:marLeft w:val="0"/>
      <w:marRight w:val="0"/>
      <w:marTop w:val="0"/>
      <w:marBottom w:val="0"/>
      <w:divBdr>
        <w:top w:val="none" w:sz="0" w:space="0" w:color="auto"/>
        <w:left w:val="none" w:sz="0" w:space="0" w:color="auto"/>
        <w:bottom w:val="none" w:sz="0" w:space="0" w:color="auto"/>
        <w:right w:val="none" w:sz="0" w:space="0" w:color="auto"/>
      </w:divBdr>
    </w:div>
    <w:div w:id="147481928">
      <w:bodyDiv w:val="1"/>
      <w:marLeft w:val="0"/>
      <w:marRight w:val="0"/>
      <w:marTop w:val="0"/>
      <w:marBottom w:val="0"/>
      <w:divBdr>
        <w:top w:val="none" w:sz="0" w:space="0" w:color="auto"/>
        <w:left w:val="none" w:sz="0" w:space="0" w:color="auto"/>
        <w:bottom w:val="none" w:sz="0" w:space="0" w:color="auto"/>
        <w:right w:val="none" w:sz="0" w:space="0" w:color="auto"/>
      </w:divBdr>
    </w:div>
    <w:div w:id="150220612">
      <w:bodyDiv w:val="1"/>
      <w:marLeft w:val="0"/>
      <w:marRight w:val="0"/>
      <w:marTop w:val="0"/>
      <w:marBottom w:val="0"/>
      <w:divBdr>
        <w:top w:val="none" w:sz="0" w:space="0" w:color="auto"/>
        <w:left w:val="none" w:sz="0" w:space="0" w:color="auto"/>
        <w:bottom w:val="none" w:sz="0" w:space="0" w:color="auto"/>
        <w:right w:val="none" w:sz="0" w:space="0" w:color="auto"/>
      </w:divBdr>
    </w:div>
    <w:div w:id="152529282">
      <w:bodyDiv w:val="1"/>
      <w:marLeft w:val="0"/>
      <w:marRight w:val="0"/>
      <w:marTop w:val="0"/>
      <w:marBottom w:val="0"/>
      <w:divBdr>
        <w:top w:val="none" w:sz="0" w:space="0" w:color="auto"/>
        <w:left w:val="none" w:sz="0" w:space="0" w:color="auto"/>
        <w:bottom w:val="none" w:sz="0" w:space="0" w:color="auto"/>
        <w:right w:val="none" w:sz="0" w:space="0" w:color="auto"/>
      </w:divBdr>
    </w:div>
    <w:div w:id="169952812">
      <w:bodyDiv w:val="1"/>
      <w:marLeft w:val="0"/>
      <w:marRight w:val="0"/>
      <w:marTop w:val="0"/>
      <w:marBottom w:val="0"/>
      <w:divBdr>
        <w:top w:val="none" w:sz="0" w:space="0" w:color="auto"/>
        <w:left w:val="none" w:sz="0" w:space="0" w:color="auto"/>
        <w:bottom w:val="none" w:sz="0" w:space="0" w:color="auto"/>
        <w:right w:val="none" w:sz="0" w:space="0" w:color="auto"/>
      </w:divBdr>
    </w:div>
    <w:div w:id="171381245">
      <w:bodyDiv w:val="1"/>
      <w:marLeft w:val="0"/>
      <w:marRight w:val="0"/>
      <w:marTop w:val="0"/>
      <w:marBottom w:val="0"/>
      <w:divBdr>
        <w:top w:val="none" w:sz="0" w:space="0" w:color="auto"/>
        <w:left w:val="none" w:sz="0" w:space="0" w:color="auto"/>
        <w:bottom w:val="none" w:sz="0" w:space="0" w:color="auto"/>
        <w:right w:val="none" w:sz="0" w:space="0" w:color="auto"/>
      </w:divBdr>
    </w:div>
    <w:div w:id="176969795">
      <w:bodyDiv w:val="1"/>
      <w:marLeft w:val="0"/>
      <w:marRight w:val="0"/>
      <w:marTop w:val="0"/>
      <w:marBottom w:val="0"/>
      <w:divBdr>
        <w:top w:val="none" w:sz="0" w:space="0" w:color="auto"/>
        <w:left w:val="none" w:sz="0" w:space="0" w:color="auto"/>
        <w:bottom w:val="none" w:sz="0" w:space="0" w:color="auto"/>
        <w:right w:val="none" w:sz="0" w:space="0" w:color="auto"/>
      </w:divBdr>
    </w:div>
    <w:div w:id="177694449">
      <w:bodyDiv w:val="1"/>
      <w:marLeft w:val="0"/>
      <w:marRight w:val="0"/>
      <w:marTop w:val="0"/>
      <w:marBottom w:val="0"/>
      <w:divBdr>
        <w:top w:val="none" w:sz="0" w:space="0" w:color="auto"/>
        <w:left w:val="none" w:sz="0" w:space="0" w:color="auto"/>
        <w:bottom w:val="none" w:sz="0" w:space="0" w:color="auto"/>
        <w:right w:val="none" w:sz="0" w:space="0" w:color="auto"/>
      </w:divBdr>
    </w:div>
    <w:div w:id="181091792">
      <w:bodyDiv w:val="1"/>
      <w:marLeft w:val="0"/>
      <w:marRight w:val="0"/>
      <w:marTop w:val="0"/>
      <w:marBottom w:val="0"/>
      <w:divBdr>
        <w:top w:val="none" w:sz="0" w:space="0" w:color="auto"/>
        <w:left w:val="none" w:sz="0" w:space="0" w:color="auto"/>
        <w:bottom w:val="none" w:sz="0" w:space="0" w:color="auto"/>
        <w:right w:val="none" w:sz="0" w:space="0" w:color="auto"/>
      </w:divBdr>
    </w:div>
    <w:div w:id="206570043">
      <w:bodyDiv w:val="1"/>
      <w:marLeft w:val="0"/>
      <w:marRight w:val="0"/>
      <w:marTop w:val="0"/>
      <w:marBottom w:val="0"/>
      <w:divBdr>
        <w:top w:val="none" w:sz="0" w:space="0" w:color="auto"/>
        <w:left w:val="none" w:sz="0" w:space="0" w:color="auto"/>
        <w:bottom w:val="none" w:sz="0" w:space="0" w:color="auto"/>
        <w:right w:val="none" w:sz="0" w:space="0" w:color="auto"/>
      </w:divBdr>
    </w:div>
    <w:div w:id="211118300">
      <w:bodyDiv w:val="1"/>
      <w:marLeft w:val="0"/>
      <w:marRight w:val="0"/>
      <w:marTop w:val="0"/>
      <w:marBottom w:val="0"/>
      <w:divBdr>
        <w:top w:val="none" w:sz="0" w:space="0" w:color="auto"/>
        <w:left w:val="none" w:sz="0" w:space="0" w:color="auto"/>
        <w:bottom w:val="none" w:sz="0" w:space="0" w:color="auto"/>
        <w:right w:val="none" w:sz="0" w:space="0" w:color="auto"/>
      </w:divBdr>
    </w:div>
    <w:div w:id="222060851">
      <w:bodyDiv w:val="1"/>
      <w:marLeft w:val="0"/>
      <w:marRight w:val="0"/>
      <w:marTop w:val="0"/>
      <w:marBottom w:val="0"/>
      <w:divBdr>
        <w:top w:val="none" w:sz="0" w:space="0" w:color="auto"/>
        <w:left w:val="none" w:sz="0" w:space="0" w:color="auto"/>
        <w:bottom w:val="none" w:sz="0" w:space="0" w:color="auto"/>
        <w:right w:val="none" w:sz="0" w:space="0" w:color="auto"/>
      </w:divBdr>
    </w:div>
    <w:div w:id="222109497">
      <w:bodyDiv w:val="1"/>
      <w:marLeft w:val="0"/>
      <w:marRight w:val="0"/>
      <w:marTop w:val="0"/>
      <w:marBottom w:val="0"/>
      <w:divBdr>
        <w:top w:val="none" w:sz="0" w:space="0" w:color="auto"/>
        <w:left w:val="none" w:sz="0" w:space="0" w:color="auto"/>
        <w:bottom w:val="none" w:sz="0" w:space="0" w:color="auto"/>
        <w:right w:val="none" w:sz="0" w:space="0" w:color="auto"/>
      </w:divBdr>
    </w:div>
    <w:div w:id="225996855">
      <w:bodyDiv w:val="1"/>
      <w:marLeft w:val="0"/>
      <w:marRight w:val="0"/>
      <w:marTop w:val="0"/>
      <w:marBottom w:val="0"/>
      <w:divBdr>
        <w:top w:val="none" w:sz="0" w:space="0" w:color="auto"/>
        <w:left w:val="none" w:sz="0" w:space="0" w:color="auto"/>
        <w:bottom w:val="none" w:sz="0" w:space="0" w:color="auto"/>
        <w:right w:val="none" w:sz="0" w:space="0" w:color="auto"/>
      </w:divBdr>
    </w:div>
    <w:div w:id="232005939">
      <w:bodyDiv w:val="1"/>
      <w:marLeft w:val="0"/>
      <w:marRight w:val="0"/>
      <w:marTop w:val="0"/>
      <w:marBottom w:val="0"/>
      <w:divBdr>
        <w:top w:val="none" w:sz="0" w:space="0" w:color="auto"/>
        <w:left w:val="none" w:sz="0" w:space="0" w:color="auto"/>
        <w:bottom w:val="none" w:sz="0" w:space="0" w:color="auto"/>
        <w:right w:val="none" w:sz="0" w:space="0" w:color="auto"/>
      </w:divBdr>
    </w:div>
    <w:div w:id="237401304">
      <w:bodyDiv w:val="1"/>
      <w:marLeft w:val="0"/>
      <w:marRight w:val="0"/>
      <w:marTop w:val="0"/>
      <w:marBottom w:val="0"/>
      <w:divBdr>
        <w:top w:val="none" w:sz="0" w:space="0" w:color="auto"/>
        <w:left w:val="none" w:sz="0" w:space="0" w:color="auto"/>
        <w:bottom w:val="none" w:sz="0" w:space="0" w:color="auto"/>
        <w:right w:val="none" w:sz="0" w:space="0" w:color="auto"/>
      </w:divBdr>
    </w:div>
    <w:div w:id="241110643">
      <w:bodyDiv w:val="1"/>
      <w:marLeft w:val="0"/>
      <w:marRight w:val="0"/>
      <w:marTop w:val="0"/>
      <w:marBottom w:val="0"/>
      <w:divBdr>
        <w:top w:val="none" w:sz="0" w:space="0" w:color="auto"/>
        <w:left w:val="none" w:sz="0" w:space="0" w:color="auto"/>
        <w:bottom w:val="none" w:sz="0" w:space="0" w:color="auto"/>
        <w:right w:val="none" w:sz="0" w:space="0" w:color="auto"/>
      </w:divBdr>
    </w:div>
    <w:div w:id="245849418">
      <w:bodyDiv w:val="1"/>
      <w:marLeft w:val="0"/>
      <w:marRight w:val="0"/>
      <w:marTop w:val="0"/>
      <w:marBottom w:val="0"/>
      <w:divBdr>
        <w:top w:val="none" w:sz="0" w:space="0" w:color="auto"/>
        <w:left w:val="none" w:sz="0" w:space="0" w:color="auto"/>
        <w:bottom w:val="none" w:sz="0" w:space="0" w:color="auto"/>
        <w:right w:val="none" w:sz="0" w:space="0" w:color="auto"/>
      </w:divBdr>
    </w:div>
    <w:div w:id="247471469">
      <w:bodyDiv w:val="1"/>
      <w:marLeft w:val="0"/>
      <w:marRight w:val="0"/>
      <w:marTop w:val="0"/>
      <w:marBottom w:val="0"/>
      <w:divBdr>
        <w:top w:val="none" w:sz="0" w:space="0" w:color="auto"/>
        <w:left w:val="none" w:sz="0" w:space="0" w:color="auto"/>
        <w:bottom w:val="none" w:sz="0" w:space="0" w:color="auto"/>
        <w:right w:val="none" w:sz="0" w:space="0" w:color="auto"/>
      </w:divBdr>
    </w:div>
    <w:div w:id="255555407">
      <w:bodyDiv w:val="1"/>
      <w:marLeft w:val="0"/>
      <w:marRight w:val="0"/>
      <w:marTop w:val="0"/>
      <w:marBottom w:val="0"/>
      <w:divBdr>
        <w:top w:val="none" w:sz="0" w:space="0" w:color="auto"/>
        <w:left w:val="none" w:sz="0" w:space="0" w:color="auto"/>
        <w:bottom w:val="none" w:sz="0" w:space="0" w:color="auto"/>
        <w:right w:val="none" w:sz="0" w:space="0" w:color="auto"/>
      </w:divBdr>
    </w:div>
    <w:div w:id="268515794">
      <w:bodyDiv w:val="1"/>
      <w:marLeft w:val="0"/>
      <w:marRight w:val="0"/>
      <w:marTop w:val="0"/>
      <w:marBottom w:val="0"/>
      <w:divBdr>
        <w:top w:val="none" w:sz="0" w:space="0" w:color="auto"/>
        <w:left w:val="none" w:sz="0" w:space="0" w:color="auto"/>
        <w:bottom w:val="none" w:sz="0" w:space="0" w:color="auto"/>
        <w:right w:val="none" w:sz="0" w:space="0" w:color="auto"/>
      </w:divBdr>
    </w:div>
    <w:div w:id="276911936">
      <w:bodyDiv w:val="1"/>
      <w:marLeft w:val="0"/>
      <w:marRight w:val="0"/>
      <w:marTop w:val="0"/>
      <w:marBottom w:val="0"/>
      <w:divBdr>
        <w:top w:val="none" w:sz="0" w:space="0" w:color="auto"/>
        <w:left w:val="none" w:sz="0" w:space="0" w:color="auto"/>
        <w:bottom w:val="none" w:sz="0" w:space="0" w:color="auto"/>
        <w:right w:val="none" w:sz="0" w:space="0" w:color="auto"/>
      </w:divBdr>
    </w:div>
    <w:div w:id="278024837">
      <w:bodyDiv w:val="1"/>
      <w:marLeft w:val="0"/>
      <w:marRight w:val="0"/>
      <w:marTop w:val="0"/>
      <w:marBottom w:val="0"/>
      <w:divBdr>
        <w:top w:val="none" w:sz="0" w:space="0" w:color="auto"/>
        <w:left w:val="none" w:sz="0" w:space="0" w:color="auto"/>
        <w:bottom w:val="none" w:sz="0" w:space="0" w:color="auto"/>
        <w:right w:val="none" w:sz="0" w:space="0" w:color="auto"/>
      </w:divBdr>
    </w:div>
    <w:div w:id="286357681">
      <w:bodyDiv w:val="1"/>
      <w:marLeft w:val="0"/>
      <w:marRight w:val="0"/>
      <w:marTop w:val="0"/>
      <w:marBottom w:val="0"/>
      <w:divBdr>
        <w:top w:val="none" w:sz="0" w:space="0" w:color="auto"/>
        <w:left w:val="none" w:sz="0" w:space="0" w:color="auto"/>
        <w:bottom w:val="none" w:sz="0" w:space="0" w:color="auto"/>
        <w:right w:val="none" w:sz="0" w:space="0" w:color="auto"/>
      </w:divBdr>
    </w:div>
    <w:div w:id="286398384">
      <w:bodyDiv w:val="1"/>
      <w:marLeft w:val="0"/>
      <w:marRight w:val="0"/>
      <w:marTop w:val="0"/>
      <w:marBottom w:val="0"/>
      <w:divBdr>
        <w:top w:val="none" w:sz="0" w:space="0" w:color="auto"/>
        <w:left w:val="none" w:sz="0" w:space="0" w:color="auto"/>
        <w:bottom w:val="none" w:sz="0" w:space="0" w:color="auto"/>
        <w:right w:val="none" w:sz="0" w:space="0" w:color="auto"/>
      </w:divBdr>
    </w:div>
    <w:div w:id="291324724">
      <w:bodyDiv w:val="1"/>
      <w:marLeft w:val="0"/>
      <w:marRight w:val="0"/>
      <w:marTop w:val="0"/>
      <w:marBottom w:val="0"/>
      <w:divBdr>
        <w:top w:val="none" w:sz="0" w:space="0" w:color="auto"/>
        <w:left w:val="none" w:sz="0" w:space="0" w:color="auto"/>
        <w:bottom w:val="none" w:sz="0" w:space="0" w:color="auto"/>
        <w:right w:val="none" w:sz="0" w:space="0" w:color="auto"/>
      </w:divBdr>
    </w:div>
    <w:div w:id="305746748">
      <w:bodyDiv w:val="1"/>
      <w:marLeft w:val="0"/>
      <w:marRight w:val="0"/>
      <w:marTop w:val="0"/>
      <w:marBottom w:val="0"/>
      <w:divBdr>
        <w:top w:val="none" w:sz="0" w:space="0" w:color="auto"/>
        <w:left w:val="none" w:sz="0" w:space="0" w:color="auto"/>
        <w:bottom w:val="none" w:sz="0" w:space="0" w:color="auto"/>
        <w:right w:val="none" w:sz="0" w:space="0" w:color="auto"/>
      </w:divBdr>
    </w:div>
    <w:div w:id="312216852">
      <w:bodyDiv w:val="1"/>
      <w:marLeft w:val="0"/>
      <w:marRight w:val="0"/>
      <w:marTop w:val="0"/>
      <w:marBottom w:val="0"/>
      <w:divBdr>
        <w:top w:val="none" w:sz="0" w:space="0" w:color="auto"/>
        <w:left w:val="none" w:sz="0" w:space="0" w:color="auto"/>
        <w:bottom w:val="none" w:sz="0" w:space="0" w:color="auto"/>
        <w:right w:val="none" w:sz="0" w:space="0" w:color="auto"/>
      </w:divBdr>
    </w:div>
    <w:div w:id="313073647">
      <w:bodyDiv w:val="1"/>
      <w:marLeft w:val="0"/>
      <w:marRight w:val="0"/>
      <w:marTop w:val="0"/>
      <w:marBottom w:val="0"/>
      <w:divBdr>
        <w:top w:val="none" w:sz="0" w:space="0" w:color="auto"/>
        <w:left w:val="none" w:sz="0" w:space="0" w:color="auto"/>
        <w:bottom w:val="none" w:sz="0" w:space="0" w:color="auto"/>
        <w:right w:val="none" w:sz="0" w:space="0" w:color="auto"/>
      </w:divBdr>
    </w:div>
    <w:div w:id="317072402">
      <w:bodyDiv w:val="1"/>
      <w:marLeft w:val="0"/>
      <w:marRight w:val="0"/>
      <w:marTop w:val="0"/>
      <w:marBottom w:val="0"/>
      <w:divBdr>
        <w:top w:val="none" w:sz="0" w:space="0" w:color="auto"/>
        <w:left w:val="none" w:sz="0" w:space="0" w:color="auto"/>
        <w:bottom w:val="none" w:sz="0" w:space="0" w:color="auto"/>
        <w:right w:val="none" w:sz="0" w:space="0" w:color="auto"/>
      </w:divBdr>
    </w:div>
    <w:div w:id="319426440">
      <w:bodyDiv w:val="1"/>
      <w:marLeft w:val="0"/>
      <w:marRight w:val="0"/>
      <w:marTop w:val="0"/>
      <w:marBottom w:val="0"/>
      <w:divBdr>
        <w:top w:val="none" w:sz="0" w:space="0" w:color="auto"/>
        <w:left w:val="none" w:sz="0" w:space="0" w:color="auto"/>
        <w:bottom w:val="none" w:sz="0" w:space="0" w:color="auto"/>
        <w:right w:val="none" w:sz="0" w:space="0" w:color="auto"/>
      </w:divBdr>
    </w:div>
    <w:div w:id="333338271">
      <w:bodyDiv w:val="1"/>
      <w:marLeft w:val="0"/>
      <w:marRight w:val="0"/>
      <w:marTop w:val="0"/>
      <w:marBottom w:val="0"/>
      <w:divBdr>
        <w:top w:val="none" w:sz="0" w:space="0" w:color="auto"/>
        <w:left w:val="none" w:sz="0" w:space="0" w:color="auto"/>
        <w:bottom w:val="none" w:sz="0" w:space="0" w:color="auto"/>
        <w:right w:val="none" w:sz="0" w:space="0" w:color="auto"/>
      </w:divBdr>
    </w:div>
    <w:div w:id="350566197">
      <w:bodyDiv w:val="1"/>
      <w:marLeft w:val="0"/>
      <w:marRight w:val="0"/>
      <w:marTop w:val="0"/>
      <w:marBottom w:val="0"/>
      <w:divBdr>
        <w:top w:val="none" w:sz="0" w:space="0" w:color="auto"/>
        <w:left w:val="none" w:sz="0" w:space="0" w:color="auto"/>
        <w:bottom w:val="none" w:sz="0" w:space="0" w:color="auto"/>
        <w:right w:val="none" w:sz="0" w:space="0" w:color="auto"/>
      </w:divBdr>
    </w:div>
    <w:div w:id="353001063">
      <w:bodyDiv w:val="1"/>
      <w:marLeft w:val="0"/>
      <w:marRight w:val="0"/>
      <w:marTop w:val="0"/>
      <w:marBottom w:val="0"/>
      <w:divBdr>
        <w:top w:val="none" w:sz="0" w:space="0" w:color="auto"/>
        <w:left w:val="none" w:sz="0" w:space="0" w:color="auto"/>
        <w:bottom w:val="none" w:sz="0" w:space="0" w:color="auto"/>
        <w:right w:val="none" w:sz="0" w:space="0" w:color="auto"/>
      </w:divBdr>
    </w:div>
    <w:div w:id="369847005">
      <w:bodyDiv w:val="1"/>
      <w:marLeft w:val="0"/>
      <w:marRight w:val="0"/>
      <w:marTop w:val="0"/>
      <w:marBottom w:val="0"/>
      <w:divBdr>
        <w:top w:val="none" w:sz="0" w:space="0" w:color="auto"/>
        <w:left w:val="none" w:sz="0" w:space="0" w:color="auto"/>
        <w:bottom w:val="none" w:sz="0" w:space="0" w:color="auto"/>
        <w:right w:val="none" w:sz="0" w:space="0" w:color="auto"/>
      </w:divBdr>
    </w:div>
    <w:div w:id="377247996">
      <w:bodyDiv w:val="1"/>
      <w:marLeft w:val="0"/>
      <w:marRight w:val="0"/>
      <w:marTop w:val="0"/>
      <w:marBottom w:val="0"/>
      <w:divBdr>
        <w:top w:val="none" w:sz="0" w:space="0" w:color="auto"/>
        <w:left w:val="none" w:sz="0" w:space="0" w:color="auto"/>
        <w:bottom w:val="none" w:sz="0" w:space="0" w:color="auto"/>
        <w:right w:val="none" w:sz="0" w:space="0" w:color="auto"/>
      </w:divBdr>
    </w:div>
    <w:div w:id="386149926">
      <w:bodyDiv w:val="1"/>
      <w:marLeft w:val="0"/>
      <w:marRight w:val="0"/>
      <w:marTop w:val="0"/>
      <w:marBottom w:val="0"/>
      <w:divBdr>
        <w:top w:val="none" w:sz="0" w:space="0" w:color="auto"/>
        <w:left w:val="none" w:sz="0" w:space="0" w:color="auto"/>
        <w:bottom w:val="none" w:sz="0" w:space="0" w:color="auto"/>
        <w:right w:val="none" w:sz="0" w:space="0" w:color="auto"/>
      </w:divBdr>
    </w:div>
    <w:div w:id="390542169">
      <w:bodyDiv w:val="1"/>
      <w:marLeft w:val="0"/>
      <w:marRight w:val="0"/>
      <w:marTop w:val="0"/>
      <w:marBottom w:val="0"/>
      <w:divBdr>
        <w:top w:val="none" w:sz="0" w:space="0" w:color="auto"/>
        <w:left w:val="none" w:sz="0" w:space="0" w:color="auto"/>
        <w:bottom w:val="none" w:sz="0" w:space="0" w:color="auto"/>
        <w:right w:val="none" w:sz="0" w:space="0" w:color="auto"/>
      </w:divBdr>
    </w:div>
    <w:div w:id="392579832">
      <w:bodyDiv w:val="1"/>
      <w:marLeft w:val="0"/>
      <w:marRight w:val="0"/>
      <w:marTop w:val="0"/>
      <w:marBottom w:val="0"/>
      <w:divBdr>
        <w:top w:val="none" w:sz="0" w:space="0" w:color="auto"/>
        <w:left w:val="none" w:sz="0" w:space="0" w:color="auto"/>
        <w:bottom w:val="none" w:sz="0" w:space="0" w:color="auto"/>
        <w:right w:val="none" w:sz="0" w:space="0" w:color="auto"/>
      </w:divBdr>
    </w:div>
    <w:div w:id="397897038">
      <w:bodyDiv w:val="1"/>
      <w:marLeft w:val="0"/>
      <w:marRight w:val="0"/>
      <w:marTop w:val="0"/>
      <w:marBottom w:val="0"/>
      <w:divBdr>
        <w:top w:val="none" w:sz="0" w:space="0" w:color="auto"/>
        <w:left w:val="none" w:sz="0" w:space="0" w:color="auto"/>
        <w:bottom w:val="none" w:sz="0" w:space="0" w:color="auto"/>
        <w:right w:val="none" w:sz="0" w:space="0" w:color="auto"/>
      </w:divBdr>
    </w:div>
    <w:div w:id="404572979">
      <w:bodyDiv w:val="1"/>
      <w:marLeft w:val="0"/>
      <w:marRight w:val="0"/>
      <w:marTop w:val="0"/>
      <w:marBottom w:val="0"/>
      <w:divBdr>
        <w:top w:val="none" w:sz="0" w:space="0" w:color="auto"/>
        <w:left w:val="none" w:sz="0" w:space="0" w:color="auto"/>
        <w:bottom w:val="none" w:sz="0" w:space="0" w:color="auto"/>
        <w:right w:val="none" w:sz="0" w:space="0" w:color="auto"/>
      </w:divBdr>
    </w:div>
    <w:div w:id="415327554">
      <w:bodyDiv w:val="1"/>
      <w:marLeft w:val="0"/>
      <w:marRight w:val="0"/>
      <w:marTop w:val="0"/>
      <w:marBottom w:val="0"/>
      <w:divBdr>
        <w:top w:val="none" w:sz="0" w:space="0" w:color="auto"/>
        <w:left w:val="none" w:sz="0" w:space="0" w:color="auto"/>
        <w:bottom w:val="none" w:sz="0" w:space="0" w:color="auto"/>
        <w:right w:val="none" w:sz="0" w:space="0" w:color="auto"/>
      </w:divBdr>
      <w:divsChild>
        <w:div w:id="1260873899">
          <w:marLeft w:val="0"/>
          <w:marRight w:val="0"/>
          <w:marTop w:val="0"/>
          <w:marBottom w:val="0"/>
          <w:divBdr>
            <w:top w:val="none" w:sz="0" w:space="0" w:color="auto"/>
            <w:left w:val="none" w:sz="0" w:space="0" w:color="auto"/>
            <w:bottom w:val="none" w:sz="0" w:space="0" w:color="auto"/>
            <w:right w:val="none" w:sz="0" w:space="0" w:color="auto"/>
          </w:divBdr>
          <w:divsChild>
            <w:div w:id="1975941053">
              <w:marLeft w:val="0"/>
              <w:marRight w:val="0"/>
              <w:marTop w:val="0"/>
              <w:marBottom w:val="0"/>
              <w:divBdr>
                <w:top w:val="none" w:sz="0" w:space="0" w:color="auto"/>
                <w:left w:val="none" w:sz="0" w:space="0" w:color="auto"/>
                <w:bottom w:val="none" w:sz="0" w:space="0" w:color="auto"/>
                <w:right w:val="none" w:sz="0" w:space="0" w:color="auto"/>
              </w:divBdr>
              <w:divsChild>
                <w:div w:id="1197430289">
                  <w:marLeft w:val="0"/>
                  <w:marRight w:val="0"/>
                  <w:marTop w:val="0"/>
                  <w:marBottom w:val="0"/>
                  <w:divBdr>
                    <w:top w:val="none" w:sz="0" w:space="0" w:color="auto"/>
                    <w:left w:val="none" w:sz="0" w:space="0" w:color="auto"/>
                    <w:bottom w:val="none" w:sz="0" w:space="0" w:color="auto"/>
                    <w:right w:val="none" w:sz="0" w:space="0" w:color="auto"/>
                  </w:divBdr>
                  <w:divsChild>
                    <w:div w:id="2097555494">
                      <w:marLeft w:val="0"/>
                      <w:marRight w:val="0"/>
                      <w:marTop w:val="0"/>
                      <w:marBottom w:val="0"/>
                      <w:divBdr>
                        <w:top w:val="none" w:sz="0" w:space="0" w:color="auto"/>
                        <w:left w:val="none" w:sz="0" w:space="0" w:color="auto"/>
                        <w:bottom w:val="none" w:sz="0" w:space="0" w:color="auto"/>
                        <w:right w:val="none" w:sz="0" w:space="0" w:color="auto"/>
                      </w:divBdr>
                      <w:divsChild>
                        <w:div w:id="310982326">
                          <w:marLeft w:val="0"/>
                          <w:marRight w:val="0"/>
                          <w:marTop w:val="0"/>
                          <w:marBottom w:val="0"/>
                          <w:divBdr>
                            <w:top w:val="none" w:sz="0" w:space="0" w:color="auto"/>
                            <w:left w:val="none" w:sz="0" w:space="0" w:color="auto"/>
                            <w:bottom w:val="none" w:sz="0" w:space="0" w:color="auto"/>
                            <w:right w:val="none" w:sz="0" w:space="0" w:color="auto"/>
                          </w:divBdr>
                          <w:divsChild>
                            <w:div w:id="1427267134">
                              <w:marLeft w:val="0"/>
                              <w:marRight w:val="0"/>
                              <w:marTop w:val="0"/>
                              <w:marBottom w:val="0"/>
                              <w:divBdr>
                                <w:top w:val="none" w:sz="0" w:space="0" w:color="auto"/>
                                <w:left w:val="none" w:sz="0" w:space="0" w:color="auto"/>
                                <w:bottom w:val="none" w:sz="0" w:space="0" w:color="auto"/>
                                <w:right w:val="none" w:sz="0" w:space="0" w:color="auto"/>
                              </w:divBdr>
                              <w:divsChild>
                                <w:div w:id="1227641730">
                                  <w:marLeft w:val="0"/>
                                  <w:marRight w:val="0"/>
                                  <w:marTop w:val="0"/>
                                  <w:marBottom w:val="0"/>
                                  <w:divBdr>
                                    <w:top w:val="none" w:sz="0" w:space="0" w:color="auto"/>
                                    <w:left w:val="none" w:sz="0" w:space="0" w:color="auto"/>
                                    <w:bottom w:val="none" w:sz="0" w:space="0" w:color="auto"/>
                                    <w:right w:val="none" w:sz="0" w:space="0" w:color="auto"/>
                                  </w:divBdr>
                                  <w:divsChild>
                                    <w:div w:id="926501581">
                                      <w:marLeft w:val="0"/>
                                      <w:marRight w:val="0"/>
                                      <w:marTop w:val="0"/>
                                      <w:marBottom w:val="0"/>
                                      <w:divBdr>
                                        <w:top w:val="none" w:sz="0" w:space="0" w:color="auto"/>
                                        <w:left w:val="none" w:sz="0" w:space="0" w:color="auto"/>
                                        <w:bottom w:val="none" w:sz="0" w:space="0" w:color="auto"/>
                                        <w:right w:val="none" w:sz="0" w:space="0" w:color="auto"/>
                                      </w:divBdr>
                                      <w:divsChild>
                                        <w:div w:id="612634937">
                                          <w:marLeft w:val="0"/>
                                          <w:marRight w:val="0"/>
                                          <w:marTop w:val="0"/>
                                          <w:marBottom w:val="0"/>
                                          <w:divBdr>
                                            <w:top w:val="none" w:sz="0" w:space="0" w:color="auto"/>
                                            <w:left w:val="none" w:sz="0" w:space="0" w:color="auto"/>
                                            <w:bottom w:val="none" w:sz="0" w:space="0" w:color="auto"/>
                                            <w:right w:val="none" w:sz="0" w:space="0" w:color="auto"/>
                                          </w:divBdr>
                                          <w:divsChild>
                                            <w:div w:id="1391541174">
                                              <w:marLeft w:val="0"/>
                                              <w:marRight w:val="0"/>
                                              <w:marTop w:val="0"/>
                                              <w:marBottom w:val="0"/>
                                              <w:divBdr>
                                                <w:top w:val="none" w:sz="0" w:space="0" w:color="auto"/>
                                                <w:left w:val="none" w:sz="0" w:space="0" w:color="auto"/>
                                                <w:bottom w:val="none" w:sz="0" w:space="0" w:color="auto"/>
                                                <w:right w:val="none" w:sz="0" w:space="0" w:color="auto"/>
                                              </w:divBdr>
                                            </w:div>
                                            <w:div w:id="1009720259">
                                              <w:marLeft w:val="0"/>
                                              <w:marRight w:val="0"/>
                                              <w:marTop w:val="0"/>
                                              <w:marBottom w:val="0"/>
                                              <w:divBdr>
                                                <w:top w:val="none" w:sz="0" w:space="0" w:color="auto"/>
                                                <w:left w:val="none" w:sz="0" w:space="0" w:color="auto"/>
                                                <w:bottom w:val="none" w:sz="0" w:space="0" w:color="auto"/>
                                                <w:right w:val="none" w:sz="0" w:space="0" w:color="auto"/>
                                              </w:divBdr>
                                            </w:div>
                                            <w:div w:id="38044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639950">
      <w:bodyDiv w:val="1"/>
      <w:marLeft w:val="0"/>
      <w:marRight w:val="0"/>
      <w:marTop w:val="0"/>
      <w:marBottom w:val="0"/>
      <w:divBdr>
        <w:top w:val="none" w:sz="0" w:space="0" w:color="auto"/>
        <w:left w:val="none" w:sz="0" w:space="0" w:color="auto"/>
        <w:bottom w:val="none" w:sz="0" w:space="0" w:color="auto"/>
        <w:right w:val="none" w:sz="0" w:space="0" w:color="auto"/>
      </w:divBdr>
    </w:div>
    <w:div w:id="422578786">
      <w:bodyDiv w:val="1"/>
      <w:marLeft w:val="0"/>
      <w:marRight w:val="0"/>
      <w:marTop w:val="0"/>
      <w:marBottom w:val="0"/>
      <w:divBdr>
        <w:top w:val="none" w:sz="0" w:space="0" w:color="auto"/>
        <w:left w:val="none" w:sz="0" w:space="0" w:color="auto"/>
        <w:bottom w:val="none" w:sz="0" w:space="0" w:color="auto"/>
        <w:right w:val="none" w:sz="0" w:space="0" w:color="auto"/>
      </w:divBdr>
    </w:div>
    <w:div w:id="452987416">
      <w:bodyDiv w:val="1"/>
      <w:marLeft w:val="0"/>
      <w:marRight w:val="0"/>
      <w:marTop w:val="0"/>
      <w:marBottom w:val="0"/>
      <w:divBdr>
        <w:top w:val="none" w:sz="0" w:space="0" w:color="auto"/>
        <w:left w:val="none" w:sz="0" w:space="0" w:color="auto"/>
        <w:bottom w:val="none" w:sz="0" w:space="0" w:color="auto"/>
        <w:right w:val="none" w:sz="0" w:space="0" w:color="auto"/>
      </w:divBdr>
    </w:div>
    <w:div w:id="454249897">
      <w:bodyDiv w:val="1"/>
      <w:marLeft w:val="0"/>
      <w:marRight w:val="0"/>
      <w:marTop w:val="0"/>
      <w:marBottom w:val="0"/>
      <w:divBdr>
        <w:top w:val="none" w:sz="0" w:space="0" w:color="auto"/>
        <w:left w:val="none" w:sz="0" w:space="0" w:color="auto"/>
        <w:bottom w:val="none" w:sz="0" w:space="0" w:color="auto"/>
        <w:right w:val="none" w:sz="0" w:space="0" w:color="auto"/>
      </w:divBdr>
    </w:div>
    <w:div w:id="457144841">
      <w:bodyDiv w:val="1"/>
      <w:marLeft w:val="0"/>
      <w:marRight w:val="0"/>
      <w:marTop w:val="0"/>
      <w:marBottom w:val="0"/>
      <w:divBdr>
        <w:top w:val="none" w:sz="0" w:space="0" w:color="auto"/>
        <w:left w:val="none" w:sz="0" w:space="0" w:color="auto"/>
        <w:bottom w:val="none" w:sz="0" w:space="0" w:color="auto"/>
        <w:right w:val="none" w:sz="0" w:space="0" w:color="auto"/>
      </w:divBdr>
    </w:div>
    <w:div w:id="457186462">
      <w:bodyDiv w:val="1"/>
      <w:marLeft w:val="0"/>
      <w:marRight w:val="0"/>
      <w:marTop w:val="0"/>
      <w:marBottom w:val="0"/>
      <w:divBdr>
        <w:top w:val="none" w:sz="0" w:space="0" w:color="auto"/>
        <w:left w:val="none" w:sz="0" w:space="0" w:color="auto"/>
        <w:bottom w:val="none" w:sz="0" w:space="0" w:color="auto"/>
        <w:right w:val="none" w:sz="0" w:space="0" w:color="auto"/>
      </w:divBdr>
    </w:div>
    <w:div w:id="459108875">
      <w:bodyDiv w:val="1"/>
      <w:marLeft w:val="0"/>
      <w:marRight w:val="0"/>
      <w:marTop w:val="0"/>
      <w:marBottom w:val="0"/>
      <w:divBdr>
        <w:top w:val="none" w:sz="0" w:space="0" w:color="auto"/>
        <w:left w:val="none" w:sz="0" w:space="0" w:color="auto"/>
        <w:bottom w:val="none" w:sz="0" w:space="0" w:color="auto"/>
        <w:right w:val="none" w:sz="0" w:space="0" w:color="auto"/>
      </w:divBdr>
    </w:div>
    <w:div w:id="468788676">
      <w:bodyDiv w:val="1"/>
      <w:marLeft w:val="0"/>
      <w:marRight w:val="0"/>
      <w:marTop w:val="0"/>
      <w:marBottom w:val="0"/>
      <w:divBdr>
        <w:top w:val="none" w:sz="0" w:space="0" w:color="auto"/>
        <w:left w:val="none" w:sz="0" w:space="0" w:color="auto"/>
        <w:bottom w:val="none" w:sz="0" w:space="0" w:color="auto"/>
        <w:right w:val="none" w:sz="0" w:space="0" w:color="auto"/>
      </w:divBdr>
    </w:div>
    <w:div w:id="469515380">
      <w:bodyDiv w:val="1"/>
      <w:marLeft w:val="0"/>
      <w:marRight w:val="0"/>
      <w:marTop w:val="0"/>
      <w:marBottom w:val="0"/>
      <w:divBdr>
        <w:top w:val="none" w:sz="0" w:space="0" w:color="auto"/>
        <w:left w:val="none" w:sz="0" w:space="0" w:color="auto"/>
        <w:bottom w:val="none" w:sz="0" w:space="0" w:color="auto"/>
        <w:right w:val="none" w:sz="0" w:space="0" w:color="auto"/>
      </w:divBdr>
    </w:div>
    <w:div w:id="469641332">
      <w:bodyDiv w:val="1"/>
      <w:marLeft w:val="0"/>
      <w:marRight w:val="0"/>
      <w:marTop w:val="0"/>
      <w:marBottom w:val="0"/>
      <w:divBdr>
        <w:top w:val="none" w:sz="0" w:space="0" w:color="auto"/>
        <w:left w:val="none" w:sz="0" w:space="0" w:color="auto"/>
        <w:bottom w:val="none" w:sz="0" w:space="0" w:color="auto"/>
        <w:right w:val="none" w:sz="0" w:space="0" w:color="auto"/>
      </w:divBdr>
    </w:div>
    <w:div w:id="470369451">
      <w:bodyDiv w:val="1"/>
      <w:marLeft w:val="0"/>
      <w:marRight w:val="0"/>
      <w:marTop w:val="0"/>
      <w:marBottom w:val="0"/>
      <w:divBdr>
        <w:top w:val="none" w:sz="0" w:space="0" w:color="auto"/>
        <w:left w:val="none" w:sz="0" w:space="0" w:color="auto"/>
        <w:bottom w:val="none" w:sz="0" w:space="0" w:color="auto"/>
        <w:right w:val="none" w:sz="0" w:space="0" w:color="auto"/>
      </w:divBdr>
    </w:div>
    <w:div w:id="473987406">
      <w:bodyDiv w:val="1"/>
      <w:marLeft w:val="0"/>
      <w:marRight w:val="0"/>
      <w:marTop w:val="0"/>
      <w:marBottom w:val="0"/>
      <w:divBdr>
        <w:top w:val="none" w:sz="0" w:space="0" w:color="auto"/>
        <w:left w:val="none" w:sz="0" w:space="0" w:color="auto"/>
        <w:bottom w:val="none" w:sz="0" w:space="0" w:color="auto"/>
        <w:right w:val="none" w:sz="0" w:space="0" w:color="auto"/>
      </w:divBdr>
    </w:div>
    <w:div w:id="474690166">
      <w:bodyDiv w:val="1"/>
      <w:marLeft w:val="0"/>
      <w:marRight w:val="0"/>
      <w:marTop w:val="0"/>
      <w:marBottom w:val="0"/>
      <w:divBdr>
        <w:top w:val="none" w:sz="0" w:space="0" w:color="auto"/>
        <w:left w:val="none" w:sz="0" w:space="0" w:color="auto"/>
        <w:bottom w:val="none" w:sz="0" w:space="0" w:color="auto"/>
        <w:right w:val="none" w:sz="0" w:space="0" w:color="auto"/>
      </w:divBdr>
    </w:div>
    <w:div w:id="479808820">
      <w:bodyDiv w:val="1"/>
      <w:marLeft w:val="0"/>
      <w:marRight w:val="0"/>
      <w:marTop w:val="0"/>
      <w:marBottom w:val="0"/>
      <w:divBdr>
        <w:top w:val="none" w:sz="0" w:space="0" w:color="auto"/>
        <w:left w:val="none" w:sz="0" w:space="0" w:color="auto"/>
        <w:bottom w:val="none" w:sz="0" w:space="0" w:color="auto"/>
        <w:right w:val="none" w:sz="0" w:space="0" w:color="auto"/>
      </w:divBdr>
    </w:div>
    <w:div w:id="481584852">
      <w:bodyDiv w:val="1"/>
      <w:marLeft w:val="0"/>
      <w:marRight w:val="0"/>
      <w:marTop w:val="0"/>
      <w:marBottom w:val="0"/>
      <w:divBdr>
        <w:top w:val="none" w:sz="0" w:space="0" w:color="auto"/>
        <w:left w:val="none" w:sz="0" w:space="0" w:color="auto"/>
        <w:bottom w:val="none" w:sz="0" w:space="0" w:color="auto"/>
        <w:right w:val="none" w:sz="0" w:space="0" w:color="auto"/>
      </w:divBdr>
    </w:div>
    <w:div w:id="488791527">
      <w:bodyDiv w:val="1"/>
      <w:marLeft w:val="0"/>
      <w:marRight w:val="0"/>
      <w:marTop w:val="0"/>
      <w:marBottom w:val="0"/>
      <w:divBdr>
        <w:top w:val="none" w:sz="0" w:space="0" w:color="auto"/>
        <w:left w:val="none" w:sz="0" w:space="0" w:color="auto"/>
        <w:bottom w:val="none" w:sz="0" w:space="0" w:color="auto"/>
        <w:right w:val="none" w:sz="0" w:space="0" w:color="auto"/>
      </w:divBdr>
    </w:div>
    <w:div w:id="490563249">
      <w:bodyDiv w:val="1"/>
      <w:marLeft w:val="0"/>
      <w:marRight w:val="0"/>
      <w:marTop w:val="0"/>
      <w:marBottom w:val="0"/>
      <w:divBdr>
        <w:top w:val="none" w:sz="0" w:space="0" w:color="auto"/>
        <w:left w:val="none" w:sz="0" w:space="0" w:color="auto"/>
        <w:bottom w:val="none" w:sz="0" w:space="0" w:color="auto"/>
        <w:right w:val="none" w:sz="0" w:space="0" w:color="auto"/>
      </w:divBdr>
    </w:div>
    <w:div w:id="497771485">
      <w:bodyDiv w:val="1"/>
      <w:marLeft w:val="0"/>
      <w:marRight w:val="0"/>
      <w:marTop w:val="0"/>
      <w:marBottom w:val="0"/>
      <w:divBdr>
        <w:top w:val="none" w:sz="0" w:space="0" w:color="auto"/>
        <w:left w:val="none" w:sz="0" w:space="0" w:color="auto"/>
        <w:bottom w:val="none" w:sz="0" w:space="0" w:color="auto"/>
        <w:right w:val="none" w:sz="0" w:space="0" w:color="auto"/>
      </w:divBdr>
    </w:div>
    <w:div w:id="505826312">
      <w:bodyDiv w:val="1"/>
      <w:marLeft w:val="0"/>
      <w:marRight w:val="0"/>
      <w:marTop w:val="0"/>
      <w:marBottom w:val="0"/>
      <w:divBdr>
        <w:top w:val="none" w:sz="0" w:space="0" w:color="auto"/>
        <w:left w:val="none" w:sz="0" w:space="0" w:color="auto"/>
        <w:bottom w:val="none" w:sz="0" w:space="0" w:color="auto"/>
        <w:right w:val="none" w:sz="0" w:space="0" w:color="auto"/>
      </w:divBdr>
    </w:div>
    <w:div w:id="513963210">
      <w:bodyDiv w:val="1"/>
      <w:marLeft w:val="0"/>
      <w:marRight w:val="0"/>
      <w:marTop w:val="0"/>
      <w:marBottom w:val="0"/>
      <w:divBdr>
        <w:top w:val="none" w:sz="0" w:space="0" w:color="auto"/>
        <w:left w:val="none" w:sz="0" w:space="0" w:color="auto"/>
        <w:bottom w:val="none" w:sz="0" w:space="0" w:color="auto"/>
        <w:right w:val="none" w:sz="0" w:space="0" w:color="auto"/>
      </w:divBdr>
    </w:div>
    <w:div w:id="526722974">
      <w:bodyDiv w:val="1"/>
      <w:marLeft w:val="0"/>
      <w:marRight w:val="0"/>
      <w:marTop w:val="0"/>
      <w:marBottom w:val="0"/>
      <w:divBdr>
        <w:top w:val="none" w:sz="0" w:space="0" w:color="auto"/>
        <w:left w:val="none" w:sz="0" w:space="0" w:color="auto"/>
        <w:bottom w:val="none" w:sz="0" w:space="0" w:color="auto"/>
        <w:right w:val="none" w:sz="0" w:space="0" w:color="auto"/>
      </w:divBdr>
    </w:div>
    <w:div w:id="528490303">
      <w:bodyDiv w:val="1"/>
      <w:marLeft w:val="0"/>
      <w:marRight w:val="0"/>
      <w:marTop w:val="0"/>
      <w:marBottom w:val="0"/>
      <w:divBdr>
        <w:top w:val="none" w:sz="0" w:space="0" w:color="auto"/>
        <w:left w:val="none" w:sz="0" w:space="0" w:color="auto"/>
        <w:bottom w:val="none" w:sz="0" w:space="0" w:color="auto"/>
        <w:right w:val="none" w:sz="0" w:space="0" w:color="auto"/>
      </w:divBdr>
    </w:div>
    <w:div w:id="534318840">
      <w:bodyDiv w:val="1"/>
      <w:marLeft w:val="0"/>
      <w:marRight w:val="0"/>
      <w:marTop w:val="0"/>
      <w:marBottom w:val="0"/>
      <w:divBdr>
        <w:top w:val="none" w:sz="0" w:space="0" w:color="auto"/>
        <w:left w:val="none" w:sz="0" w:space="0" w:color="auto"/>
        <w:bottom w:val="none" w:sz="0" w:space="0" w:color="auto"/>
        <w:right w:val="none" w:sz="0" w:space="0" w:color="auto"/>
      </w:divBdr>
    </w:div>
    <w:div w:id="535310890">
      <w:bodyDiv w:val="1"/>
      <w:marLeft w:val="0"/>
      <w:marRight w:val="0"/>
      <w:marTop w:val="0"/>
      <w:marBottom w:val="0"/>
      <w:divBdr>
        <w:top w:val="none" w:sz="0" w:space="0" w:color="auto"/>
        <w:left w:val="none" w:sz="0" w:space="0" w:color="auto"/>
        <w:bottom w:val="none" w:sz="0" w:space="0" w:color="auto"/>
        <w:right w:val="none" w:sz="0" w:space="0" w:color="auto"/>
      </w:divBdr>
    </w:div>
    <w:div w:id="535315684">
      <w:bodyDiv w:val="1"/>
      <w:marLeft w:val="0"/>
      <w:marRight w:val="0"/>
      <w:marTop w:val="0"/>
      <w:marBottom w:val="0"/>
      <w:divBdr>
        <w:top w:val="none" w:sz="0" w:space="0" w:color="auto"/>
        <w:left w:val="none" w:sz="0" w:space="0" w:color="auto"/>
        <w:bottom w:val="none" w:sz="0" w:space="0" w:color="auto"/>
        <w:right w:val="none" w:sz="0" w:space="0" w:color="auto"/>
      </w:divBdr>
    </w:div>
    <w:div w:id="539587916">
      <w:bodyDiv w:val="1"/>
      <w:marLeft w:val="0"/>
      <w:marRight w:val="0"/>
      <w:marTop w:val="0"/>
      <w:marBottom w:val="0"/>
      <w:divBdr>
        <w:top w:val="none" w:sz="0" w:space="0" w:color="auto"/>
        <w:left w:val="none" w:sz="0" w:space="0" w:color="auto"/>
        <w:bottom w:val="none" w:sz="0" w:space="0" w:color="auto"/>
        <w:right w:val="none" w:sz="0" w:space="0" w:color="auto"/>
      </w:divBdr>
    </w:div>
    <w:div w:id="553926978">
      <w:bodyDiv w:val="1"/>
      <w:marLeft w:val="0"/>
      <w:marRight w:val="0"/>
      <w:marTop w:val="0"/>
      <w:marBottom w:val="0"/>
      <w:divBdr>
        <w:top w:val="none" w:sz="0" w:space="0" w:color="auto"/>
        <w:left w:val="none" w:sz="0" w:space="0" w:color="auto"/>
        <w:bottom w:val="none" w:sz="0" w:space="0" w:color="auto"/>
        <w:right w:val="none" w:sz="0" w:space="0" w:color="auto"/>
      </w:divBdr>
    </w:div>
    <w:div w:id="562253611">
      <w:bodyDiv w:val="1"/>
      <w:marLeft w:val="0"/>
      <w:marRight w:val="0"/>
      <w:marTop w:val="0"/>
      <w:marBottom w:val="0"/>
      <w:divBdr>
        <w:top w:val="none" w:sz="0" w:space="0" w:color="auto"/>
        <w:left w:val="none" w:sz="0" w:space="0" w:color="auto"/>
        <w:bottom w:val="none" w:sz="0" w:space="0" w:color="auto"/>
        <w:right w:val="none" w:sz="0" w:space="0" w:color="auto"/>
      </w:divBdr>
    </w:div>
    <w:div w:id="562253702">
      <w:bodyDiv w:val="1"/>
      <w:marLeft w:val="0"/>
      <w:marRight w:val="0"/>
      <w:marTop w:val="0"/>
      <w:marBottom w:val="0"/>
      <w:divBdr>
        <w:top w:val="none" w:sz="0" w:space="0" w:color="auto"/>
        <w:left w:val="none" w:sz="0" w:space="0" w:color="auto"/>
        <w:bottom w:val="none" w:sz="0" w:space="0" w:color="auto"/>
        <w:right w:val="none" w:sz="0" w:space="0" w:color="auto"/>
      </w:divBdr>
    </w:div>
    <w:div w:id="575670256">
      <w:bodyDiv w:val="1"/>
      <w:marLeft w:val="0"/>
      <w:marRight w:val="0"/>
      <w:marTop w:val="0"/>
      <w:marBottom w:val="0"/>
      <w:divBdr>
        <w:top w:val="none" w:sz="0" w:space="0" w:color="auto"/>
        <w:left w:val="none" w:sz="0" w:space="0" w:color="auto"/>
        <w:bottom w:val="none" w:sz="0" w:space="0" w:color="auto"/>
        <w:right w:val="none" w:sz="0" w:space="0" w:color="auto"/>
      </w:divBdr>
    </w:div>
    <w:div w:id="593320693">
      <w:bodyDiv w:val="1"/>
      <w:marLeft w:val="0"/>
      <w:marRight w:val="0"/>
      <w:marTop w:val="0"/>
      <w:marBottom w:val="0"/>
      <w:divBdr>
        <w:top w:val="none" w:sz="0" w:space="0" w:color="auto"/>
        <w:left w:val="none" w:sz="0" w:space="0" w:color="auto"/>
        <w:bottom w:val="none" w:sz="0" w:space="0" w:color="auto"/>
        <w:right w:val="none" w:sz="0" w:space="0" w:color="auto"/>
      </w:divBdr>
    </w:div>
    <w:div w:id="594048333">
      <w:bodyDiv w:val="1"/>
      <w:marLeft w:val="0"/>
      <w:marRight w:val="0"/>
      <w:marTop w:val="0"/>
      <w:marBottom w:val="0"/>
      <w:divBdr>
        <w:top w:val="none" w:sz="0" w:space="0" w:color="auto"/>
        <w:left w:val="none" w:sz="0" w:space="0" w:color="auto"/>
        <w:bottom w:val="none" w:sz="0" w:space="0" w:color="auto"/>
        <w:right w:val="none" w:sz="0" w:space="0" w:color="auto"/>
      </w:divBdr>
    </w:div>
    <w:div w:id="594678780">
      <w:bodyDiv w:val="1"/>
      <w:marLeft w:val="0"/>
      <w:marRight w:val="0"/>
      <w:marTop w:val="0"/>
      <w:marBottom w:val="0"/>
      <w:divBdr>
        <w:top w:val="none" w:sz="0" w:space="0" w:color="auto"/>
        <w:left w:val="none" w:sz="0" w:space="0" w:color="auto"/>
        <w:bottom w:val="none" w:sz="0" w:space="0" w:color="auto"/>
        <w:right w:val="none" w:sz="0" w:space="0" w:color="auto"/>
      </w:divBdr>
    </w:div>
    <w:div w:id="604197579">
      <w:bodyDiv w:val="1"/>
      <w:marLeft w:val="0"/>
      <w:marRight w:val="0"/>
      <w:marTop w:val="0"/>
      <w:marBottom w:val="0"/>
      <w:divBdr>
        <w:top w:val="none" w:sz="0" w:space="0" w:color="auto"/>
        <w:left w:val="none" w:sz="0" w:space="0" w:color="auto"/>
        <w:bottom w:val="none" w:sz="0" w:space="0" w:color="auto"/>
        <w:right w:val="none" w:sz="0" w:space="0" w:color="auto"/>
      </w:divBdr>
    </w:div>
    <w:div w:id="609700777">
      <w:bodyDiv w:val="1"/>
      <w:marLeft w:val="0"/>
      <w:marRight w:val="0"/>
      <w:marTop w:val="0"/>
      <w:marBottom w:val="0"/>
      <w:divBdr>
        <w:top w:val="none" w:sz="0" w:space="0" w:color="auto"/>
        <w:left w:val="none" w:sz="0" w:space="0" w:color="auto"/>
        <w:bottom w:val="none" w:sz="0" w:space="0" w:color="auto"/>
        <w:right w:val="none" w:sz="0" w:space="0" w:color="auto"/>
      </w:divBdr>
    </w:div>
    <w:div w:id="611865894">
      <w:bodyDiv w:val="1"/>
      <w:marLeft w:val="0"/>
      <w:marRight w:val="0"/>
      <w:marTop w:val="0"/>
      <w:marBottom w:val="0"/>
      <w:divBdr>
        <w:top w:val="none" w:sz="0" w:space="0" w:color="auto"/>
        <w:left w:val="none" w:sz="0" w:space="0" w:color="auto"/>
        <w:bottom w:val="none" w:sz="0" w:space="0" w:color="auto"/>
        <w:right w:val="none" w:sz="0" w:space="0" w:color="auto"/>
      </w:divBdr>
    </w:div>
    <w:div w:id="631054544">
      <w:bodyDiv w:val="1"/>
      <w:marLeft w:val="0"/>
      <w:marRight w:val="0"/>
      <w:marTop w:val="0"/>
      <w:marBottom w:val="0"/>
      <w:divBdr>
        <w:top w:val="none" w:sz="0" w:space="0" w:color="auto"/>
        <w:left w:val="none" w:sz="0" w:space="0" w:color="auto"/>
        <w:bottom w:val="none" w:sz="0" w:space="0" w:color="auto"/>
        <w:right w:val="none" w:sz="0" w:space="0" w:color="auto"/>
      </w:divBdr>
    </w:div>
    <w:div w:id="632174044">
      <w:bodyDiv w:val="1"/>
      <w:marLeft w:val="0"/>
      <w:marRight w:val="0"/>
      <w:marTop w:val="0"/>
      <w:marBottom w:val="0"/>
      <w:divBdr>
        <w:top w:val="none" w:sz="0" w:space="0" w:color="auto"/>
        <w:left w:val="none" w:sz="0" w:space="0" w:color="auto"/>
        <w:bottom w:val="none" w:sz="0" w:space="0" w:color="auto"/>
        <w:right w:val="none" w:sz="0" w:space="0" w:color="auto"/>
      </w:divBdr>
    </w:div>
    <w:div w:id="632251570">
      <w:bodyDiv w:val="1"/>
      <w:marLeft w:val="0"/>
      <w:marRight w:val="0"/>
      <w:marTop w:val="0"/>
      <w:marBottom w:val="0"/>
      <w:divBdr>
        <w:top w:val="none" w:sz="0" w:space="0" w:color="auto"/>
        <w:left w:val="none" w:sz="0" w:space="0" w:color="auto"/>
        <w:bottom w:val="none" w:sz="0" w:space="0" w:color="auto"/>
        <w:right w:val="none" w:sz="0" w:space="0" w:color="auto"/>
      </w:divBdr>
    </w:div>
    <w:div w:id="638607218">
      <w:bodyDiv w:val="1"/>
      <w:marLeft w:val="0"/>
      <w:marRight w:val="0"/>
      <w:marTop w:val="0"/>
      <w:marBottom w:val="0"/>
      <w:divBdr>
        <w:top w:val="none" w:sz="0" w:space="0" w:color="auto"/>
        <w:left w:val="none" w:sz="0" w:space="0" w:color="auto"/>
        <w:bottom w:val="none" w:sz="0" w:space="0" w:color="auto"/>
        <w:right w:val="none" w:sz="0" w:space="0" w:color="auto"/>
      </w:divBdr>
    </w:div>
    <w:div w:id="640623898">
      <w:bodyDiv w:val="1"/>
      <w:marLeft w:val="0"/>
      <w:marRight w:val="0"/>
      <w:marTop w:val="0"/>
      <w:marBottom w:val="0"/>
      <w:divBdr>
        <w:top w:val="none" w:sz="0" w:space="0" w:color="auto"/>
        <w:left w:val="none" w:sz="0" w:space="0" w:color="auto"/>
        <w:bottom w:val="none" w:sz="0" w:space="0" w:color="auto"/>
        <w:right w:val="none" w:sz="0" w:space="0" w:color="auto"/>
      </w:divBdr>
    </w:div>
    <w:div w:id="646129399">
      <w:bodyDiv w:val="1"/>
      <w:marLeft w:val="0"/>
      <w:marRight w:val="0"/>
      <w:marTop w:val="0"/>
      <w:marBottom w:val="0"/>
      <w:divBdr>
        <w:top w:val="none" w:sz="0" w:space="0" w:color="auto"/>
        <w:left w:val="none" w:sz="0" w:space="0" w:color="auto"/>
        <w:bottom w:val="none" w:sz="0" w:space="0" w:color="auto"/>
        <w:right w:val="none" w:sz="0" w:space="0" w:color="auto"/>
      </w:divBdr>
    </w:div>
    <w:div w:id="656301362">
      <w:bodyDiv w:val="1"/>
      <w:marLeft w:val="0"/>
      <w:marRight w:val="0"/>
      <w:marTop w:val="0"/>
      <w:marBottom w:val="0"/>
      <w:divBdr>
        <w:top w:val="none" w:sz="0" w:space="0" w:color="auto"/>
        <w:left w:val="none" w:sz="0" w:space="0" w:color="auto"/>
        <w:bottom w:val="none" w:sz="0" w:space="0" w:color="auto"/>
        <w:right w:val="none" w:sz="0" w:space="0" w:color="auto"/>
      </w:divBdr>
    </w:div>
    <w:div w:id="658268948">
      <w:bodyDiv w:val="1"/>
      <w:marLeft w:val="0"/>
      <w:marRight w:val="0"/>
      <w:marTop w:val="0"/>
      <w:marBottom w:val="0"/>
      <w:divBdr>
        <w:top w:val="none" w:sz="0" w:space="0" w:color="auto"/>
        <w:left w:val="none" w:sz="0" w:space="0" w:color="auto"/>
        <w:bottom w:val="none" w:sz="0" w:space="0" w:color="auto"/>
        <w:right w:val="none" w:sz="0" w:space="0" w:color="auto"/>
      </w:divBdr>
    </w:div>
    <w:div w:id="658773307">
      <w:bodyDiv w:val="1"/>
      <w:marLeft w:val="0"/>
      <w:marRight w:val="0"/>
      <w:marTop w:val="0"/>
      <w:marBottom w:val="0"/>
      <w:divBdr>
        <w:top w:val="none" w:sz="0" w:space="0" w:color="auto"/>
        <w:left w:val="none" w:sz="0" w:space="0" w:color="auto"/>
        <w:bottom w:val="none" w:sz="0" w:space="0" w:color="auto"/>
        <w:right w:val="none" w:sz="0" w:space="0" w:color="auto"/>
      </w:divBdr>
    </w:div>
    <w:div w:id="661397766">
      <w:bodyDiv w:val="1"/>
      <w:marLeft w:val="0"/>
      <w:marRight w:val="0"/>
      <w:marTop w:val="0"/>
      <w:marBottom w:val="0"/>
      <w:divBdr>
        <w:top w:val="none" w:sz="0" w:space="0" w:color="auto"/>
        <w:left w:val="none" w:sz="0" w:space="0" w:color="auto"/>
        <w:bottom w:val="none" w:sz="0" w:space="0" w:color="auto"/>
        <w:right w:val="none" w:sz="0" w:space="0" w:color="auto"/>
      </w:divBdr>
    </w:div>
    <w:div w:id="665785710">
      <w:bodyDiv w:val="1"/>
      <w:marLeft w:val="0"/>
      <w:marRight w:val="0"/>
      <w:marTop w:val="0"/>
      <w:marBottom w:val="0"/>
      <w:divBdr>
        <w:top w:val="none" w:sz="0" w:space="0" w:color="auto"/>
        <w:left w:val="none" w:sz="0" w:space="0" w:color="auto"/>
        <w:bottom w:val="none" w:sz="0" w:space="0" w:color="auto"/>
        <w:right w:val="none" w:sz="0" w:space="0" w:color="auto"/>
      </w:divBdr>
    </w:div>
    <w:div w:id="666517597">
      <w:bodyDiv w:val="1"/>
      <w:marLeft w:val="0"/>
      <w:marRight w:val="0"/>
      <w:marTop w:val="0"/>
      <w:marBottom w:val="0"/>
      <w:divBdr>
        <w:top w:val="none" w:sz="0" w:space="0" w:color="auto"/>
        <w:left w:val="none" w:sz="0" w:space="0" w:color="auto"/>
        <w:bottom w:val="none" w:sz="0" w:space="0" w:color="auto"/>
        <w:right w:val="none" w:sz="0" w:space="0" w:color="auto"/>
      </w:divBdr>
    </w:div>
    <w:div w:id="668022956">
      <w:bodyDiv w:val="1"/>
      <w:marLeft w:val="0"/>
      <w:marRight w:val="0"/>
      <w:marTop w:val="0"/>
      <w:marBottom w:val="0"/>
      <w:divBdr>
        <w:top w:val="none" w:sz="0" w:space="0" w:color="auto"/>
        <w:left w:val="none" w:sz="0" w:space="0" w:color="auto"/>
        <w:bottom w:val="none" w:sz="0" w:space="0" w:color="auto"/>
        <w:right w:val="none" w:sz="0" w:space="0" w:color="auto"/>
      </w:divBdr>
    </w:div>
    <w:div w:id="676225022">
      <w:bodyDiv w:val="1"/>
      <w:marLeft w:val="0"/>
      <w:marRight w:val="0"/>
      <w:marTop w:val="0"/>
      <w:marBottom w:val="0"/>
      <w:divBdr>
        <w:top w:val="none" w:sz="0" w:space="0" w:color="auto"/>
        <w:left w:val="none" w:sz="0" w:space="0" w:color="auto"/>
        <w:bottom w:val="none" w:sz="0" w:space="0" w:color="auto"/>
        <w:right w:val="none" w:sz="0" w:space="0" w:color="auto"/>
      </w:divBdr>
    </w:div>
    <w:div w:id="680010296">
      <w:bodyDiv w:val="1"/>
      <w:marLeft w:val="0"/>
      <w:marRight w:val="0"/>
      <w:marTop w:val="0"/>
      <w:marBottom w:val="0"/>
      <w:divBdr>
        <w:top w:val="none" w:sz="0" w:space="0" w:color="auto"/>
        <w:left w:val="none" w:sz="0" w:space="0" w:color="auto"/>
        <w:bottom w:val="none" w:sz="0" w:space="0" w:color="auto"/>
        <w:right w:val="none" w:sz="0" w:space="0" w:color="auto"/>
      </w:divBdr>
    </w:div>
    <w:div w:id="694311061">
      <w:bodyDiv w:val="1"/>
      <w:marLeft w:val="0"/>
      <w:marRight w:val="0"/>
      <w:marTop w:val="0"/>
      <w:marBottom w:val="0"/>
      <w:divBdr>
        <w:top w:val="none" w:sz="0" w:space="0" w:color="auto"/>
        <w:left w:val="none" w:sz="0" w:space="0" w:color="auto"/>
        <w:bottom w:val="none" w:sz="0" w:space="0" w:color="auto"/>
        <w:right w:val="none" w:sz="0" w:space="0" w:color="auto"/>
      </w:divBdr>
    </w:div>
    <w:div w:id="695809126">
      <w:bodyDiv w:val="1"/>
      <w:marLeft w:val="0"/>
      <w:marRight w:val="0"/>
      <w:marTop w:val="0"/>
      <w:marBottom w:val="0"/>
      <w:divBdr>
        <w:top w:val="none" w:sz="0" w:space="0" w:color="auto"/>
        <w:left w:val="none" w:sz="0" w:space="0" w:color="auto"/>
        <w:bottom w:val="none" w:sz="0" w:space="0" w:color="auto"/>
        <w:right w:val="none" w:sz="0" w:space="0" w:color="auto"/>
      </w:divBdr>
    </w:div>
    <w:div w:id="699673139">
      <w:bodyDiv w:val="1"/>
      <w:marLeft w:val="0"/>
      <w:marRight w:val="0"/>
      <w:marTop w:val="0"/>
      <w:marBottom w:val="0"/>
      <w:divBdr>
        <w:top w:val="none" w:sz="0" w:space="0" w:color="auto"/>
        <w:left w:val="none" w:sz="0" w:space="0" w:color="auto"/>
        <w:bottom w:val="none" w:sz="0" w:space="0" w:color="auto"/>
        <w:right w:val="none" w:sz="0" w:space="0" w:color="auto"/>
      </w:divBdr>
    </w:div>
    <w:div w:id="704252620">
      <w:bodyDiv w:val="1"/>
      <w:marLeft w:val="0"/>
      <w:marRight w:val="0"/>
      <w:marTop w:val="0"/>
      <w:marBottom w:val="0"/>
      <w:divBdr>
        <w:top w:val="none" w:sz="0" w:space="0" w:color="auto"/>
        <w:left w:val="none" w:sz="0" w:space="0" w:color="auto"/>
        <w:bottom w:val="none" w:sz="0" w:space="0" w:color="auto"/>
        <w:right w:val="none" w:sz="0" w:space="0" w:color="auto"/>
      </w:divBdr>
    </w:div>
    <w:div w:id="705907876">
      <w:bodyDiv w:val="1"/>
      <w:marLeft w:val="0"/>
      <w:marRight w:val="0"/>
      <w:marTop w:val="0"/>
      <w:marBottom w:val="0"/>
      <w:divBdr>
        <w:top w:val="none" w:sz="0" w:space="0" w:color="auto"/>
        <w:left w:val="none" w:sz="0" w:space="0" w:color="auto"/>
        <w:bottom w:val="none" w:sz="0" w:space="0" w:color="auto"/>
        <w:right w:val="none" w:sz="0" w:space="0" w:color="auto"/>
      </w:divBdr>
    </w:div>
    <w:div w:id="713236177">
      <w:bodyDiv w:val="1"/>
      <w:marLeft w:val="0"/>
      <w:marRight w:val="0"/>
      <w:marTop w:val="0"/>
      <w:marBottom w:val="0"/>
      <w:divBdr>
        <w:top w:val="none" w:sz="0" w:space="0" w:color="auto"/>
        <w:left w:val="none" w:sz="0" w:space="0" w:color="auto"/>
        <w:bottom w:val="none" w:sz="0" w:space="0" w:color="auto"/>
        <w:right w:val="none" w:sz="0" w:space="0" w:color="auto"/>
      </w:divBdr>
    </w:div>
    <w:div w:id="715085999">
      <w:bodyDiv w:val="1"/>
      <w:marLeft w:val="0"/>
      <w:marRight w:val="0"/>
      <w:marTop w:val="0"/>
      <w:marBottom w:val="0"/>
      <w:divBdr>
        <w:top w:val="none" w:sz="0" w:space="0" w:color="auto"/>
        <w:left w:val="none" w:sz="0" w:space="0" w:color="auto"/>
        <w:bottom w:val="none" w:sz="0" w:space="0" w:color="auto"/>
        <w:right w:val="none" w:sz="0" w:space="0" w:color="auto"/>
      </w:divBdr>
    </w:div>
    <w:div w:id="719944398">
      <w:bodyDiv w:val="1"/>
      <w:marLeft w:val="0"/>
      <w:marRight w:val="0"/>
      <w:marTop w:val="0"/>
      <w:marBottom w:val="0"/>
      <w:divBdr>
        <w:top w:val="none" w:sz="0" w:space="0" w:color="auto"/>
        <w:left w:val="none" w:sz="0" w:space="0" w:color="auto"/>
        <w:bottom w:val="none" w:sz="0" w:space="0" w:color="auto"/>
        <w:right w:val="none" w:sz="0" w:space="0" w:color="auto"/>
      </w:divBdr>
    </w:div>
    <w:div w:id="720440337">
      <w:bodyDiv w:val="1"/>
      <w:marLeft w:val="0"/>
      <w:marRight w:val="0"/>
      <w:marTop w:val="0"/>
      <w:marBottom w:val="0"/>
      <w:divBdr>
        <w:top w:val="none" w:sz="0" w:space="0" w:color="auto"/>
        <w:left w:val="none" w:sz="0" w:space="0" w:color="auto"/>
        <w:bottom w:val="none" w:sz="0" w:space="0" w:color="auto"/>
        <w:right w:val="none" w:sz="0" w:space="0" w:color="auto"/>
      </w:divBdr>
    </w:div>
    <w:div w:id="723065043">
      <w:bodyDiv w:val="1"/>
      <w:marLeft w:val="0"/>
      <w:marRight w:val="0"/>
      <w:marTop w:val="0"/>
      <w:marBottom w:val="0"/>
      <w:divBdr>
        <w:top w:val="none" w:sz="0" w:space="0" w:color="auto"/>
        <w:left w:val="none" w:sz="0" w:space="0" w:color="auto"/>
        <w:bottom w:val="none" w:sz="0" w:space="0" w:color="auto"/>
        <w:right w:val="none" w:sz="0" w:space="0" w:color="auto"/>
      </w:divBdr>
    </w:div>
    <w:div w:id="723068387">
      <w:bodyDiv w:val="1"/>
      <w:marLeft w:val="0"/>
      <w:marRight w:val="0"/>
      <w:marTop w:val="0"/>
      <w:marBottom w:val="0"/>
      <w:divBdr>
        <w:top w:val="none" w:sz="0" w:space="0" w:color="auto"/>
        <w:left w:val="none" w:sz="0" w:space="0" w:color="auto"/>
        <w:bottom w:val="none" w:sz="0" w:space="0" w:color="auto"/>
        <w:right w:val="none" w:sz="0" w:space="0" w:color="auto"/>
      </w:divBdr>
    </w:div>
    <w:div w:id="724253127">
      <w:bodyDiv w:val="1"/>
      <w:marLeft w:val="0"/>
      <w:marRight w:val="0"/>
      <w:marTop w:val="0"/>
      <w:marBottom w:val="0"/>
      <w:divBdr>
        <w:top w:val="none" w:sz="0" w:space="0" w:color="auto"/>
        <w:left w:val="none" w:sz="0" w:space="0" w:color="auto"/>
        <w:bottom w:val="none" w:sz="0" w:space="0" w:color="auto"/>
        <w:right w:val="none" w:sz="0" w:space="0" w:color="auto"/>
      </w:divBdr>
    </w:div>
    <w:div w:id="733965348">
      <w:bodyDiv w:val="1"/>
      <w:marLeft w:val="0"/>
      <w:marRight w:val="0"/>
      <w:marTop w:val="0"/>
      <w:marBottom w:val="0"/>
      <w:divBdr>
        <w:top w:val="none" w:sz="0" w:space="0" w:color="auto"/>
        <w:left w:val="none" w:sz="0" w:space="0" w:color="auto"/>
        <w:bottom w:val="none" w:sz="0" w:space="0" w:color="auto"/>
        <w:right w:val="none" w:sz="0" w:space="0" w:color="auto"/>
      </w:divBdr>
    </w:div>
    <w:div w:id="742801393">
      <w:bodyDiv w:val="1"/>
      <w:marLeft w:val="0"/>
      <w:marRight w:val="0"/>
      <w:marTop w:val="0"/>
      <w:marBottom w:val="0"/>
      <w:divBdr>
        <w:top w:val="none" w:sz="0" w:space="0" w:color="auto"/>
        <w:left w:val="none" w:sz="0" w:space="0" w:color="auto"/>
        <w:bottom w:val="none" w:sz="0" w:space="0" w:color="auto"/>
        <w:right w:val="none" w:sz="0" w:space="0" w:color="auto"/>
      </w:divBdr>
    </w:div>
    <w:div w:id="753017915">
      <w:bodyDiv w:val="1"/>
      <w:marLeft w:val="0"/>
      <w:marRight w:val="0"/>
      <w:marTop w:val="0"/>
      <w:marBottom w:val="0"/>
      <w:divBdr>
        <w:top w:val="none" w:sz="0" w:space="0" w:color="auto"/>
        <w:left w:val="none" w:sz="0" w:space="0" w:color="auto"/>
        <w:bottom w:val="none" w:sz="0" w:space="0" w:color="auto"/>
        <w:right w:val="none" w:sz="0" w:space="0" w:color="auto"/>
      </w:divBdr>
    </w:div>
    <w:div w:id="754134519">
      <w:bodyDiv w:val="1"/>
      <w:marLeft w:val="0"/>
      <w:marRight w:val="0"/>
      <w:marTop w:val="0"/>
      <w:marBottom w:val="0"/>
      <w:divBdr>
        <w:top w:val="none" w:sz="0" w:space="0" w:color="auto"/>
        <w:left w:val="none" w:sz="0" w:space="0" w:color="auto"/>
        <w:bottom w:val="none" w:sz="0" w:space="0" w:color="auto"/>
        <w:right w:val="none" w:sz="0" w:space="0" w:color="auto"/>
      </w:divBdr>
    </w:div>
    <w:div w:id="754209608">
      <w:bodyDiv w:val="1"/>
      <w:marLeft w:val="0"/>
      <w:marRight w:val="0"/>
      <w:marTop w:val="0"/>
      <w:marBottom w:val="0"/>
      <w:divBdr>
        <w:top w:val="none" w:sz="0" w:space="0" w:color="auto"/>
        <w:left w:val="none" w:sz="0" w:space="0" w:color="auto"/>
        <w:bottom w:val="none" w:sz="0" w:space="0" w:color="auto"/>
        <w:right w:val="none" w:sz="0" w:space="0" w:color="auto"/>
      </w:divBdr>
    </w:div>
    <w:div w:id="761952128">
      <w:bodyDiv w:val="1"/>
      <w:marLeft w:val="0"/>
      <w:marRight w:val="0"/>
      <w:marTop w:val="0"/>
      <w:marBottom w:val="0"/>
      <w:divBdr>
        <w:top w:val="none" w:sz="0" w:space="0" w:color="auto"/>
        <w:left w:val="none" w:sz="0" w:space="0" w:color="auto"/>
        <w:bottom w:val="none" w:sz="0" w:space="0" w:color="auto"/>
        <w:right w:val="none" w:sz="0" w:space="0" w:color="auto"/>
      </w:divBdr>
    </w:div>
    <w:div w:id="763111668">
      <w:bodyDiv w:val="1"/>
      <w:marLeft w:val="0"/>
      <w:marRight w:val="0"/>
      <w:marTop w:val="0"/>
      <w:marBottom w:val="0"/>
      <w:divBdr>
        <w:top w:val="none" w:sz="0" w:space="0" w:color="auto"/>
        <w:left w:val="none" w:sz="0" w:space="0" w:color="auto"/>
        <w:bottom w:val="none" w:sz="0" w:space="0" w:color="auto"/>
        <w:right w:val="none" w:sz="0" w:space="0" w:color="auto"/>
      </w:divBdr>
    </w:div>
    <w:div w:id="779491380">
      <w:bodyDiv w:val="1"/>
      <w:marLeft w:val="0"/>
      <w:marRight w:val="0"/>
      <w:marTop w:val="0"/>
      <w:marBottom w:val="0"/>
      <w:divBdr>
        <w:top w:val="none" w:sz="0" w:space="0" w:color="auto"/>
        <w:left w:val="none" w:sz="0" w:space="0" w:color="auto"/>
        <w:bottom w:val="none" w:sz="0" w:space="0" w:color="auto"/>
        <w:right w:val="none" w:sz="0" w:space="0" w:color="auto"/>
      </w:divBdr>
    </w:div>
    <w:div w:id="781651937">
      <w:bodyDiv w:val="1"/>
      <w:marLeft w:val="0"/>
      <w:marRight w:val="0"/>
      <w:marTop w:val="0"/>
      <w:marBottom w:val="0"/>
      <w:divBdr>
        <w:top w:val="none" w:sz="0" w:space="0" w:color="auto"/>
        <w:left w:val="none" w:sz="0" w:space="0" w:color="auto"/>
        <w:bottom w:val="none" w:sz="0" w:space="0" w:color="auto"/>
        <w:right w:val="none" w:sz="0" w:space="0" w:color="auto"/>
      </w:divBdr>
    </w:div>
    <w:div w:id="788165620">
      <w:bodyDiv w:val="1"/>
      <w:marLeft w:val="0"/>
      <w:marRight w:val="0"/>
      <w:marTop w:val="0"/>
      <w:marBottom w:val="0"/>
      <w:divBdr>
        <w:top w:val="none" w:sz="0" w:space="0" w:color="auto"/>
        <w:left w:val="none" w:sz="0" w:space="0" w:color="auto"/>
        <w:bottom w:val="none" w:sz="0" w:space="0" w:color="auto"/>
        <w:right w:val="none" w:sz="0" w:space="0" w:color="auto"/>
      </w:divBdr>
    </w:div>
    <w:div w:id="792408864">
      <w:bodyDiv w:val="1"/>
      <w:marLeft w:val="0"/>
      <w:marRight w:val="0"/>
      <w:marTop w:val="0"/>
      <w:marBottom w:val="0"/>
      <w:divBdr>
        <w:top w:val="none" w:sz="0" w:space="0" w:color="auto"/>
        <w:left w:val="none" w:sz="0" w:space="0" w:color="auto"/>
        <w:bottom w:val="none" w:sz="0" w:space="0" w:color="auto"/>
        <w:right w:val="none" w:sz="0" w:space="0" w:color="auto"/>
      </w:divBdr>
      <w:divsChild>
        <w:div w:id="368993245">
          <w:marLeft w:val="0"/>
          <w:marRight w:val="0"/>
          <w:marTop w:val="0"/>
          <w:marBottom w:val="0"/>
          <w:divBdr>
            <w:top w:val="none" w:sz="0" w:space="0" w:color="auto"/>
            <w:left w:val="none" w:sz="0" w:space="0" w:color="auto"/>
            <w:bottom w:val="none" w:sz="0" w:space="0" w:color="auto"/>
            <w:right w:val="none" w:sz="0" w:space="0" w:color="auto"/>
          </w:divBdr>
          <w:divsChild>
            <w:div w:id="493686709">
              <w:marLeft w:val="0"/>
              <w:marRight w:val="0"/>
              <w:marTop w:val="0"/>
              <w:marBottom w:val="0"/>
              <w:divBdr>
                <w:top w:val="none" w:sz="0" w:space="0" w:color="auto"/>
                <w:left w:val="none" w:sz="0" w:space="0" w:color="auto"/>
                <w:bottom w:val="none" w:sz="0" w:space="0" w:color="auto"/>
                <w:right w:val="none" w:sz="0" w:space="0" w:color="auto"/>
              </w:divBdr>
              <w:divsChild>
                <w:div w:id="813567268">
                  <w:marLeft w:val="0"/>
                  <w:marRight w:val="0"/>
                  <w:marTop w:val="0"/>
                  <w:marBottom w:val="0"/>
                  <w:divBdr>
                    <w:top w:val="none" w:sz="0" w:space="0" w:color="auto"/>
                    <w:left w:val="none" w:sz="0" w:space="0" w:color="auto"/>
                    <w:bottom w:val="none" w:sz="0" w:space="0" w:color="auto"/>
                    <w:right w:val="none" w:sz="0" w:space="0" w:color="auto"/>
                  </w:divBdr>
                  <w:divsChild>
                    <w:div w:id="350374792">
                      <w:marLeft w:val="0"/>
                      <w:marRight w:val="0"/>
                      <w:marTop w:val="0"/>
                      <w:marBottom w:val="0"/>
                      <w:divBdr>
                        <w:top w:val="none" w:sz="0" w:space="0" w:color="auto"/>
                        <w:left w:val="none" w:sz="0" w:space="0" w:color="auto"/>
                        <w:bottom w:val="none" w:sz="0" w:space="0" w:color="auto"/>
                        <w:right w:val="none" w:sz="0" w:space="0" w:color="auto"/>
                      </w:divBdr>
                      <w:divsChild>
                        <w:div w:id="1492060938">
                          <w:marLeft w:val="0"/>
                          <w:marRight w:val="0"/>
                          <w:marTop w:val="0"/>
                          <w:marBottom w:val="0"/>
                          <w:divBdr>
                            <w:top w:val="none" w:sz="0" w:space="0" w:color="auto"/>
                            <w:left w:val="none" w:sz="0" w:space="0" w:color="auto"/>
                            <w:bottom w:val="none" w:sz="0" w:space="0" w:color="auto"/>
                            <w:right w:val="none" w:sz="0" w:space="0" w:color="auto"/>
                          </w:divBdr>
                          <w:divsChild>
                            <w:div w:id="643193217">
                              <w:marLeft w:val="0"/>
                              <w:marRight w:val="0"/>
                              <w:marTop w:val="0"/>
                              <w:marBottom w:val="0"/>
                              <w:divBdr>
                                <w:top w:val="none" w:sz="0" w:space="0" w:color="auto"/>
                                <w:left w:val="none" w:sz="0" w:space="0" w:color="auto"/>
                                <w:bottom w:val="none" w:sz="0" w:space="0" w:color="auto"/>
                                <w:right w:val="none" w:sz="0" w:space="0" w:color="auto"/>
                              </w:divBdr>
                              <w:divsChild>
                                <w:div w:id="185025982">
                                  <w:marLeft w:val="0"/>
                                  <w:marRight w:val="0"/>
                                  <w:marTop w:val="0"/>
                                  <w:marBottom w:val="0"/>
                                  <w:divBdr>
                                    <w:top w:val="none" w:sz="0" w:space="0" w:color="auto"/>
                                    <w:left w:val="none" w:sz="0" w:space="0" w:color="auto"/>
                                    <w:bottom w:val="none" w:sz="0" w:space="0" w:color="auto"/>
                                    <w:right w:val="none" w:sz="0" w:space="0" w:color="auto"/>
                                  </w:divBdr>
                                  <w:divsChild>
                                    <w:div w:id="132603607">
                                      <w:marLeft w:val="0"/>
                                      <w:marRight w:val="0"/>
                                      <w:marTop w:val="0"/>
                                      <w:marBottom w:val="0"/>
                                      <w:divBdr>
                                        <w:top w:val="none" w:sz="0" w:space="0" w:color="auto"/>
                                        <w:left w:val="none" w:sz="0" w:space="0" w:color="auto"/>
                                        <w:bottom w:val="none" w:sz="0" w:space="0" w:color="auto"/>
                                        <w:right w:val="none" w:sz="0" w:space="0" w:color="auto"/>
                                      </w:divBdr>
                                      <w:divsChild>
                                        <w:div w:id="30481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0617320">
      <w:bodyDiv w:val="1"/>
      <w:marLeft w:val="0"/>
      <w:marRight w:val="0"/>
      <w:marTop w:val="0"/>
      <w:marBottom w:val="0"/>
      <w:divBdr>
        <w:top w:val="none" w:sz="0" w:space="0" w:color="auto"/>
        <w:left w:val="none" w:sz="0" w:space="0" w:color="auto"/>
        <w:bottom w:val="none" w:sz="0" w:space="0" w:color="auto"/>
        <w:right w:val="none" w:sz="0" w:space="0" w:color="auto"/>
      </w:divBdr>
    </w:div>
    <w:div w:id="803700681">
      <w:bodyDiv w:val="1"/>
      <w:marLeft w:val="0"/>
      <w:marRight w:val="0"/>
      <w:marTop w:val="0"/>
      <w:marBottom w:val="0"/>
      <w:divBdr>
        <w:top w:val="none" w:sz="0" w:space="0" w:color="auto"/>
        <w:left w:val="none" w:sz="0" w:space="0" w:color="auto"/>
        <w:bottom w:val="none" w:sz="0" w:space="0" w:color="auto"/>
        <w:right w:val="none" w:sz="0" w:space="0" w:color="auto"/>
      </w:divBdr>
    </w:div>
    <w:div w:id="811824197">
      <w:bodyDiv w:val="1"/>
      <w:marLeft w:val="0"/>
      <w:marRight w:val="0"/>
      <w:marTop w:val="0"/>
      <w:marBottom w:val="0"/>
      <w:divBdr>
        <w:top w:val="none" w:sz="0" w:space="0" w:color="auto"/>
        <w:left w:val="none" w:sz="0" w:space="0" w:color="auto"/>
        <w:bottom w:val="none" w:sz="0" w:space="0" w:color="auto"/>
        <w:right w:val="none" w:sz="0" w:space="0" w:color="auto"/>
      </w:divBdr>
    </w:div>
    <w:div w:id="812798451">
      <w:bodyDiv w:val="1"/>
      <w:marLeft w:val="0"/>
      <w:marRight w:val="0"/>
      <w:marTop w:val="0"/>
      <w:marBottom w:val="0"/>
      <w:divBdr>
        <w:top w:val="none" w:sz="0" w:space="0" w:color="auto"/>
        <w:left w:val="none" w:sz="0" w:space="0" w:color="auto"/>
        <w:bottom w:val="none" w:sz="0" w:space="0" w:color="auto"/>
        <w:right w:val="none" w:sz="0" w:space="0" w:color="auto"/>
      </w:divBdr>
    </w:div>
    <w:div w:id="817571650">
      <w:bodyDiv w:val="1"/>
      <w:marLeft w:val="0"/>
      <w:marRight w:val="0"/>
      <w:marTop w:val="0"/>
      <w:marBottom w:val="0"/>
      <w:divBdr>
        <w:top w:val="none" w:sz="0" w:space="0" w:color="auto"/>
        <w:left w:val="none" w:sz="0" w:space="0" w:color="auto"/>
        <w:bottom w:val="none" w:sz="0" w:space="0" w:color="auto"/>
        <w:right w:val="none" w:sz="0" w:space="0" w:color="auto"/>
      </w:divBdr>
    </w:div>
    <w:div w:id="824394808">
      <w:bodyDiv w:val="1"/>
      <w:marLeft w:val="0"/>
      <w:marRight w:val="0"/>
      <w:marTop w:val="0"/>
      <w:marBottom w:val="0"/>
      <w:divBdr>
        <w:top w:val="none" w:sz="0" w:space="0" w:color="auto"/>
        <w:left w:val="none" w:sz="0" w:space="0" w:color="auto"/>
        <w:bottom w:val="none" w:sz="0" w:space="0" w:color="auto"/>
        <w:right w:val="none" w:sz="0" w:space="0" w:color="auto"/>
      </w:divBdr>
    </w:div>
    <w:div w:id="831677011">
      <w:bodyDiv w:val="1"/>
      <w:marLeft w:val="0"/>
      <w:marRight w:val="0"/>
      <w:marTop w:val="0"/>
      <w:marBottom w:val="0"/>
      <w:divBdr>
        <w:top w:val="none" w:sz="0" w:space="0" w:color="auto"/>
        <w:left w:val="none" w:sz="0" w:space="0" w:color="auto"/>
        <w:bottom w:val="none" w:sz="0" w:space="0" w:color="auto"/>
        <w:right w:val="none" w:sz="0" w:space="0" w:color="auto"/>
      </w:divBdr>
    </w:div>
    <w:div w:id="833034770">
      <w:bodyDiv w:val="1"/>
      <w:marLeft w:val="0"/>
      <w:marRight w:val="0"/>
      <w:marTop w:val="0"/>
      <w:marBottom w:val="0"/>
      <w:divBdr>
        <w:top w:val="none" w:sz="0" w:space="0" w:color="auto"/>
        <w:left w:val="none" w:sz="0" w:space="0" w:color="auto"/>
        <w:bottom w:val="none" w:sz="0" w:space="0" w:color="auto"/>
        <w:right w:val="none" w:sz="0" w:space="0" w:color="auto"/>
      </w:divBdr>
    </w:div>
    <w:div w:id="838738087">
      <w:bodyDiv w:val="1"/>
      <w:marLeft w:val="0"/>
      <w:marRight w:val="0"/>
      <w:marTop w:val="0"/>
      <w:marBottom w:val="0"/>
      <w:divBdr>
        <w:top w:val="none" w:sz="0" w:space="0" w:color="auto"/>
        <w:left w:val="none" w:sz="0" w:space="0" w:color="auto"/>
        <w:bottom w:val="none" w:sz="0" w:space="0" w:color="auto"/>
        <w:right w:val="none" w:sz="0" w:space="0" w:color="auto"/>
      </w:divBdr>
    </w:div>
    <w:div w:id="840197303">
      <w:bodyDiv w:val="1"/>
      <w:marLeft w:val="0"/>
      <w:marRight w:val="0"/>
      <w:marTop w:val="0"/>
      <w:marBottom w:val="0"/>
      <w:divBdr>
        <w:top w:val="none" w:sz="0" w:space="0" w:color="auto"/>
        <w:left w:val="none" w:sz="0" w:space="0" w:color="auto"/>
        <w:bottom w:val="none" w:sz="0" w:space="0" w:color="auto"/>
        <w:right w:val="none" w:sz="0" w:space="0" w:color="auto"/>
      </w:divBdr>
    </w:div>
    <w:div w:id="844514295">
      <w:bodyDiv w:val="1"/>
      <w:marLeft w:val="0"/>
      <w:marRight w:val="0"/>
      <w:marTop w:val="0"/>
      <w:marBottom w:val="0"/>
      <w:divBdr>
        <w:top w:val="none" w:sz="0" w:space="0" w:color="auto"/>
        <w:left w:val="none" w:sz="0" w:space="0" w:color="auto"/>
        <w:bottom w:val="none" w:sz="0" w:space="0" w:color="auto"/>
        <w:right w:val="none" w:sz="0" w:space="0" w:color="auto"/>
      </w:divBdr>
    </w:div>
    <w:div w:id="845945967">
      <w:bodyDiv w:val="1"/>
      <w:marLeft w:val="0"/>
      <w:marRight w:val="0"/>
      <w:marTop w:val="0"/>
      <w:marBottom w:val="0"/>
      <w:divBdr>
        <w:top w:val="none" w:sz="0" w:space="0" w:color="auto"/>
        <w:left w:val="none" w:sz="0" w:space="0" w:color="auto"/>
        <w:bottom w:val="none" w:sz="0" w:space="0" w:color="auto"/>
        <w:right w:val="none" w:sz="0" w:space="0" w:color="auto"/>
      </w:divBdr>
    </w:div>
    <w:div w:id="853881153">
      <w:bodyDiv w:val="1"/>
      <w:marLeft w:val="0"/>
      <w:marRight w:val="0"/>
      <w:marTop w:val="0"/>
      <w:marBottom w:val="0"/>
      <w:divBdr>
        <w:top w:val="none" w:sz="0" w:space="0" w:color="auto"/>
        <w:left w:val="none" w:sz="0" w:space="0" w:color="auto"/>
        <w:bottom w:val="none" w:sz="0" w:space="0" w:color="auto"/>
        <w:right w:val="none" w:sz="0" w:space="0" w:color="auto"/>
      </w:divBdr>
    </w:div>
    <w:div w:id="854081125">
      <w:bodyDiv w:val="1"/>
      <w:marLeft w:val="0"/>
      <w:marRight w:val="0"/>
      <w:marTop w:val="0"/>
      <w:marBottom w:val="0"/>
      <w:divBdr>
        <w:top w:val="none" w:sz="0" w:space="0" w:color="auto"/>
        <w:left w:val="none" w:sz="0" w:space="0" w:color="auto"/>
        <w:bottom w:val="none" w:sz="0" w:space="0" w:color="auto"/>
        <w:right w:val="none" w:sz="0" w:space="0" w:color="auto"/>
      </w:divBdr>
    </w:div>
    <w:div w:id="858662169">
      <w:bodyDiv w:val="1"/>
      <w:marLeft w:val="0"/>
      <w:marRight w:val="0"/>
      <w:marTop w:val="0"/>
      <w:marBottom w:val="0"/>
      <w:divBdr>
        <w:top w:val="none" w:sz="0" w:space="0" w:color="auto"/>
        <w:left w:val="none" w:sz="0" w:space="0" w:color="auto"/>
        <w:bottom w:val="none" w:sz="0" w:space="0" w:color="auto"/>
        <w:right w:val="none" w:sz="0" w:space="0" w:color="auto"/>
      </w:divBdr>
    </w:div>
    <w:div w:id="860824155">
      <w:bodyDiv w:val="1"/>
      <w:marLeft w:val="0"/>
      <w:marRight w:val="0"/>
      <w:marTop w:val="0"/>
      <w:marBottom w:val="0"/>
      <w:divBdr>
        <w:top w:val="none" w:sz="0" w:space="0" w:color="auto"/>
        <w:left w:val="none" w:sz="0" w:space="0" w:color="auto"/>
        <w:bottom w:val="none" w:sz="0" w:space="0" w:color="auto"/>
        <w:right w:val="none" w:sz="0" w:space="0" w:color="auto"/>
      </w:divBdr>
    </w:div>
    <w:div w:id="871071182">
      <w:bodyDiv w:val="1"/>
      <w:marLeft w:val="0"/>
      <w:marRight w:val="0"/>
      <w:marTop w:val="0"/>
      <w:marBottom w:val="0"/>
      <w:divBdr>
        <w:top w:val="none" w:sz="0" w:space="0" w:color="auto"/>
        <w:left w:val="none" w:sz="0" w:space="0" w:color="auto"/>
        <w:bottom w:val="none" w:sz="0" w:space="0" w:color="auto"/>
        <w:right w:val="none" w:sz="0" w:space="0" w:color="auto"/>
      </w:divBdr>
    </w:div>
    <w:div w:id="873036242">
      <w:bodyDiv w:val="1"/>
      <w:marLeft w:val="0"/>
      <w:marRight w:val="0"/>
      <w:marTop w:val="0"/>
      <w:marBottom w:val="0"/>
      <w:divBdr>
        <w:top w:val="none" w:sz="0" w:space="0" w:color="auto"/>
        <w:left w:val="none" w:sz="0" w:space="0" w:color="auto"/>
        <w:bottom w:val="none" w:sz="0" w:space="0" w:color="auto"/>
        <w:right w:val="none" w:sz="0" w:space="0" w:color="auto"/>
      </w:divBdr>
    </w:div>
    <w:div w:id="874195045">
      <w:bodyDiv w:val="1"/>
      <w:marLeft w:val="0"/>
      <w:marRight w:val="0"/>
      <w:marTop w:val="0"/>
      <w:marBottom w:val="0"/>
      <w:divBdr>
        <w:top w:val="none" w:sz="0" w:space="0" w:color="auto"/>
        <w:left w:val="none" w:sz="0" w:space="0" w:color="auto"/>
        <w:bottom w:val="none" w:sz="0" w:space="0" w:color="auto"/>
        <w:right w:val="none" w:sz="0" w:space="0" w:color="auto"/>
      </w:divBdr>
    </w:div>
    <w:div w:id="884829214">
      <w:bodyDiv w:val="1"/>
      <w:marLeft w:val="0"/>
      <w:marRight w:val="0"/>
      <w:marTop w:val="0"/>
      <w:marBottom w:val="0"/>
      <w:divBdr>
        <w:top w:val="none" w:sz="0" w:space="0" w:color="auto"/>
        <w:left w:val="none" w:sz="0" w:space="0" w:color="auto"/>
        <w:bottom w:val="none" w:sz="0" w:space="0" w:color="auto"/>
        <w:right w:val="none" w:sz="0" w:space="0" w:color="auto"/>
      </w:divBdr>
    </w:div>
    <w:div w:id="886601263">
      <w:bodyDiv w:val="1"/>
      <w:marLeft w:val="0"/>
      <w:marRight w:val="0"/>
      <w:marTop w:val="0"/>
      <w:marBottom w:val="0"/>
      <w:divBdr>
        <w:top w:val="none" w:sz="0" w:space="0" w:color="auto"/>
        <w:left w:val="none" w:sz="0" w:space="0" w:color="auto"/>
        <w:bottom w:val="none" w:sz="0" w:space="0" w:color="auto"/>
        <w:right w:val="none" w:sz="0" w:space="0" w:color="auto"/>
      </w:divBdr>
    </w:div>
    <w:div w:id="893855797">
      <w:bodyDiv w:val="1"/>
      <w:marLeft w:val="0"/>
      <w:marRight w:val="0"/>
      <w:marTop w:val="0"/>
      <w:marBottom w:val="0"/>
      <w:divBdr>
        <w:top w:val="none" w:sz="0" w:space="0" w:color="auto"/>
        <w:left w:val="none" w:sz="0" w:space="0" w:color="auto"/>
        <w:bottom w:val="none" w:sz="0" w:space="0" w:color="auto"/>
        <w:right w:val="none" w:sz="0" w:space="0" w:color="auto"/>
      </w:divBdr>
    </w:div>
    <w:div w:id="898518312">
      <w:bodyDiv w:val="1"/>
      <w:marLeft w:val="0"/>
      <w:marRight w:val="0"/>
      <w:marTop w:val="0"/>
      <w:marBottom w:val="0"/>
      <w:divBdr>
        <w:top w:val="none" w:sz="0" w:space="0" w:color="auto"/>
        <w:left w:val="none" w:sz="0" w:space="0" w:color="auto"/>
        <w:bottom w:val="none" w:sz="0" w:space="0" w:color="auto"/>
        <w:right w:val="none" w:sz="0" w:space="0" w:color="auto"/>
      </w:divBdr>
    </w:div>
    <w:div w:id="910651954">
      <w:bodyDiv w:val="1"/>
      <w:marLeft w:val="0"/>
      <w:marRight w:val="0"/>
      <w:marTop w:val="0"/>
      <w:marBottom w:val="0"/>
      <w:divBdr>
        <w:top w:val="none" w:sz="0" w:space="0" w:color="auto"/>
        <w:left w:val="none" w:sz="0" w:space="0" w:color="auto"/>
        <w:bottom w:val="none" w:sz="0" w:space="0" w:color="auto"/>
        <w:right w:val="none" w:sz="0" w:space="0" w:color="auto"/>
      </w:divBdr>
    </w:div>
    <w:div w:id="932784658">
      <w:bodyDiv w:val="1"/>
      <w:marLeft w:val="0"/>
      <w:marRight w:val="0"/>
      <w:marTop w:val="0"/>
      <w:marBottom w:val="0"/>
      <w:divBdr>
        <w:top w:val="none" w:sz="0" w:space="0" w:color="auto"/>
        <w:left w:val="none" w:sz="0" w:space="0" w:color="auto"/>
        <w:bottom w:val="none" w:sz="0" w:space="0" w:color="auto"/>
        <w:right w:val="none" w:sz="0" w:space="0" w:color="auto"/>
      </w:divBdr>
    </w:div>
    <w:div w:id="933245949">
      <w:bodyDiv w:val="1"/>
      <w:marLeft w:val="0"/>
      <w:marRight w:val="0"/>
      <w:marTop w:val="0"/>
      <w:marBottom w:val="0"/>
      <w:divBdr>
        <w:top w:val="none" w:sz="0" w:space="0" w:color="auto"/>
        <w:left w:val="none" w:sz="0" w:space="0" w:color="auto"/>
        <w:bottom w:val="none" w:sz="0" w:space="0" w:color="auto"/>
        <w:right w:val="none" w:sz="0" w:space="0" w:color="auto"/>
      </w:divBdr>
    </w:div>
    <w:div w:id="936059122">
      <w:bodyDiv w:val="1"/>
      <w:marLeft w:val="0"/>
      <w:marRight w:val="0"/>
      <w:marTop w:val="0"/>
      <w:marBottom w:val="0"/>
      <w:divBdr>
        <w:top w:val="none" w:sz="0" w:space="0" w:color="auto"/>
        <w:left w:val="none" w:sz="0" w:space="0" w:color="auto"/>
        <w:bottom w:val="none" w:sz="0" w:space="0" w:color="auto"/>
        <w:right w:val="none" w:sz="0" w:space="0" w:color="auto"/>
      </w:divBdr>
    </w:div>
    <w:div w:id="937828285">
      <w:bodyDiv w:val="1"/>
      <w:marLeft w:val="0"/>
      <w:marRight w:val="0"/>
      <w:marTop w:val="0"/>
      <w:marBottom w:val="0"/>
      <w:divBdr>
        <w:top w:val="none" w:sz="0" w:space="0" w:color="auto"/>
        <w:left w:val="none" w:sz="0" w:space="0" w:color="auto"/>
        <w:bottom w:val="none" w:sz="0" w:space="0" w:color="auto"/>
        <w:right w:val="none" w:sz="0" w:space="0" w:color="auto"/>
      </w:divBdr>
    </w:div>
    <w:div w:id="938564262">
      <w:bodyDiv w:val="1"/>
      <w:marLeft w:val="0"/>
      <w:marRight w:val="0"/>
      <w:marTop w:val="0"/>
      <w:marBottom w:val="0"/>
      <w:divBdr>
        <w:top w:val="none" w:sz="0" w:space="0" w:color="auto"/>
        <w:left w:val="none" w:sz="0" w:space="0" w:color="auto"/>
        <w:bottom w:val="none" w:sz="0" w:space="0" w:color="auto"/>
        <w:right w:val="none" w:sz="0" w:space="0" w:color="auto"/>
      </w:divBdr>
    </w:div>
    <w:div w:id="941953814">
      <w:bodyDiv w:val="1"/>
      <w:marLeft w:val="0"/>
      <w:marRight w:val="0"/>
      <w:marTop w:val="0"/>
      <w:marBottom w:val="0"/>
      <w:divBdr>
        <w:top w:val="none" w:sz="0" w:space="0" w:color="auto"/>
        <w:left w:val="none" w:sz="0" w:space="0" w:color="auto"/>
        <w:bottom w:val="none" w:sz="0" w:space="0" w:color="auto"/>
        <w:right w:val="none" w:sz="0" w:space="0" w:color="auto"/>
      </w:divBdr>
    </w:div>
    <w:div w:id="942299218">
      <w:bodyDiv w:val="1"/>
      <w:marLeft w:val="0"/>
      <w:marRight w:val="0"/>
      <w:marTop w:val="0"/>
      <w:marBottom w:val="0"/>
      <w:divBdr>
        <w:top w:val="none" w:sz="0" w:space="0" w:color="auto"/>
        <w:left w:val="none" w:sz="0" w:space="0" w:color="auto"/>
        <w:bottom w:val="none" w:sz="0" w:space="0" w:color="auto"/>
        <w:right w:val="none" w:sz="0" w:space="0" w:color="auto"/>
      </w:divBdr>
    </w:div>
    <w:div w:id="950743137">
      <w:bodyDiv w:val="1"/>
      <w:marLeft w:val="0"/>
      <w:marRight w:val="0"/>
      <w:marTop w:val="0"/>
      <w:marBottom w:val="0"/>
      <w:divBdr>
        <w:top w:val="none" w:sz="0" w:space="0" w:color="auto"/>
        <w:left w:val="none" w:sz="0" w:space="0" w:color="auto"/>
        <w:bottom w:val="none" w:sz="0" w:space="0" w:color="auto"/>
        <w:right w:val="none" w:sz="0" w:space="0" w:color="auto"/>
      </w:divBdr>
    </w:div>
    <w:div w:id="964966949">
      <w:bodyDiv w:val="1"/>
      <w:marLeft w:val="0"/>
      <w:marRight w:val="0"/>
      <w:marTop w:val="0"/>
      <w:marBottom w:val="0"/>
      <w:divBdr>
        <w:top w:val="none" w:sz="0" w:space="0" w:color="auto"/>
        <w:left w:val="none" w:sz="0" w:space="0" w:color="auto"/>
        <w:bottom w:val="none" w:sz="0" w:space="0" w:color="auto"/>
        <w:right w:val="none" w:sz="0" w:space="0" w:color="auto"/>
      </w:divBdr>
    </w:div>
    <w:div w:id="966861372">
      <w:bodyDiv w:val="1"/>
      <w:marLeft w:val="0"/>
      <w:marRight w:val="0"/>
      <w:marTop w:val="0"/>
      <w:marBottom w:val="0"/>
      <w:divBdr>
        <w:top w:val="none" w:sz="0" w:space="0" w:color="auto"/>
        <w:left w:val="none" w:sz="0" w:space="0" w:color="auto"/>
        <w:bottom w:val="none" w:sz="0" w:space="0" w:color="auto"/>
        <w:right w:val="none" w:sz="0" w:space="0" w:color="auto"/>
      </w:divBdr>
    </w:div>
    <w:div w:id="973367261">
      <w:bodyDiv w:val="1"/>
      <w:marLeft w:val="0"/>
      <w:marRight w:val="0"/>
      <w:marTop w:val="0"/>
      <w:marBottom w:val="0"/>
      <w:divBdr>
        <w:top w:val="none" w:sz="0" w:space="0" w:color="auto"/>
        <w:left w:val="none" w:sz="0" w:space="0" w:color="auto"/>
        <w:bottom w:val="none" w:sz="0" w:space="0" w:color="auto"/>
        <w:right w:val="none" w:sz="0" w:space="0" w:color="auto"/>
      </w:divBdr>
    </w:div>
    <w:div w:id="973868098">
      <w:bodyDiv w:val="1"/>
      <w:marLeft w:val="0"/>
      <w:marRight w:val="0"/>
      <w:marTop w:val="0"/>
      <w:marBottom w:val="0"/>
      <w:divBdr>
        <w:top w:val="none" w:sz="0" w:space="0" w:color="auto"/>
        <w:left w:val="none" w:sz="0" w:space="0" w:color="auto"/>
        <w:bottom w:val="none" w:sz="0" w:space="0" w:color="auto"/>
        <w:right w:val="none" w:sz="0" w:space="0" w:color="auto"/>
      </w:divBdr>
    </w:div>
    <w:div w:id="975136205">
      <w:bodyDiv w:val="1"/>
      <w:marLeft w:val="0"/>
      <w:marRight w:val="0"/>
      <w:marTop w:val="0"/>
      <w:marBottom w:val="0"/>
      <w:divBdr>
        <w:top w:val="none" w:sz="0" w:space="0" w:color="auto"/>
        <w:left w:val="none" w:sz="0" w:space="0" w:color="auto"/>
        <w:bottom w:val="none" w:sz="0" w:space="0" w:color="auto"/>
        <w:right w:val="none" w:sz="0" w:space="0" w:color="auto"/>
      </w:divBdr>
    </w:div>
    <w:div w:id="976031705">
      <w:bodyDiv w:val="1"/>
      <w:marLeft w:val="0"/>
      <w:marRight w:val="0"/>
      <w:marTop w:val="0"/>
      <w:marBottom w:val="0"/>
      <w:divBdr>
        <w:top w:val="none" w:sz="0" w:space="0" w:color="auto"/>
        <w:left w:val="none" w:sz="0" w:space="0" w:color="auto"/>
        <w:bottom w:val="none" w:sz="0" w:space="0" w:color="auto"/>
        <w:right w:val="none" w:sz="0" w:space="0" w:color="auto"/>
      </w:divBdr>
    </w:div>
    <w:div w:id="979649219">
      <w:bodyDiv w:val="1"/>
      <w:marLeft w:val="0"/>
      <w:marRight w:val="0"/>
      <w:marTop w:val="0"/>
      <w:marBottom w:val="0"/>
      <w:divBdr>
        <w:top w:val="none" w:sz="0" w:space="0" w:color="auto"/>
        <w:left w:val="none" w:sz="0" w:space="0" w:color="auto"/>
        <w:bottom w:val="none" w:sz="0" w:space="0" w:color="auto"/>
        <w:right w:val="none" w:sz="0" w:space="0" w:color="auto"/>
      </w:divBdr>
    </w:div>
    <w:div w:id="980382298">
      <w:bodyDiv w:val="1"/>
      <w:marLeft w:val="0"/>
      <w:marRight w:val="0"/>
      <w:marTop w:val="0"/>
      <w:marBottom w:val="0"/>
      <w:divBdr>
        <w:top w:val="none" w:sz="0" w:space="0" w:color="auto"/>
        <w:left w:val="none" w:sz="0" w:space="0" w:color="auto"/>
        <w:bottom w:val="none" w:sz="0" w:space="0" w:color="auto"/>
        <w:right w:val="none" w:sz="0" w:space="0" w:color="auto"/>
      </w:divBdr>
    </w:div>
    <w:div w:id="992372462">
      <w:bodyDiv w:val="1"/>
      <w:marLeft w:val="0"/>
      <w:marRight w:val="0"/>
      <w:marTop w:val="0"/>
      <w:marBottom w:val="0"/>
      <w:divBdr>
        <w:top w:val="none" w:sz="0" w:space="0" w:color="auto"/>
        <w:left w:val="none" w:sz="0" w:space="0" w:color="auto"/>
        <w:bottom w:val="none" w:sz="0" w:space="0" w:color="auto"/>
        <w:right w:val="none" w:sz="0" w:space="0" w:color="auto"/>
      </w:divBdr>
    </w:div>
    <w:div w:id="992443366">
      <w:bodyDiv w:val="1"/>
      <w:marLeft w:val="0"/>
      <w:marRight w:val="0"/>
      <w:marTop w:val="0"/>
      <w:marBottom w:val="0"/>
      <w:divBdr>
        <w:top w:val="none" w:sz="0" w:space="0" w:color="auto"/>
        <w:left w:val="none" w:sz="0" w:space="0" w:color="auto"/>
        <w:bottom w:val="none" w:sz="0" w:space="0" w:color="auto"/>
        <w:right w:val="none" w:sz="0" w:space="0" w:color="auto"/>
      </w:divBdr>
    </w:div>
    <w:div w:id="995305532">
      <w:bodyDiv w:val="1"/>
      <w:marLeft w:val="0"/>
      <w:marRight w:val="0"/>
      <w:marTop w:val="0"/>
      <w:marBottom w:val="0"/>
      <w:divBdr>
        <w:top w:val="none" w:sz="0" w:space="0" w:color="auto"/>
        <w:left w:val="none" w:sz="0" w:space="0" w:color="auto"/>
        <w:bottom w:val="none" w:sz="0" w:space="0" w:color="auto"/>
        <w:right w:val="none" w:sz="0" w:space="0" w:color="auto"/>
      </w:divBdr>
    </w:div>
    <w:div w:id="1003585031">
      <w:bodyDiv w:val="1"/>
      <w:marLeft w:val="0"/>
      <w:marRight w:val="0"/>
      <w:marTop w:val="0"/>
      <w:marBottom w:val="0"/>
      <w:divBdr>
        <w:top w:val="none" w:sz="0" w:space="0" w:color="auto"/>
        <w:left w:val="none" w:sz="0" w:space="0" w:color="auto"/>
        <w:bottom w:val="none" w:sz="0" w:space="0" w:color="auto"/>
        <w:right w:val="none" w:sz="0" w:space="0" w:color="auto"/>
      </w:divBdr>
    </w:div>
    <w:div w:id="1018770746">
      <w:bodyDiv w:val="1"/>
      <w:marLeft w:val="0"/>
      <w:marRight w:val="0"/>
      <w:marTop w:val="0"/>
      <w:marBottom w:val="0"/>
      <w:divBdr>
        <w:top w:val="none" w:sz="0" w:space="0" w:color="auto"/>
        <w:left w:val="none" w:sz="0" w:space="0" w:color="auto"/>
        <w:bottom w:val="none" w:sz="0" w:space="0" w:color="auto"/>
        <w:right w:val="none" w:sz="0" w:space="0" w:color="auto"/>
      </w:divBdr>
    </w:div>
    <w:div w:id="1021707353">
      <w:bodyDiv w:val="1"/>
      <w:marLeft w:val="0"/>
      <w:marRight w:val="0"/>
      <w:marTop w:val="0"/>
      <w:marBottom w:val="0"/>
      <w:divBdr>
        <w:top w:val="none" w:sz="0" w:space="0" w:color="auto"/>
        <w:left w:val="none" w:sz="0" w:space="0" w:color="auto"/>
        <w:bottom w:val="none" w:sz="0" w:space="0" w:color="auto"/>
        <w:right w:val="none" w:sz="0" w:space="0" w:color="auto"/>
      </w:divBdr>
    </w:div>
    <w:div w:id="1024864614">
      <w:bodyDiv w:val="1"/>
      <w:marLeft w:val="0"/>
      <w:marRight w:val="0"/>
      <w:marTop w:val="0"/>
      <w:marBottom w:val="0"/>
      <w:divBdr>
        <w:top w:val="none" w:sz="0" w:space="0" w:color="auto"/>
        <w:left w:val="none" w:sz="0" w:space="0" w:color="auto"/>
        <w:bottom w:val="none" w:sz="0" w:space="0" w:color="auto"/>
        <w:right w:val="none" w:sz="0" w:space="0" w:color="auto"/>
      </w:divBdr>
    </w:div>
    <w:div w:id="1029183795">
      <w:bodyDiv w:val="1"/>
      <w:marLeft w:val="0"/>
      <w:marRight w:val="0"/>
      <w:marTop w:val="0"/>
      <w:marBottom w:val="0"/>
      <w:divBdr>
        <w:top w:val="none" w:sz="0" w:space="0" w:color="auto"/>
        <w:left w:val="none" w:sz="0" w:space="0" w:color="auto"/>
        <w:bottom w:val="none" w:sz="0" w:space="0" w:color="auto"/>
        <w:right w:val="none" w:sz="0" w:space="0" w:color="auto"/>
      </w:divBdr>
    </w:div>
    <w:div w:id="1040934558">
      <w:bodyDiv w:val="1"/>
      <w:marLeft w:val="0"/>
      <w:marRight w:val="0"/>
      <w:marTop w:val="0"/>
      <w:marBottom w:val="0"/>
      <w:divBdr>
        <w:top w:val="none" w:sz="0" w:space="0" w:color="auto"/>
        <w:left w:val="none" w:sz="0" w:space="0" w:color="auto"/>
        <w:bottom w:val="none" w:sz="0" w:space="0" w:color="auto"/>
        <w:right w:val="none" w:sz="0" w:space="0" w:color="auto"/>
      </w:divBdr>
    </w:div>
    <w:div w:id="1046949729">
      <w:bodyDiv w:val="1"/>
      <w:marLeft w:val="0"/>
      <w:marRight w:val="0"/>
      <w:marTop w:val="0"/>
      <w:marBottom w:val="0"/>
      <w:divBdr>
        <w:top w:val="none" w:sz="0" w:space="0" w:color="auto"/>
        <w:left w:val="none" w:sz="0" w:space="0" w:color="auto"/>
        <w:bottom w:val="none" w:sz="0" w:space="0" w:color="auto"/>
        <w:right w:val="none" w:sz="0" w:space="0" w:color="auto"/>
      </w:divBdr>
    </w:div>
    <w:div w:id="1050225769">
      <w:bodyDiv w:val="1"/>
      <w:marLeft w:val="0"/>
      <w:marRight w:val="0"/>
      <w:marTop w:val="0"/>
      <w:marBottom w:val="0"/>
      <w:divBdr>
        <w:top w:val="none" w:sz="0" w:space="0" w:color="auto"/>
        <w:left w:val="none" w:sz="0" w:space="0" w:color="auto"/>
        <w:bottom w:val="none" w:sz="0" w:space="0" w:color="auto"/>
        <w:right w:val="none" w:sz="0" w:space="0" w:color="auto"/>
      </w:divBdr>
    </w:div>
    <w:div w:id="1063992447">
      <w:bodyDiv w:val="1"/>
      <w:marLeft w:val="0"/>
      <w:marRight w:val="0"/>
      <w:marTop w:val="0"/>
      <w:marBottom w:val="0"/>
      <w:divBdr>
        <w:top w:val="none" w:sz="0" w:space="0" w:color="auto"/>
        <w:left w:val="none" w:sz="0" w:space="0" w:color="auto"/>
        <w:bottom w:val="none" w:sz="0" w:space="0" w:color="auto"/>
        <w:right w:val="none" w:sz="0" w:space="0" w:color="auto"/>
      </w:divBdr>
    </w:div>
    <w:div w:id="1069692918">
      <w:bodyDiv w:val="1"/>
      <w:marLeft w:val="0"/>
      <w:marRight w:val="0"/>
      <w:marTop w:val="0"/>
      <w:marBottom w:val="0"/>
      <w:divBdr>
        <w:top w:val="none" w:sz="0" w:space="0" w:color="auto"/>
        <w:left w:val="none" w:sz="0" w:space="0" w:color="auto"/>
        <w:bottom w:val="none" w:sz="0" w:space="0" w:color="auto"/>
        <w:right w:val="none" w:sz="0" w:space="0" w:color="auto"/>
      </w:divBdr>
    </w:div>
    <w:div w:id="1073813044">
      <w:bodyDiv w:val="1"/>
      <w:marLeft w:val="0"/>
      <w:marRight w:val="0"/>
      <w:marTop w:val="0"/>
      <w:marBottom w:val="0"/>
      <w:divBdr>
        <w:top w:val="none" w:sz="0" w:space="0" w:color="auto"/>
        <w:left w:val="none" w:sz="0" w:space="0" w:color="auto"/>
        <w:bottom w:val="none" w:sz="0" w:space="0" w:color="auto"/>
        <w:right w:val="none" w:sz="0" w:space="0" w:color="auto"/>
      </w:divBdr>
    </w:div>
    <w:div w:id="1084884514">
      <w:bodyDiv w:val="1"/>
      <w:marLeft w:val="0"/>
      <w:marRight w:val="0"/>
      <w:marTop w:val="0"/>
      <w:marBottom w:val="0"/>
      <w:divBdr>
        <w:top w:val="none" w:sz="0" w:space="0" w:color="auto"/>
        <w:left w:val="none" w:sz="0" w:space="0" w:color="auto"/>
        <w:bottom w:val="none" w:sz="0" w:space="0" w:color="auto"/>
        <w:right w:val="none" w:sz="0" w:space="0" w:color="auto"/>
      </w:divBdr>
    </w:div>
    <w:div w:id="1094012726">
      <w:bodyDiv w:val="1"/>
      <w:marLeft w:val="0"/>
      <w:marRight w:val="0"/>
      <w:marTop w:val="0"/>
      <w:marBottom w:val="0"/>
      <w:divBdr>
        <w:top w:val="none" w:sz="0" w:space="0" w:color="auto"/>
        <w:left w:val="none" w:sz="0" w:space="0" w:color="auto"/>
        <w:bottom w:val="none" w:sz="0" w:space="0" w:color="auto"/>
        <w:right w:val="none" w:sz="0" w:space="0" w:color="auto"/>
      </w:divBdr>
    </w:div>
    <w:div w:id="1102994746">
      <w:bodyDiv w:val="1"/>
      <w:marLeft w:val="0"/>
      <w:marRight w:val="0"/>
      <w:marTop w:val="0"/>
      <w:marBottom w:val="0"/>
      <w:divBdr>
        <w:top w:val="none" w:sz="0" w:space="0" w:color="auto"/>
        <w:left w:val="none" w:sz="0" w:space="0" w:color="auto"/>
        <w:bottom w:val="none" w:sz="0" w:space="0" w:color="auto"/>
        <w:right w:val="none" w:sz="0" w:space="0" w:color="auto"/>
      </w:divBdr>
    </w:div>
    <w:div w:id="1103375418">
      <w:bodyDiv w:val="1"/>
      <w:marLeft w:val="0"/>
      <w:marRight w:val="0"/>
      <w:marTop w:val="0"/>
      <w:marBottom w:val="0"/>
      <w:divBdr>
        <w:top w:val="none" w:sz="0" w:space="0" w:color="auto"/>
        <w:left w:val="none" w:sz="0" w:space="0" w:color="auto"/>
        <w:bottom w:val="none" w:sz="0" w:space="0" w:color="auto"/>
        <w:right w:val="none" w:sz="0" w:space="0" w:color="auto"/>
      </w:divBdr>
    </w:div>
    <w:div w:id="1107042614">
      <w:bodyDiv w:val="1"/>
      <w:marLeft w:val="0"/>
      <w:marRight w:val="0"/>
      <w:marTop w:val="0"/>
      <w:marBottom w:val="0"/>
      <w:divBdr>
        <w:top w:val="none" w:sz="0" w:space="0" w:color="auto"/>
        <w:left w:val="none" w:sz="0" w:space="0" w:color="auto"/>
        <w:bottom w:val="none" w:sz="0" w:space="0" w:color="auto"/>
        <w:right w:val="none" w:sz="0" w:space="0" w:color="auto"/>
      </w:divBdr>
    </w:div>
    <w:div w:id="1107769881">
      <w:bodyDiv w:val="1"/>
      <w:marLeft w:val="0"/>
      <w:marRight w:val="0"/>
      <w:marTop w:val="0"/>
      <w:marBottom w:val="0"/>
      <w:divBdr>
        <w:top w:val="none" w:sz="0" w:space="0" w:color="auto"/>
        <w:left w:val="none" w:sz="0" w:space="0" w:color="auto"/>
        <w:bottom w:val="none" w:sz="0" w:space="0" w:color="auto"/>
        <w:right w:val="none" w:sz="0" w:space="0" w:color="auto"/>
      </w:divBdr>
    </w:div>
    <w:div w:id="1109159358">
      <w:bodyDiv w:val="1"/>
      <w:marLeft w:val="0"/>
      <w:marRight w:val="0"/>
      <w:marTop w:val="0"/>
      <w:marBottom w:val="0"/>
      <w:divBdr>
        <w:top w:val="none" w:sz="0" w:space="0" w:color="auto"/>
        <w:left w:val="none" w:sz="0" w:space="0" w:color="auto"/>
        <w:bottom w:val="none" w:sz="0" w:space="0" w:color="auto"/>
        <w:right w:val="none" w:sz="0" w:space="0" w:color="auto"/>
      </w:divBdr>
    </w:div>
    <w:div w:id="1113749745">
      <w:bodyDiv w:val="1"/>
      <w:marLeft w:val="0"/>
      <w:marRight w:val="0"/>
      <w:marTop w:val="0"/>
      <w:marBottom w:val="0"/>
      <w:divBdr>
        <w:top w:val="none" w:sz="0" w:space="0" w:color="auto"/>
        <w:left w:val="none" w:sz="0" w:space="0" w:color="auto"/>
        <w:bottom w:val="none" w:sz="0" w:space="0" w:color="auto"/>
        <w:right w:val="none" w:sz="0" w:space="0" w:color="auto"/>
      </w:divBdr>
    </w:div>
    <w:div w:id="1116022090">
      <w:bodyDiv w:val="1"/>
      <w:marLeft w:val="0"/>
      <w:marRight w:val="0"/>
      <w:marTop w:val="0"/>
      <w:marBottom w:val="0"/>
      <w:divBdr>
        <w:top w:val="none" w:sz="0" w:space="0" w:color="auto"/>
        <w:left w:val="none" w:sz="0" w:space="0" w:color="auto"/>
        <w:bottom w:val="none" w:sz="0" w:space="0" w:color="auto"/>
        <w:right w:val="none" w:sz="0" w:space="0" w:color="auto"/>
      </w:divBdr>
    </w:div>
    <w:div w:id="1124151580">
      <w:bodyDiv w:val="1"/>
      <w:marLeft w:val="0"/>
      <w:marRight w:val="0"/>
      <w:marTop w:val="0"/>
      <w:marBottom w:val="0"/>
      <w:divBdr>
        <w:top w:val="none" w:sz="0" w:space="0" w:color="auto"/>
        <w:left w:val="none" w:sz="0" w:space="0" w:color="auto"/>
        <w:bottom w:val="none" w:sz="0" w:space="0" w:color="auto"/>
        <w:right w:val="none" w:sz="0" w:space="0" w:color="auto"/>
      </w:divBdr>
    </w:div>
    <w:div w:id="1125077507">
      <w:bodyDiv w:val="1"/>
      <w:marLeft w:val="0"/>
      <w:marRight w:val="0"/>
      <w:marTop w:val="0"/>
      <w:marBottom w:val="0"/>
      <w:divBdr>
        <w:top w:val="none" w:sz="0" w:space="0" w:color="auto"/>
        <w:left w:val="none" w:sz="0" w:space="0" w:color="auto"/>
        <w:bottom w:val="none" w:sz="0" w:space="0" w:color="auto"/>
        <w:right w:val="none" w:sz="0" w:space="0" w:color="auto"/>
      </w:divBdr>
    </w:div>
    <w:div w:id="1127508715">
      <w:bodyDiv w:val="1"/>
      <w:marLeft w:val="0"/>
      <w:marRight w:val="0"/>
      <w:marTop w:val="0"/>
      <w:marBottom w:val="0"/>
      <w:divBdr>
        <w:top w:val="none" w:sz="0" w:space="0" w:color="auto"/>
        <w:left w:val="none" w:sz="0" w:space="0" w:color="auto"/>
        <w:bottom w:val="none" w:sz="0" w:space="0" w:color="auto"/>
        <w:right w:val="none" w:sz="0" w:space="0" w:color="auto"/>
      </w:divBdr>
    </w:div>
    <w:div w:id="1128745311">
      <w:bodyDiv w:val="1"/>
      <w:marLeft w:val="0"/>
      <w:marRight w:val="0"/>
      <w:marTop w:val="0"/>
      <w:marBottom w:val="0"/>
      <w:divBdr>
        <w:top w:val="none" w:sz="0" w:space="0" w:color="auto"/>
        <w:left w:val="none" w:sz="0" w:space="0" w:color="auto"/>
        <w:bottom w:val="none" w:sz="0" w:space="0" w:color="auto"/>
        <w:right w:val="none" w:sz="0" w:space="0" w:color="auto"/>
      </w:divBdr>
    </w:div>
    <w:div w:id="1132098174">
      <w:bodyDiv w:val="1"/>
      <w:marLeft w:val="0"/>
      <w:marRight w:val="0"/>
      <w:marTop w:val="0"/>
      <w:marBottom w:val="0"/>
      <w:divBdr>
        <w:top w:val="none" w:sz="0" w:space="0" w:color="auto"/>
        <w:left w:val="none" w:sz="0" w:space="0" w:color="auto"/>
        <w:bottom w:val="none" w:sz="0" w:space="0" w:color="auto"/>
        <w:right w:val="none" w:sz="0" w:space="0" w:color="auto"/>
      </w:divBdr>
    </w:div>
    <w:div w:id="1132360155">
      <w:bodyDiv w:val="1"/>
      <w:marLeft w:val="0"/>
      <w:marRight w:val="0"/>
      <w:marTop w:val="0"/>
      <w:marBottom w:val="0"/>
      <w:divBdr>
        <w:top w:val="none" w:sz="0" w:space="0" w:color="auto"/>
        <w:left w:val="none" w:sz="0" w:space="0" w:color="auto"/>
        <w:bottom w:val="none" w:sz="0" w:space="0" w:color="auto"/>
        <w:right w:val="none" w:sz="0" w:space="0" w:color="auto"/>
      </w:divBdr>
    </w:div>
    <w:div w:id="1140029274">
      <w:bodyDiv w:val="1"/>
      <w:marLeft w:val="0"/>
      <w:marRight w:val="0"/>
      <w:marTop w:val="0"/>
      <w:marBottom w:val="0"/>
      <w:divBdr>
        <w:top w:val="none" w:sz="0" w:space="0" w:color="auto"/>
        <w:left w:val="none" w:sz="0" w:space="0" w:color="auto"/>
        <w:bottom w:val="none" w:sz="0" w:space="0" w:color="auto"/>
        <w:right w:val="none" w:sz="0" w:space="0" w:color="auto"/>
      </w:divBdr>
    </w:div>
    <w:div w:id="1151866813">
      <w:bodyDiv w:val="1"/>
      <w:marLeft w:val="0"/>
      <w:marRight w:val="0"/>
      <w:marTop w:val="0"/>
      <w:marBottom w:val="0"/>
      <w:divBdr>
        <w:top w:val="none" w:sz="0" w:space="0" w:color="auto"/>
        <w:left w:val="none" w:sz="0" w:space="0" w:color="auto"/>
        <w:bottom w:val="none" w:sz="0" w:space="0" w:color="auto"/>
        <w:right w:val="none" w:sz="0" w:space="0" w:color="auto"/>
      </w:divBdr>
    </w:div>
    <w:div w:id="1152719554">
      <w:bodyDiv w:val="1"/>
      <w:marLeft w:val="0"/>
      <w:marRight w:val="0"/>
      <w:marTop w:val="0"/>
      <w:marBottom w:val="0"/>
      <w:divBdr>
        <w:top w:val="none" w:sz="0" w:space="0" w:color="auto"/>
        <w:left w:val="none" w:sz="0" w:space="0" w:color="auto"/>
        <w:bottom w:val="none" w:sz="0" w:space="0" w:color="auto"/>
        <w:right w:val="none" w:sz="0" w:space="0" w:color="auto"/>
      </w:divBdr>
    </w:div>
    <w:div w:id="1153254270">
      <w:bodyDiv w:val="1"/>
      <w:marLeft w:val="0"/>
      <w:marRight w:val="0"/>
      <w:marTop w:val="0"/>
      <w:marBottom w:val="0"/>
      <w:divBdr>
        <w:top w:val="none" w:sz="0" w:space="0" w:color="auto"/>
        <w:left w:val="none" w:sz="0" w:space="0" w:color="auto"/>
        <w:bottom w:val="none" w:sz="0" w:space="0" w:color="auto"/>
        <w:right w:val="none" w:sz="0" w:space="0" w:color="auto"/>
      </w:divBdr>
    </w:div>
    <w:div w:id="1154495022">
      <w:bodyDiv w:val="1"/>
      <w:marLeft w:val="0"/>
      <w:marRight w:val="0"/>
      <w:marTop w:val="0"/>
      <w:marBottom w:val="0"/>
      <w:divBdr>
        <w:top w:val="none" w:sz="0" w:space="0" w:color="auto"/>
        <w:left w:val="none" w:sz="0" w:space="0" w:color="auto"/>
        <w:bottom w:val="none" w:sz="0" w:space="0" w:color="auto"/>
        <w:right w:val="none" w:sz="0" w:space="0" w:color="auto"/>
      </w:divBdr>
    </w:div>
    <w:div w:id="1156605942">
      <w:bodyDiv w:val="1"/>
      <w:marLeft w:val="0"/>
      <w:marRight w:val="0"/>
      <w:marTop w:val="0"/>
      <w:marBottom w:val="0"/>
      <w:divBdr>
        <w:top w:val="none" w:sz="0" w:space="0" w:color="auto"/>
        <w:left w:val="none" w:sz="0" w:space="0" w:color="auto"/>
        <w:bottom w:val="none" w:sz="0" w:space="0" w:color="auto"/>
        <w:right w:val="none" w:sz="0" w:space="0" w:color="auto"/>
      </w:divBdr>
    </w:div>
    <w:div w:id="1158426806">
      <w:bodyDiv w:val="1"/>
      <w:marLeft w:val="0"/>
      <w:marRight w:val="0"/>
      <w:marTop w:val="0"/>
      <w:marBottom w:val="0"/>
      <w:divBdr>
        <w:top w:val="none" w:sz="0" w:space="0" w:color="auto"/>
        <w:left w:val="none" w:sz="0" w:space="0" w:color="auto"/>
        <w:bottom w:val="none" w:sz="0" w:space="0" w:color="auto"/>
        <w:right w:val="none" w:sz="0" w:space="0" w:color="auto"/>
      </w:divBdr>
    </w:div>
    <w:div w:id="1158884662">
      <w:bodyDiv w:val="1"/>
      <w:marLeft w:val="0"/>
      <w:marRight w:val="0"/>
      <w:marTop w:val="0"/>
      <w:marBottom w:val="0"/>
      <w:divBdr>
        <w:top w:val="none" w:sz="0" w:space="0" w:color="auto"/>
        <w:left w:val="none" w:sz="0" w:space="0" w:color="auto"/>
        <w:bottom w:val="none" w:sz="0" w:space="0" w:color="auto"/>
        <w:right w:val="none" w:sz="0" w:space="0" w:color="auto"/>
      </w:divBdr>
    </w:div>
    <w:div w:id="1160661648">
      <w:bodyDiv w:val="1"/>
      <w:marLeft w:val="0"/>
      <w:marRight w:val="0"/>
      <w:marTop w:val="0"/>
      <w:marBottom w:val="0"/>
      <w:divBdr>
        <w:top w:val="none" w:sz="0" w:space="0" w:color="auto"/>
        <w:left w:val="none" w:sz="0" w:space="0" w:color="auto"/>
        <w:bottom w:val="none" w:sz="0" w:space="0" w:color="auto"/>
        <w:right w:val="none" w:sz="0" w:space="0" w:color="auto"/>
      </w:divBdr>
    </w:div>
    <w:div w:id="1162157781">
      <w:bodyDiv w:val="1"/>
      <w:marLeft w:val="0"/>
      <w:marRight w:val="0"/>
      <w:marTop w:val="0"/>
      <w:marBottom w:val="0"/>
      <w:divBdr>
        <w:top w:val="none" w:sz="0" w:space="0" w:color="auto"/>
        <w:left w:val="none" w:sz="0" w:space="0" w:color="auto"/>
        <w:bottom w:val="none" w:sz="0" w:space="0" w:color="auto"/>
        <w:right w:val="none" w:sz="0" w:space="0" w:color="auto"/>
      </w:divBdr>
    </w:div>
    <w:div w:id="1165584985">
      <w:bodyDiv w:val="1"/>
      <w:marLeft w:val="0"/>
      <w:marRight w:val="0"/>
      <w:marTop w:val="0"/>
      <w:marBottom w:val="0"/>
      <w:divBdr>
        <w:top w:val="none" w:sz="0" w:space="0" w:color="auto"/>
        <w:left w:val="none" w:sz="0" w:space="0" w:color="auto"/>
        <w:bottom w:val="none" w:sz="0" w:space="0" w:color="auto"/>
        <w:right w:val="none" w:sz="0" w:space="0" w:color="auto"/>
      </w:divBdr>
    </w:div>
    <w:div w:id="1167552249">
      <w:bodyDiv w:val="1"/>
      <w:marLeft w:val="0"/>
      <w:marRight w:val="0"/>
      <w:marTop w:val="0"/>
      <w:marBottom w:val="0"/>
      <w:divBdr>
        <w:top w:val="none" w:sz="0" w:space="0" w:color="auto"/>
        <w:left w:val="none" w:sz="0" w:space="0" w:color="auto"/>
        <w:bottom w:val="none" w:sz="0" w:space="0" w:color="auto"/>
        <w:right w:val="none" w:sz="0" w:space="0" w:color="auto"/>
      </w:divBdr>
    </w:div>
    <w:div w:id="1171482507">
      <w:bodyDiv w:val="1"/>
      <w:marLeft w:val="0"/>
      <w:marRight w:val="0"/>
      <w:marTop w:val="0"/>
      <w:marBottom w:val="0"/>
      <w:divBdr>
        <w:top w:val="none" w:sz="0" w:space="0" w:color="auto"/>
        <w:left w:val="none" w:sz="0" w:space="0" w:color="auto"/>
        <w:bottom w:val="none" w:sz="0" w:space="0" w:color="auto"/>
        <w:right w:val="none" w:sz="0" w:space="0" w:color="auto"/>
      </w:divBdr>
    </w:div>
    <w:div w:id="1172528882">
      <w:bodyDiv w:val="1"/>
      <w:marLeft w:val="0"/>
      <w:marRight w:val="0"/>
      <w:marTop w:val="0"/>
      <w:marBottom w:val="0"/>
      <w:divBdr>
        <w:top w:val="none" w:sz="0" w:space="0" w:color="auto"/>
        <w:left w:val="none" w:sz="0" w:space="0" w:color="auto"/>
        <w:bottom w:val="none" w:sz="0" w:space="0" w:color="auto"/>
        <w:right w:val="none" w:sz="0" w:space="0" w:color="auto"/>
      </w:divBdr>
    </w:div>
    <w:div w:id="1178739811">
      <w:bodyDiv w:val="1"/>
      <w:marLeft w:val="0"/>
      <w:marRight w:val="0"/>
      <w:marTop w:val="0"/>
      <w:marBottom w:val="0"/>
      <w:divBdr>
        <w:top w:val="none" w:sz="0" w:space="0" w:color="auto"/>
        <w:left w:val="none" w:sz="0" w:space="0" w:color="auto"/>
        <w:bottom w:val="none" w:sz="0" w:space="0" w:color="auto"/>
        <w:right w:val="none" w:sz="0" w:space="0" w:color="auto"/>
      </w:divBdr>
    </w:div>
    <w:div w:id="1179932989">
      <w:bodyDiv w:val="1"/>
      <w:marLeft w:val="0"/>
      <w:marRight w:val="0"/>
      <w:marTop w:val="0"/>
      <w:marBottom w:val="0"/>
      <w:divBdr>
        <w:top w:val="none" w:sz="0" w:space="0" w:color="auto"/>
        <w:left w:val="none" w:sz="0" w:space="0" w:color="auto"/>
        <w:bottom w:val="none" w:sz="0" w:space="0" w:color="auto"/>
        <w:right w:val="none" w:sz="0" w:space="0" w:color="auto"/>
      </w:divBdr>
    </w:div>
    <w:div w:id="1182860037">
      <w:bodyDiv w:val="1"/>
      <w:marLeft w:val="0"/>
      <w:marRight w:val="0"/>
      <w:marTop w:val="0"/>
      <w:marBottom w:val="0"/>
      <w:divBdr>
        <w:top w:val="none" w:sz="0" w:space="0" w:color="auto"/>
        <w:left w:val="none" w:sz="0" w:space="0" w:color="auto"/>
        <w:bottom w:val="none" w:sz="0" w:space="0" w:color="auto"/>
        <w:right w:val="none" w:sz="0" w:space="0" w:color="auto"/>
      </w:divBdr>
    </w:div>
    <w:div w:id="1189370266">
      <w:bodyDiv w:val="1"/>
      <w:marLeft w:val="0"/>
      <w:marRight w:val="0"/>
      <w:marTop w:val="0"/>
      <w:marBottom w:val="0"/>
      <w:divBdr>
        <w:top w:val="none" w:sz="0" w:space="0" w:color="auto"/>
        <w:left w:val="none" w:sz="0" w:space="0" w:color="auto"/>
        <w:bottom w:val="none" w:sz="0" w:space="0" w:color="auto"/>
        <w:right w:val="none" w:sz="0" w:space="0" w:color="auto"/>
      </w:divBdr>
    </w:div>
    <w:div w:id="1205799375">
      <w:bodyDiv w:val="1"/>
      <w:marLeft w:val="0"/>
      <w:marRight w:val="0"/>
      <w:marTop w:val="0"/>
      <w:marBottom w:val="0"/>
      <w:divBdr>
        <w:top w:val="none" w:sz="0" w:space="0" w:color="auto"/>
        <w:left w:val="none" w:sz="0" w:space="0" w:color="auto"/>
        <w:bottom w:val="none" w:sz="0" w:space="0" w:color="auto"/>
        <w:right w:val="none" w:sz="0" w:space="0" w:color="auto"/>
      </w:divBdr>
    </w:div>
    <w:div w:id="1210996004">
      <w:bodyDiv w:val="1"/>
      <w:marLeft w:val="0"/>
      <w:marRight w:val="0"/>
      <w:marTop w:val="0"/>
      <w:marBottom w:val="0"/>
      <w:divBdr>
        <w:top w:val="none" w:sz="0" w:space="0" w:color="auto"/>
        <w:left w:val="none" w:sz="0" w:space="0" w:color="auto"/>
        <w:bottom w:val="none" w:sz="0" w:space="0" w:color="auto"/>
        <w:right w:val="none" w:sz="0" w:space="0" w:color="auto"/>
      </w:divBdr>
    </w:div>
    <w:div w:id="1213079515">
      <w:bodyDiv w:val="1"/>
      <w:marLeft w:val="0"/>
      <w:marRight w:val="0"/>
      <w:marTop w:val="0"/>
      <w:marBottom w:val="0"/>
      <w:divBdr>
        <w:top w:val="none" w:sz="0" w:space="0" w:color="auto"/>
        <w:left w:val="none" w:sz="0" w:space="0" w:color="auto"/>
        <w:bottom w:val="none" w:sz="0" w:space="0" w:color="auto"/>
        <w:right w:val="none" w:sz="0" w:space="0" w:color="auto"/>
      </w:divBdr>
    </w:div>
    <w:div w:id="1213155766">
      <w:bodyDiv w:val="1"/>
      <w:marLeft w:val="0"/>
      <w:marRight w:val="0"/>
      <w:marTop w:val="0"/>
      <w:marBottom w:val="0"/>
      <w:divBdr>
        <w:top w:val="none" w:sz="0" w:space="0" w:color="auto"/>
        <w:left w:val="none" w:sz="0" w:space="0" w:color="auto"/>
        <w:bottom w:val="none" w:sz="0" w:space="0" w:color="auto"/>
        <w:right w:val="none" w:sz="0" w:space="0" w:color="auto"/>
      </w:divBdr>
    </w:div>
    <w:div w:id="1216545585">
      <w:bodyDiv w:val="1"/>
      <w:marLeft w:val="0"/>
      <w:marRight w:val="0"/>
      <w:marTop w:val="0"/>
      <w:marBottom w:val="0"/>
      <w:divBdr>
        <w:top w:val="none" w:sz="0" w:space="0" w:color="auto"/>
        <w:left w:val="none" w:sz="0" w:space="0" w:color="auto"/>
        <w:bottom w:val="none" w:sz="0" w:space="0" w:color="auto"/>
        <w:right w:val="none" w:sz="0" w:space="0" w:color="auto"/>
      </w:divBdr>
    </w:div>
    <w:div w:id="1217201761">
      <w:bodyDiv w:val="1"/>
      <w:marLeft w:val="0"/>
      <w:marRight w:val="0"/>
      <w:marTop w:val="0"/>
      <w:marBottom w:val="0"/>
      <w:divBdr>
        <w:top w:val="none" w:sz="0" w:space="0" w:color="auto"/>
        <w:left w:val="none" w:sz="0" w:space="0" w:color="auto"/>
        <w:bottom w:val="none" w:sz="0" w:space="0" w:color="auto"/>
        <w:right w:val="none" w:sz="0" w:space="0" w:color="auto"/>
      </w:divBdr>
    </w:div>
    <w:div w:id="1222787893">
      <w:bodyDiv w:val="1"/>
      <w:marLeft w:val="0"/>
      <w:marRight w:val="0"/>
      <w:marTop w:val="0"/>
      <w:marBottom w:val="0"/>
      <w:divBdr>
        <w:top w:val="none" w:sz="0" w:space="0" w:color="auto"/>
        <w:left w:val="none" w:sz="0" w:space="0" w:color="auto"/>
        <w:bottom w:val="none" w:sz="0" w:space="0" w:color="auto"/>
        <w:right w:val="none" w:sz="0" w:space="0" w:color="auto"/>
      </w:divBdr>
    </w:div>
    <w:div w:id="1225289241">
      <w:bodyDiv w:val="1"/>
      <w:marLeft w:val="0"/>
      <w:marRight w:val="0"/>
      <w:marTop w:val="0"/>
      <w:marBottom w:val="0"/>
      <w:divBdr>
        <w:top w:val="none" w:sz="0" w:space="0" w:color="auto"/>
        <w:left w:val="none" w:sz="0" w:space="0" w:color="auto"/>
        <w:bottom w:val="none" w:sz="0" w:space="0" w:color="auto"/>
        <w:right w:val="none" w:sz="0" w:space="0" w:color="auto"/>
      </w:divBdr>
    </w:div>
    <w:div w:id="1229806657">
      <w:bodyDiv w:val="1"/>
      <w:marLeft w:val="0"/>
      <w:marRight w:val="0"/>
      <w:marTop w:val="0"/>
      <w:marBottom w:val="0"/>
      <w:divBdr>
        <w:top w:val="none" w:sz="0" w:space="0" w:color="auto"/>
        <w:left w:val="none" w:sz="0" w:space="0" w:color="auto"/>
        <w:bottom w:val="none" w:sz="0" w:space="0" w:color="auto"/>
        <w:right w:val="none" w:sz="0" w:space="0" w:color="auto"/>
      </w:divBdr>
    </w:div>
    <w:div w:id="1236670501">
      <w:bodyDiv w:val="1"/>
      <w:marLeft w:val="0"/>
      <w:marRight w:val="0"/>
      <w:marTop w:val="0"/>
      <w:marBottom w:val="0"/>
      <w:divBdr>
        <w:top w:val="none" w:sz="0" w:space="0" w:color="auto"/>
        <w:left w:val="none" w:sz="0" w:space="0" w:color="auto"/>
        <w:bottom w:val="none" w:sz="0" w:space="0" w:color="auto"/>
        <w:right w:val="none" w:sz="0" w:space="0" w:color="auto"/>
      </w:divBdr>
    </w:div>
    <w:div w:id="1239898625">
      <w:bodyDiv w:val="1"/>
      <w:marLeft w:val="0"/>
      <w:marRight w:val="0"/>
      <w:marTop w:val="0"/>
      <w:marBottom w:val="0"/>
      <w:divBdr>
        <w:top w:val="none" w:sz="0" w:space="0" w:color="auto"/>
        <w:left w:val="none" w:sz="0" w:space="0" w:color="auto"/>
        <w:bottom w:val="none" w:sz="0" w:space="0" w:color="auto"/>
        <w:right w:val="none" w:sz="0" w:space="0" w:color="auto"/>
      </w:divBdr>
    </w:div>
    <w:div w:id="1251157607">
      <w:bodyDiv w:val="1"/>
      <w:marLeft w:val="0"/>
      <w:marRight w:val="0"/>
      <w:marTop w:val="0"/>
      <w:marBottom w:val="0"/>
      <w:divBdr>
        <w:top w:val="none" w:sz="0" w:space="0" w:color="auto"/>
        <w:left w:val="none" w:sz="0" w:space="0" w:color="auto"/>
        <w:bottom w:val="none" w:sz="0" w:space="0" w:color="auto"/>
        <w:right w:val="none" w:sz="0" w:space="0" w:color="auto"/>
      </w:divBdr>
    </w:div>
    <w:div w:id="1251620390">
      <w:bodyDiv w:val="1"/>
      <w:marLeft w:val="0"/>
      <w:marRight w:val="0"/>
      <w:marTop w:val="0"/>
      <w:marBottom w:val="0"/>
      <w:divBdr>
        <w:top w:val="none" w:sz="0" w:space="0" w:color="auto"/>
        <w:left w:val="none" w:sz="0" w:space="0" w:color="auto"/>
        <w:bottom w:val="none" w:sz="0" w:space="0" w:color="auto"/>
        <w:right w:val="none" w:sz="0" w:space="0" w:color="auto"/>
      </w:divBdr>
    </w:div>
    <w:div w:id="1257061025">
      <w:bodyDiv w:val="1"/>
      <w:marLeft w:val="0"/>
      <w:marRight w:val="0"/>
      <w:marTop w:val="0"/>
      <w:marBottom w:val="0"/>
      <w:divBdr>
        <w:top w:val="none" w:sz="0" w:space="0" w:color="auto"/>
        <w:left w:val="none" w:sz="0" w:space="0" w:color="auto"/>
        <w:bottom w:val="none" w:sz="0" w:space="0" w:color="auto"/>
        <w:right w:val="none" w:sz="0" w:space="0" w:color="auto"/>
      </w:divBdr>
    </w:div>
    <w:div w:id="1261641579">
      <w:bodyDiv w:val="1"/>
      <w:marLeft w:val="0"/>
      <w:marRight w:val="0"/>
      <w:marTop w:val="0"/>
      <w:marBottom w:val="0"/>
      <w:divBdr>
        <w:top w:val="none" w:sz="0" w:space="0" w:color="auto"/>
        <w:left w:val="none" w:sz="0" w:space="0" w:color="auto"/>
        <w:bottom w:val="none" w:sz="0" w:space="0" w:color="auto"/>
        <w:right w:val="none" w:sz="0" w:space="0" w:color="auto"/>
      </w:divBdr>
    </w:div>
    <w:div w:id="1263226060">
      <w:bodyDiv w:val="1"/>
      <w:marLeft w:val="0"/>
      <w:marRight w:val="0"/>
      <w:marTop w:val="0"/>
      <w:marBottom w:val="0"/>
      <w:divBdr>
        <w:top w:val="none" w:sz="0" w:space="0" w:color="auto"/>
        <w:left w:val="none" w:sz="0" w:space="0" w:color="auto"/>
        <w:bottom w:val="none" w:sz="0" w:space="0" w:color="auto"/>
        <w:right w:val="none" w:sz="0" w:space="0" w:color="auto"/>
      </w:divBdr>
    </w:div>
    <w:div w:id="1269503690">
      <w:bodyDiv w:val="1"/>
      <w:marLeft w:val="0"/>
      <w:marRight w:val="0"/>
      <w:marTop w:val="0"/>
      <w:marBottom w:val="0"/>
      <w:divBdr>
        <w:top w:val="none" w:sz="0" w:space="0" w:color="auto"/>
        <w:left w:val="none" w:sz="0" w:space="0" w:color="auto"/>
        <w:bottom w:val="none" w:sz="0" w:space="0" w:color="auto"/>
        <w:right w:val="none" w:sz="0" w:space="0" w:color="auto"/>
      </w:divBdr>
    </w:div>
    <w:div w:id="1272013238">
      <w:bodyDiv w:val="1"/>
      <w:marLeft w:val="0"/>
      <w:marRight w:val="0"/>
      <w:marTop w:val="0"/>
      <w:marBottom w:val="0"/>
      <w:divBdr>
        <w:top w:val="none" w:sz="0" w:space="0" w:color="auto"/>
        <w:left w:val="none" w:sz="0" w:space="0" w:color="auto"/>
        <w:bottom w:val="none" w:sz="0" w:space="0" w:color="auto"/>
        <w:right w:val="none" w:sz="0" w:space="0" w:color="auto"/>
      </w:divBdr>
    </w:div>
    <w:div w:id="1277788070">
      <w:bodyDiv w:val="1"/>
      <w:marLeft w:val="0"/>
      <w:marRight w:val="0"/>
      <w:marTop w:val="0"/>
      <w:marBottom w:val="0"/>
      <w:divBdr>
        <w:top w:val="none" w:sz="0" w:space="0" w:color="auto"/>
        <w:left w:val="none" w:sz="0" w:space="0" w:color="auto"/>
        <w:bottom w:val="none" w:sz="0" w:space="0" w:color="auto"/>
        <w:right w:val="none" w:sz="0" w:space="0" w:color="auto"/>
      </w:divBdr>
    </w:div>
    <w:div w:id="1278026454">
      <w:bodyDiv w:val="1"/>
      <w:marLeft w:val="0"/>
      <w:marRight w:val="0"/>
      <w:marTop w:val="0"/>
      <w:marBottom w:val="0"/>
      <w:divBdr>
        <w:top w:val="none" w:sz="0" w:space="0" w:color="auto"/>
        <w:left w:val="none" w:sz="0" w:space="0" w:color="auto"/>
        <w:bottom w:val="none" w:sz="0" w:space="0" w:color="auto"/>
        <w:right w:val="none" w:sz="0" w:space="0" w:color="auto"/>
      </w:divBdr>
    </w:div>
    <w:div w:id="1278218587">
      <w:bodyDiv w:val="1"/>
      <w:marLeft w:val="0"/>
      <w:marRight w:val="0"/>
      <w:marTop w:val="0"/>
      <w:marBottom w:val="0"/>
      <w:divBdr>
        <w:top w:val="none" w:sz="0" w:space="0" w:color="auto"/>
        <w:left w:val="none" w:sz="0" w:space="0" w:color="auto"/>
        <w:bottom w:val="none" w:sz="0" w:space="0" w:color="auto"/>
        <w:right w:val="none" w:sz="0" w:space="0" w:color="auto"/>
      </w:divBdr>
    </w:div>
    <w:div w:id="1282567855">
      <w:bodyDiv w:val="1"/>
      <w:marLeft w:val="0"/>
      <w:marRight w:val="0"/>
      <w:marTop w:val="0"/>
      <w:marBottom w:val="0"/>
      <w:divBdr>
        <w:top w:val="none" w:sz="0" w:space="0" w:color="auto"/>
        <w:left w:val="none" w:sz="0" w:space="0" w:color="auto"/>
        <w:bottom w:val="none" w:sz="0" w:space="0" w:color="auto"/>
        <w:right w:val="none" w:sz="0" w:space="0" w:color="auto"/>
      </w:divBdr>
    </w:div>
    <w:div w:id="1284724830">
      <w:bodyDiv w:val="1"/>
      <w:marLeft w:val="0"/>
      <w:marRight w:val="0"/>
      <w:marTop w:val="0"/>
      <w:marBottom w:val="0"/>
      <w:divBdr>
        <w:top w:val="none" w:sz="0" w:space="0" w:color="auto"/>
        <w:left w:val="none" w:sz="0" w:space="0" w:color="auto"/>
        <w:bottom w:val="none" w:sz="0" w:space="0" w:color="auto"/>
        <w:right w:val="none" w:sz="0" w:space="0" w:color="auto"/>
      </w:divBdr>
    </w:div>
    <w:div w:id="1288511098">
      <w:bodyDiv w:val="1"/>
      <w:marLeft w:val="0"/>
      <w:marRight w:val="0"/>
      <w:marTop w:val="0"/>
      <w:marBottom w:val="0"/>
      <w:divBdr>
        <w:top w:val="none" w:sz="0" w:space="0" w:color="auto"/>
        <w:left w:val="none" w:sz="0" w:space="0" w:color="auto"/>
        <w:bottom w:val="none" w:sz="0" w:space="0" w:color="auto"/>
        <w:right w:val="none" w:sz="0" w:space="0" w:color="auto"/>
      </w:divBdr>
    </w:div>
    <w:div w:id="1319532454">
      <w:bodyDiv w:val="1"/>
      <w:marLeft w:val="0"/>
      <w:marRight w:val="0"/>
      <w:marTop w:val="0"/>
      <w:marBottom w:val="0"/>
      <w:divBdr>
        <w:top w:val="none" w:sz="0" w:space="0" w:color="auto"/>
        <w:left w:val="none" w:sz="0" w:space="0" w:color="auto"/>
        <w:bottom w:val="none" w:sz="0" w:space="0" w:color="auto"/>
        <w:right w:val="none" w:sz="0" w:space="0" w:color="auto"/>
      </w:divBdr>
    </w:div>
    <w:div w:id="1328511326">
      <w:bodyDiv w:val="1"/>
      <w:marLeft w:val="0"/>
      <w:marRight w:val="0"/>
      <w:marTop w:val="0"/>
      <w:marBottom w:val="0"/>
      <w:divBdr>
        <w:top w:val="none" w:sz="0" w:space="0" w:color="auto"/>
        <w:left w:val="none" w:sz="0" w:space="0" w:color="auto"/>
        <w:bottom w:val="none" w:sz="0" w:space="0" w:color="auto"/>
        <w:right w:val="none" w:sz="0" w:space="0" w:color="auto"/>
      </w:divBdr>
    </w:div>
    <w:div w:id="1334458216">
      <w:bodyDiv w:val="1"/>
      <w:marLeft w:val="0"/>
      <w:marRight w:val="0"/>
      <w:marTop w:val="0"/>
      <w:marBottom w:val="0"/>
      <w:divBdr>
        <w:top w:val="none" w:sz="0" w:space="0" w:color="auto"/>
        <w:left w:val="none" w:sz="0" w:space="0" w:color="auto"/>
        <w:bottom w:val="none" w:sz="0" w:space="0" w:color="auto"/>
        <w:right w:val="none" w:sz="0" w:space="0" w:color="auto"/>
      </w:divBdr>
    </w:div>
    <w:div w:id="1342472152">
      <w:bodyDiv w:val="1"/>
      <w:marLeft w:val="0"/>
      <w:marRight w:val="0"/>
      <w:marTop w:val="0"/>
      <w:marBottom w:val="0"/>
      <w:divBdr>
        <w:top w:val="none" w:sz="0" w:space="0" w:color="auto"/>
        <w:left w:val="none" w:sz="0" w:space="0" w:color="auto"/>
        <w:bottom w:val="none" w:sz="0" w:space="0" w:color="auto"/>
        <w:right w:val="none" w:sz="0" w:space="0" w:color="auto"/>
      </w:divBdr>
    </w:div>
    <w:div w:id="1348096378">
      <w:bodyDiv w:val="1"/>
      <w:marLeft w:val="0"/>
      <w:marRight w:val="0"/>
      <w:marTop w:val="0"/>
      <w:marBottom w:val="0"/>
      <w:divBdr>
        <w:top w:val="none" w:sz="0" w:space="0" w:color="auto"/>
        <w:left w:val="none" w:sz="0" w:space="0" w:color="auto"/>
        <w:bottom w:val="none" w:sz="0" w:space="0" w:color="auto"/>
        <w:right w:val="none" w:sz="0" w:space="0" w:color="auto"/>
      </w:divBdr>
    </w:div>
    <w:div w:id="1349335803">
      <w:bodyDiv w:val="1"/>
      <w:marLeft w:val="0"/>
      <w:marRight w:val="0"/>
      <w:marTop w:val="0"/>
      <w:marBottom w:val="0"/>
      <w:divBdr>
        <w:top w:val="none" w:sz="0" w:space="0" w:color="auto"/>
        <w:left w:val="none" w:sz="0" w:space="0" w:color="auto"/>
        <w:bottom w:val="none" w:sz="0" w:space="0" w:color="auto"/>
        <w:right w:val="none" w:sz="0" w:space="0" w:color="auto"/>
      </w:divBdr>
    </w:div>
    <w:div w:id="1351757083">
      <w:bodyDiv w:val="1"/>
      <w:marLeft w:val="0"/>
      <w:marRight w:val="0"/>
      <w:marTop w:val="0"/>
      <w:marBottom w:val="0"/>
      <w:divBdr>
        <w:top w:val="none" w:sz="0" w:space="0" w:color="auto"/>
        <w:left w:val="none" w:sz="0" w:space="0" w:color="auto"/>
        <w:bottom w:val="none" w:sz="0" w:space="0" w:color="auto"/>
        <w:right w:val="none" w:sz="0" w:space="0" w:color="auto"/>
      </w:divBdr>
    </w:div>
    <w:div w:id="1360667604">
      <w:bodyDiv w:val="1"/>
      <w:marLeft w:val="0"/>
      <w:marRight w:val="0"/>
      <w:marTop w:val="0"/>
      <w:marBottom w:val="0"/>
      <w:divBdr>
        <w:top w:val="none" w:sz="0" w:space="0" w:color="auto"/>
        <w:left w:val="none" w:sz="0" w:space="0" w:color="auto"/>
        <w:bottom w:val="none" w:sz="0" w:space="0" w:color="auto"/>
        <w:right w:val="none" w:sz="0" w:space="0" w:color="auto"/>
      </w:divBdr>
    </w:div>
    <w:div w:id="1366364268">
      <w:bodyDiv w:val="1"/>
      <w:marLeft w:val="0"/>
      <w:marRight w:val="0"/>
      <w:marTop w:val="0"/>
      <w:marBottom w:val="0"/>
      <w:divBdr>
        <w:top w:val="none" w:sz="0" w:space="0" w:color="auto"/>
        <w:left w:val="none" w:sz="0" w:space="0" w:color="auto"/>
        <w:bottom w:val="none" w:sz="0" w:space="0" w:color="auto"/>
        <w:right w:val="none" w:sz="0" w:space="0" w:color="auto"/>
      </w:divBdr>
    </w:div>
    <w:div w:id="1374957930">
      <w:bodyDiv w:val="1"/>
      <w:marLeft w:val="0"/>
      <w:marRight w:val="0"/>
      <w:marTop w:val="0"/>
      <w:marBottom w:val="0"/>
      <w:divBdr>
        <w:top w:val="none" w:sz="0" w:space="0" w:color="auto"/>
        <w:left w:val="none" w:sz="0" w:space="0" w:color="auto"/>
        <w:bottom w:val="none" w:sz="0" w:space="0" w:color="auto"/>
        <w:right w:val="none" w:sz="0" w:space="0" w:color="auto"/>
      </w:divBdr>
    </w:div>
    <w:div w:id="1375276973">
      <w:bodyDiv w:val="1"/>
      <w:marLeft w:val="0"/>
      <w:marRight w:val="0"/>
      <w:marTop w:val="0"/>
      <w:marBottom w:val="0"/>
      <w:divBdr>
        <w:top w:val="none" w:sz="0" w:space="0" w:color="auto"/>
        <w:left w:val="none" w:sz="0" w:space="0" w:color="auto"/>
        <w:bottom w:val="none" w:sz="0" w:space="0" w:color="auto"/>
        <w:right w:val="none" w:sz="0" w:space="0" w:color="auto"/>
      </w:divBdr>
    </w:div>
    <w:div w:id="1377270227">
      <w:bodyDiv w:val="1"/>
      <w:marLeft w:val="0"/>
      <w:marRight w:val="0"/>
      <w:marTop w:val="0"/>
      <w:marBottom w:val="0"/>
      <w:divBdr>
        <w:top w:val="none" w:sz="0" w:space="0" w:color="auto"/>
        <w:left w:val="none" w:sz="0" w:space="0" w:color="auto"/>
        <w:bottom w:val="none" w:sz="0" w:space="0" w:color="auto"/>
        <w:right w:val="none" w:sz="0" w:space="0" w:color="auto"/>
      </w:divBdr>
    </w:div>
    <w:div w:id="1383166983">
      <w:bodyDiv w:val="1"/>
      <w:marLeft w:val="0"/>
      <w:marRight w:val="0"/>
      <w:marTop w:val="0"/>
      <w:marBottom w:val="0"/>
      <w:divBdr>
        <w:top w:val="none" w:sz="0" w:space="0" w:color="auto"/>
        <w:left w:val="none" w:sz="0" w:space="0" w:color="auto"/>
        <w:bottom w:val="none" w:sz="0" w:space="0" w:color="auto"/>
        <w:right w:val="none" w:sz="0" w:space="0" w:color="auto"/>
      </w:divBdr>
    </w:div>
    <w:div w:id="1384675881">
      <w:bodyDiv w:val="1"/>
      <w:marLeft w:val="0"/>
      <w:marRight w:val="0"/>
      <w:marTop w:val="0"/>
      <w:marBottom w:val="0"/>
      <w:divBdr>
        <w:top w:val="none" w:sz="0" w:space="0" w:color="auto"/>
        <w:left w:val="none" w:sz="0" w:space="0" w:color="auto"/>
        <w:bottom w:val="none" w:sz="0" w:space="0" w:color="auto"/>
        <w:right w:val="none" w:sz="0" w:space="0" w:color="auto"/>
      </w:divBdr>
    </w:div>
    <w:div w:id="1384791303">
      <w:bodyDiv w:val="1"/>
      <w:marLeft w:val="0"/>
      <w:marRight w:val="0"/>
      <w:marTop w:val="0"/>
      <w:marBottom w:val="0"/>
      <w:divBdr>
        <w:top w:val="none" w:sz="0" w:space="0" w:color="auto"/>
        <w:left w:val="none" w:sz="0" w:space="0" w:color="auto"/>
        <w:bottom w:val="none" w:sz="0" w:space="0" w:color="auto"/>
        <w:right w:val="none" w:sz="0" w:space="0" w:color="auto"/>
      </w:divBdr>
    </w:div>
    <w:div w:id="1401951178">
      <w:bodyDiv w:val="1"/>
      <w:marLeft w:val="0"/>
      <w:marRight w:val="0"/>
      <w:marTop w:val="0"/>
      <w:marBottom w:val="0"/>
      <w:divBdr>
        <w:top w:val="none" w:sz="0" w:space="0" w:color="auto"/>
        <w:left w:val="none" w:sz="0" w:space="0" w:color="auto"/>
        <w:bottom w:val="none" w:sz="0" w:space="0" w:color="auto"/>
        <w:right w:val="none" w:sz="0" w:space="0" w:color="auto"/>
      </w:divBdr>
    </w:div>
    <w:div w:id="1406147584">
      <w:bodyDiv w:val="1"/>
      <w:marLeft w:val="0"/>
      <w:marRight w:val="0"/>
      <w:marTop w:val="0"/>
      <w:marBottom w:val="0"/>
      <w:divBdr>
        <w:top w:val="none" w:sz="0" w:space="0" w:color="auto"/>
        <w:left w:val="none" w:sz="0" w:space="0" w:color="auto"/>
        <w:bottom w:val="none" w:sz="0" w:space="0" w:color="auto"/>
        <w:right w:val="none" w:sz="0" w:space="0" w:color="auto"/>
      </w:divBdr>
    </w:div>
    <w:div w:id="1408720936">
      <w:bodyDiv w:val="1"/>
      <w:marLeft w:val="0"/>
      <w:marRight w:val="0"/>
      <w:marTop w:val="0"/>
      <w:marBottom w:val="0"/>
      <w:divBdr>
        <w:top w:val="none" w:sz="0" w:space="0" w:color="auto"/>
        <w:left w:val="none" w:sz="0" w:space="0" w:color="auto"/>
        <w:bottom w:val="none" w:sz="0" w:space="0" w:color="auto"/>
        <w:right w:val="none" w:sz="0" w:space="0" w:color="auto"/>
      </w:divBdr>
    </w:div>
    <w:div w:id="1416437894">
      <w:bodyDiv w:val="1"/>
      <w:marLeft w:val="0"/>
      <w:marRight w:val="0"/>
      <w:marTop w:val="0"/>
      <w:marBottom w:val="0"/>
      <w:divBdr>
        <w:top w:val="none" w:sz="0" w:space="0" w:color="auto"/>
        <w:left w:val="none" w:sz="0" w:space="0" w:color="auto"/>
        <w:bottom w:val="none" w:sz="0" w:space="0" w:color="auto"/>
        <w:right w:val="none" w:sz="0" w:space="0" w:color="auto"/>
      </w:divBdr>
    </w:div>
    <w:div w:id="1420130834">
      <w:bodyDiv w:val="1"/>
      <w:marLeft w:val="0"/>
      <w:marRight w:val="0"/>
      <w:marTop w:val="0"/>
      <w:marBottom w:val="0"/>
      <w:divBdr>
        <w:top w:val="none" w:sz="0" w:space="0" w:color="auto"/>
        <w:left w:val="none" w:sz="0" w:space="0" w:color="auto"/>
        <w:bottom w:val="none" w:sz="0" w:space="0" w:color="auto"/>
        <w:right w:val="none" w:sz="0" w:space="0" w:color="auto"/>
      </w:divBdr>
    </w:div>
    <w:div w:id="1420827275">
      <w:bodyDiv w:val="1"/>
      <w:marLeft w:val="0"/>
      <w:marRight w:val="0"/>
      <w:marTop w:val="0"/>
      <w:marBottom w:val="0"/>
      <w:divBdr>
        <w:top w:val="none" w:sz="0" w:space="0" w:color="auto"/>
        <w:left w:val="none" w:sz="0" w:space="0" w:color="auto"/>
        <w:bottom w:val="none" w:sz="0" w:space="0" w:color="auto"/>
        <w:right w:val="none" w:sz="0" w:space="0" w:color="auto"/>
      </w:divBdr>
    </w:div>
    <w:div w:id="1430466952">
      <w:bodyDiv w:val="1"/>
      <w:marLeft w:val="0"/>
      <w:marRight w:val="0"/>
      <w:marTop w:val="0"/>
      <w:marBottom w:val="0"/>
      <w:divBdr>
        <w:top w:val="none" w:sz="0" w:space="0" w:color="auto"/>
        <w:left w:val="none" w:sz="0" w:space="0" w:color="auto"/>
        <w:bottom w:val="none" w:sz="0" w:space="0" w:color="auto"/>
        <w:right w:val="none" w:sz="0" w:space="0" w:color="auto"/>
      </w:divBdr>
    </w:div>
    <w:div w:id="1445728952">
      <w:bodyDiv w:val="1"/>
      <w:marLeft w:val="0"/>
      <w:marRight w:val="0"/>
      <w:marTop w:val="0"/>
      <w:marBottom w:val="0"/>
      <w:divBdr>
        <w:top w:val="none" w:sz="0" w:space="0" w:color="auto"/>
        <w:left w:val="none" w:sz="0" w:space="0" w:color="auto"/>
        <w:bottom w:val="none" w:sz="0" w:space="0" w:color="auto"/>
        <w:right w:val="none" w:sz="0" w:space="0" w:color="auto"/>
      </w:divBdr>
    </w:div>
    <w:div w:id="1451051791">
      <w:bodyDiv w:val="1"/>
      <w:marLeft w:val="0"/>
      <w:marRight w:val="0"/>
      <w:marTop w:val="0"/>
      <w:marBottom w:val="0"/>
      <w:divBdr>
        <w:top w:val="none" w:sz="0" w:space="0" w:color="auto"/>
        <w:left w:val="none" w:sz="0" w:space="0" w:color="auto"/>
        <w:bottom w:val="none" w:sz="0" w:space="0" w:color="auto"/>
        <w:right w:val="none" w:sz="0" w:space="0" w:color="auto"/>
      </w:divBdr>
    </w:div>
    <w:div w:id="1458259068">
      <w:bodyDiv w:val="1"/>
      <w:marLeft w:val="0"/>
      <w:marRight w:val="0"/>
      <w:marTop w:val="0"/>
      <w:marBottom w:val="0"/>
      <w:divBdr>
        <w:top w:val="none" w:sz="0" w:space="0" w:color="auto"/>
        <w:left w:val="none" w:sz="0" w:space="0" w:color="auto"/>
        <w:bottom w:val="none" w:sz="0" w:space="0" w:color="auto"/>
        <w:right w:val="none" w:sz="0" w:space="0" w:color="auto"/>
      </w:divBdr>
    </w:div>
    <w:div w:id="1462386945">
      <w:bodyDiv w:val="1"/>
      <w:marLeft w:val="0"/>
      <w:marRight w:val="0"/>
      <w:marTop w:val="0"/>
      <w:marBottom w:val="0"/>
      <w:divBdr>
        <w:top w:val="none" w:sz="0" w:space="0" w:color="auto"/>
        <w:left w:val="none" w:sz="0" w:space="0" w:color="auto"/>
        <w:bottom w:val="none" w:sz="0" w:space="0" w:color="auto"/>
        <w:right w:val="none" w:sz="0" w:space="0" w:color="auto"/>
      </w:divBdr>
    </w:div>
    <w:div w:id="1466462692">
      <w:bodyDiv w:val="1"/>
      <w:marLeft w:val="0"/>
      <w:marRight w:val="0"/>
      <w:marTop w:val="0"/>
      <w:marBottom w:val="0"/>
      <w:divBdr>
        <w:top w:val="none" w:sz="0" w:space="0" w:color="auto"/>
        <w:left w:val="none" w:sz="0" w:space="0" w:color="auto"/>
        <w:bottom w:val="none" w:sz="0" w:space="0" w:color="auto"/>
        <w:right w:val="none" w:sz="0" w:space="0" w:color="auto"/>
      </w:divBdr>
    </w:div>
    <w:div w:id="1470055057">
      <w:bodyDiv w:val="1"/>
      <w:marLeft w:val="0"/>
      <w:marRight w:val="0"/>
      <w:marTop w:val="0"/>
      <w:marBottom w:val="0"/>
      <w:divBdr>
        <w:top w:val="none" w:sz="0" w:space="0" w:color="auto"/>
        <w:left w:val="none" w:sz="0" w:space="0" w:color="auto"/>
        <w:bottom w:val="none" w:sz="0" w:space="0" w:color="auto"/>
        <w:right w:val="none" w:sz="0" w:space="0" w:color="auto"/>
      </w:divBdr>
    </w:div>
    <w:div w:id="1472013677">
      <w:bodyDiv w:val="1"/>
      <w:marLeft w:val="0"/>
      <w:marRight w:val="0"/>
      <w:marTop w:val="0"/>
      <w:marBottom w:val="0"/>
      <w:divBdr>
        <w:top w:val="none" w:sz="0" w:space="0" w:color="auto"/>
        <w:left w:val="none" w:sz="0" w:space="0" w:color="auto"/>
        <w:bottom w:val="none" w:sz="0" w:space="0" w:color="auto"/>
        <w:right w:val="none" w:sz="0" w:space="0" w:color="auto"/>
      </w:divBdr>
    </w:div>
    <w:div w:id="1487554004">
      <w:bodyDiv w:val="1"/>
      <w:marLeft w:val="0"/>
      <w:marRight w:val="0"/>
      <w:marTop w:val="0"/>
      <w:marBottom w:val="0"/>
      <w:divBdr>
        <w:top w:val="none" w:sz="0" w:space="0" w:color="auto"/>
        <w:left w:val="none" w:sz="0" w:space="0" w:color="auto"/>
        <w:bottom w:val="none" w:sz="0" w:space="0" w:color="auto"/>
        <w:right w:val="none" w:sz="0" w:space="0" w:color="auto"/>
      </w:divBdr>
    </w:div>
    <w:div w:id="1488548911">
      <w:bodyDiv w:val="1"/>
      <w:marLeft w:val="0"/>
      <w:marRight w:val="0"/>
      <w:marTop w:val="0"/>
      <w:marBottom w:val="0"/>
      <w:divBdr>
        <w:top w:val="none" w:sz="0" w:space="0" w:color="auto"/>
        <w:left w:val="none" w:sz="0" w:space="0" w:color="auto"/>
        <w:bottom w:val="none" w:sz="0" w:space="0" w:color="auto"/>
        <w:right w:val="none" w:sz="0" w:space="0" w:color="auto"/>
      </w:divBdr>
    </w:div>
    <w:div w:id="1494950987">
      <w:bodyDiv w:val="1"/>
      <w:marLeft w:val="0"/>
      <w:marRight w:val="0"/>
      <w:marTop w:val="0"/>
      <w:marBottom w:val="0"/>
      <w:divBdr>
        <w:top w:val="none" w:sz="0" w:space="0" w:color="auto"/>
        <w:left w:val="none" w:sz="0" w:space="0" w:color="auto"/>
        <w:bottom w:val="none" w:sz="0" w:space="0" w:color="auto"/>
        <w:right w:val="none" w:sz="0" w:space="0" w:color="auto"/>
      </w:divBdr>
    </w:div>
    <w:div w:id="1495804929">
      <w:bodyDiv w:val="1"/>
      <w:marLeft w:val="0"/>
      <w:marRight w:val="0"/>
      <w:marTop w:val="0"/>
      <w:marBottom w:val="0"/>
      <w:divBdr>
        <w:top w:val="none" w:sz="0" w:space="0" w:color="auto"/>
        <w:left w:val="none" w:sz="0" w:space="0" w:color="auto"/>
        <w:bottom w:val="none" w:sz="0" w:space="0" w:color="auto"/>
        <w:right w:val="none" w:sz="0" w:space="0" w:color="auto"/>
      </w:divBdr>
    </w:div>
    <w:div w:id="1498231417">
      <w:bodyDiv w:val="1"/>
      <w:marLeft w:val="0"/>
      <w:marRight w:val="0"/>
      <w:marTop w:val="0"/>
      <w:marBottom w:val="0"/>
      <w:divBdr>
        <w:top w:val="none" w:sz="0" w:space="0" w:color="auto"/>
        <w:left w:val="none" w:sz="0" w:space="0" w:color="auto"/>
        <w:bottom w:val="none" w:sz="0" w:space="0" w:color="auto"/>
        <w:right w:val="none" w:sz="0" w:space="0" w:color="auto"/>
      </w:divBdr>
    </w:div>
    <w:div w:id="1499151913">
      <w:bodyDiv w:val="1"/>
      <w:marLeft w:val="0"/>
      <w:marRight w:val="0"/>
      <w:marTop w:val="0"/>
      <w:marBottom w:val="0"/>
      <w:divBdr>
        <w:top w:val="none" w:sz="0" w:space="0" w:color="auto"/>
        <w:left w:val="none" w:sz="0" w:space="0" w:color="auto"/>
        <w:bottom w:val="none" w:sz="0" w:space="0" w:color="auto"/>
        <w:right w:val="none" w:sz="0" w:space="0" w:color="auto"/>
      </w:divBdr>
    </w:div>
    <w:div w:id="1506478879">
      <w:bodyDiv w:val="1"/>
      <w:marLeft w:val="0"/>
      <w:marRight w:val="0"/>
      <w:marTop w:val="0"/>
      <w:marBottom w:val="0"/>
      <w:divBdr>
        <w:top w:val="none" w:sz="0" w:space="0" w:color="auto"/>
        <w:left w:val="none" w:sz="0" w:space="0" w:color="auto"/>
        <w:bottom w:val="none" w:sz="0" w:space="0" w:color="auto"/>
        <w:right w:val="none" w:sz="0" w:space="0" w:color="auto"/>
      </w:divBdr>
    </w:div>
    <w:div w:id="1523938162">
      <w:bodyDiv w:val="1"/>
      <w:marLeft w:val="0"/>
      <w:marRight w:val="0"/>
      <w:marTop w:val="0"/>
      <w:marBottom w:val="0"/>
      <w:divBdr>
        <w:top w:val="none" w:sz="0" w:space="0" w:color="auto"/>
        <w:left w:val="none" w:sz="0" w:space="0" w:color="auto"/>
        <w:bottom w:val="none" w:sz="0" w:space="0" w:color="auto"/>
        <w:right w:val="none" w:sz="0" w:space="0" w:color="auto"/>
      </w:divBdr>
    </w:div>
    <w:div w:id="1526673131">
      <w:bodyDiv w:val="1"/>
      <w:marLeft w:val="0"/>
      <w:marRight w:val="0"/>
      <w:marTop w:val="0"/>
      <w:marBottom w:val="0"/>
      <w:divBdr>
        <w:top w:val="none" w:sz="0" w:space="0" w:color="auto"/>
        <w:left w:val="none" w:sz="0" w:space="0" w:color="auto"/>
        <w:bottom w:val="none" w:sz="0" w:space="0" w:color="auto"/>
        <w:right w:val="none" w:sz="0" w:space="0" w:color="auto"/>
      </w:divBdr>
    </w:div>
    <w:div w:id="1538544422">
      <w:bodyDiv w:val="1"/>
      <w:marLeft w:val="0"/>
      <w:marRight w:val="0"/>
      <w:marTop w:val="0"/>
      <w:marBottom w:val="0"/>
      <w:divBdr>
        <w:top w:val="none" w:sz="0" w:space="0" w:color="auto"/>
        <w:left w:val="none" w:sz="0" w:space="0" w:color="auto"/>
        <w:bottom w:val="none" w:sz="0" w:space="0" w:color="auto"/>
        <w:right w:val="none" w:sz="0" w:space="0" w:color="auto"/>
      </w:divBdr>
    </w:div>
    <w:div w:id="1564676643">
      <w:bodyDiv w:val="1"/>
      <w:marLeft w:val="0"/>
      <w:marRight w:val="0"/>
      <w:marTop w:val="0"/>
      <w:marBottom w:val="0"/>
      <w:divBdr>
        <w:top w:val="none" w:sz="0" w:space="0" w:color="auto"/>
        <w:left w:val="none" w:sz="0" w:space="0" w:color="auto"/>
        <w:bottom w:val="none" w:sz="0" w:space="0" w:color="auto"/>
        <w:right w:val="none" w:sz="0" w:space="0" w:color="auto"/>
      </w:divBdr>
    </w:div>
    <w:div w:id="1568297607">
      <w:bodyDiv w:val="1"/>
      <w:marLeft w:val="0"/>
      <w:marRight w:val="0"/>
      <w:marTop w:val="0"/>
      <w:marBottom w:val="0"/>
      <w:divBdr>
        <w:top w:val="none" w:sz="0" w:space="0" w:color="auto"/>
        <w:left w:val="none" w:sz="0" w:space="0" w:color="auto"/>
        <w:bottom w:val="none" w:sz="0" w:space="0" w:color="auto"/>
        <w:right w:val="none" w:sz="0" w:space="0" w:color="auto"/>
      </w:divBdr>
    </w:div>
    <w:div w:id="1570652231">
      <w:bodyDiv w:val="1"/>
      <w:marLeft w:val="0"/>
      <w:marRight w:val="0"/>
      <w:marTop w:val="0"/>
      <w:marBottom w:val="0"/>
      <w:divBdr>
        <w:top w:val="none" w:sz="0" w:space="0" w:color="auto"/>
        <w:left w:val="none" w:sz="0" w:space="0" w:color="auto"/>
        <w:bottom w:val="none" w:sz="0" w:space="0" w:color="auto"/>
        <w:right w:val="none" w:sz="0" w:space="0" w:color="auto"/>
      </w:divBdr>
    </w:div>
    <w:div w:id="1572886952">
      <w:bodyDiv w:val="1"/>
      <w:marLeft w:val="0"/>
      <w:marRight w:val="0"/>
      <w:marTop w:val="0"/>
      <w:marBottom w:val="0"/>
      <w:divBdr>
        <w:top w:val="none" w:sz="0" w:space="0" w:color="auto"/>
        <w:left w:val="none" w:sz="0" w:space="0" w:color="auto"/>
        <w:bottom w:val="none" w:sz="0" w:space="0" w:color="auto"/>
        <w:right w:val="none" w:sz="0" w:space="0" w:color="auto"/>
      </w:divBdr>
    </w:div>
    <w:div w:id="1579435160">
      <w:bodyDiv w:val="1"/>
      <w:marLeft w:val="0"/>
      <w:marRight w:val="0"/>
      <w:marTop w:val="0"/>
      <w:marBottom w:val="0"/>
      <w:divBdr>
        <w:top w:val="none" w:sz="0" w:space="0" w:color="auto"/>
        <w:left w:val="none" w:sz="0" w:space="0" w:color="auto"/>
        <w:bottom w:val="none" w:sz="0" w:space="0" w:color="auto"/>
        <w:right w:val="none" w:sz="0" w:space="0" w:color="auto"/>
      </w:divBdr>
    </w:div>
    <w:div w:id="1580476472">
      <w:bodyDiv w:val="1"/>
      <w:marLeft w:val="0"/>
      <w:marRight w:val="0"/>
      <w:marTop w:val="0"/>
      <w:marBottom w:val="0"/>
      <w:divBdr>
        <w:top w:val="none" w:sz="0" w:space="0" w:color="auto"/>
        <w:left w:val="none" w:sz="0" w:space="0" w:color="auto"/>
        <w:bottom w:val="none" w:sz="0" w:space="0" w:color="auto"/>
        <w:right w:val="none" w:sz="0" w:space="0" w:color="auto"/>
      </w:divBdr>
    </w:div>
    <w:div w:id="1584334321">
      <w:bodyDiv w:val="1"/>
      <w:marLeft w:val="0"/>
      <w:marRight w:val="0"/>
      <w:marTop w:val="0"/>
      <w:marBottom w:val="0"/>
      <w:divBdr>
        <w:top w:val="none" w:sz="0" w:space="0" w:color="auto"/>
        <w:left w:val="none" w:sz="0" w:space="0" w:color="auto"/>
        <w:bottom w:val="none" w:sz="0" w:space="0" w:color="auto"/>
        <w:right w:val="none" w:sz="0" w:space="0" w:color="auto"/>
      </w:divBdr>
    </w:div>
    <w:div w:id="1586569928">
      <w:bodyDiv w:val="1"/>
      <w:marLeft w:val="0"/>
      <w:marRight w:val="0"/>
      <w:marTop w:val="0"/>
      <w:marBottom w:val="0"/>
      <w:divBdr>
        <w:top w:val="none" w:sz="0" w:space="0" w:color="auto"/>
        <w:left w:val="none" w:sz="0" w:space="0" w:color="auto"/>
        <w:bottom w:val="none" w:sz="0" w:space="0" w:color="auto"/>
        <w:right w:val="none" w:sz="0" w:space="0" w:color="auto"/>
      </w:divBdr>
    </w:div>
    <w:div w:id="1586720842">
      <w:bodyDiv w:val="1"/>
      <w:marLeft w:val="0"/>
      <w:marRight w:val="0"/>
      <w:marTop w:val="0"/>
      <w:marBottom w:val="0"/>
      <w:divBdr>
        <w:top w:val="none" w:sz="0" w:space="0" w:color="auto"/>
        <w:left w:val="none" w:sz="0" w:space="0" w:color="auto"/>
        <w:bottom w:val="none" w:sz="0" w:space="0" w:color="auto"/>
        <w:right w:val="none" w:sz="0" w:space="0" w:color="auto"/>
      </w:divBdr>
    </w:div>
    <w:div w:id="1591159124">
      <w:bodyDiv w:val="1"/>
      <w:marLeft w:val="0"/>
      <w:marRight w:val="0"/>
      <w:marTop w:val="0"/>
      <w:marBottom w:val="0"/>
      <w:divBdr>
        <w:top w:val="none" w:sz="0" w:space="0" w:color="auto"/>
        <w:left w:val="none" w:sz="0" w:space="0" w:color="auto"/>
        <w:bottom w:val="none" w:sz="0" w:space="0" w:color="auto"/>
        <w:right w:val="none" w:sz="0" w:space="0" w:color="auto"/>
      </w:divBdr>
    </w:div>
    <w:div w:id="1596479180">
      <w:bodyDiv w:val="1"/>
      <w:marLeft w:val="0"/>
      <w:marRight w:val="0"/>
      <w:marTop w:val="0"/>
      <w:marBottom w:val="0"/>
      <w:divBdr>
        <w:top w:val="none" w:sz="0" w:space="0" w:color="auto"/>
        <w:left w:val="none" w:sz="0" w:space="0" w:color="auto"/>
        <w:bottom w:val="none" w:sz="0" w:space="0" w:color="auto"/>
        <w:right w:val="none" w:sz="0" w:space="0" w:color="auto"/>
      </w:divBdr>
    </w:div>
    <w:div w:id="1603996766">
      <w:bodyDiv w:val="1"/>
      <w:marLeft w:val="0"/>
      <w:marRight w:val="0"/>
      <w:marTop w:val="0"/>
      <w:marBottom w:val="0"/>
      <w:divBdr>
        <w:top w:val="none" w:sz="0" w:space="0" w:color="auto"/>
        <w:left w:val="none" w:sz="0" w:space="0" w:color="auto"/>
        <w:bottom w:val="none" w:sz="0" w:space="0" w:color="auto"/>
        <w:right w:val="none" w:sz="0" w:space="0" w:color="auto"/>
      </w:divBdr>
    </w:div>
    <w:div w:id="1613512806">
      <w:bodyDiv w:val="1"/>
      <w:marLeft w:val="0"/>
      <w:marRight w:val="0"/>
      <w:marTop w:val="0"/>
      <w:marBottom w:val="0"/>
      <w:divBdr>
        <w:top w:val="none" w:sz="0" w:space="0" w:color="auto"/>
        <w:left w:val="none" w:sz="0" w:space="0" w:color="auto"/>
        <w:bottom w:val="none" w:sz="0" w:space="0" w:color="auto"/>
        <w:right w:val="none" w:sz="0" w:space="0" w:color="auto"/>
      </w:divBdr>
    </w:div>
    <w:div w:id="1613629106">
      <w:bodyDiv w:val="1"/>
      <w:marLeft w:val="0"/>
      <w:marRight w:val="0"/>
      <w:marTop w:val="0"/>
      <w:marBottom w:val="0"/>
      <w:divBdr>
        <w:top w:val="none" w:sz="0" w:space="0" w:color="auto"/>
        <w:left w:val="none" w:sz="0" w:space="0" w:color="auto"/>
        <w:bottom w:val="none" w:sz="0" w:space="0" w:color="auto"/>
        <w:right w:val="none" w:sz="0" w:space="0" w:color="auto"/>
      </w:divBdr>
    </w:div>
    <w:div w:id="1616207847">
      <w:bodyDiv w:val="1"/>
      <w:marLeft w:val="0"/>
      <w:marRight w:val="0"/>
      <w:marTop w:val="0"/>
      <w:marBottom w:val="0"/>
      <w:divBdr>
        <w:top w:val="none" w:sz="0" w:space="0" w:color="auto"/>
        <w:left w:val="none" w:sz="0" w:space="0" w:color="auto"/>
        <w:bottom w:val="none" w:sz="0" w:space="0" w:color="auto"/>
        <w:right w:val="none" w:sz="0" w:space="0" w:color="auto"/>
      </w:divBdr>
    </w:div>
    <w:div w:id="1617910598">
      <w:bodyDiv w:val="1"/>
      <w:marLeft w:val="0"/>
      <w:marRight w:val="0"/>
      <w:marTop w:val="0"/>
      <w:marBottom w:val="0"/>
      <w:divBdr>
        <w:top w:val="none" w:sz="0" w:space="0" w:color="auto"/>
        <w:left w:val="none" w:sz="0" w:space="0" w:color="auto"/>
        <w:bottom w:val="none" w:sz="0" w:space="0" w:color="auto"/>
        <w:right w:val="none" w:sz="0" w:space="0" w:color="auto"/>
      </w:divBdr>
    </w:div>
    <w:div w:id="1622149121">
      <w:bodyDiv w:val="1"/>
      <w:marLeft w:val="0"/>
      <w:marRight w:val="0"/>
      <w:marTop w:val="0"/>
      <w:marBottom w:val="0"/>
      <w:divBdr>
        <w:top w:val="none" w:sz="0" w:space="0" w:color="auto"/>
        <w:left w:val="none" w:sz="0" w:space="0" w:color="auto"/>
        <w:bottom w:val="none" w:sz="0" w:space="0" w:color="auto"/>
        <w:right w:val="none" w:sz="0" w:space="0" w:color="auto"/>
      </w:divBdr>
    </w:div>
    <w:div w:id="1622611039">
      <w:bodyDiv w:val="1"/>
      <w:marLeft w:val="0"/>
      <w:marRight w:val="0"/>
      <w:marTop w:val="0"/>
      <w:marBottom w:val="0"/>
      <w:divBdr>
        <w:top w:val="none" w:sz="0" w:space="0" w:color="auto"/>
        <w:left w:val="none" w:sz="0" w:space="0" w:color="auto"/>
        <w:bottom w:val="none" w:sz="0" w:space="0" w:color="auto"/>
        <w:right w:val="none" w:sz="0" w:space="0" w:color="auto"/>
      </w:divBdr>
    </w:div>
    <w:div w:id="1625307829">
      <w:bodyDiv w:val="1"/>
      <w:marLeft w:val="0"/>
      <w:marRight w:val="0"/>
      <w:marTop w:val="0"/>
      <w:marBottom w:val="0"/>
      <w:divBdr>
        <w:top w:val="none" w:sz="0" w:space="0" w:color="auto"/>
        <w:left w:val="none" w:sz="0" w:space="0" w:color="auto"/>
        <w:bottom w:val="none" w:sz="0" w:space="0" w:color="auto"/>
        <w:right w:val="none" w:sz="0" w:space="0" w:color="auto"/>
      </w:divBdr>
    </w:div>
    <w:div w:id="1631324993">
      <w:bodyDiv w:val="1"/>
      <w:marLeft w:val="0"/>
      <w:marRight w:val="0"/>
      <w:marTop w:val="0"/>
      <w:marBottom w:val="0"/>
      <w:divBdr>
        <w:top w:val="none" w:sz="0" w:space="0" w:color="auto"/>
        <w:left w:val="none" w:sz="0" w:space="0" w:color="auto"/>
        <w:bottom w:val="none" w:sz="0" w:space="0" w:color="auto"/>
        <w:right w:val="none" w:sz="0" w:space="0" w:color="auto"/>
      </w:divBdr>
    </w:div>
    <w:div w:id="1631588592">
      <w:bodyDiv w:val="1"/>
      <w:marLeft w:val="0"/>
      <w:marRight w:val="0"/>
      <w:marTop w:val="0"/>
      <w:marBottom w:val="0"/>
      <w:divBdr>
        <w:top w:val="none" w:sz="0" w:space="0" w:color="auto"/>
        <w:left w:val="none" w:sz="0" w:space="0" w:color="auto"/>
        <w:bottom w:val="none" w:sz="0" w:space="0" w:color="auto"/>
        <w:right w:val="none" w:sz="0" w:space="0" w:color="auto"/>
      </w:divBdr>
    </w:div>
    <w:div w:id="1634753684">
      <w:bodyDiv w:val="1"/>
      <w:marLeft w:val="0"/>
      <w:marRight w:val="0"/>
      <w:marTop w:val="0"/>
      <w:marBottom w:val="0"/>
      <w:divBdr>
        <w:top w:val="none" w:sz="0" w:space="0" w:color="auto"/>
        <w:left w:val="none" w:sz="0" w:space="0" w:color="auto"/>
        <w:bottom w:val="none" w:sz="0" w:space="0" w:color="auto"/>
        <w:right w:val="none" w:sz="0" w:space="0" w:color="auto"/>
      </w:divBdr>
    </w:div>
    <w:div w:id="1636985171">
      <w:bodyDiv w:val="1"/>
      <w:marLeft w:val="0"/>
      <w:marRight w:val="0"/>
      <w:marTop w:val="0"/>
      <w:marBottom w:val="0"/>
      <w:divBdr>
        <w:top w:val="none" w:sz="0" w:space="0" w:color="auto"/>
        <w:left w:val="none" w:sz="0" w:space="0" w:color="auto"/>
        <w:bottom w:val="none" w:sz="0" w:space="0" w:color="auto"/>
        <w:right w:val="none" w:sz="0" w:space="0" w:color="auto"/>
      </w:divBdr>
    </w:div>
    <w:div w:id="1638029547">
      <w:bodyDiv w:val="1"/>
      <w:marLeft w:val="0"/>
      <w:marRight w:val="0"/>
      <w:marTop w:val="0"/>
      <w:marBottom w:val="0"/>
      <w:divBdr>
        <w:top w:val="none" w:sz="0" w:space="0" w:color="auto"/>
        <w:left w:val="none" w:sz="0" w:space="0" w:color="auto"/>
        <w:bottom w:val="none" w:sz="0" w:space="0" w:color="auto"/>
        <w:right w:val="none" w:sz="0" w:space="0" w:color="auto"/>
      </w:divBdr>
    </w:div>
    <w:div w:id="1646542598">
      <w:bodyDiv w:val="1"/>
      <w:marLeft w:val="0"/>
      <w:marRight w:val="0"/>
      <w:marTop w:val="0"/>
      <w:marBottom w:val="0"/>
      <w:divBdr>
        <w:top w:val="none" w:sz="0" w:space="0" w:color="auto"/>
        <w:left w:val="none" w:sz="0" w:space="0" w:color="auto"/>
        <w:bottom w:val="none" w:sz="0" w:space="0" w:color="auto"/>
        <w:right w:val="none" w:sz="0" w:space="0" w:color="auto"/>
      </w:divBdr>
    </w:div>
    <w:div w:id="1657755786">
      <w:bodyDiv w:val="1"/>
      <w:marLeft w:val="0"/>
      <w:marRight w:val="0"/>
      <w:marTop w:val="0"/>
      <w:marBottom w:val="0"/>
      <w:divBdr>
        <w:top w:val="none" w:sz="0" w:space="0" w:color="auto"/>
        <w:left w:val="none" w:sz="0" w:space="0" w:color="auto"/>
        <w:bottom w:val="none" w:sz="0" w:space="0" w:color="auto"/>
        <w:right w:val="none" w:sz="0" w:space="0" w:color="auto"/>
      </w:divBdr>
    </w:div>
    <w:div w:id="1659769453">
      <w:bodyDiv w:val="1"/>
      <w:marLeft w:val="0"/>
      <w:marRight w:val="0"/>
      <w:marTop w:val="0"/>
      <w:marBottom w:val="0"/>
      <w:divBdr>
        <w:top w:val="none" w:sz="0" w:space="0" w:color="auto"/>
        <w:left w:val="none" w:sz="0" w:space="0" w:color="auto"/>
        <w:bottom w:val="none" w:sz="0" w:space="0" w:color="auto"/>
        <w:right w:val="none" w:sz="0" w:space="0" w:color="auto"/>
      </w:divBdr>
    </w:div>
    <w:div w:id="1669093287">
      <w:bodyDiv w:val="1"/>
      <w:marLeft w:val="0"/>
      <w:marRight w:val="0"/>
      <w:marTop w:val="0"/>
      <w:marBottom w:val="0"/>
      <w:divBdr>
        <w:top w:val="none" w:sz="0" w:space="0" w:color="auto"/>
        <w:left w:val="none" w:sz="0" w:space="0" w:color="auto"/>
        <w:bottom w:val="none" w:sz="0" w:space="0" w:color="auto"/>
        <w:right w:val="none" w:sz="0" w:space="0" w:color="auto"/>
      </w:divBdr>
    </w:div>
    <w:div w:id="1677610207">
      <w:bodyDiv w:val="1"/>
      <w:marLeft w:val="0"/>
      <w:marRight w:val="0"/>
      <w:marTop w:val="0"/>
      <w:marBottom w:val="0"/>
      <w:divBdr>
        <w:top w:val="none" w:sz="0" w:space="0" w:color="auto"/>
        <w:left w:val="none" w:sz="0" w:space="0" w:color="auto"/>
        <w:bottom w:val="none" w:sz="0" w:space="0" w:color="auto"/>
        <w:right w:val="none" w:sz="0" w:space="0" w:color="auto"/>
      </w:divBdr>
    </w:div>
    <w:div w:id="1687826273">
      <w:bodyDiv w:val="1"/>
      <w:marLeft w:val="0"/>
      <w:marRight w:val="0"/>
      <w:marTop w:val="0"/>
      <w:marBottom w:val="0"/>
      <w:divBdr>
        <w:top w:val="none" w:sz="0" w:space="0" w:color="auto"/>
        <w:left w:val="none" w:sz="0" w:space="0" w:color="auto"/>
        <w:bottom w:val="none" w:sz="0" w:space="0" w:color="auto"/>
        <w:right w:val="none" w:sz="0" w:space="0" w:color="auto"/>
      </w:divBdr>
    </w:div>
    <w:div w:id="1691762882">
      <w:bodyDiv w:val="1"/>
      <w:marLeft w:val="0"/>
      <w:marRight w:val="0"/>
      <w:marTop w:val="0"/>
      <w:marBottom w:val="0"/>
      <w:divBdr>
        <w:top w:val="none" w:sz="0" w:space="0" w:color="auto"/>
        <w:left w:val="none" w:sz="0" w:space="0" w:color="auto"/>
        <w:bottom w:val="none" w:sz="0" w:space="0" w:color="auto"/>
        <w:right w:val="none" w:sz="0" w:space="0" w:color="auto"/>
      </w:divBdr>
    </w:div>
    <w:div w:id="1692952191">
      <w:bodyDiv w:val="1"/>
      <w:marLeft w:val="0"/>
      <w:marRight w:val="0"/>
      <w:marTop w:val="0"/>
      <w:marBottom w:val="0"/>
      <w:divBdr>
        <w:top w:val="none" w:sz="0" w:space="0" w:color="auto"/>
        <w:left w:val="none" w:sz="0" w:space="0" w:color="auto"/>
        <w:bottom w:val="none" w:sz="0" w:space="0" w:color="auto"/>
        <w:right w:val="none" w:sz="0" w:space="0" w:color="auto"/>
      </w:divBdr>
    </w:div>
    <w:div w:id="1702971631">
      <w:bodyDiv w:val="1"/>
      <w:marLeft w:val="0"/>
      <w:marRight w:val="0"/>
      <w:marTop w:val="0"/>
      <w:marBottom w:val="0"/>
      <w:divBdr>
        <w:top w:val="none" w:sz="0" w:space="0" w:color="auto"/>
        <w:left w:val="none" w:sz="0" w:space="0" w:color="auto"/>
        <w:bottom w:val="none" w:sz="0" w:space="0" w:color="auto"/>
        <w:right w:val="none" w:sz="0" w:space="0" w:color="auto"/>
      </w:divBdr>
    </w:div>
    <w:div w:id="1705206356">
      <w:bodyDiv w:val="1"/>
      <w:marLeft w:val="0"/>
      <w:marRight w:val="0"/>
      <w:marTop w:val="0"/>
      <w:marBottom w:val="0"/>
      <w:divBdr>
        <w:top w:val="none" w:sz="0" w:space="0" w:color="auto"/>
        <w:left w:val="none" w:sz="0" w:space="0" w:color="auto"/>
        <w:bottom w:val="none" w:sz="0" w:space="0" w:color="auto"/>
        <w:right w:val="none" w:sz="0" w:space="0" w:color="auto"/>
      </w:divBdr>
    </w:div>
    <w:div w:id="1720476938">
      <w:bodyDiv w:val="1"/>
      <w:marLeft w:val="0"/>
      <w:marRight w:val="0"/>
      <w:marTop w:val="0"/>
      <w:marBottom w:val="0"/>
      <w:divBdr>
        <w:top w:val="none" w:sz="0" w:space="0" w:color="auto"/>
        <w:left w:val="none" w:sz="0" w:space="0" w:color="auto"/>
        <w:bottom w:val="none" w:sz="0" w:space="0" w:color="auto"/>
        <w:right w:val="none" w:sz="0" w:space="0" w:color="auto"/>
      </w:divBdr>
    </w:div>
    <w:div w:id="1734157428">
      <w:bodyDiv w:val="1"/>
      <w:marLeft w:val="0"/>
      <w:marRight w:val="0"/>
      <w:marTop w:val="0"/>
      <w:marBottom w:val="0"/>
      <w:divBdr>
        <w:top w:val="none" w:sz="0" w:space="0" w:color="auto"/>
        <w:left w:val="none" w:sz="0" w:space="0" w:color="auto"/>
        <w:bottom w:val="none" w:sz="0" w:space="0" w:color="auto"/>
        <w:right w:val="none" w:sz="0" w:space="0" w:color="auto"/>
      </w:divBdr>
    </w:div>
    <w:div w:id="1740903113">
      <w:bodyDiv w:val="1"/>
      <w:marLeft w:val="0"/>
      <w:marRight w:val="0"/>
      <w:marTop w:val="0"/>
      <w:marBottom w:val="0"/>
      <w:divBdr>
        <w:top w:val="none" w:sz="0" w:space="0" w:color="auto"/>
        <w:left w:val="none" w:sz="0" w:space="0" w:color="auto"/>
        <w:bottom w:val="none" w:sz="0" w:space="0" w:color="auto"/>
        <w:right w:val="none" w:sz="0" w:space="0" w:color="auto"/>
      </w:divBdr>
    </w:div>
    <w:div w:id="1741245093">
      <w:bodyDiv w:val="1"/>
      <w:marLeft w:val="0"/>
      <w:marRight w:val="0"/>
      <w:marTop w:val="0"/>
      <w:marBottom w:val="0"/>
      <w:divBdr>
        <w:top w:val="none" w:sz="0" w:space="0" w:color="auto"/>
        <w:left w:val="none" w:sz="0" w:space="0" w:color="auto"/>
        <w:bottom w:val="none" w:sz="0" w:space="0" w:color="auto"/>
        <w:right w:val="none" w:sz="0" w:space="0" w:color="auto"/>
      </w:divBdr>
    </w:div>
    <w:div w:id="1754424407">
      <w:bodyDiv w:val="1"/>
      <w:marLeft w:val="0"/>
      <w:marRight w:val="0"/>
      <w:marTop w:val="0"/>
      <w:marBottom w:val="0"/>
      <w:divBdr>
        <w:top w:val="none" w:sz="0" w:space="0" w:color="auto"/>
        <w:left w:val="none" w:sz="0" w:space="0" w:color="auto"/>
        <w:bottom w:val="none" w:sz="0" w:space="0" w:color="auto"/>
        <w:right w:val="none" w:sz="0" w:space="0" w:color="auto"/>
      </w:divBdr>
    </w:div>
    <w:div w:id="1760784781">
      <w:bodyDiv w:val="1"/>
      <w:marLeft w:val="0"/>
      <w:marRight w:val="0"/>
      <w:marTop w:val="0"/>
      <w:marBottom w:val="0"/>
      <w:divBdr>
        <w:top w:val="none" w:sz="0" w:space="0" w:color="auto"/>
        <w:left w:val="none" w:sz="0" w:space="0" w:color="auto"/>
        <w:bottom w:val="none" w:sz="0" w:space="0" w:color="auto"/>
        <w:right w:val="none" w:sz="0" w:space="0" w:color="auto"/>
      </w:divBdr>
    </w:div>
    <w:div w:id="1768454207">
      <w:bodyDiv w:val="1"/>
      <w:marLeft w:val="0"/>
      <w:marRight w:val="0"/>
      <w:marTop w:val="0"/>
      <w:marBottom w:val="0"/>
      <w:divBdr>
        <w:top w:val="none" w:sz="0" w:space="0" w:color="auto"/>
        <w:left w:val="none" w:sz="0" w:space="0" w:color="auto"/>
        <w:bottom w:val="none" w:sz="0" w:space="0" w:color="auto"/>
        <w:right w:val="none" w:sz="0" w:space="0" w:color="auto"/>
      </w:divBdr>
    </w:div>
    <w:div w:id="1776822803">
      <w:bodyDiv w:val="1"/>
      <w:marLeft w:val="0"/>
      <w:marRight w:val="0"/>
      <w:marTop w:val="0"/>
      <w:marBottom w:val="0"/>
      <w:divBdr>
        <w:top w:val="none" w:sz="0" w:space="0" w:color="auto"/>
        <w:left w:val="none" w:sz="0" w:space="0" w:color="auto"/>
        <w:bottom w:val="none" w:sz="0" w:space="0" w:color="auto"/>
        <w:right w:val="none" w:sz="0" w:space="0" w:color="auto"/>
      </w:divBdr>
    </w:div>
    <w:div w:id="1779639655">
      <w:bodyDiv w:val="1"/>
      <w:marLeft w:val="0"/>
      <w:marRight w:val="0"/>
      <w:marTop w:val="0"/>
      <w:marBottom w:val="0"/>
      <w:divBdr>
        <w:top w:val="none" w:sz="0" w:space="0" w:color="auto"/>
        <w:left w:val="none" w:sz="0" w:space="0" w:color="auto"/>
        <w:bottom w:val="none" w:sz="0" w:space="0" w:color="auto"/>
        <w:right w:val="none" w:sz="0" w:space="0" w:color="auto"/>
      </w:divBdr>
    </w:div>
    <w:div w:id="1783845417">
      <w:bodyDiv w:val="1"/>
      <w:marLeft w:val="0"/>
      <w:marRight w:val="0"/>
      <w:marTop w:val="0"/>
      <w:marBottom w:val="0"/>
      <w:divBdr>
        <w:top w:val="none" w:sz="0" w:space="0" w:color="auto"/>
        <w:left w:val="none" w:sz="0" w:space="0" w:color="auto"/>
        <w:bottom w:val="none" w:sz="0" w:space="0" w:color="auto"/>
        <w:right w:val="none" w:sz="0" w:space="0" w:color="auto"/>
      </w:divBdr>
    </w:div>
    <w:div w:id="1784181154">
      <w:bodyDiv w:val="1"/>
      <w:marLeft w:val="0"/>
      <w:marRight w:val="0"/>
      <w:marTop w:val="0"/>
      <w:marBottom w:val="0"/>
      <w:divBdr>
        <w:top w:val="none" w:sz="0" w:space="0" w:color="auto"/>
        <w:left w:val="none" w:sz="0" w:space="0" w:color="auto"/>
        <w:bottom w:val="none" w:sz="0" w:space="0" w:color="auto"/>
        <w:right w:val="none" w:sz="0" w:space="0" w:color="auto"/>
      </w:divBdr>
    </w:div>
    <w:div w:id="1787503910">
      <w:bodyDiv w:val="1"/>
      <w:marLeft w:val="0"/>
      <w:marRight w:val="0"/>
      <w:marTop w:val="0"/>
      <w:marBottom w:val="0"/>
      <w:divBdr>
        <w:top w:val="none" w:sz="0" w:space="0" w:color="auto"/>
        <w:left w:val="none" w:sz="0" w:space="0" w:color="auto"/>
        <w:bottom w:val="none" w:sz="0" w:space="0" w:color="auto"/>
        <w:right w:val="none" w:sz="0" w:space="0" w:color="auto"/>
      </w:divBdr>
    </w:div>
    <w:div w:id="1791246922">
      <w:bodyDiv w:val="1"/>
      <w:marLeft w:val="0"/>
      <w:marRight w:val="0"/>
      <w:marTop w:val="0"/>
      <w:marBottom w:val="0"/>
      <w:divBdr>
        <w:top w:val="none" w:sz="0" w:space="0" w:color="auto"/>
        <w:left w:val="none" w:sz="0" w:space="0" w:color="auto"/>
        <w:bottom w:val="none" w:sz="0" w:space="0" w:color="auto"/>
        <w:right w:val="none" w:sz="0" w:space="0" w:color="auto"/>
      </w:divBdr>
    </w:div>
    <w:div w:id="1796093498">
      <w:bodyDiv w:val="1"/>
      <w:marLeft w:val="0"/>
      <w:marRight w:val="0"/>
      <w:marTop w:val="0"/>
      <w:marBottom w:val="0"/>
      <w:divBdr>
        <w:top w:val="none" w:sz="0" w:space="0" w:color="auto"/>
        <w:left w:val="none" w:sz="0" w:space="0" w:color="auto"/>
        <w:bottom w:val="none" w:sz="0" w:space="0" w:color="auto"/>
        <w:right w:val="none" w:sz="0" w:space="0" w:color="auto"/>
      </w:divBdr>
    </w:div>
    <w:div w:id="1804613479">
      <w:bodyDiv w:val="1"/>
      <w:marLeft w:val="0"/>
      <w:marRight w:val="0"/>
      <w:marTop w:val="0"/>
      <w:marBottom w:val="0"/>
      <w:divBdr>
        <w:top w:val="none" w:sz="0" w:space="0" w:color="auto"/>
        <w:left w:val="none" w:sz="0" w:space="0" w:color="auto"/>
        <w:bottom w:val="none" w:sz="0" w:space="0" w:color="auto"/>
        <w:right w:val="none" w:sz="0" w:space="0" w:color="auto"/>
      </w:divBdr>
    </w:div>
    <w:div w:id="1810316366">
      <w:bodyDiv w:val="1"/>
      <w:marLeft w:val="0"/>
      <w:marRight w:val="0"/>
      <w:marTop w:val="0"/>
      <w:marBottom w:val="0"/>
      <w:divBdr>
        <w:top w:val="none" w:sz="0" w:space="0" w:color="auto"/>
        <w:left w:val="none" w:sz="0" w:space="0" w:color="auto"/>
        <w:bottom w:val="none" w:sz="0" w:space="0" w:color="auto"/>
        <w:right w:val="none" w:sz="0" w:space="0" w:color="auto"/>
      </w:divBdr>
    </w:div>
    <w:div w:id="1818641096">
      <w:bodyDiv w:val="1"/>
      <w:marLeft w:val="0"/>
      <w:marRight w:val="0"/>
      <w:marTop w:val="0"/>
      <w:marBottom w:val="0"/>
      <w:divBdr>
        <w:top w:val="none" w:sz="0" w:space="0" w:color="auto"/>
        <w:left w:val="none" w:sz="0" w:space="0" w:color="auto"/>
        <w:bottom w:val="none" w:sz="0" w:space="0" w:color="auto"/>
        <w:right w:val="none" w:sz="0" w:space="0" w:color="auto"/>
      </w:divBdr>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
    <w:div w:id="1829126338">
      <w:bodyDiv w:val="1"/>
      <w:marLeft w:val="0"/>
      <w:marRight w:val="0"/>
      <w:marTop w:val="0"/>
      <w:marBottom w:val="0"/>
      <w:divBdr>
        <w:top w:val="none" w:sz="0" w:space="0" w:color="auto"/>
        <w:left w:val="none" w:sz="0" w:space="0" w:color="auto"/>
        <w:bottom w:val="none" w:sz="0" w:space="0" w:color="auto"/>
        <w:right w:val="none" w:sz="0" w:space="0" w:color="auto"/>
      </w:divBdr>
    </w:div>
    <w:div w:id="1836260819">
      <w:bodyDiv w:val="1"/>
      <w:marLeft w:val="0"/>
      <w:marRight w:val="0"/>
      <w:marTop w:val="0"/>
      <w:marBottom w:val="0"/>
      <w:divBdr>
        <w:top w:val="none" w:sz="0" w:space="0" w:color="auto"/>
        <w:left w:val="none" w:sz="0" w:space="0" w:color="auto"/>
        <w:bottom w:val="none" w:sz="0" w:space="0" w:color="auto"/>
        <w:right w:val="none" w:sz="0" w:space="0" w:color="auto"/>
      </w:divBdr>
    </w:div>
    <w:div w:id="1836409201">
      <w:bodyDiv w:val="1"/>
      <w:marLeft w:val="0"/>
      <w:marRight w:val="0"/>
      <w:marTop w:val="0"/>
      <w:marBottom w:val="0"/>
      <w:divBdr>
        <w:top w:val="none" w:sz="0" w:space="0" w:color="auto"/>
        <w:left w:val="none" w:sz="0" w:space="0" w:color="auto"/>
        <w:bottom w:val="none" w:sz="0" w:space="0" w:color="auto"/>
        <w:right w:val="none" w:sz="0" w:space="0" w:color="auto"/>
      </w:divBdr>
    </w:div>
    <w:div w:id="1837070362">
      <w:bodyDiv w:val="1"/>
      <w:marLeft w:val="0"/>
      <w:marRight w:val="0"/>
      <w:marTop w:val="0"/>
      <w:marBottom w:val="0"/>
      <w:divBdr>
        <w:top w:val="none" w:sz="0" w:space="0" w:color="auto"/>
        <w:left w:val="none" w:sz="0" w:space="0" w:color="auto"/>
        <w:bottom w:val="none" w:sz="0" w:space="0" w:color="auto"/>
        <w:right w:val="none" w:sz="0" w:space="0" w:color="auto"/>
      </w:divBdr>
    </w:div>
    <w:div w:id="1840660755">
      <w:bodyDiv w:val="1"/>
      <w:marLeft w:val="0"/>
      <w:marRight w:val="0"/>
      <w:marTop w:val="0"/>
      <w:marBottom w:val="0"/>
      <w:divBdr>
        <w:top w:val="none" w:sz="0" w:space="0" w:color="auto"/>
        <w:left w:val="none" w:sz="0" w:space="0" w:color="auto"/>
        <w:bottom w:val="none" w:sz="0" w:space="0" w:color="auto"/>
        <w:right w:val="none" w:sz="0" w:space="0" w:color="auto"/>
      </w:divBdr>
    </w:div>
    <w:div w:id="1866137709">
      <w:bodyDiv w:val="1"/>
      <w:marLeft w:val="0"/>
      <w:marRight w:val="0"/>
      <w:marTop w:val="0"/>
      <w:marBottom w:val="0"/>
      <w:divBdr>
        <w:top w:val="none" w:sz="0" w:space="0" w:color="auto"/>
        <w:left w:val="none" w:sz="0" w:space="0" w:color="auto"/>
        <w:bottom w:val="none" w:sz="0" w:space="0" w:color="auto"/>
        <w:right w:val="none" w:sz="0" w:space="0" w:color="auto"/>
      </w:divBdr>
    </w:div>
    <w:div w:id="1881938268">
      <w:bodyDiv w:val="1"/>
      <w:marLeft w:val="0"/>
      <w:marRight w:val="0"/>
      <w:marTop w:val="0"/>
      <w:marBottom w:val="0"/>
      <w:divBdr>
        <w:top w:val="none" w:sz="0" w:space="0" w:color="auto"/>
        <w:left w:val="none" w:sz="0" w:space="0" w:color="auto"/>
        <w:bottom w:val="none" w:sz="0" w:space="0" w:color="auto"/>
        <w:right w:val="none" w:sz="0" w:space="0" w:color="auto"/>
      </w:divBdr>
    </w:div>
    <w:div w:id="1884173785">
      <w:bodyDiv w:val="1"/>
      <w:marLeft w:val="0"/>
      <w:marRight w:val="0"/>
      <w:marTop w:val="0"/>
      <w:marBottom w:val="0"/>
      <w:divBdr>
        <w:top w:val="none" w:sz="0" w:space="0" w:color="auto"/>
        <w:left w:val="none" w:sz="0" w:space="0" w:color="auto"/>
        <w:bottom w:val="none" w:sz="0" w:space="0" w:color="auto"/>
        <w:right w:val="none" w:sz="0" w:space="0" w:color="auto"/>
      </w:divBdr>
    </w:div>
    <w:div w:id="1884755325">
      <w:bodyDiv w:val="1"/>
      <w:marLeft w:val="0"/>
      <w:marRight w:val="0"/>
      <w:marTop w:val="0"/>
      <w:marBottom w:val="0"/>
      <w:divBdr>
        <w:top w:val="none" w:sz="0" w:space="0" w:color="auto"/>
        <w:left w:val="none" w:sz="0" w:space="0" w:color="auto"/>
        <w:bottom w:val="none" w:sz="0" w:space="0" w:color="auto"/>
        <w:right w:val="none" w:sz="0" w:space="0" w:color="auto"/>
      </w:divBdr>
    </w:div>
    <w:div w:id="1895503260">
      <w:bodyDiv w:val="1"/>
      <w:marLeft w:val="0"/>
      <w:marRight w:val="0"/>
      <w:marTop w:val="0"/>
      <w:marBottom w:val="0"/>
      <w:divBdr>
        <w:top w:val="none" w:sz="0" w:space="0" w:color="auto"/>
        <w:left w:val="none" w:sz="0" w:space="0" w:color="auto"/>
        <w:bottom w:val="none" w:sz="0" w:space="0" w:color="auto"/>
        <w:right w:val="none" w:sz="0" w:space="0" w:color="auto"/>
      </w:divBdr>
    </w:div>
    <w:div w:id="1897203175">
      <w:bodyDiv w:val="1"/>
      <w:marLeft w:val="0"/>
      <w:marRight w:val="0"/>
      <w:marTop w:val="0"/>
      <w:marBottom w:val="0"/>
      <w:divBdr>
        <w:top w:val="none" w:sz="0" w:space="0" w:color="auto"/>
        <w:left w:val="none" w:sz="0" w:space="0" w:color="auto"/>
        <w:bottom w:val="none" w:sz="0" w:space="0" w:color="auto"/>
        <w:right w:val="none" w:sz="0" w:space="0" w:color="auto"/>
      </w:divBdr>
    </w:div>
    <w:div w:id="1898516738">
      <w:bodyDiv w:val="1"/>
      <w:marLeft w:val="0"/>
      <w:marRight w:val="0"/>
      <w:marTop w:val="0"/>
      <w:marBottom w:val="0"/>
      <w:divBdr>
        <w:top w:val="none" w:sz="0" w:space="0" w:color="auto"/>
        <w:left w:val="none" w:sz="0" w:space="0" w:color="auto"/>
        <w:bottom w:val="none" w:sz="0" w:space="0" w:color="auto"/>
        <w:right w:val="none" w:sz="0" w:space="0" w:color="auto"/>
      </w:divBdr>
    </w:div>
    <w:div w:id="1912345598">
      <w:bodyDiv w:val="1"/>
      <w:marLeft w:val="0"/>
      <w:marRight w:val="0"/>
      <w:marTop w:val="0"/>
      <w:marBottom w:val="0"/>
      <w:divBdr>
        <w:top w:val="none" w:sz="0" w:space="0" w:color="auto"/>
        <w:left w:val="none" w:sz="0" w:space="0" w:color="auto"/>
        <w:bottom w:val="none" w:sz="0" w:space="0" w:color="auto"/>
        <w:right w:val="none" w:sz="0" w:space="0" w:color="auto"/>
      </w:divBdr>
    </w:div>
    <w:div w:id="1914972852">
      <w:bodyDiv w:val="1"/>
      <w:marLeft w:val="0"/>
      <w:marRight w:val="0"/>
      <w:marTop w:val="0"/>
      <w:marBottom w:val="0"/>
      <w:divBdr>
        <w:top w:val="none" w:sz="0" w:space="0" w:color="auto"/>
        <w:left w:val="none" w:sz="0" w:space="0" w:color="auto"/>
        <w:bottom w:val="none" w:sz="0" w:space="0" w:color="auto"/>
        <w:right w:val="none" w:sz="0" w:space="0" w:color="auto"/>
      </w:divBdr>
    </w:div>
    <w:div w:id="1915704708">
      <w:bodyDiv w:val="1"/>
      <w:marLeft w:val="0"/>
      <w:marRight w:val="0"/>
      <w:marTop w:val="0"/>
      <w:marBottom w:val="0"/>
      <w:divBdr>
        <w:top w:val="none" w:sz="0" w:space="0" w:color="auto"/>
        <w:left w:val="none" w:sz="0" w:space="0" w:color="auto"/>
        <w:bottom w:val="none" w:sz="0" w:space="0" w:color="auto"/>
        <w:right w:val="none" w:sz="0" w:space="0" w:color="auto"/>
      </w:divBdr>
    </w:div>
    <w:div w:id="1927375186">
      <w:bodyDiv w:val="1"/>
      <w:marLeft w:val="0"/>
      <w:marRight w:val="0"/>
      <w:marTop w:val="0"/>
      <w:marBottom w:val="0"/>
      <w:divBdr>
        <w:top w:val="none" w:sz="0" w:space="0" w:color="auto"/>
        <w:left w:val="none" w:sz="0" w:space="0" w:color="auto"/>
        <w:bottom w:val="none" w:sz="0" w:space="0" w:color="auto"/>
        <w:right w:val="none" w:sz="0" w:space="0" w:color="auto"/>
      </w:divBdr>
    </w:div>
    <w:div w:id="1930238640">
      <w:bodyDiv w:val="1"/>
      <w:marLeft w:val="0"/>
      <w:marRight w:val="0"/>
      <w:marTop w:val="0"/>
      <w:marBottom w:val="0"/>
      <w:divBdr>
        <w:top w:val="none" w:sz="0" w:space="0" w:color="auto"/>
        <w:left w:val="none" w:sz="0" w:space="0" w:color="auto"/>
        <w:bottom w:val="none" w:sz="0" w:space="0" w:color="auto"/>
        <w:right w:val="none" w:sz="0" w:space="0" w:color="auto"/>
      </w:divBdr>
    </w:div>
    <w:div w:id="1932278871">
      <w:bodyDiv w:val="1"/>
      <w:marLeft w:val="0"/>
      <w:marRight w:val="0"/>
      <w:marTop w:val="0"/>
      <w:marBottom w:val="0"/>
      <w:divBdr>
        <w:top w:val="none" w:sz="0" w:space="0" w:color="auto"/>
        <w:left w:val="none" w:sz="0" w:space="0" w:color="auto"/>
        <w:bottom w:val="none" w:sz="0" w:space="0" w:color="auto"/>
        <w:right w:val="none" w:sz="0" w:space="0" w:color="auto"/>
      </w:divBdr>
    </w:div>
    <w:div w:id="1935820475">
      <w:bodyDiv w:val="1"/>
      <w:marLeft w:val="0"/>
      <w:marRight w:val="0"/>
      <w:marTop w:val="0"/>
      <w:marBottom w:val="0"/>
      <w:divBdr>
        <w:top w:val="none" w:sz="0" w:space="0" w:color="auto"/>
        <w:left w:val="none" w:sz="0" w:space="0" w:color="auto"/>
        <w:bottom w:val="none" w:sz="0" w:space="0" w:color="auto"/>
        <w:right w:val="none" w:sz="0" w:space="0" w:color="auto"/>
      </w:divBdr>
    </w:div>
    <w:div w:id="1938058294">
      <w:bodyDiv w:val="1"/>
      <w:marLeft w:val="0"/>
      <w:marRight w:val="0"/>
      <w:marTop w:val="0"/>
      <w:marBottom w:val="0"/>
      <w:divBdr>
        <w:top w:val="none" w:sz="0" w:space="0" w:color="auto"/>
        <w:left w:val="none" w:sz="0" w:space="0" w:color="auto"/>
        <w:bottom w:val="none" w:sz="0" w:space="0" w:color="auto"/>
        <w:right w:val="none" w:sz="0" w:space="0" w:color="auto"/>
      </w:divBdr>
    </w:div>
    <w:div w:id="1943950945">
      <w:bodyDiv w:val="1"/>
      <w:marLeft w:val="0"/>
      <w:marRight w:val="0"/>
      <w:marTop w:val="0"/>
      <w:marBottom w:val="0"/>
      <w:divBdr>
        <w:top w:val="none" w:sz="0" w:space="0" w:color="auto"/>
        <w:left w:val="none" w:sz="0" w:space="0" w:color="auto"/>
        <w:bottom w:val="none" w:sz="0" w:space="0" w:color="auto"/>
        <w:right w:val="none" w:sz="0" w:space="0" w:color="auto"/>
      </w:divBdr>
    </w:div>
    <w:div w:id="1945191579">
      <w:bodyDiv w:val="1"/>
      <w:marLeft w:val="0"/>
      <w:marRight w:val="0"/>
      <w:marTop w:val="0"/>
      <w:marBottom w:val="0"/>
      <w:divBdr>
        <w:top w:val="none" w:sz="0" w:space="0" w:color="auto"/>
        <w:left w:val="none" w:sz="0" w:space="0" w:color="auto"/>
        <w:bottom w:val="none" w:sz="0" w:space="0" w:color="auto"/>
        <w:right w:val="none" w:sz="0" w:space="0" w:color="auto"/>
      </w:divBdr>
    </w:div>
    <w:div w:id="1946158272">
      <w:bodyDiv w:val="1"/>
      <w:marLeft w:val="0"/>
      <w:marRight w:val="0"/>
      <w:marTop w:val="0"/>
      <w:marBottom w:val="0"/>
      <w:divBdr>
        <w:top w:val="none" w:sz="0" w:space="0" w:color="auto"/>
        <w:left w:val="none" w:sz="0" w:space="0" w:color="auto"/>
        <w:bottom w:val="none" w:sz="0" w:space="0" w:color="auto"/>
        <w:right w:val="none" w:sz="0" w:space="0" w:color="auto"/>
      </w:divBdr>
    </w:div>
    <w:div w:id="1950699000">
      <w:bodyDiv w:val="1"/>
      <w:marLeft w:val="0"/>
      <w:marRight w:val="0"/>
      <w:marTop w:val="0"/>
      <w:marBottom w:val="0"/>
      <w:divBdr>
        <w:top w:val="none" w:sz="0" w:space="0" w:color="auto"/>
        <w:left w:val="none" w:sz="0" w:space="0" w:color="auto"/>
        <w:bottom w:val="none" w:sz="0" w:space="0" w:color="auto"/>
        <w:right w:val="none" w:sz="0" w:space="0" w:color="auto"/>
      </w:divBdr>
    </w:div>
    <w:div w:id="1960987719">
      <w:bodyDiv w:val="1"/>
      <w:marLeft w:val="0"/>
      <w:marRight w:val="0"/>
      <w:marTop w:val="0"/>
      <w:marBottom w:val="0"/>
      <w:divBdr>
        <w:top w:val="none" w:sz="0" w:space="0" w:color="auto"/>
        <w:left w:val="none" w:sz="0" w:space="0" w:color="auto"/>
        <w:bottom w:val="none" w:sz="0" w:space="0" w:color="auto"/>
        <w:right w:val="none" w:sz="0" w:space="0" w:color="auto"/>
      </w:divBdr>
    </w:div>
    <w:div w:id="1965767815">
      <w:bodyDiv w:val="1"/>
      <w:marLeft w:val="0"/>
      <w:marRight w:val="0"/>
      <w:marTop w:val="0"/>
      <w:marBottom w:val="0"/>
      <w:divBdr>
        <w:top w:val="none" w:sz="0" w:space="0" w:color="auto"/>
        <w:left w:val="none" w:sz="0" w:space="0" w:color="auto"/>
        <w:bottom w:val="none" w:sz="0" w:space="0" w:color="auto"/>
        <w:right w:val="none" w:sz="0" w:space="0" w:color="auto"/>
      </w:divBdr>
    </w:div>
    <w:div w:id="1969430703">
      <w:bodyDiv w:val="1"/>
      <w:marLeft w:val="0"/>
      <w:marRight w:val="0"/>
      <w:marTop w:val="0"/>
      <w:marBottom w:val="0"/>
      <w:divBdr>
        <w:top w:val="none" w:sz="0" w:space="0" w:color="auto"/>
        <w:left w:val="none" w:sz="0" w:space="0" w:color="auto"/>
        <w:bottom w:val="none" w:sz="0" w:space="0" w:color="auto"/>
        <w:right w:val="none" w:sz="0" w:space="0" w:color="auto"/>
      </w:divBdr>
    </w:div>
    <w:div w:id="1977759222">
      <w:bodyDiv w:val="1"/>
      <w:marLeft w:val="0"/>
      <w:marRight w:val="0"/>
      <w:marTop w:val="0"/>
      <w:marBottom w:val="0"/>
      <w:divBdr>
        <w:top w:val="none" w:sz="0" w:space="0" w:color="auto"/>
        <w:left w:val="none" w:sz="0" w:space="0" w:color="auto"/>
        <w:bottom w:val="none" w:sz="0" w:space="0" w:color="auto"/>
        <w:right w:val="none" w:sz="0" w:space="0" w:color="auto"/>
      </w:divBdr>
    </w:div>
    <w:div w:id="2003854215">
      <w:bodyDiv w:val="1"/>
      <w:marLeft w:val="0"/>
      <w:marRight w:val="0"/>
      <w:marTop w:val="0"/>
      <w:marBottom w:val="0"/>
      <w:divBdr>
        <w:top w:val="none" w:sz="0" w:space="0" w:color="auto"/>
        <w:left w:val="none" w:sz="0" w:space="0" w:color="auto"/>
        <w:bottom w:val="none" w:sz="0" w:space="0" w:color="auto"/>
        <w:right w:val="none" w:sz="0" w:space="0" w:color="auto"/>
      </w:divBdr>
    </w:div>
    <w:div w:id="2006786741">
      <w:bodyDiv w:val="1"/>
      <w:marLeft w:val="0"/>
      <w:marRight w:val="0"/>
      <w:marTop w:val="0"/>
      <w:marBottom w:val="0"/>
      <w:divBdr>
        <w:top w:val="none" w:sz="0" w:space="0" w:color="auto"/>
        <w:left w:val="none" w:sz="0" w:space="0" w:color="auto"/>
        <w:bottom w:val="none" w:sz="0" w:space="0" w:color="auto"/>
        <w:right w:val="none" w:sz="0" w:space="0" w:color="auto"/>
      </w:divBdr>
    </w:div>
    <w:div w:id="2010787246">
      <w:bodyDiv w:val="1"/>
      <w:marLeft w:val="0"/>
      <w:marRight w:val="0"/>
      <w:marTop w:val="0"/>
      <w:marBottom w:val="0"/>
      <w:divBdr>
        <w:top w:val="none" w:sz="0" w:space="0" w:color="auto"/>
        <w:left w:val="none" w:sz="0" w:space="0" w:color="auto"/>
        <w:bottom w:val="none" w:sz="0" w:space="0" w:color="auto"/>
        <w:right w:val="none" w:sz="0" w:space="0" w:color="auto"/>
      </w:divBdr>
    </w:div>
    <w:div w:id="2014644992">
      <w:bodyDiv w:val="1"/>
      <w:marLeft w:val="0"/>
      <w:marRight w:val="0"/>
      <w:marTop w:val="0"/>
      <w:marBottom w:val="0"/>
      <w:divBdr>
        <w:top w:val="none" w:sz="0" w:space="0" w:color="auto"/>
        <w:left w:val="none" w:sz="0" w:space="0" w:color="auto"/>
        <w:bottom w:val="none" w:sz="0" w:space="0" w:color="auto"/>
        <w:right w:val="none" w:sz="0" w:space="0" w:color="auto"/>
      </w:divBdr>
    </w:div>
    <w:div w:id="2015761514">
      <w:bodyDiv w:val="1"/>
      <w:marLeft w:val="0"/>
      <w:marRight w:val="0"/>
      <w:marTop w:val="0"/>
      <w:marBottom w:val="0"/>
      <w:divBdr>
        <w:top w:val="none" w:sz="0" w:space="0" w:color="auto"/>
        <w:left w:val="none" w:sz="0" w:space="0" w:color="auto"/>
        <w:bottom w:val="none" w:sz="0" w:space="0" w:color="auto"/>
        <w:right w:val="none" w:sz="0" w:space="0" w:color="auto"/>
      </w:divBdr>
    </w:div>
    <w:div w:id="2028284371">
      <w:bodyDiv w:val="1"/>
      <w:marLeft w:val="0"/>
      <w:marRight w:val="0"/>
      <w:marTop w:val="0"/>
      <w:marBottom w:val="0"/>
      <w:divBdr>
        <w:top w:val="none" w:sz="0" w:space="0" w:color="auto"/>
        <w:left w:val="none" w:sz="0" w:space="0" w:color="auto"/>
        <w:bottom w:val="none" w:sz="0" w:space="0" w:color="auto"/>
        <w:right w:val="none" w:sz="0" w:space="0" w:color="auto"/>
      </w:divBdr>
    </w:div>
    <w:div w:id="2033066651">
      <w:bodyDiv w:val="1"/>
      <w:marLeft w:val="0"/>
      <w:marRight w:val="0"/>
      <w:marTop w:val="0"/>
      <w:marBottom w:val="0"/>
      <w:divBdr>
        <w:top w:val="none" w:sz="0" w:space="0" w:color="auto"/>
        <w:left w:val="none" w:sz="0" w:space="0" w:color="auto"/>
        <w:bottom w:val="none" w:sz="0" w:space="0" w:color="auto"/>
        <w:right w:val="none" w:sz="0" w:space="0" w:color="auto"/>
      </w:divBdr>
    </w:div>
    <w:div w:id="2037001138">
      <w:bodyDiv w:val="1"/>
      <w:marLeft w:val="0"/>
      <w:marRight w:val="0"/>
      <w:marTop w:val="0"/>
      <w:marBottom w:val="0"/>
      <w:divBdr>
        <w:top w:val="none" w:sz="0" w:space="0" w:color="auto"/>
        <w:left w:val="none" w:sz="0" w:space="0" w:color="auto"/>
        <w:bottom w:val="none" w:sz="0" w:space="0" w:color="auto"/>
        <w:right w:val="none" w:sz="0" w:space="0" w:color="auto"/>
      </w:divBdr>
    </w:div>
    <w:div w:id="2041474150">
      <w:bodyDiv w:val="1"/>
      <w:marLeft w:val="0"/>
      <w:marRight w:val="0"/>
      <w:marTop w:val="0"/>
      <w:marBottom w:val="0"/>
      <w:divBdr>
        <w:top w:val="none" w:sz="0" w:space="0" w:color="auto"/>
        <w:left w:val="none" w:sz="0" w:space="0" w:color="auto"/>
        <w:bottom w:val="none" w:sz="0" w:space="0" w:color="auto"/>
        <w:right w:val="none" w:sz="0" w:space="0" w:color="auto"/>
      </w:divBdr>
    </w:div>
    <w:div w:id="2047943978">
      <w:bodyDiv w:val="1"/>
      <w:marLeft w:val="0"/>
      <w:marRight w:val="0"/>
      <w:marTop w:val="0"/>
      <w:marBottom w:val="0"/>
      <w:divBdr>
        <w:top w:val="none" w:sz="0" w:space="0" w:color="auto"/>
        <w:left w:val="none" w:sz="0" w:space="0" w:color="auto"/>
        <w:bottom w:val="none" w:sz="0" w:space="0" w:color="auto"/>
        <w:right w:val="none" w:sz="0" w:space="0" w:color="auto"/>
      </w:divBdr>
    </w:div>
    <w:div w:id="2051030432">
      <w:bodyDiv w:val="1"/>
      <w:marLeft w:val="0"/>
      <w:marRight w:val="0"/>
      <w:marTop w:val="0"/>
      <w:marBottom w:val="0"/>
      <w:divBdr>
        <w:top w:val="none" w:sz="0" w:space="0" w:color="auto"/>
        <w:left w:val="none" w:sz="0" w:space="0" w:color="auto"/>
        <w:bottom w:val="none" w:sz="0" w:space="0" w:color="auto"/>
        <w:right w:val="none" w:sz="0" w:space="0" w:color="auto"/>
      </w:divBdr>
    </w:div>
    <w:div w:id="2055735843">
      <w:bodyDiv w:val="1"/>
      <w:marLeft w:val="0"/>
      <w:marRight w:val="0"/>
      <w:marTop w:val="0"/>
      <w:marBottom w:val="0"/>
      <w:divBdr>
        <w:top w:val="none" w:sz="0" w:space="0" w:color="auto"/>
        <w:left w:val="none" w:sz="0" w:space="0" w:color="auto"/>
        <w:bottom w:val="none" w:sz="0" w:space="0" w:color="auto"/>
        <w:right w:val="none" w:sz="0" w:space="0" w:color="auto"/>
      </w:divBdr>
    </w:div>
    <w:div w:id="2057192647">
      <w:bodyDiv w:val="1"/>
      <w:marLeft w:val="0"/>
      <w:marRight w:val="0"/>
      <w:marTop w:val="0"/>
      <w:marBottom w:val="0"/>
      <w:divBdr>
        <w:top w:val="none" w:sz="0" w:space="0" w:color="auto"/>
        <w:left w:val="none" w:sz="0" w:space="0" w:color="auto"/>
        <w:bottom w:val="none" w:sz="0" w:space="0" w:color="auto"/>
        <w:right w:val="none" w:sz="0" w:space="0" w:color="auto"/>
      </w:divBdr>
    </w:div>
    <w:div w:id="2060202756">
      <w:bodyDiv w:val="1"/>
      <w:marLeft w:val="0"/>
      <w:marRight w:val="0"/>
      <w:marTop w:val="0"/>
      <w:marBottom w:val="0"/>
      <w:divBdr>
        <w:top w:val="none" w:sz="0" w:space="0" w:color="auto"/>
        <w:left w:val="none" w:sz="0" w:space="0" w:color="auto"/>
        <w:bottom w:val="none" w:sz="0" w:space="0" w:color="auto"/>
        <w:right w:val="none" w:sz="0" w:space="0" w:color="auto"/>
      </w:divBdr>
    </w:div>
    <w:div w:id="2065327365">
      <w:bodyDiv w:val="1"/>
      <w:marLeft w:val="0"/>
      <w:marRight w:val="0"/>
      <w:marTop w:val="0"/>
      <w:marBottom w:val="0"/>
      <w:divBdr>
        <w:top w:val="none" w:sz="0" w:space="0" w:color="auto"/>
        <w:left w:val="none" w:sz="0" w:space="0" w:color="auto"/>
        <w:bottom w:val="none" w:sz="0" w:space="0" w:color="auto"/>
        <w:right w:val="none" w:sz="0" w:space="0" w:color="auto"/>
      </w:divBdr>
    </w:div>
    <w:div w:id="2074616123">
      <w:bodyDiv w:val="1"/>
      <w:marLeft w:val="0"/>
      <w:marRight w:val="0"/>
      <w:marTop w:val="0"/>
      <w:marBottom w:val="0"/>
      <w:divBdr>
        <w:top w:val="none" w:sz="0" w:space="0" w:color="auto"/>
        <w:left w:val="none" w:sz="0" w:space="0" w:color="auto"/>
        <w:bottom w:val="none" w:sz="0" w:space="0" w:color="auto"/>
        <w:right w:val="none" w:sz="0" w:space="0" w:color="auto"/>
      </w:divBdr>
    </w:div>
    <w:div w:id="2075276451">
      <w:bodyDiv w:val="1"/>
      <w:marLeft w:val="0"/>
      <w:marRight w:val="0"/>
      <w:marTop w:val="0"/>
      <w:marBottom w:val="0"/>
      <w:divBdr>
        <w:top w:val="none" w:sz="0" w:space="0" w:color="auto"/>
        <w:left w:val="none" w:sz="0" w:space="0" w:color="auto"/>
        <w:bottom w:val="none" w:sz="0" w:space="0" w:color="auto"/>
        <w:right w:val="none" w:sz="0" w:space="0" w:color="auto"/>
      </w:divBdr>
    </w:div>
    <w:div w:id="2075732683">
      <w:bodyDiv w:val="1"/>
      <w:marLeft w:val="0"/>
      <w:marRight w:val="0"/>
      <w:marTop w:val="0"/>
      <w:marBottom w:val="0"/>
      <w:divBdr>
        <w:top w:val="none" w:sz="0" w:space="0" w:color="auto"/>
        <w:left w:val="none" w:sz="0" w:space="0" w:color="auto"/>
        <w:bottom w:val="none" w:sz="0" w:space="0" w:color="auto"/>
        <w:right w:val="none" w:sz="0" w:space="0" w:color="auto"/>
      </w:divBdr>
    </w:div>
    <w:div w:id="2076313372">
      <w:bodyDiv w:val="1"/>
      <w:marLeft w:val="0"/>
      <w:marRight w:val="0"/>
      <w:marTop w:val="0"/>
      <w:marBottom w:val="0"/>
      <w:divBdr>
        <w:top w:val="none" w:sz="0" w:space="0" w:color="auto"/>
        <w:left w:val="none" w:sz="0" w:space="0" w:color="auto"/>
        <w:bottom w:val="none" w:sz="0" w:space="0" w:color="auto"/>
        <w:right w:val="none" w:sz="0" w:space="0" w:color="auto"/>
      </w:divBdr>
    </w:div>
    <w:div w:id="2081443096">
      <w:bodyDiv w:val="1"/>
      <w:marLeft w:val="0"/>
      <w:marRight w:val="0"/>
      <w:marTop w:val="0"/>
      <w:marBottom w:val="0"/>
      <w:divBdr>
        <w:top w:val="none" w:sz="0" w:space="0" w:color="auto"/>
        <w:left w:val="none" w:sz="0" w:space="0" w:color="auto"/>
        <w:bottom w:val="none" w:sz="0" w:space="0" w:color="auto"/>
        <w:right w:val="none" w:sz="0" w:space="0" w:color="auto"/>
      </w:divBdr>
    </w:div>
    <w:div w:id="2085298561">
      <w:bodyDiv w:val="1"/>
      <w:marLeft w:val="0"/>
      <w:marRight w:val="0"/>
      <w:marTop w:val="0"/>
      <w:marBottom w:val="0"/>
      <w:divBdr>
        <w:top w:val="none" w:sz="0" w:space="0" w:color="auto"/>
        <w:left w:val="none" w:sz="0" w:space="0" w:color="auto"/>
        <w:bottom w:val="none" w:sz="0" w:space="0" w:color="auto"/>
        <w:right w:val="none" w:sz="0" w:space="0" w:color="auto"/>
      </w:divBdr>
    </w:div>
    <w:div w:id="2089380532">
      <w:bodyDiv w:val="1"/>
      <w:marLeft w:val="0"/>
      <w:marRight w:val="0"/>
      <w:marTop w:val="0"/>
      <w:marBottom w:val="0"/>
      <w:divBdr>
        <w:top w:val="none" w:sz="0" w:space="0" w:color="auto"/>
        <w:left w:val="none" w:sz="0" w:space="0" w:color="auto"/>
        <w:bottom w:val="none" w:sz="0" w:space="0" w:color="auto"/>
        <w:right w:val="none" w:sz="0" w:space="0" w:color="auto"/>
      </w:divBdr>
    </w:div>
    <w:div w:id="2095079582">
      <w:bodyDiv w:val="1"/>
      <w:marLeft w:val="0"/>
      <w:marRight w:val="0"/>
      <w:marTop w:val="0"/>
      <w:marBottom w:val="0"/>
      <w:divBdr>
        <w:top w:val="none" w:sz="0" w:space="0" w:color="auto"/>
        <w:left w:val="none" w:sz="0" w:space="0" w:color="auto"/>
        <w:bottom w:val="none" w:sz="0" w:space="0" w:color="auto"/>
        <w:right w:val="none" w:sz="0" w:space="0" w:color="auto"/>
      </w:divBdr>
    </w:div>
    <w:div w:id="2095399943">
      <w:bodyDiv w:val="1"/>
      <w:marLeft w:val="0"/>
      <w:marRight w:val="0"/>
      <w:marTop w:val="0"/>
      <w:marBottom w:val="0"/>
      <w:divBdr>
        <w:top w:val="none" w:sz="0" w:space="0" w:color="auto"/>
        <w:left w:val="none" w:sz="0" w:space="0" w:color="auto"/>
        <w:bottom w:val="none" w:sz="0" w:space="0" w:color="auto"/>
        <w:right w:val="none" w:sz="0" w:space="0" w:color="auto"/>
      </w:divBdr>
    </w:div>
    <w:div w:id="2102604465">
      <w:bodyDiv w:val="1"/>
      <w:marLeft w:val="0"/>
      <w:marRight w:val="0"/>
      <w:marTop w:val="0"/>
      <w:marBottom w:val="0"/>
      <w:divBdr>
        <w:top w:val="none" w:sz="0" w:space="0" w:color="auto"/>
        <w:left w:val="none" w:sz="0" w:space="0" w:color="auto"/>
        <w:bottom w:val="none" w:sz="0" w:space="0" w:color="auto"/>
        <w:right w:val="none" w:sz="0" w:space="0" w:color="auto"/>
      </w:divBdr>
    </w:div>
    <w:div w:id="2103528569">
      <w:bodyDiv w:val="1"/>
      <w:marLeft w:val="0"/>
      <w:marRight w:val="0"/>
      <w:marTop w:val="0"/>
      <w:marBottom w:val="0"/>
      <w:divBdr>
        <w:top w:val="none" w:sz="0" w:space="0" w:color="auto"/>
        <w:left w:val="none" w:sz="0" w:space="0" w:color="auto"/>
        <w:bottom w:val="none" w:sz="0" w:space="0" w:color="auto"/>
        <w:right w:val="none" w:sz="0" w:space="0" w:color="auto"/>
      </w:divBdr>
    </w:div>
    <w:div w:id="2108035715">
      <w:bodyDiv w:val="1"/>
      <w:marLeft w:val="0"/>
      <w:marRight w:val="0"/>
      <w:marTop w:val="0"/>
      <w:marBottom w:val="0"/>
      <w:divBdr>
        <w:top w:val="none" w:sz="0" w:space="0" w:color="auto"/>
        <w:left w:val="none" w:sz="0" w:space="0" w:color="auto"/>
        <w:bottom w:val="none" w:sz="0" w:space="0" w:color="auto"/>
        <w:right w:val="none" w:sz="0" w:space="0" w:color="auto"/>
      </w:divBdr>
    </w:div>
    <w:div w:id="2109080577">
      <w:bodyDiv w:val="1"/>
      <w:marLeft w:val="0"/>
      <w:marRight w:val="0"/>
      <w:marTop w:val="0"/>
      <w:marBottom w:val="0"/>
      <w:divBdr>
        <w:top w:val="none" w:sz="0" w:space="0" w:color="auto"/>
        <w:left w:val="none" w:sz="0" w:space="0" w:color="auto"/>
        <w:bottom w:val="none" w:sz="0" w:space="0" w:color="auto"/>
        <w:right w:val="none" w:sz="0" w:space="0" w:color="auto"/>
      </w:divBdr>
    </w:div>
    <w:div w:id="2121752296">
      <w:bodyDiv w:val="1"/>
      <w:marLeft w:val="0"/>
      <w:marRight w:val="0"/>
      <w:marTop w:val="0"/>
      <w:marBottom w:val="0"/>
      <w:divBdr>
        <w:top w:val="none" w:sz="0" w:space="0" w:color="auto"/>
        <w:left w:val="none" w:sz="0" w:space="0" w:color="auto"/>
        <w:bottom w:val="none" w:sz="0" w:space="0" w:color="auto"/>
        <w:right w:val="none" w:sz="0" w:space="0" w:color="auto"/>
      </w:divBdr>
    </w:div>
    <w:div w:id="2126777141">
      <w:bodyDiv w:val="1"/>
      <w:marLeft w:val="0"/>
      <w:marRight w:val="0"/>
      <w:marTop w:val="0"/>
      <w:marBottom w:val="0"/>
      <w:divBdr>
        <w:top w:val="none" w:sz="0" w:space="0" w:color="auto"/>
        <w:left w:val="none" w:sz="0" w:space="0" w:color="auto"/>
        <w:bottom w:val="none" w:sz="0" w:space="0" w:color="auto"/>
        <w:right w:val="none" w:sz="0" w:space="0" w:color="auto"/>
      </w:divBdr>
    </w:div>
    <w:div w:id="2126848883">
      <w:bodyDiv w:val="1"/>
      <w:marLeft w:val="0"/>
      <w:marRight w:val="0"/>
      <w:marTop w:val="0"/>
      <w:marBottom w:val="0"/>
      <w:divBdr>
        <w:top w:val="none" w:sz="0" w:space="0" w:color="auto"/>
        <w:left w:val="none" w:sz="0" w:space="0" w:color="auto"/>
        <w:bottom w:val="none" w:sz="0" w:space="0" w:color="auto"/>
        <w:right w:val="none" w:sz="0" w:space="0" w:color="auto"/>
      </w:divBdr>
    </w:div>
    <w:div w:id="214094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image" Target="media/image10.emf"/><Relationship Id="rId39" Type="http://schemas.openxmlformats.org/officeDocument/2006/relationships/image" Target="media/image12.emf"/><Relationship Id="rId21" Type="http://schemas.openxmlformats.org/officeDocument/2006/relationships/image" Target="media/image5.png"/><Relationship Id="rId34" Type="http://schemas.openxmlformats.org/officeDocument/2006/relationships/hyperlink" Target="http://www.itu.int/cgi-bin/htsh/mm/scripts/mm.list?_search=ITUstates&amp;_languageid=1" TargetMode="External"/><Relationship Id="rId42" Type="http://schemas.openxmlformats.org/officeDocument/2006/relationships/header" Target="header1.xml"/><Relationship Id="rId47" Type="http://schemas.openxmlformats.org/officeDocument/2006/relationships/image" Target="media/image15.emf"/><Relationship Id="rId50" Type="http://schemas.openxmlformats.org/officeDocument/2006/relationships/image" Target="media/image18.emf"/><Relationship Id="rId55" Type="http://schemas.openxmlformats.org/officeDocument/2006/relationships/image" Target="media/image23.emf"/><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image" Target="media/image9.emf"/><Relationship Id="rId33" Type="http://schemas.openxmlformats.org/officeDocument/2006/relationships/hyperlink" Target="http://www.itu.int/itu-wsis/implementation/" TargetMode="External"/><Relationship Id="rId38" Type="http://schemas.openxmlformats.org/officeDocument/2006/relationships/hyperlink" Target="http://www.itu.int/ITU-R/index.asp?category=conferences&amp;link=rrb&amp;lang=en" TargetMode="External"/><Relationship Id="rId46" Type="http://schemas.openxmlformats.org/officeDocument/2006/relationships/image" Target="media/image14.emf"/><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image" Target="media/image4.png"/><Relationship Id="rId29" Type="http://schemas.openxmlformats.org/officeDocument/2006/relationships/hyperlink" Target="http://www.itu.int/ITU-R/index.asp?category=information&amp;link=rhome&amp;lang=en" TargetMode="External"/><Relationship Id="rId41" Type="http://schemas.openxmlformats.org/officeDocument/2006/relationships/hyperlink" Target="http://www.unjspf.org" TargetMode="External"/><Relationship Id="rId54"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8.png"/><Relationship Id="rId32" Type="http://schemas.openxmlformats.org/officeDocument/2006/relationships/hyperlink" Target="http://www.itu.int/ITUTELECOM/index-en.html" TargetMode="External"/><Relationship Id="rId37" Type="http://schemas.openxmlformats.org/officeDocument/2006/relationships/hyperlink" Target="http://www.itu.int/council/index-en.html" TargetMode="External"/><Relationship Id="rId40" Type="http://schemas.openxmlformats.org/officeDocument/2006/relationships/hyperlink" Target="https://www.itu.int/md/S16-CL-C-0124/en" TargetMode="External"/><Relationship Id="rId45" Type="http://schemas.openxmlformats.org/officeDocument/2006/relationships/image" Target="media/image13.emf"/><Relationship Id="rId53" Type="http://schemas.openxmlformats.org/officeDocument/2006/relationships/image" Target="media/image21.emf"/><Relationship Id="rId58"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image" Target="media/image7.png"/><Relationship Id="rId28" Type="http://schemas.openxmlformats.org/officeDocument/2006/relationships/hyperlink" Target="http://www.unsystem.org/en" TargetMode="External"/><Relationship Id="rId36" Type="http://schemas.openxmlformats.org/officeDocument/2006/relationships/hyperlink" Target="http://www.itu.int/cgi-bin/htsh/mm/scripts/mm.list?_search=ASSOCIATES&amp;_languageid=1" TargetMode="External"/><Relationship Id="rId49" Type="http://schemas.openxmlformats.org/officeDocument/2006/relationships/image" Target="media/image17.emf"/><Relationship Id="rId57" Type="http://schemas.openxmlformats.org/officeDocument/2006/relationships/footer" Target="footer2.xml"/><Relationship Id="rId10" Type="http://schemas.openxmlformats.org/officeDocument/2006/relationships/hyperlink" Target="http://www.itu.int/council/finregs/Regl_Fin_Regles-05-rev-E.pdf" TargetMode="External"/><Relationship Id="rId19" Type="http://schemas.openxmlformats.org/officeDocument/2006/relationships/image" Target="media/image3.png"/><Relationship Id="rId31" Type="http://schemas.openxmlformats.org/officeDocument/2006/relationships/hyperlink" Target="http://www.itu.int/net/ITU-D/index-en.aspx" TargetMode="External"/><Relationship Id="rId44" Type="http://schemas.openxmlformats.org/officeDocument/2006/relationships/footer" Target="footer1.xml"/><Relationship Id="rId52" Type="http://schemas.openxmlformats.org/officeDocument/2006/relationships/image" Target="media/image20.emf"/><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council/Basic-Texts/convention-e.docx" TargetMode="External"/><Relationship Id="rId14" Type="http://schemas.openxmlformats.org/officeDocument/2006/relationships/chart" Target="charts/chart3.xml"/><Relationship Id="rId22" Type="http://schemas.openxmlformats.org/officeDocument/2006/relationships/image" Target="media/image6.png"/><Relationship Id="rId27" Type="http://schemas.openxmlformats.org/officeDocument/2006/relationships/image" Target="media/image11.emf"/><Relationship Id="rId30" Type="http://schemas.openxmlformats.org/officeDocument/2006/relationships/hyperlink" Target="http://www.itu.int/ITU-T/" TargetMode="External"/><Relationship Id="rId35" Type="http://schemas.openxmlformats.org/officeDocument/2006/relationships/hyperlink" Target="http://www.itu.int/cgi-bin/htsh/mm/scripts/mm.list?_search=SEC&amp;_languageid=1" TargetMode="External"/><Relationship Id="rId43" Type="http://schemas.openxmlformats.org/officeDocument/2006/relationships/hyperlink" Target="https://www.itu.int/en/ITU-D/Pages/OperationalPlansPerformanceReports.aspx" TargetMode="External"/><Relationship Id="rId48" Type="http://schemas.openxmlformats.org/officeDocument/2006/relationships/image" Target="media/image16.emf"/><Relationship Id="rId56" Type="http://schemas.openxmlformats.org/officeDocument/2006/relationships/image" Target="media/image24.emf"/><Relationship Id="rId8" Type="http://schemas.openxmlformats.org/officeDocument/2006/relationships/image" Target="media/image1.png"/><Relationship Id="rId51" Type="http://schemas.openxmlformats.org/officeDocument/2006/relationships/image" Target="media/image19.emf"/><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COMPTA%20GENERALE\BOUCLEMENT\2017\MAQUETTE%20BOUCLEMENT%202017-clair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COMPTA%20GENERALE\BOUCLEMENT\2017\MAQUETTE%20BOUCLEMENT%202017-clair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COMPTA%20GENERALE\BOUCLEMENT\2017\MAQUETTE%20BOUCLEMENT%202017-claire.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COMPTA%20GENERALE\BOUCLEMENT\2017\MAQUETTE%20BOUCLEMENT%202017-claire.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COMPTA%20GENERALE\BOUCLEMENT\2017\MAQUETTE%20BOUCLEMENT%202017-claire.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COMPTA%20GENERALE\BOUCLEMENT\2017\MAQUETTE%20BOUCLEMENT%202017-claire.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COMPTA%20GENERALE\BOUCLEMENT\2017\MAQUETTE%20BOUCLEMENT%202017-claire.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1"/>
          <c:order val="1"/>
          <c:tx>
            <c:strRef>
              <c:f>'Financial Highlights'!$C$25</c:f>
              <c:strCache>
                <c:ptCount val="1"/>
                <c:pt idx="0">
                  <c:v>2017</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'Financial Highlights'!$A$26:$A$30</c:f>
              <c:strCache>
                <c:ptCount val="4"/>
                <c:pt idx="0">
                  <c:v>Assessed contributions</c:v>
                </c:pt>
                <c:pt idx="1">
                  <c:v>Voluntary contributions</c:v>
                </c:pt>
                <c:pt idx="2">
                  <c:v>Other operating revenue</c:v>
                </c:pt>
                <c:pt idx="3">
                  <c:v>Finance revenue</c:v>
                </c:pt>
              </c:strCache>
            </c:strRef>
          </c:cat>
          <c:val>
            <c:numRef>
              <c:f>'Financial Highlights'!$B$26:$B$30</c:f>
              <c:numCache>
                <c:formatCode>_ * #,##0_ ;_ * \-#,##0_ ;_ * "-"??_ ;_ @_ </c:formatCode>
                <c:ptCount val="5"/>
                <c:pt idx="0">
                  <c:v>122389.978</c:v>
                </c:pt>
                <c:pt idx="1">
                  <c:v>10610.256000000001</c:v>
                </c:pt>
                <c:pt idx="2">
                  <c:v>44373.523000000001</c:v>
                </c:pt>
                <c:pt idx="3">
                  <c:v>257.66679999999997</c:v>
                </c:pt>
              </c:numCache>
            </c:numRef>
          </c:val>
        </c:ser>
        <c:ser>
          <c:idx val="2"/>
          <c:order val="2"/>
          <c:tx>
            <c:strRef>
              <c:f>'Financial Highlights'!$D$25</c:f>
              <c:strCache>
                <c:ptCount val="1"/>
                <c:pt idx="0">
                  <c:v>2016</c:v>
                </c:pt>
              </c:strCache>
            </c:strRef>
          </c:tx>
          <c:spPr>
            <a:gradFill rotWithShape="1">
              <a:gsLst>
                <a:gs pos="0">
                  <a:schemeClr val="accent1">
                    <a:tint val="65000"/>
                    <a:shade val="51000"/>
                    <a:satMod val="130000"/>
                  </a:schemeClr>
                </a:gs>
                <a:gs pos="80000">
                  <a:schemeClr val="accent1">
                    <a:tint val="65000"/>
                    <a:shade val="93000"/>
                    <a:satMod val="130000"/>
                  </a:schemeClr>
                </a:gs>
                <a:gs pos="100000">
                  <a:schemeClr val="accent1">
                    <a:tint val="65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3.968253968253968E-2"/>
                  <c:y val="0.1388888888888889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4391534391534438E-2"/>
                  <c:y val="4.629629629629629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3.1746031746031647E-2"/>
                  <c:y val="6.0185185185185099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'Financial Highlights'!$A$26:$A$30</c:f>
              <c:strCache>
                <c:ptCount val="4"/>
                <c:pt idx="0">
                  <c:v>Assessed contributions</c:v>
                </c:pt>
                <c:pt idx="1">
                  <c:v>Voluntary contributions</c:v>
                </c:pt>
                <c:pt idx="2">
                  <c:v>Other operating revenue</c:v>
                </c:pt>
                <c:pt idx="3">
                  <c:v>Finance revenue</c:v>
                </c:pt>
              </c:strCache>
            </c:strRef>
          </c:cat>
          <c:val>
            <c:numRef>
              <c:f>'Financial Highlights'!$C$26:$C$30</c:f>
              <c:numCache>
                <c:formatCode>_ * #,##0_ ;_ * \-#,##0_ ;_ * "-"??_ ;_ @_ </c:formatCode>
                <c:ptCount val="5"/>
                <c:pt idx="0">
                  <c:v>122888</c:v>
                </c:pt>
                <c:pt idx="1">
                  <c:v>10232</c:v>
                </c:pt>
                <c:pt idx="2">
                  <c:v>41919</c:v>
                </c:pt>
                <c:pt idx="3">
                  <c:v>562</c:v>
                </c:pt>
              </c:numCache>
            </c:numRef>
          </c:val>
        </c:ser>
        <c:dLbls>
          <c:showLegendKey val="0"/>
          <c:showVal val="0"/>
          <c:showCatName val="0"/>
          <c:showSerName val="0"/>
          <c:showPercent val="0"/>
          <c:showBubbleSize val="0"/>
        </c:dLbls>
        <c:gapWidth val="100"/>
        <c:overlap val="-24"/>
        <c:axId val="539376888"/>
        <c:axId val="539376496"/>
        <c:extLst>
          <c:ext xmlns:c15="http://schemas.microsoft.com/office/drawing/2012/chart" uri="{02D57815-91ED-43cb-92C2-25804820EDAC}">
            <c15:filteredBarSeries>
              <c15:ser>
                <c:idx val="0"/>
                <c:order val="0"/>
                <c:tx>
                  <c:strRef>
                    <c:extLst>
                      <c:ext uri="{02D57815-91ED-43cb-92C2-25804820EDAC}">
                        <c15:formulaRef>
                          <c15:sqref>'Financial Highlights'!$B$25</c15:sqref>
                        </c15:formulaRef>
                      </c:ext>
                    </c:extLst>
                    <c:strCache>
                      <c:ptCount val="1"/>
                    </c:strCache>
                  </c:strRef>
                </c:tx>
                <c:spPr>
                  <a:gradFill rotWithShape="1">
                    <a:gsLst>
                      <a:gs pos="0">
                        <a:schemeClr val="accent1">
                          <a:shade val="65000"/>
                          <a:shade val="51000"/>
                          <a:satMod val="130000"/>
                        </a:schemeClr>
                      </a:gs>
                      <a:gs pos="80000">
                        <a:schemeClr val="accent1">
                          <a:shade val="65000"/>
                          <a:shade val="93000"/>
                          <a:satMod val="130000"/>
                        </a:schemeClr>
                      </a:gs>
                      <a:gs pos="100000">
                        <a:schemeClr val="accent1">
                          <a:shade val="65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extLst>
                      <c:ext uri="{02D57815-91ED-43cb-92C2-25804820EDAC}">
                        <c15:formulaRef>
                          <c15:sqref>'Financial Highlights'!$A$26:$A$30</c15:sqref>
                        </c15:formulaRef>
                      </c:ext>
                    </c:extLst>
                    <c:strCache>
                      <c:ptCount val="4"/>
                      <c:pt idx="0">
                        <c:v>Assessed contributions</c:v>
                      </c:pt>
                      <c:pt idx="1">
                        <c:v>Voluntary contributions</c:v>
                      </c:pt>
                      <c:pt idx="2">
                        <c:v>Other operating revenue</c:v>
                      </c:pt>
                      <c:pt idx="3">
                        <c:v>Finance revenue</c:v>
                      </c:pt>
                    </c:strCache>
                  </c:strRef>
                </c:cat>
                <c:val>
                  <c:numRef>
                    <c:extLst>
                      <c:ext uri="{02D57815-91ED-43cb-92C2-25804820EDAC}">
                        <c15:formulaRef>
                          <c15:sqref>'Financial Highlights'!#REF!</c15:sqref>
                        </c15:formulaRef>
                      </c:ext>
                    </c:extLst>
                    <c:numCache>
                      <c:formatCode>General</c:formatCode>
                      <c:ptCount val="1"/>
                      <c:pt idx="0">
                        <c:v>1</c:v>
                      </c:pt>
                    </c:numCache>
                  </c:numRef>
                </c:val>
              </c15:ser>
            </c15:filteredBarSeries>
          </c:ext>
        </c:extLst>
      </c:barChart>
      <c:catAx>
        <c:axId val="53937688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9376496"/>
        <c:crosses val="autoZero"/>
        <c:auto val="1"/>
        <c:lblAlgn val="ctr"/>
        <c:lblOffset val="100"/>
        <c:noMultiLvlLbl val="0"/>
      </c:catAx>
      <c:valAx>
        <c:axId val="539376496"/>
        <c:scaling>
          <c:orientation val="minMax"/>
          <c:max val="130000"/>
          <c:min val="0"/>
        </c:scaling>
        <c:delete val="0"/>
        <c:axPos val="l"/>
        <c:majorGridlines>
          <c:spPr>
            <a:ln w="9525" cap="flat" cmpd="sng" algn="ctr">
              <a:solidFill>
                <a:schemeClr val="tx1">
                  <a:lumMod val="15000"/>
                  <a:lumOff val="85000"/>
                </a:schemeClr>
              </a:solidFill>
              <a:round/>
            </a:ln>
            <a:effectLst/>
          </c:spPr>
        </c:majorGridlines>
        <c:numFmt formatCode="_ * #,##0_ ;_ * \-#,##0_ ;_ * &quot;-&quot;??_ ;_ @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937688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8.8597154893004917E-2"/>
          <c:y val="9.9301090548394838E-2"/>
          <c:w val="0.82280569021399019"/>
          <c:h val="0.81272124423937453"/>
        </c:manualLayout>
      </c:layout>
      <c:ofPieChart>
        <c:ofPieType val="bar"/>
        <c:varyColors val="1"/>
        <c:ser>
          <c:idx val="1"/>
          <c:order val="0"/>
          <c:spPr>
            <a:scene3d>
              <a:camera prst="orthographicFront"/>
              <a:lightRig rig="threePt" dir="t"/>
            </a:scene3d>
            <a:sp3d>
              <a:bevelT/>
            </a:sp3d>
          </c:spPr>
          <c:explosion val="5"/>
          <c:dPt>
            <c:idx val="0"/>
            <c:bubble3D val="0"/>
            <c:spPr>
              <a:solidFill>
                <a:schemeClr val="accent1">
                  <a:shade val="47000"/>
                </a:schemeClr>
              </a:solidFill>
              <a:ln w="19050">
                <a:solidFill>
                  <a:schemeClr val="lt1"/>
                </a:solidFill>
              </a:ln>
              <a:effectLst/>
              <a:scene3d>
                <a:camera prst="orthographicFront"/>
                <a:lightRig rig="threePt" dir="t"/>
              </a:scene3d>
              <a:sp3d>
                <a:bevelT/>
              </a:sp3d>
            </c:spPr>
          </c:dPt>
          <c:dPt>
            <c:idx val="1"/>
            <c:bubble3D val="0"/>
            <c:explosion val="0"/>
            <c:spPr>
              <a:solidFill>
                <a:schemeClr val="accent1">
                  <a:shade val="65000"/>
                </a:schemeClr>
              </a:solidFill>
              <a:ln w="19050">
                <a:solidFill>
                  <a:schemeClr val="lt1"/>
                </a:solidFill>
              </a:ln>
              <a:effectLst/>
              <a:scene3d>
                <a:camera prst="orthographicFront"/>
                <a:lightRig rig="threePt" dir="t"/>
              </a:scene3d>
              <a:sp3d>
                <a:bevelT/>
              </a:sp3d>
            </c:spPr>
          </c:dPt>
          <c:dPt>
            <c:idx val="2"/>
            <c:bubble3D val="0"/>
            <c:spPr>
              <a:solidFill>
                <a:schemeClr val="accent1">
                  <a:shade val="82000"/>
                </a:schemeClr>
              </a:solidFill>
              <a:ln w="19050">
                <a:solidFill>
                  <a:schemeClr val="lt1"/>
                </a:solidFill>
              </a:ln>
              <a:effectLst/>
              <a:scene3d>
                <a:camera prst="orthographicFront"/>
                <a:lightRig rig="threePt" dir="t"/>
              </a:scene3d>
              <a:sp3d>
                <a:bevelT/>
              </a:sp3d>
            </c:spPr>
          </c:dPt>
          <c:dPt>
            <c:idx val="3"/>
            <c:bubble3D val="0"/>
            <c:spPr>
              <a:solidFill>
                <a:schemeClr val="accent1"/>
              </a:solidFill>
              <a:ln w="19050">
                <a:solidFill>
                  <a:schemeClr val="lt1"/>
                </a:solidFill>
              </a:ln>
              <a:effectLst/>
              <a:scene3d>
                <a:camera prst="orthographicFront"/>
                <a:lightRig rig="threePt" dir="t"/>
              </a:scene3d>
              <a:sp3d>
                <a:bevelT/>
              </a:sp3d>
            </c:spPr>
          </c:dPt>
          <c:dPt>
            <c:idx val="4"/>
            <c:bubble3D val="0"/>
            <c:spPr>
              <a:solidFill>
                <a:schemeClr val="accent1">
                  <a:tint val="83000"/>
                </a:schemeClr>
              </a:solidFill>
              <a:ln w="19050">
                <a:solidFill>
                  <a:schemeClr val="lt1"/>
                </a:solidFill>
              </a:ln>
              <a:effectLst/>
              <a:scene3d>
                <a:camera prst="orthographicFront"/>
                <a:lightRig rig="threePt" dir="t"/>
              </a:scene3d>
              <a:sp3d>
                <a:bevelT/>
              </a:sp3d>
            </c:spPr>
          </c:dPt>
          <c:dPt>
            <c:idx val="5"/>
            <c:bubble3D val="0"/>
            <c:spPr>
              <a:solidFill>
                <a:schemeClr val="accent1">
                  <a:tint val="65000"/>
                </a:schemeClr>
              </a:solidFill>
              <a:ln w="19050">
                <a:solidFill>
                  <a:schemeClr val="lt1"/>
                </a:solidFill>
              </a:ln>
              <a:effectLst/>
              <a:scene3d>
                <a:camera prst="orthographicFront"/>
                <a:lightRig rig="threePt" dir="t"/>
              </a:scene3d>
              <a:sp3d>
                <a:bevelT/>
              </a:sp3d>
            </c:spPr>
          </c:dPt>
          <c:dPt>
            <c:idx val="6"/>
            <c:bubble3D val="0"/>
            <c:spPr>
              <a:solidFill>
                <a:schemeClr val="accent1">
                  <a:tint val="48000"/>
                </a:schemeClr>
              </a:solidFill>
              <a:ln w="19050">
                <a:solidFill>
                  <a:schemeClr val="lt1"/>
                </a:solidFill>
              </a:ln>
              <a:effectLst/>
              <a:scene3d>
                <a:camera prst="orthographicFront"/>
                <a:lightRig rig="threePt" dir="t"/>
              </a:scene3d>
              <a:sp3d>
                <a:bevelT/>
              </a:sp3d>
            </c:spPr>
          </c:dPt>
          <c:dPt>
            <c:idx val="7"/>
            <c:bubble3D val="0"/>
            <c:explosion val="0"/>
            <c:spPr>
              <a:solidFill>
                <a:schemeClr val="accent1">
                  <a:tint val="30000"/>
                </a:schemeClr>
              </a:solidFill>
              <a:ln w="19050">
                <a:solidFill>
                  <a:schemeClr val="lt1"/>
                </a:solidFill>
              </a:ln>
              <a:effectLst/>
              <a:scene3d>
                <a:camera prst="orthographicFront"/>
                <a:lightRig rig="threePt" dir="t"/>
              </a:scene3d>
              <a:sp3d>
                <a:bevelT/>
              </a:sp3d>
            </c:spPr>
          </c:dPt>
          <c:dLbls>
            <c:dLbl>
              <c:idx val="0"/>
              <c:layout/>
              <c:tx>
                <c:rich>
                  <a:bodyPr/>
                  <a:lstStyle/>
                  <a:p>
                    <a:fld id="{3E9AD411-0974-46A5-8BBA-611A9F436805}" type="CATEGORYNAME">
                      <a:rPr lang="en-US" baseline="0">
                        <a:solidFill>
                          <a:schemeClr val="bg1"/>
                        </a:solidFill>
                      </a:rPr>
                      <a:pPr/>
                      <a:t>[CATEGORY NAME]</a:t>
                    </a:fld>
                    <a:r>
                      <a:rPr lang="en-US" baseline="0">
                        <a:solidFill>
                          <a:schemeClr val="bg1"/>
                        </a:solidFill>
                      </a:rPr>
                      <a:t>
</a:t>
                    </a:r>
                    <a:fld id="{F009A779-5026-4C35-BBE9-457F199910F8}" type="PERCENTAGE">
                      <a:rPr lang="en-US" baseline="0">
                        <a:solidFill>
                          <a:schemeClr val="bg1"/>
                        </a:solidFill>
                      </a:rPr>
                      <a:pPr/>
                      <a:t>[PERCENTAGE]</a:t>
                    </a:fld>
                    <a:endParaRPr lang="en-US" baseline="0">
                      <a:solidFill>
                        <a:schemeClr val="bg1"/>
                      </a:solidFill>
                    </a:endParaRPr>
                  </a:p>
                </c:rich>
              </c:tx>
              <c:showLegendKey val="1"/>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1"/>
              <c:layout>
                <c:manualLayout>
                  <c:x val="-4.5951165441787366E-2"/>
                  <c:y val="-4.9419172921856103E-2"/>
                </c:manualLayout>
              </c:layout>
              <c:showLegendKey val="1"/>
              <c:showVal val="0"/>
              <c:showCatName val="1"/>
              <c:showSerName val="0"/>
              <c:showPercent val="1"/>
              <c:showBubbleSize val="0"/>
              <c:extLst>
                <c:ext xmlns:c15="http://schemas.microsoft.com/office/drawing/2012/chart" uri="{CE6537A1-D6FC-4f65-9D91-7224C49458BB}">
                  <c15:layout/>
                </c:ext>
              </c:extLst>
            </c:dLbl>
            <c:dLbl>
              <c:idx val="2"/>
              <c:delete val="1"/>
              <c:extLst>
                <c:ext xmlns:c15="http://schemas.microsoft.com/office/drawing/2012/chart" uri="{CE6537A1-D6FC-4f65-9D91-7224C49458BB}"/>
              </c:extLst>
            </c:dLbl>
            <c:dLbl>
              <c:idx val="3"/>
              <c:layout>
                <c:manualLayout>
                  <c:x val="-8.5409252669039232E-2"/>
                  <c:y val="-1.5251182774127757E-2"/>
                </c:manualLayout>
              </c:layout>
              <c:showLegendKey val="1"/>
              <c:showVal val="0"/>
              <c:showCatName val="1"/>
              <c:showSerName val="0"/>
              <c:showPercent val="1"/>
              <c:showBubbleSize val="0"/>
              <c:extLst>
                <c:ext xmlns:c15="http://schemas.microsoft.com/office/drawing/2012/chart" uri="{CE6537A1-D6FC-4f65-9D91-7224C49458BB}">
                  <c15:layout/>
                </c:ext>
              </c:extLst>
            </c:dLbl>
            <c:dLbl>
              <c:idx val="4"/>
              <c:layout>
                <c:manualLayout>
                  <c:x val="-8.402841320184061E-2"/>
                  <c:y val="8.4925690021231421E-3"/>
                </c:manualLayout>
              </c:layout>
              <c:tx>
                <c:rich>
                  <a:bodyPr/>
                  <a:lstStyle/>
                  <a:p>
                    <a:fld id="{12137743-EE76-4BEF-94D4-7FA931326455}" type="CATEGORYNAME">
                      <a:rPr lang="en-US">
                        <a:solidFill>
                          <a:sysClr val="windowText" lastClr="000000"/>
                        </a:solidFill>
                      </a:rPr>
                      <a:pPr/>
                      <a:t>[CATEGORY NAME]</a:t>
                    </a:fld>
                    <a:r>
                      <a:rPr lang="en-US" baseline="0">
                        <a:solidFill>
                          <a:sysClr val="windowText" lastClr="000000"/>
                        </a:solidFill>
                      </a:rPr>
                      <a:t>
</a:t>
                    </a:r>
                    <a:fld id="{40080558-E188-47BC-80DA-26363D321F24}" type="PERCENTAGE">
                      <a:rPr lang="en-US" baseline="0">
                        <a:solidFill>
                          <a:sysClr val="windowText" lastClr="000000"/>
                        </a:solidFill>
                      </a:rPr>
                      <a:pPr/>
                      <a:t>[PERCENTAGE]</a:t>
                    </a:fld>
                    <a:endParaRPr lang="en-US" baseline="0">
                      <a:solidFill>
                        <a:sysClr val="windowText" lastClr="000000"/>
                      </a:solidFill>
                    </a:endParaRPr>
                  </a:p>
                </c:rich>
              </c:tx>
              <c:showLegendKey val="1"/>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5"/>
              <c:layout>
                <c:manualLayout>
                  <c:x val="-0.13963545135011746"/>
                  <c:y val="-1.9815994338287332E-2"/>
                </c:manualLayout>
              </c:layout>
              <c:tx>
                <c:rich>
                  <a:bodyPr/>
                  <a:lstStyle/>
                  <a:p>
                    <a:fld id="{5E9633C8-7FCD-4CAD-A98C-569C362B0C32}" type="CATEGORYNAME">
                      <a:rPr lang="en-US">
                        <a:solidFill>
                          <a:sysClr val="windowText" lastClr="000000"/>
                        </a:solidFill>
                      </a:rPr>
                      <a:pPr/>
                      <a:t>[CATEGORY NAME]</a:t>
                    </a:fld>
                    <a:r>
                      <a:rPr lang="en-US" baseline="0">
                        <a:solidFill>
                          <a:sysClr val="windowText" lastClr="000000"/>
                        </a:solidFill>
                      </a:rPr>
                      <a:t>
</a:t>
                    </a:r>
                    <a:fld id="{4CD826DB-FB31-4D72-BBBE-EA4D273362D5}" type="PERCENTAGE">
                      <a:rPr lang="en-US" baseline="0">
                        <a:solidFill>
                          <a:sysClr val="windowText" lastClr="000000"/>
                        </a:solidFill>
                      </a:rPr>
                      <a:pPr/>
                      <a:t>[PERCENTAGE]</a:t>
                    </a:fld>
                    <a:endParaRPr lang="en-US" baseline="0">
                      <a:solidFill>
                        <a:sysClr val="windowText" lastClr="000000"/>
                      </a:solidFill>
                    </a:endParaRPr>
                  </a:p>
                </c:rich>
              </c:tx>
              <c:showLegendKey val="1"/>
              <c:showVal val="0"/>
              <c:showCatName val="1"/>
              <c:showSerName val="0"/>
              <c:showPercent val="1"/>
              <c:showBubbleSize val="0"/>
              <c:extLst>
                <c:ext xmlns:c15="http://schemas.microsoft.com/office/drawing/2012/chart" uri="{CE6537A1-D6FC-4f65-9D91-7224C49458BB}">
                  <c15:layout>
                    <c:manualLayout>
                      <c:w val="9.3831403741541211E-2"/>
                      <c:h val="7.0686482661004954E-2"/>
                    </c:manualLayout>
                  </c15:layout>
                  <c15:dlblFieldTable/>
                  <c15:showDataLabelsRange val="0"/>
                </c:ext>
              </c:extLst>
            </c:dLbl>
            <c:dLbl>
              <c:idx val="6"/>
              <c:layout>
                <c:manualLayout>
                  <c:x val="-0.12723353975770813"/>
                  <c:y val="6.1747329354531318E-2"/>
                </c:manualLayout>
              </c:layout>
              <c:tx>
                <c:rich>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fld id="{3115EA1D-FEAC-4D41-8092-255EB3BEDE4B}" type="CATEGORYNAME">
                      <a:rPr lang="en-US" baseline="0">
                        <a:solidFill>
                          <a:sysClr val="windowText" lastClr="000000"/>
                        </a:solidFill>
                      </a:rPr>
                      <a:pPr>
                        <a:defRPr>
                          <a:solidFill>
                            <a:sysClr val="windowText" lastClr="000000"/>
                          </a:solidFill>
                        </a:defRPr>
                      </a:pPr>
                      <a:t>[CATEGORY NAME]</a:t>
                    </a:fld>
                    <a:r>
                      <a:rPr lang="en-US" baseline="0">
                        <a:solidFill>
                          <a:sysClr val="windowText" lastClr="000000"/>
                        </a:solidFill>
                      </a:rPr>
                      <a:t> operating revenue</a:t>
                    </a:r>
                  </a:p>
                  <a:p>
                    <a:pPr>
                      <a:defRPr>
                        <a:solidFill>
                          <a:sysClr val="windowText" lastClr="000000"/>
                        </a:solidFill>
                      </a:defRPr>
                    </a:pPr>
                    <a:fld id="{774D18CF-286A-4EA4-90A5-7E6EF3EB2A36}" type="PERCENTAGE">
                      <a:rPr lang="en-US" baseline="0">
                        <a:solidFill>
                          <a:sysClr val="windowText" lastClr="000000"/>
                        </a:solidFill>
                      </a:rPr>
                      <a:pPr>
                        <a:defRPr>
                          <a:solidFill>
                            <a:sysClr val="windowText" lastClr="000000"/>
                          </a:solidFill>
                        </a:defRPr>
                      </a:pPr>
                      <a:t>[PERCENTAGE]</a:t>
                    </a:fld>
                    <a:endParaRPr lang="en-US"/>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en-US"/>
                </a:p>
              </c:txPr>
              <c:showLegendKey val="1"/>
              <c:showVal val="0"/>
              <c:showCatName val="1"/>
              <c:showSerName val="0"/>
              <c:showPercent val="1"/>
              <c:showBubbleSize val="0"/>
              <c:extLst>
                <c:ext xmlns:c15="http://schemas.microsoft.com/office/drawing/2012/chart" uri="{CE6537A1-D6FC-4f65-9D91-7224C49458BB}">
                  <c15:layout>
                    <c:manualLayout>
                      <c:w val="0.14465491635609606"/>
                      <c:h val="0.14199865144245502"/>
                    </c:manualLayout>
                  </c15:layout>
                  <c15:dlblFieldTable/>
                  <c15:showDataLabelsRange val="0"/>
                </c:ext>
              </c:extLst>
            </c:dLbl>
            <c:dLbl>
              <c:idx val="7"/>
              <c:layout>
                <c:manualLayout>
                  <c:x val="-0.16374886207469616"/>
                  <c:y val="7.9242118384640192E-3"/>
                </c:manualLayout>
              </c:layout>
              <c:tx>
                <c:rich>
                  <a:bodyPr/>
                  <a:lstStyle/>
                  <a:p>
                    <a:r>
                      <a:rPr lang="en-US" baseline="0">
                        <a:solidFill>
                          <a:sysClr val="windowText" lastClr="000000"/>
                        </a:solidFill>
                      </a:rPr>
                      <a:t>Operating</a:t>
                    </a:r>
                  </a:p>
                  <a:p>
                    <a:r>
                      <a:rPr lang="en-US" baseline="0">
                        <a:solidFill>
                          <a:sysClr val="windowText" lastClr="000000"/>
                        </a:solidFill>
                      </a:rPr>
                      <a:t> revenue</a:t>
                    </a:r>
                  </a:p>
                  <a:p>
                    <a:r>
                      <a:rPr lang="en-US" baseline="0">
                        <a:solidFill>
                          <a:schemeClr val="bg1"/>
                        </a:solidFill>
                      </a:rPr>
                      <a:t>
</a:t>
                    </a:r>
                    <a:fld id="{ED77B29E-B258-4946-ABEE-867B04DC0836}" type="PERCENTAGE">
                      <a:rPr lang="en-US" baseline="0">
                        <a:solidFill>
                          <a:sysClr val="windowText" lastClr="000000"/>
                        </a:solidFill>
                      </a:rPr>
                      <a:pPr/>
                      <a:t>[PERCENTAGE]</a:t>
                    </a:fld>
                    <a:endParaRPr lang="en-US" baseline="0">
                      <a:solidFill>
                        <a:schemeClr val="bg1"/>
                      </a:solidFill>
                    </a:endParaRPr>
                  </a:p>
                </c:rich>
              </c:tx>
              <c:showLegendKey val="1"/>
              <c:showVal val="0"/>
              <c:showCatName val="1"/>
              <c:showSerName val="0"/>
              <c:showPercent val="1"/>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1"/>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'Financial Highlights'!$A$33:$A$39</c:f>
              <c:strCache>
                <c:ptCount val="7"/>
                <c:pt idx="0">
                  <c:v>Assessed contributions</c:v>
                </c:pt>
                <c:pt idx="1">
                  <c:v>Voluntary contributions</c:v>
                </c:pt>
                <c:pt idx="2">
                  <c:v>Finance revenue</c:v>
                </c:pt>
                <c:pt idx="3">
                  <c:v>Extra budgetary revenue</c:v>
                </c:pt>
                <c:pt idx="4">
                  <c:v>Sales of publication</c:v>
                </c:pt>
                <c:pt idx="5">
                  <c:v>SNF</c:v>
                </c:pt>
                <c:pt idx="6">
                  <c:v>other </c:v>
                </c:pt>
              </c:strCache>
            </c:strRef>
          </c:cat>
          <c:val>
            <c:numRef>
              <c:f>'Financial Highlights'!$B$33:$B$39</c:f>
              <c:numCache>
                <c:formatCode>_ * #,##0_ ;_ * \-#,##0_ ;_ * "-"??_ ;_ @_ </c:formatCode>
                <c:ptCount val="7"/>
                <c:pt idx="0">
                  <c:v>122389.978</c:v>
                </c:pt>
                <c:pt idx="1">
                  <c:v>10610.256000000001</c:v>
                </c:pt>
                <c:pt idx="2">
                  <c:v>257.66679999999997</c:v>
                </c:pt>
                <c:pt idx="3">
                  <c:v>7505.6289999999999</c:v>
                </c:pt>
                <c:pt idx="4">
                  <c:v>19592.29</c:v>
                </c:pt>
                <c:pt idx="5">
                  <c:v>15341.700999999999</c:v>
                </c:pt>
                <c:pt idx="6" formatCode="General">
                  <c:v>1934</c:v>
                </c:pt>
              </c:numCache>
            </c:numRef>
          </c:val>
        </c:ser>
        <c:dLbls>
          <c:showLegendKey val="0"/>
          <c:showVal val="0"/>
          <c:showCatName val="0"/>
          <c:showSerName val="0"/>
          <c:showPercent val="0"/>
          <c:showBubbleSize val="0"/>
          <c:showLeaderLines val="1"/>
        </c:dLbls>
        <c:gapWidth val="100"/>
        <c:splitType val="pos"/>
        <c:splitPos val="4"/>
        <c:secondPieSize val="75"/>
        <c:serLines>
          <c:spPr>
            <a:ln w="9525" cap="flat" cmpd="sng" algn="ctr">
              <a:solidFill>
                <a:schemeClr val="tx1">
                  <a:lumMod val="35000"/>
                  <a:lumOff val="65000"/>
                </a:schemeClr>
              </a:solidFill>
              <a:round/>
            </a:ln>
            <a:effectLst/>
          </c:spPr>
        </c:serLines>
      </c:of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8.8285234309980615E-2"/>
          <c:y val="9.6659559346126508E-2"/>
          <c:w val="0.91171476569001941"/>
          <c:h val="0.4612330921321402"/>
        </c:manualLayout>
      </c:layout>
      <c:barChart>
        <c:barDir val="col"/>
        <c:grouping val="clustered"/>
        <c:varyColors val="0"/>
        <c:ser>
          <c:idx val="0"/>
          <c:order val="0"/>
          <c:tx>
            <c:strRef>
              <c:f>'Financial Highlights'!$C$73</c:f>
              <c:strCache>
                <c:ptCount val="1"/>
                <c:pt idx="0">
                  <c:v>2017</c:v>
                </c:pt>
              </c:strCache>
            </c:strRef>
          </c:tx>
          <c:spPr>
            <a:gradFill rotWithShape="1">
              <a:gsLst>
                <a:gs pos="0">
                  <a:schemeClr val="accent1">
                    <a:shade val="76000"/>
                    <a:shade val="51000"/>
                    <a:satMod val="130000"/>
                  </a:schemeClr>
                </a:gs>
                <a:gs pos="80000">
                  <a:schemeClr val="accent1">
                    <a:shade val="76000"/>
                    <a:shade val="93000"/>
                    <a:satMod val="130000"/>
                  </a:schemeClr>
                </a:gs>
                <a:gs pos="100000">
                  <a:schemeClr val="accent1">
                    <a:shade val="76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'Financial Highlights'!$A$75:$B$83</c:f>
              <c:strCache>
                <c:ptCount val="9"/>
                <c:pt idx="0">
                  <c:v>Employee expenses</c:v>
                </c:pt>
                <c:pt idx="1">
                  <c:v>Mission expenses</c:v>
                </c:pt>
                <c:pt idx="2">
                  <c:v>Contractual services</c:v>
                </c:pt>
                <c:pt idx="3">
                  <c:v>Rental and maintenance of premises and equipment</c:v>
                </c:pt>
                <c:pt idx="4">
                  <c:v>Equipment and supplies</c:v>
                </c:pt>
                <c:pt idx="5">
                  <c:v>Depreciation and impairment losses</c:v>
                </c:pt>
                <c:pt idx="6">
                  <c:v>Shipping, telecommunication and service expenses</c:v>
                </c:pt>
                <c:pt idx="7">
                  <c:v>Other expenses</c:v>
                </c:pt>
                <c:pt idx="8">
                  <c:v>Finance expenses</c:v>
                </c:pt>
              </c:strCache>
            </c:strRef>
          </c:cat>
          <c:val>
            <c:numRef>
              <c:f>'Financial Highlights'!$C$75:$C$83</c:f>
              <c:numCache>
                <c:formatCode>#,##0</c:formatCode>
                <c:ptCount val="9"/>
                <c:pt idx="0">
                  <c:v>148747.76</c:v>
                </c:pt>
                <c:pt idx="1">
                  <c:v>6968.0570000000007</c:v>
                </c:pt>
                <c:pt idx="2">
                  <c:v>15613.197999999997</c:v>
                </c:pt>
                <c:pt idx="3">
                  <c:v>4411.0219999999999</c:v>
                </c:pt>
                <c:pt idx="4">
                  <c:v>3874.6980000000012</c:v>
                </c:pt>
                <c:pt idx="5">
                  <c:v>5212.0410000000002</c:v>
                </c:pt>
                <c:pt idx="6">
                  <c:v>1575.652</c:v>
                </c:pt>
                <c:pt idx="7">
                  <c:v>7656.1790000000001</c:v>
                </c:pt>
                <c:pt idx="8" formatCode="0">
                  <c:v>674.6</c:v>
                </c:pt>
              </c:numCache>
            </c:numRef>
          </c:val>
        </c:ser>
        <c:ser>
          <c:idx val="1"/>
          <c:order val="1"/>
          <c:tx>
            <c:strRef>
              <c:f>'Financial Highlights'!$D$73</c:f>
              <c:strCache>
                <c:ptCount val="1"/>
                <c:pt idx="0">
                  <c:v>2016</c:v>
                </c:pt>
              </c:strCache>
            </c:strRef>
          </c:tx>
          <c:spPr>
            <a:gradFill rotWithShape="1">
              <a:gsLst>
                <a:gs pos="0">
                  <a:schemeClr val="accent1">
                    <a:tint val="77000"/>
                    <a:shade val="51000"/>
                    <a:satMod val="130000"/>
                  </a:schemeClr>
                </a:gs>
                <a:gs pos="80000">
                  <a:schemeClr val="accent1">
                    <a:tint val="77000"/>
                    <a:shade val="93000"/>
                    <a:satMod val="130000"/>
                  </a:schemeClr>
                </a:gs>
                <a:gs pos="100000">
                  <a:schemeClr val="accent1">
                    <a:tint val="77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spPr>
              <a:gradFill rotWithShape="1">
                <a:gsLst>
                  <a:gs pos="0">
                    <a:schemeClr val="accent1">
                      <a:tint val="77000"/>
                      <a:shade val="51000"/>
                      <a:satMod val="130000"/>
                    </a:schemeClr>
                  </a:gs>
                  <a:gs pos="80000">
                    <a:schemeClr val="accent1">
                      <a:tint val="77000"/>
                      <a:shade val="93000"/>
                      <a:satMod val="130000"/>
                    </a:schemeClr>
                  </a:gs>
                  <a:gs pos="100000">
                    <a:schemeClr val="accent1">
                      <a:tint val="77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delete val="1"/>
          </c:dLbls>
          <c:cat>
            <c:strRef>
              <c:f>'Financial Highlights'!$A$75:$B$83</c:f>
              <c:strCache>
                <c:ptCount val="9"/>
                <c:pt idx="0">
                  <c:v>Employee expenses</c:v>
                </c:pt>
                <c:pt idx="1">
                  <c:v>Mission expenses</c:v>
                </c:pt>
                <c:pt idx="2">
                  <c:v>Contractual services</c:v>
                </c:pt>
                <c:pt idx="3">
                  <c:v>Rental and maintenance of premises and equipment</c:v>
                </c:pt>
                <c:pt idx="4">
                  <c:v>Equipment and supplies</c:v>
                </c:pt>
                <c:pt idx="5">
                  <c:v>Depreciation and impairment losses</c:v>
                </c:pt>
                <c:pt idx="6">
                  <c:v>Shipping, telecommunication and service expenses</c:v>
                </c:pt>
                <c:pt idx="7">
                  <c:v>Other expenses</c:v>
                </c:pt>
                <c:pt idx="8">
                  <c:v>Finance expenses</c:v>
                </c:pt>
              </c:strCache>
            </c:strRef>
          </c:cat>
          <c:val>
            <c:numRef>
              <c:f>'Financial Highlights'!$D$75:$D$83</c:f>
              <c:numCache>
                <c:formatCode>#,##0</c:formatCode>
                <c:ptCount val="9"/>
                <c:pt idx="0">
                  <c:v>146999</c:v>
                </c:pt>
                <c:pt idx="1">
                  <c:v>6997</c:v>
                </c:pt>
                <c:pt idx="2">
                  <c:v>14107</c:v>
                </c:pt>
                <c:pt idx="3">
                  <c:v>4872</c:v>
                </c:pt>
                <c:pt idx="4">
                  <c:v>3291</c:v>
                </c:pt>
                <c:pt idx="5">
                  <c:v>5610</c:v>
                </c:pt>
                <c:pt idx="6">
                  <c:v>1804</c:v>
                </c:pt>
                <c:pt idx="7">
                  <c:v>3207</c:v>
                </c:pt>
                <c:pt idx="8" formatCode="General">
                  <c:v>407</c:v>
                </c:pt>
              </c:numCache>
            </c:numRef>
          </c:val>
        </c:ser>
        <c:dLbls>
          <c:showLegendKey val="0"/>
          <c:showVal val="1"/>
          <c:showCatName val="0"/>
          <c:showSerName val="0"/>
          <c:showPercent val="0"/>
          <c:showBubbleSize val="0"/>
        </c:dLbls>
        <c:gapWidth val="100"/>
        <c:overlap val="-24"/>
        <c:axId val="332545592"/>
        <c:axId val="340859504"/>
      </c:barChart>
      <c:catAx>
        <c:axId val="33254559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0859504"/>
        <c:crosses val="autoZero"/>
        <c:auto val="1"/>
        <c:lblAlgn val="ctr"/>
        <c:lblOffset val="100"/>
        <c:noMultiLvlLbl val="0"/>
      </c:catAx>
      <c:valAx>
        <c:axId val="3408595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25455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391881971784777"/>
          <c:y val="7.1587900677960226E-2"/>
          <c:w val="0.50530424321959755"/>
          <c:h val="0.82828689519055643"/>
        </c:manualLayout>
      </c:layout>
      <c:pie3DChart>
        <c:varyColors val="1"/>
        <c:ser>
          <c:idx val="0"/>
          <c:order val="0"/>
          <c:explosion val="9"/>
          <c:dPt>
            <c:idx val="0"/>
            <c:bubble3D val="0"/>
            <c:spPr>
              <a:solidFill>
                <a:schemeClr val="accent1">
                  <a:shade val="5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1">
                  <a:shade val="7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1">
                  <a:shade val="9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spPr>
              <a:solidFill>
                <a:schemeClr val="accent1">
                  <a:tint val="9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bubble3D val="0"/>
            <c:spPr>
              <a:solidFill>
                <a:schemeClr val="accent1">
                  <a:tint val="7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5"/>
            <c:bubble3D val="0"/>
            <c:spPr>
              <a:solidFill>
                <a:schemeClr val="accent1">
                  <a:tint val="5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dLbl>
            <c:dLbl>
              <c:idx val="1"/>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dLbl>
            <c:dLbl>
              <c:idx val="2"/>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dLbl>
            <c:dLbl>
              <c:idx val="3"/>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dLbl>
            <c:dLbl>
              <c:idx val="4"/>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dLbl>
            <c:dLbl>
              <c:idx val="5"/>
              <c:layout>
                <c:manualLayout>
                  <c:x val="-1.6666666666666691E-2"/>
                  <c:y val="-0.102418192386108"/>
                </c:manualLayout>
              </c:layout>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ext>
              </c:extLst>
            </c:dLbl>
            <c:dLbl>
              <c:idx val="6"/>
              <c:layout>
                <c:manualLayout>
                  <c:x val="0.13802083333333323"/>
                  <c:y val="-2.1887821753852215E-2"/>
                </c:manualLayout>
              </c:layout>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'Financial Highlights'!$B$100:$B$105</c:f>
              <c:strCache>
                <c:ptCount val="6"/>
                <c:pt idx="0">
                  <c:v>Cash and cash equivalents</c:v>
                </c:pt>
                <c:pt idx="1">
                  <c:v>Investments</c:v>
                </c:pt>
                <c:pt idx="2">
                  <c:v>Receivables</c:v>
                </c:pt>
                <c:pt idx="3">
                  <c:v>Other receivables</c:v>
                </c:pt>
                <c:pt idx="4">
                  <c:v>Property, plant and equipment</c:v>
                </c:pt>
                <c:pt idx="5">
                  <c:v>Other assets</c:v>
                </c:pt>
              </c:strCache>
            </c:strRef>
          </c:cat>
          <c:val>
            <c:numRef>
              <c:f>'Financial Highlights'!$C$100:$C$105</c:f>
              <c:numCache>
                <c:formatCode>_ * #,##0_ ;_ * \-#,##0_ ;_ * "-"??_ ;_ @_ </c:formatCode>
                <c:ptCount val="6"/>
                <c:pt idx="0">
                  <c:v>135297.13926999999</c:v>
                </c:pt>
                <c:pt idx="1">
                  <c:v>31362.866000000002</c:v>
                </c:pt>
                <c:pt idx="2">
                  <c:v>97072.566000000006</c:v>
                </c:pt>
                <c:pt idx="3">
                  <c:v>7504.5187699999988</c:v>
                </c:pt>
                <c:pt idx="4">
                  <c:v>99000.041999999987</c:v>
                </c:pt>
                <c:pt idx="5">
                  <c:v>1875.617</c:v>
                </c:pt>
              </c:numCache>
            </c:numRef>
          </c:val>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baseline="0"/>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'Financial Highlights'!$C$98:$C$99</c:f>
              <c:strCache>
                <c:ptCount val="2"/>
                <c:pt idx="0">
                  <c:v>2017</c:v>
                </c:pt>
              </c:strCache>
            </c:strRef>
          </c:tx>
          <c:spPr>
            <a:gradFill rotWithShape="1">
              <a:gsLst>
                <a:gs pos="0">
                  <a:schemeClr val="accent1">
                    <a:shade val="76000"/>
                    <a:shade val="51000"/>
                    <a:satMod val="130000"/>
                  </a:schemeClr>
                </a:gs>
                <a:gs pos="80000">
                  <a:schemeClr val="accent1">
                    <a:shade val="76000"/>
                    <a:shade val="93000"/>
                    <a:satMod val="130000"/>
                  </a:schemeClr>
                </a:gs>
                <a:gs pos="100000">
                  <a:schemeClr val="accent1">
                    <a:shade val="76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'Financial Highlights'!$B$100:$B$105</c:f>
              <c:strCache>
                <c:ptCount val="6"/>
                <c:pt idx="0">
                  <c:v>Cash and cash equivalents</c:v>
                </c:pt>
                <c:pt idx="1">
                  <c:v>Investments</c:v>
                </c:pt>
                <c:pt idx="2">
                  <c:v>Receivables</c:v>
                </c:pt>
                <c:pt idx="3">
                  <c:v>Other receivables</c:v>
                </c:pt>
                <c:pt idx="4">
                  <c:v>Property, plant and equipment</c:v>
                </c:pt>
                <c:pt idx="5">
                  <c:v>Other assets</c:v>
                </c:pt>
              </c:strCache>
            </c:strRef>
          </c:cat>
          <c:val>
            <c:numRef>
              <c:f>'Financial Highlights'!$C$100:$C$105</c:f>
              <c:numCache>
                <c:formatCode>_ * #,##0_ ;_ * \-#,##0_ ;_ * "-"??_ ;_ @_ </c:formatCode>
                <c:ptCount val="6"/>
                <c:pt idx="0">
                  <c:v>135297.13926999999</c:v>
                </c:pt>
                <c:pt idx="1">
                  <c:v>31362.866000000002</c:v>
                </c:pt>
                <c:pt idx="2">
                  <c:v>97072.566000000006</c:v>
                </c:pt>
                <c:pt idx="3">
                  <c:v>7504.5187699999988</c:v>
                </c:pt>
                <c:pt idx="4">
                  <c:v>99000.041999999987</c:v>
                </c:pt>
                <c:pt idx="5">
                  <c:v>1875.617</c:v>
                </c:pt>
              </c:numCache>
            </c:numRef>
          </c:val>
        </c:ser>
        <c:ser>
          <c:idx val="1"/>
          <c:order val="1"/>
          <c:tx>
            <c:strRef>
              <c:f>'Financial Highlights'!$D$98:$D$99</c:f>
              <c:strCache>
                <c:ptCount val="2"/>
                <c:pt idx="0">
                  <c:v>2016</c:v>
                </c:pt>
              </c:strCache>
            </c:strRef>
          </c:tx>
          <c:spPr>
            <a:gradFill rotWithShape="1">
              <a:gsLst>
                <a:gs pos="0">
                  <a:schemeClr val="accent1">
                    <a:tint val="77000"/>
                    <a:shade val="51000"/>
                    <a:satMod val="130000"/>
                  </a:schemeClr>
                </a:gs>
                <a:gs pos="80000">
                  <a:schemeClr val="accent1">
                    <a:tint val="77000"/>
                    <a:shade val="93000"/>
                    <a:satMod val="130000"/>
                  </a:schemeClr>
                </a:gs>
                <a:gs pos="100000">
                  <a:schemeClr val="accent1">
                    <a:tint val="77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'Financial Highlights'!$B$100:$B$105</c:f>
              <c:strCache>
                <c:ptCount val="6"/>
                <c:pt idx="0">
                  <c:v>Cash and cash equivalents</c:v>
                </c:pt>
                <c:pt idx="1">
                  <c:v>Investments</c:v>
                </c:pt>
                <c:pt idx="2">
                  <c:v>Receivables</c:v>
                </c:pt>
                <c:pt idx="3">
                  <c:v>Other receivables</c:v>
                </c:pt>
                <c:pt idx="4">
                  <c:v>Property, plant and equipment</c:v>
                </c:pt>
                <c:pt idx="5">
                  <c:v>Other assets</c:v>
                </c:pt>
              </c:strCache>
            </c:strRef>
          </c:cat>
          <c:val>
            <c:numRef>
              <c:f>'Financial Highlights'!$D$100:$D$105</c:f>
              <c:numCache>
                <c:formatCode>_ * #,##0_ ;_ * \-#,##0_ ;_ * "-"??_ ;_ @_ </c:formatCode>
                <c:ptCount val="6"/>
                <c:pt idx="0">
                  <c:v>108434</c:v>
                </c:pt>
                <c:pt idx="1">
                  <c:v>64980</c:v>
                </c:pt>
                <c:pt idx="2">
                  <c:v>85490</c:v>
                </c:pt>
                <c:pt idx="3">
                  <c:v>9442.2382800000014</c:v>
                </c:pt>
                <c:pt idx="4">
                  <c:v>101432</c:v>
                </c:pt>
                <c:pt idx="5">
                  <c:v>2634</c:v>
                </c:pt>
              </c:numCache>
            </c:numRef>
          </c:val>
        </c:ser>
        <c:dLbls>
          <c:showLegendKey val="0"/>
          <c:showVal val="0"/>
          <c:showCatName val="0"/>
          <c:showSerName val="0"/>
          <c:showPercent val="0"/>
          <c:showBubbleSize val="0"/>
        </c:dLbls>
        <c:gapWidth val="100"/>
        <c:overlap val="-24"/>
        <c:axId val="340860680"/>
        <c:axId val="340861072"/>
      </c:barChart>
      <c:catAx>
        <c:axId val="34086068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40861072"/>
        <c:crosses val="autoZero"/>
        <c:auto val="1"/>
        <c:lblAlgn val="ctr"/>
        <c:lblOffset val="100"/>
        <c:noMultiLvlLbl val="0"/>
      </c:catAx>
      <c:valAx>
        <c:axId val="340861072"/>
        <c:scaling>
          <c:orientation val="minMax"/>
          <c:max val="140000"/>
        </c:scaling>
        <c:delete val="0"/>
        <c:axPos val="l"/>
        <c:majorGridlines>
          <c:spPr>
            <a:ln w="9525" cap="flat" cmpd="sng" algn="ctr">
              <a:solidFill>
                <a:schemeClr val="tx1">
                  <a:lumMod val="15000"/>
                  <a:lumOff val="85000"/>
                </a:schemeClr>
              </a:solidFill>
              <a:round/>
            </a:ln>
            <a:effectLst/>
          </c:spPr>
        </c:majorGridlines>
        <c:numFmt formatCode="_ * #,##0_ ;_ * \-#,##0_ ;_ * &quot;-&quot;??_ ;_ @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086068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194444444444445"/>
          <c:y val="0.28080593989178415"/>
          <c:w val="0.72777777777777775"/>
          <c:h val="0.68981481481481488"/>
        </c:manualLayout>
      </c:layout>
      <c:pie3DChart>
        <c:varyColors val="1"/>
        <c:ser>
          <c:idx val="0"/>
          <c:order val="0"/>
          <c:explosion val="13"/>
          <c:dPt>
            <c:idx val="0"/>
            <c:bubble3D val="0"/>
            <c:spPr>
              <a:solidFill>
                <a:schemeClr val="accent1">
                  <a:shade val="47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1">
                  <a:shade val="65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1">
                  <a:shade val="82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bubble3D val="0"/>
            <c:spPr>
              <a:solidFill>
                <a:schemeClr val="accent1">
                  <a:tint val="83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5"/>
            <c:bubble3D val="0"/>
            <c:spPr>
              <a:solidFill>
                <a:schemeClr val="accent1">
                  <a:tint val="65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6"/>
            <c:bubble3D val="0"/>
            <c:spPr>
              <a:solidFill>
                <a:schemeClr val="accent1">
                  <a:tint val="48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7"/>
            <c:bubble3D val="0"/>
            <c:spPr>
              <a:solidFill>
                <a:schemeClr val="accent1">
                  <a:tint val="3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layout>
                <c:manualLayout>
                  <c:x val="-2.7777777777777779E-3"/>
                  <c:y val="-8.369013661517849E-2"/>
                </c:manualLayout>
              </c:layout>
              <c:spPr>
                <a:noFill/>
                <a:ln>
                  <a:solidFill>
                    <a:schemeClr val="tx1"/>
                  </a:solid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ext>
              </c:extLst>
            </c:dLbl>
            <c:dLbl>
              <c:idx val="1"/>
              <c:layout>
                <c:manualLayout>
                  <c:x val="-1.1111111111111217E-2"/>
                  <c:y val="-0.15735130170171291"/>
                </c:manualLayout>
              </c:layout>
              <c:spPr>
                <a:noFill/>
                <a:ln>
                  <a:solidFill>
                    <a:schemeClr val="tx1"/>
                  </a:solidFill>
                </a:ln>
                <a:effectLst/>
              </c:spPr>
              <c:txPr>
                <a:bodyPr rot="0" spcFirstLastPara="1" vertOverflow="ellipsis" vert="horz" wrap="square" lIns="38100" tIns="19050" rIns="38100" bIns="19050" anchor="ctr" anchorCtr="1">
                  <a:noAutofit/>
                </a:bodyPr>
                <a:lstStyle/>
                <a:p>
                  <a:pPr>
                    <a:defRPr sz="9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0929155730533683"/>
                      <c:h val="0.12446589211967382"/>
                    </c:manualLayout>
                  </c15:layout>
                </c:ext>
              </c:extLst>
            </c:dLbl>
            <c:dLbl>
              <c:idx val="2"/>
              <c:layout>
                <c:manualLayout>
                  <c:x val="-2.7777777777777776E-2"/>
                  <c:y val="-0.10583029560734133"/>
                </c:manualLayout>
              </c:layout>
              <c:spPr>
                <a:noFill/>
                <a:ln>
                  <a:solidFill>
                    <a:schemeClr val="tx1"/>
                  </a:solid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ext>
              </c:extLst>
            </c:dLbl>
            <c:dLbl>
              <c:idx val="3"/>
              <c:layout>
                <c:manualLayout>
                  <c:x val="2.9337051618547681E-2"/>
                  <c:y val="1.9513605990702631E-2"/>
                </c:manualLayout>
              </c:layout>
              <c:spPr>
                <a:noFill/>
                <a:ln>
                  <a:solidFill>
                    <a:schemeClr val="tx1"/>
                  </a:solid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ext>
              </c:extLst>
            </c:dLbl>
            <c:dLbl>
              <c:idx val="4"/>
              <c:layout>
                <c:manualLayout>
                  <c:x val="-5.2942475940507452E-2"/>
                  <c:y val="-8.3985660087137537E-2"/>
                </c:manualLayout>
              </c:layout>
              <c:spPr>
                <a:noFill/>
                <a:ln>
                  <a:solidFill>
                    <a:schemeClr val="tx1"/>
                  </a:solid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ext>
              </c:extLst>
            </c:dLbl>
            <c:dLbl>
              <c:idx val="5"/>
              <c:layout>
                <c:manualLayout>
                  <c:x val="-7.5991907261592301E-2"/>
                  <c:y val="-6.3106062703992688E-2"/>
                </c:manualLayout>
              </c:layout>
              <c:spPr>
                <a:noFill/>
                <a:ln>
                  <a:solidFill>
                    <a:schemeClr val="tx1"/>
                  </a:solid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ext>
              </c:extLst>
            </c:dLbl>
            <c:dLbl>
              <c:idx val="6"/>
              <c:layout>
                <c:manualLayout>
                  <c:x val="-1.9444444444444445E-2"/>
                  <c:y val="0.20001214066452552"/>
                </c:manualLayout>
              </c:layout>
              <c:spPr>
                <a:noFill/>
                <a:ln>
                  <a:solidFill>
                    <a:schemeClr val="tx1"/>
                  </a:solid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ext>
              </c:extLst>
            </c:dLbl>
            <c:dLbl>
              <c:idx val="7"/>
              <c:layout>
                <c:manualLayout>
                  <c:x val="-0.16944444444444448"/>
                  <c:y val="-3.198401303033728E-2"/>
                </c:manualLayout>
              </c:layout>
              <c:spPr>
                <a:noFill/>
                <a:ln>
                  <a:solidFill>
                    <a:schemeClr val="tx1"/>
                  </a:solid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dLbl>
              <c:idx val="9"/>
              <c:layout>
                <c:manualLayout>
                  <c:x val="-5.5555555555555558E-3"/>
                  <c:y val="0"/>
                </c:manualLayout>
              </c:layout>
              <c:spPr>
                <a:noFill/>
                <a:ln>
                  <a:solidFill>
                    <a:schemeClr val="tx1"/>
                  </a:solid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spPr>
              <a:noFill/>
              <a:ln>
                <a:solidFill>
                  <a:schemeClr val="tx1"/>
                </a:solid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'Financial Highlights'!$C$121:$C$127</c:f>
              <c:strCache>
                <c:ptCount val="6"/>
                <c:pt idx="0">
                  <c:v>Payables and acrruals</c:v>
                </c:pt>
                <c:pt idx="1">
                  <c:v>Deferred revenue</c:v>
                </c:pt>
                <c:pt idx="2">
                  <c:v>Other liabilities</c:v>
                </c:pt>
                <c:pt idx="3">
                  <c:v>Borrowings</c:v>
                </c:pt>
                <c:pt idx="4">
                  <c:v>Employee benefits</c:v>
                </c:pt>
                <c:pt idx="5">
                  <c:v>Third party funds</c:v>
                </c:pt>
              </c:strCache>
            </c:strRef>
          </c:cat>
          <c:val>
            <c:numRef>
              <c:f>'Financial Highlights'!$D$121:$D$127</c:f>
              <c:numCache>
                <c:formatCode>_ * #,##0_ ;_ * \-#,##0_ ;_ * "-"??_ ;_ @_ </c:formatCode>
                <c:ptCount val="7"/>
                <c:pt idx="0">
                  <c:v>11307.438</c:v>
                </c:pt>
                <c:pt idx="1">
                  <c:v>134274.56018</c:v>
                </c:pt>
                <c:pt idx="2">
                  <c:v>1810.4816900000001</c:v>
                </c:pt>
                <c:pt idx="3">
                  <c:v>43018.549999999996</c:v>
                </c:pt>
                <c:pt idx="4">
                  <c:v>638591.01</c:v>
                </c:pt>
                <c:pt idx="5">
                  <c:v>26294</c:v>
                </c:pt>
              </c:numCache>
            </c:numRef>
          </c:val>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'Financial Highlights'!$D$120</c:f>
              <c:strCache>
                <c:ptCount val="1"/>
                <c:pt idx="0">
                  <c:v>2017</c:v>
                </c:pt>
              </c:strCache>
            </c:strRef>
          </c:tx>
          <c:spPr>
            <a:gradFill rotWithShape="1">
              <a:gsLst>
                <a:gs pos="0">
                  <a:schemeClr val="accent1">
                    <a:shade val="76000"/>
                    <a:shade val="51000"/>
                    <a:satMod val="130000"/>
                  </a:schemeClr>
                </a:gs>
                <a:gs pos="80000">
                  <a:schemeClr val="accent1">
                    <a:shade val="76000"/>
                    <a:shade val="93000"/>
                    <a:satMod val="130000"/>
                  </a:schemeClr>
                </a:gs>
                <a:gs pos="100000">
                  <a:schemeClr val="accent1">
                    <a:shade val="76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scene3d>
            <a:sp3d>
              <a:bevelT/>
            </a:sp3d>
          </c:spPr>
          <c:invertIfNegative val="0"/>
          <c:cat>
            <c:strRef>
              <c:f>'Financial Highlights'!$C$121:$C$126</c:f>
              <c:strCache>
                <c:ptCount val="6"/>
                <c:pt idx="0">
                  <c:v>Payables and acrruals</c:v>
                </c:pt>
                <c:pt idx="1">
                  <c:v>Deferred revenue</c:v>
                </c:pt>
                <c:pt idx="2">
                  <c:v>Other liabilities</c:v>
                </c:pt>
                <c:pt idx="3">
                  <c:v>Borrowings</c:v>
                </c:pt>
                <c:pt idx="4">
                  <c:v>Employee benefits</c:v>
                </c:pt>
                <c:pt idx="5">
                  <c:v>Third party funds</c:v>
                </c:pt>
              </c:strCache>
            </c:strRef>
          </c:cat>
          <c:val>
            <c:numRef>
              <c:f>'Financial Highlights'!$D$121:$D$126</c:f>
              <c:numCache>
                <c:formatCode>_ * #,##0_ ;_ * \-#,##0_ ;_ * "-"??_ ;_ @_ </c:formatCode>
                <c:ptCount val="6"/>
                <c:pt idx="0">
                  <c:v>11307.438</c:v>
                </c:pt>
                <c:pt idx="1">
                  <c:v>134274.56018</c:v>
                </c:pt>
                <c:pt idx="2">
                  <c:v>1810.4816900000001</c:v>
                </c:pt>
                <c:pt idx="3">
                  <c:v>43018.549999999996</c:v>
                </c:pt>
                <c:pt idx="4">
                  <c:v>638591.01</c:v>
                </c:pt>
                <c:pt idx="5">
                  <c:v>26294</c:v>
                </c:pt>
              </c:numCache>
            </c:numRef>
          </c:val>
        </c:ser>
        <c:ser>
          <c:idx val="1"/>
          <c:order val="1"/>
          <c:tx>
            <c:strRef>
              <c:f>'Financial Highlights'!$E$120</c:f>
              <c:strCache>
                <c:ptCount val="1"/>
                <c:pt idx="0">
                  <c:v>2016</c:v>
                </c:pt>
              </c:strCache>
            </c:strRef>
          </c:tx>
          <c:spPr>
            <a:gradFill rotWithShape="1">
              <a:gsLst>
                <a:gs pos="0">
                  <a:schemeClr val="accent1">
                    <a:tint val="77000"/>
                    <a:shade val="51000"/>
                    <a:satMod val="130000"/>
                  </a:schemeClr>
                </a:gs>
                <a:gs pos="80000">
                  <a:schemeClr val="accent1">
                    <a:tint val="77000"/>
                    <a:shade val="93000"/>
                    <a:satMod val="130000"/>
                  </a:schemeClr>
                </a:gs>
                <a:gs pos="100000">
                  <a:schemeClr val="accent1">
                    <a:tint val="77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balanced" dir="t"/>
            </a:scene3d>
            <a:sp3d>
              <a:bevelT/>
            </a:sp3d>
          </c:spPr>
          <c:invertIfNegative val="0"/>
          <c:cat>
            <c:strRef>
              <c:f>'Financial Highlights'!$C$121:$C$126</c:f>
              <c:strCache>
                <c:ptCount val="6"/>
                <c:pt idx="0">
                  <c:v>Payables and acrruals</c:v>
                </c:pt>
                <c:pt idx="1">
                  <c:v>Deferred revenue</c:v>
                </c:pt>
                <c:pt idx="2">
                  <c:v>Other liabilities</c:v>
                </c:pt>
                <c:pt idx="3">
                  <c:v>Borrowings</c:v>
                </c:pt>
                <c:pt idx="4">
                  <c:v>Employee benefits</c:v>
                </c:pt>
                <c:pt idx="5">
                  <c:v>Third party funds</c:v>
                </c:pt>
              </c:strCache>
            </c:strRef>
          </c:cat>
          <c:val>
            <c:numRef>
              <c:f>'Financial Highlights'!$E$121:$E$126</c:f>
              <c:numCache>
                <c:formatCode>_ * #,##0_ ;_ * \-#,##0_ ;_ * "-"??_ ;_ @_ </c:formatCode>
                <c:ptCount val="6"/>
                <c:pt idx="0">
                  <c:v>10600</c:v>
                </c:pt>
                <c:pt idx="1">
                  <c:v>129022.05419000001</c:v>
                </c:pt>
                <c:pt idx="2">
                  <c:v>5074.5019499999999</c:v>
                </c:pt>
                <c:pt idx="3">
                  <c:v>43792</c:v>
                </c:pt>
                <c:pt idx="4">
                  <c:v>576216</c:v>
                </c:pt>
                <c:pt idx="5">
                  <c:v>27425</c:v>
                </c:pt>
              </c:numCache>
            </c:numRef>
          </c:val>
        </c:ser>
        <c:dLbls>
          <c:showLegendKey val="0"/>
          <c:showVal val="0"/>
          <c:showCatName val="0"/>
          <c:showSerName val="0"/>
          <c:showPercent val="0"/>
          <c:showBubbleSize val="0"/>
        </c:dLbls>
        <c:gapWidth val="100"/>
        <c:overlap val="-24"/>
        <c:axId val="550575872"/>
        <c:axId val="550576264"/>
      </c:barChart>
      <c:catAx>
        <c:axId val="55057587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50576264"/>
        <c:crosses val="autoZero"/>
        <c:auto val="1"/>
        <c:lblAlgn val="ctr"/>
        <c:lblOffset val="100"/>
        <c:noMultiLvlLbl val="0"/>
      </c:catAx>
      <c:valAx>
        <c:axId val="550576264"/>
        <c:scaling>
          <c:orientation val="minMax"/>
          <c:max val="600000"/>
        </c:scaling>
        <c:delete val="0"/>
        <c:axPos val="l"/>
        <c:majorGridlines>
          <c:spPr>
            <a:ln w="9525" cap="flat" cmpd="sng" algn="ctr">
              <a:solidFill>
                <a:schemeClr val="tx2">
                  <a:lumMod val="15000"/>
                  <a:lumOff val="85000"/>
                </a:schemeClr>
              </a:solidFill>
              <a:round/>
            </a:ln>
            <a:effectLst/>
          </c:spPr>
        </c:majorGridlines>
        <c:numFmt formatCode="_ * #,##0_ ;_ * \-#,##0_ ;_ * &quot;-&quot;??_ ;_ @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50575872"/>
        <c:crosses val="autoZero"/>
        <c:crossBetween val="between"/>
        <c:majorUnit val="100000"/>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withinLinear" id="14">
  <a:schemeClr val="accent1"/>
</cs:colorStyle>
</file>

<file path=word/charts/colors4.xml><?xml version="1.0" encoding="utf-8"?>
<cs:colorStyle xmlns:cs="http://schemas.microsoft.com/office/drawing/2012/chartStyle" xmlns:a="http://schemas.openxmlformats.org/drawingml/2006/main" meth="withinLinear" id="14">
  <a:schemeClr val="accent1"/>
</cs:colorStyle>
</file>

<file path=word/charts/colors5.xml><?xml version="1.0" encoding="utf-8"?>
<cs:colorStyle xmlns:cs="http://schemas.microsoft.com/office/drawing/2012/chartStyle" xmlns:a="http://schemas.openxmlformats.org/drawingml/2006/main" meth="withinLinear" id="14">
  <a:schemeClr val="accent1"/>
</cs:colorStyle>
</file>

<file path=word/charts/colors6.xml><?xml version="1.0" encoding="utf-8"?>
<cs:colorStyle xmlns:cs="http://schemas.microsoft.com/office/drawing/2012/chartStyle" xmlns:a="http://schemas.openxmlformats.org/drawingml/2006/main" meth="withinLinear" id="14">
  <a:schemeClr val="accent1"/>
</cs:colorStyle>
</file>

<file path=word/charts/colors7.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4A898-A7FC-46F2-9042-18069C066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108</Pages>
  <Words>29926</Words>
  <Characters>191683</Characters>
  <Application>Microsoft Office Word</Application>
  <DocSecurity>0</DocSecurity>
  <Lines>1597</Lines>
  <Paragraphs>442</Paragraphs>
  <ScaleCrop>false</ScaleCrop>
  <HeadingPairs>
    <vt:vector size="2" baseType="variant">
      <vt:variant>
        <vt:lpstr>Title</vt:lpstr>
      </vt:variant>
      <vt:variant>
        <vt:i4>1</vt:i4>
      </vt:variant>
    </vt:vector>
  </HeadingPairs>
  <TitlesOfParts>
    <vt:vector size="1" baseType="lpstr">
      <vt:lpstr>Unaudited financial operating report</vt:lpstr>
    </vt:vector>
  </TitlesOfParts>
  <Company>ITU</Company>
  <LinksUpToDate>false</LinksUpToDate>
  <CharactersWithSpaces>221167</CharactersWithSpaces>
  <SharedDoc>false</SharedDoc>
  <HLinks>
    <vt:vector size="624" baseType="variant">
      <vt:variant>
        <vt:i4>3801198</vt:i4>
      </vt:variant>
      <vt:variant>
        <vt:i4>555</vt:i4>
      </vt:variant>
      <vt:variant>
        <vt:i4>0</vt:i4>
      </vt:variant>
      <vt:variant>
        <vt:i4>5</vt:i4>
      </vt:variant>
      <vt:variant>
        <vt:lpwstr>http://www.itu.int/md/S13-CL-C-0007/en</vt:lpwstr>
      </vt:variant>
      <vt:variant>
        <vt:lpwstr/>
      </vt:variant>
      <vt:variant>
        <vt:i4>3801185</vt:i4>
      </vt:variant>
      <vt:variant>
        <vt:i4>552</vt:i4>
      </vt:variant>
      <vt:variant>
        <vt:i4>0</vt:i4>
      </vt:variant>
      <vt:variant>
        <vt:i4>5</vt:i4>
      </vt:variant>
      <vt:variant>
        <vt:lpwstr>http://www.itu.int/md/S13-CL-C-0008/en</vt:lpwstr>
      </vt:variant>
      <vt:variant>
        <vt:lpwstr/>
      </vt:variant>
      <vt:variant>
        <vt:i4>3801198</vt:i4>
      </vt:variant>
      <vt:variant>
        <vt:i4>549</vt:i4>
      </vt:variant>
      <vt:variant>
        <vt:i4>0</vt:i4>
      </vt:variant>
      <vt:variant>
        <vt:i4>5</vt:i4>
      </vt:variant>
      <vt:variant>
        <vt:lpwstr>http://www.itu.int/md/S13-CL-C-0007/en</vt:lpwstr>
      </vt:variant>
      <vt:variant>
        <vt:lpwstr/>
      </vt:variant>
      <vt:variant>
        <vt:i4>2818170</vt:i4>
      </vt:variant>
      <vt:variant>
        <vt:i4>546</vt:i4>
      </vt:variant>
      <vt:variant>
        <vt:i4>0</vt:i4>
      </vt:variant>
      <vt:variant>
        <vt:i4>5</vt:i4>
      </vt:variant>
      <vt:variant>
        <vt:lpwstr>http://www.itu.int/council/finregs/Regl_Fin_10e.pdf</vt:lpwstr>
      </vt:variant>
      <vt:variant>
        <vt:lpwstr/>
      </vt:variant>
      <vt:variant>
        <vt:i4>6094856</vt:i4>
      </vt:variant>
      <vt:variant>
        <vt:i4>543</vt:i4>
      </vt:variant>
      <vt:variant>
        <vt:i4>0</vt:i4>
      </vt:variant>
      <vt:variant>
        <vt:i4>5</vt:i4>
      </vt:variant>
      <vt:variant>
        <vt:lpwstr>http://www.itu.int/council/pd/convention.doc</vt:lpwstr>
      </vt:variant>
      <vt:variant>
        <vt:lpwstr>cv101</vt:lpwstr>
      </vt:variant>
      <vt:variant>
        <vt:i4>3604515</vt:i4>
      </vt:variant>
      <vt:variant>
        <vt:i4>540</vt:i4>
      </vt:variant>
      <vt:variant>
        <vt:i4>0</vt:i4>
      </vt:variant>
      <vt:variant>
        <vt:i4>5</vt:i4>
      </vt:variant>
      <vt:variant>
        <vt:lpwstr>http://www.unjspf.org/</vt:lpwstr>
      </vt:variant>
      <vt:variant>
        <vt:lpwstr/>
      </vt:variant>
      <vt:variant>
        <vt:i4>655443</vt:i4>
      </vt:variant>
      <vt:variant>
        <vt:i4>537</vt:i4>
      </vt:variant>
      <vt:variant>
        <vt:i4>0</vt:i4>
      </vt:variant>
      <vt:variant>
        <vt:i4>5</vt:i4>
      </vt:variant>
      <vt:variant>
        <vt:lpwstr>http://www.itu.int/ITU-R/index.asp?category=conferences&amp;link=rrb&amp;lang=en</vt:lpwstr>
      </vt:variant>
      <vt:variant>
        <vt:lpwstr/>
      </vt:variant>
      <vt:variant>
        <vt:i4>1376321</vt:i4>
      </vt:variant>
      <vt:variant>
        <vt:i4>534</vt:i4>
      </vt:variant>
      <vt:variant>
        <vt:i4>0</vt:i4>
      </vt:variant>
      <vt:variant>
        <vt:i4>5</vt:i4>
      </vt:variant>
      <vt:variant>
        <vt:lpwstr>http://www.itu.int/council/index-en.html</vt:lpwstr>
      </vt:variant>
      <vt:variant>
        <vt:lpwstr/>
      </vt:variant>
      <vt:variant>
        <vt:i4>1966082</vt:i4>
      </vt:variant>
      <vt:variant>
        <vt:i4>531</vt:i4>
      </vt:variant>
      <vt:variant>
        <vt:i4>0</vt:i4>
      </vt:variant>
      <vt:variant>
        <vt:i4>5</vt:i4>
      </vt:variant>
      <vt:variant>
        <vt:lpwstr>http://www.itu.int/cgi-bin/htsh/mm/scripts/mm.list?_search=ASSOCIATES&amp;_languageid=1</vt:lpwstr>
      </vt:variant>
      <vt:variant>
        <vt:lpwstr/>
      </vt:variant>
      <vt:variant>
        <vt:i4>1114190</vt:i4>
      </vt:variant>
      <vt:variant>
        <vt:i4>528</vt:i4>
      </vt:variant>
      <vt:variant>
        <vt:i4>0</vt:i4>
      </vt:variant>
      <vt:variant>
        <vt:i4>5</vt:i4>
      </vt:variant>
      <vt:variant>
        <vt:lpwstr>http://www.itu.int/cgi-bin/htsh/mm/scripts/mm.list?_search=SEC&amp;_languageid=1</vt:lpwstr>
      </vt:variant>
      <vt:variant>
        <vt:lpwstr/>
      </vt:variant>
      <vt:variant>
        <vt:i4>7209000</vt:i4>
      </vt:variant>
      <vt:variant>
        <vt:i4>525</vt:i4>
      </vt:variant>
      <vt:variant>
        <vt:i4>0</vt:i4>
      </vt:variant>
      <vt:variant>
        <vt:i4>5</vt:i4>
      </vt:variant>
      <vt:variant>
        <vt:lpwstr>http://www.itu.int/cgi-bin/htsh/mm/scripts/mm.list?_search=ITUstates&amp;_languageid=1</vt:lpwstr>
      </vt:variant>
      <vt:variant>
        <vt:lpwstr/>
      </vt:variant>
      <vt:variant>
        <vt:i4>6488164</vt:i4>
      </vt:variant>
      <vt:variant>
        <vt:i4>522</vt:i4>
      </vt:variant>
      <vt:variant>
        <vt:i4>0</vt:i4>
      </vt:variant>
      <vt:variant>
        <vt:i4>5</vt:i4>
      </vt:variant>
      <vt:variant>
        <vt:lpwstr>http://www.itu.int/itu-wsis/implementation/</vt:lpwstr>
      </vt:variant>
      <vt:variant>
        <vt:lpwstr/>
      </vt:variant>
      <vt:variant>
        <vt:i4>3866723</vt:i4>
      </vt:variant>
      <vt:variant>
        <vt:i4>519</vt:i4>
      </vt:variant>
      <vt:variant>
        <vt:i4>0</vt:i4>
      </vt:variant>
      <vt:variant>
        <vt:i4>5</vt:i4>
      </vt:variant>
      <vt:variant>
        <vt:lpwstr>http://www.itu.int/ITUTELECOM/index-en.html</vt:lpwstr>
      </vt:variant>
      <vt:variant>
        <vt:lpwstr/>
      </vt:variant>
      <vt:variant>
        <vt:i4>8192046</vt:i4>
      </vt:variant>
      <vt:variant>
        <vt:i4>516</vt:i4>
      </vt:variant>
      <vt:variant>
        <vt:i4>0</vt:i4>
      </vt:variant>
      <vt:variant>
        <vt:i4>5</vt:i4>
      </vt:variant>
      <vt:variant>
        <vt:lpwstr>http://www.itu.int/net/ITU-D/index-en.aspx</vt:lpwstr>
      </vt:variant>
      <vt:variant>
        <vt:lpwstr/>
      </vt:variant>
      <vt:variant>
        <vt:i4>4325394</vt:i4>
      </vt:variant>
      <vt:variant>
        <vt:i4>513</vt:i4>
      </vt:variant>
      <vt:variant>
        <vt:i4>0</vt:i4>
      </vt:variant>
      <vt:variant>
        <vt:i4>5</vt:i4>
      </vt:variant>
      <vt:variant>
        <vt:lpwstr>http://www.itu.int/ITU-T/</vt:lpwstr>
      </vt:variant>
      <vt:variant>
        <vt:lpwstr/>
      </vt:variant>
      <vt:variant>
        <vt:i4>6619170</vt:i4>
      </vt:variant>
      <vt:variant>
        <vt:i4>510</vt:i4>
      </vt:variant>
      <vt:variant>
        <vt:i4>0</vt:i4>
      </vt:variant>
      <vt:variant>
        <vt:i4>5</vt:i4>
      </vt:variant>
      <vt:variant>
        <vt:lpwstr>http://www.itu.int/ITU-R/index.asp?category=information&amp;link=rhome&amp;lang=en</vt:lpwstr>
      </vt:variant>
      <vt:variant>
        <vt:lpwstr/>
      </vt:variant>
      <vt:variant>
        <vt:i4>2490419</vt:i4>
      </vt:variant>
      <vt:variant>
        <vt:i4>507</vt:i4>
      </vt:variant>
      <vt:variant>
        <vt:i4>0</vt:i4>
      </vt:variant>
      <vt:variant>
        <vt:i4>5</vt:i4>
      </vt:variant>
      <vt:variant>
        <vt:lpwstr>http://www.unsystem.org/en</vt:lpwstr>
      </vt:variant>
      <vt:variant>
        <vt:lpwstr/>
      </vt:variant>
      <vt:variant>
        <vt:i4>1179709</vt:i4>
      </vt:variant>
      <vt:variant>
        <vt:i4>500</vt:i4>
      </vt:variant>
      <vt:variant>
        <vt:i4>0</vt:i4>
      </vt:variant>
      <vt:variant>
        <vt:i4>5</vt:i4>
      </vt:variant>
      <vt:variant>
        <vt:lpwstr/>
      </vt:variant>
      <vt:variant>
        <vt:lpwstr>_Toc329011663</vt:lpwstr>
      </vt:variant>
      <vt:variant>
        <vt:i4>1179709</vt:i4>
      </vt:variant>
      <vt:variant>
        <vt:i4>494</vt:i4>
      </vt:variant>
      <vt:variant>
        <vt:i4>0</vt:i4>
      </vt:variant>
      <vt:variant>
        <vt:i4>5</vt:i4>
      </vt:variant>
      <vt:variant>
        <vt:lpwstr/>
      </vt:variant>
      <vt:variant>
        <vt:lpwstr>_Toc329011662</vt:lpwstr>
      </vt:variant>
      <vt:variant>
        <vt:i4>1179709</vt:i4>
      </vt:variant>
      <vt:variant>
        <vt:i4>488</vt:i4>
      </vt:variant>
      <vt:variant>
        <vt:i4>0</vt:i4>
      </vt:variant>
      <vt:variant>
        <vt:i4>5</vt:i4>
      </vt:variant>
      <vt:variant>
        <vt:lpwstr/>
      </vt:variant>
      <vt:variant>
        <vt:lpwstr>_Toc329011661</vt:lpwstr>
      </vt:variant>
      <vt:variant>
        <vt:i4>1179709</vt:i4>
      </vt:variant>
      <vt:variant>
        <vt:i4>482</vt:i4>
      </vt:variant>
      <vt:variant>
        <vt:i4>0</vt:i4>
      </vt:variant>
      <vt:variant>
        <vt:i4>5</vt:i4>
      </vt:variant>
      <vt:variant>
        <vt:lpwstr/>
      </vt:variant>
      <vt:variant>
        <vt:lpwstr>_Toc329011660</vt:lpwstr>
      </vt:variant>
      <vt:variant>
        <vt:i4>1114173</vt:i4>
      </vt:variant>
      <vt:variant>
        <vt:i4>476</vt:i4>
      </vt:variant>
      <vt:variant>
        <vt:i4>0</vt:i4>
      </vt:variant>
      <vt:variant>
        <vt:i4>5</vt:i4>
      </vt:variant>
      <vt:variant>
        <vt:lpwstr/>
      </vt:variant>
      <vt:variant>
        <vt:lpwstr>_Toc329011659</vt:lpwstr>
      </vt:variant>
      <vt:variant>
        <vt:i4>1114173</vt:i4>
      </vt:variant>
      <vt:variant>
        <vt:i4>470</vt:i4>
      </vt:variant>
      <vt:variant>
        <vt:i4>0</vt:i4>
      </vt:variant>
      <vt:variant>
        <vt:i4>5</vt:i4>
      </vt:variant>
      <vt:variant>
        <vt:lpwstr/>
      </vt:variant>
      <vt:variant>
        <vt:lpwstr>_Toc329011658</vt:lpwstr>
      </vt:variant>
      <vt:variant>
        <vt:i4>1114173</vt:i4>
      </vt:variant>
      <vt:variant>
        <vt:i4>464</vt:i4>
      </vt:variant>
      <vt:variant>
        <vt:i4>0</vt:i4>
      </vt:variant>
      <vt:variant>
        <vt:i4>5</vt:i4>
      </vt:variant>
      <vt:variant>
        <vt:lpwstr/>
      </vt:variant>
      <vt:variant>
        <vt:lpwstr>_Toc329011657</vt:lpwstr>
      </vt:variant>
      <vt:variant>
        <vt:i4>1114173</vt:i4>
      </vt:variant>
      <vt:variant>
        <vt:i4>458</vt:i4>
      </vt:variant>
      <vt:variant>
        <vt:i4>0</vt:i4>
      </vt:variant>
      <vt:variant>
        <vt:i4>5</vt:i4>
      </vt:variant>
      <vt:variant>
        <vt:lpwstr/>
      </vt:variant>
      <vt:variant>
        <vt:lpwstr>_Toc329011656</vt:lpwstr>
      </vt:variant>
      <vt:variant>
        <vt:i4>1114173</vt:i4>
      </vt:variant>
      <vt:variant>
        <vt:i4>452</vt:i4>
      </vt:variant>
      <vt:variant>
        <vt:i4>0</vt:i4>
      </vt:variant>
      <vt:variant>
        <vt:i4>5</vt:i4>
      </vt:variant>
      <vt:variant>
        <vt:lpwstr/>
      </vt:variant>
      <vt:variant>
        <vt:lpwstr>_Toc329011655</vt:lpwstr>
      </vt:variant>
      <vt:variant>
        <vt:i4>1114173</vt:i4>
      </vt:variant>
      <vt:variant>
        <vt:i4>446</vt:i4>
      </vt:variant>
      <vt:variant>
        <vt:i4>0</vt:i4>
      </vt:variant>
      <vt:variant>
        <vt:i4>5</vt:i4>
      </vt:variant>
      <vt:variant>
        <vt:lpwstr/>
      </vt:variant>
      <vt:variant>
        <vt:lpwstr>_Toc329011654</vt:lpwstr>
      </vt:variant>
      <vt:variant>
        <vt:i4>1114173</vt:i4>
      </vt:variant>
      <vt:variant>
        <vt:i4>440</vt:i4>
      </vt:variant>
      <vt:variant>
        <vt:i4>0</vt:i4>
      </vt:variant>
      <vt:variant>
        <vt:i4>5</vt:i4>
      </vt:variant>
      <vt:variant>
        <vt:lpwstr/>
      </vt:variant>
      <vt:variant>
        <vt:lpwstr>_Toc329011653</vt:lpwstr>
      </vt:variant>
      <vt:variant>
        <vt:i4>1114173</vt:i4>
      </vt:variant>
      <vt:variant>
        <vt:i4>434</vt:i4>
      </vt:variant>
      <vt:variant>
        <vt:i4>0</vt:i4>
      </vt:variant>
      <vt:variant>
        <vt:i4>5</vt:i4>
      </vt:variant>
      <vt:variant>
        <vt:lpwstr/>
      </vt:variant>
      <vt:variant>
        <vt:lpwstr>_Toc329011652</vt:lpwstr>
      </vt:variant>
      <vt:variant>
        <vt:i4>1114173</vt:i4>
      </vt:variant>
      <vt:variant>
        <vt:i4>428</vt:i4>
      </vt:variant>
      <vt:variant>
        <vt:i4>0</vt:i4>
      </vt:variant>
      <vt:variant>
        <vt:i4>5</vt:i4>
      </vt:variant>
      <vt:variant>
        <vt:lpwstr/>
      </vt:variant>
      <vt:variant>
        <vt:lpwstr>_Toc329011651</vt:lpwstr>
      </vt:variant>
      <vt:variant>
        <vt:i4>1114173</vt:i4>
      </vt:variant>
      <vt:variant>
        <vt:i4>422</vt:i4>
      </vt:variant>
      <vt:variant>
        <vt:i4>0</vt:i4>
      </vt:variant>
      <vt:variant>
        <vt:i4>5</vt:i4>
      </vt:variant>
      <vt:variant>
        <vt:lpwstr/>
      </vt:variant>
      <vt:variant>
        <vt:lpwstr>_Toc329011650</vt:lpwstr>
      </vt:variant>
      <vt:variant>
        <vt:i4>1048637</vt:i4>
      </vt:variant>
      <vt:variant>
        <vt:i4>416</vt:i4>
      </vt:variant>
      <vt:variant>
        <vt:i4>0</vt:i4>
      </vt:variant>
      <vt:variant>
        <vt:i4>5</vt:i4>
      </vt:variant>
      <vt:variant>
        <vt:lpwstr/>
      </vt:variant>
      <vt:variant>
        <vt:lpwstr>_Toc329011649</vt:lpwstr>
      </vt:variant>
      <vt:variant>
        <vt:i4>1048637</vt:i4>
      </vt:variant>
      <vt:variant>
        <vt:i4>410</vt:i4>
      </vt:variant>
      <vt:variant>
        <vt:i4>0</vt:i4>
      </vt:variant>
      <vt:variant>
        <vt:i4>5</vt:i4>
      </vt:variant>
      <vt:variant>
        <vt:lpwstr/>
      </vt:variant>
      <vt:variant>
        <vt:lpwstr>_Toc329011648</vt:lpwstr>
      </vt:variant>
      <vt:variant>
        <vt:i4>1048637</vt:i4>
      </vt:variant>
      <vt:variant>
        <vt:i4>404</vt:i4>
      </vt:variant>
      <vt:variant>
        <vt:i4>0</vt:i4>
      </vt:variant>
      <vt:variant>
        <vt:i4>5</vt:i4>
      </vt:variant>
      <vt:variant>
        <vt:lpwstr/>
      </vt:variant>
      <vt:variant>
        <vt:lpwstr>_Toc329011647</vt:lpwstr>
      </vt:variant>
      <vt:variant>
        <vt:i4>1048637</vt:i4>
      </vt:variant>
      <vt:variant>
        <vt:i4>398</vt:i4>
      </vt:variant>
      <vt:variant>
        <vt:i4>0</vt:i4>
      </vt:variant>
      <vt:variant>
        <vt:i4>5</vt:i4>
      </vt:variant>
      <vt:variant>
        <vt:lpwstr/>
      </vt:variant>
      <vt:variant>
        <vt:lpwstr>_Toc329011646</vt:lpwstr>
      </vt:variant>
      <vt:variant>
        <vt:i4>1048637</vt:i4>
      </vt:variant>
      <vt:variant>
        <vt:i4>392</vt:i4>
      </vt:variant>
      <vt:variant>
        <vt:i4>0</vt:i4>
      </vt:variant>
      <vt:variant>
        <vt:i4>5</vt:i4>
      </vt:variant>
      <vt:variant>
        <vt:lpwstr/>
      </vt:variant>
      <vt:variant>
        <vt:lpwstr>_Toc329011645</vt:lpwstr>
      </vt:variant>
      <vt:variant>
        <vt:i4>1048637</vt:i4>
      </vt:variant>
      <vt:variant>
        <vt:i4>386</vt:i4>
      </vt:variant>
      <vt:variant>
        <vt:i4>0</vt:i4>
      </vt:variant>
      <vt:variant>
        <vt:i4>5</vt:i4>
      </vt:variant>
      <vt:variant>
        <vt:lpwstr/>
      </vt:variant>
      <vt:variant>
        <vt:lpwstr>_Toc329011644</vt:lpwstr>
      </vt:variant>
      <vt:variant>
        <vt:i4>1048637</vt:i4>
      </vt:variant>
      <vt:variant>
        <vt:i4>380</vt:i4>
      </vt:variant>
      <vt:variant>
        <vt:i4>0</vt:i4>
      </vt:variant>
      <vt:variant>
        <vt:i4>5</vt:i4>
      </vt:variant>
      <vt:variant>
        <vt:lpwstr/>
      </vt:variant>
      <vt:variant>
        <vt:lpwstr>_Toc329011643</vt:lpwstr>
      </vt:variant>
      <vt:variant>
        <vt:i4>1048637</vt:i4>
      </vt:variant>
      <vt:variant>
        <vt:i4>374</vt:i4>
      </vt:variant>
      <vt:variant>
        <vt:i4>0</vt:i4>
      </vt:variant>
      <vt:variant>
        <vt:i4>5</vt:i4>
      </vt:variant>
      <vt:variant>
        <vt:lpwstr/>
      </vt:variant>
      <vt:variant>
        <vt:lpwstr>_Toc329011642</vt:lpwstr>
      </vt:variant>
      <vt:variant>
        <vt:i4>1048637</vt:i4>
      </vt:variant>
      <vt:variant>
        <vt:i4>368</vt:i4>
      </vt:variant>
      <vt:variant>
        <vt:i4>0</vt:i4>
      </vt:variant>
      <vt:variant>
        <vt:i4>5</vt:i4>
      </vt:variant>
      <vt:variant>
        <vt:lpwstr/>
      </vt:variant>
      <vt:variant>
        <vt:lpwstr>_Toc329011641</vt:lpwstr>
      </vt:variant>
      <vt:variant>
        <vt:i4>1048637</vt:i4>
      </vt:variant>
      <vt:variant>
        <vt:i4>362</vt:i4>
      </vt:variant>
      <vt:variant>
        <vt:i4>0</vt:i4>
      </vt:variant>
      <vt:variant>
        <vt:i4>5</vt:i4>
      </vt:variant>
      <vt:variant>
        <vt:lpwstr/>
      </vt:variant>
      <vt:variant>
        <vt:lpwstr>_Toc329011640</vt:lpwstr>
      </vt:variant>
      <vt:variant>
        <vt:i4>1507389</vt:i4>
      </vt:variant>
      <vt:variant>
        <vt:i4>356</vt:i4>
      </vt:variant>
      <vt:variant>
        <vt:i4>0</vt:i4>
      </vt:variant>
      <vt:variant>
        <vt:i4>5</vt:i4>
      </vt:variant>
      <vt:variant>
        <vt:lpwstr/>
      </vt:variant>
      <vt:variant>
        <vt:lpwstr>_Toc329011639</vt:lpwstr>
      </vt:variant>
      <vt:variant>
        <vt:i4>1507389</vt:i4>
      </vt:variant>
      <vt:variant>
        <vt:i4>350</vt:i4>
      </vt:variant>
      <vt:variant>
        <vt:i4>0</vt:i4>
      </vt:variant>
      <vt:variant>
        <vt:i4>5</vt:i4>
      </vt:variant>
      <vt:variant>
        <vt:lpwstr/>
      </vt:variant>
      <vt:variant>
        <vt:lpwstr>_Toc329011638</vt:lpwstr>
      </vt:variant>
      <vt:variant>
        <vt:i4>1507389</vt:i4>
      </vt:variant>
      <vt:variant>
        <vt:i4>344</vt:i4>
      </vt:variant>
      <vt:variant>
        <vt:i4>0</vt:i4>
      </vt:variant>
      <vt:variant>
        <vt:i4>5</vt:i4>
      </vt:variant>
      <vt:variant>
        <vt:lpwstr/>
      </vt:variant>
      <vt:variant>
        <vt:lpwstr>_Toc329011637</vt:lpwstr>
      </vt:variant>
      <vt:variant>
        <vt:i4>1507389</vt:i4>
      </vt:variant>
      <vt:variant>
        <vt:i4>338</vt:i4>
      </vt:variant>
      <vt:variant>
        <vt:i4>0</vt:i4>
      </vt:variant>
      <vt:variant>
        <vt:i4>5</vt:i4>
      </vt:variant>
      <vt:variant>
        <vt:lpwstr/>
      </vt:variant>
      <vt:variant>
        <vt:lpwstr>_Toc329011636</vt:lpwstr>
      </vt:variant>
      <vt:variant>
        <vt:i4>1507389</vt:i4>
      </vt:variant>
      <vt:variant>
        <vt:i4>332</vt:i4>
      </vt:variant>
      <vt:variant>
        <vt:i4>0</vt:i4>
      </vt:variant>
      <vt:variant>
        <vt:i4>5</vt:i4>
      </vt:variant>
      <vt:variant>
        <vt:lpwstr/>
      </vt:variant>
      <vt:variant>
        <vt:lpwstr>_Toc329011635</vt:lpwstr>
      </vt:variant>
      <vt:variant>
        <vt:i4>1507389</vt:i4>
      </vt:variant>
      <vt:variant>
        <vt:i4>326</vt:i4>
      </vt:variant>
      <vt:variant>
        <vt:i4>0</vt:i4>
      </vt:variant>
      <vt:variant>
        <vt:i4>5</vt:i4>
      </vt:variant>
      <vt:variant>
        <vt:lpwstr/>
      </vt:variant>
      <vt:variant>
        <vt:lpwstr>_Toc329011634</vt:lpwstr>
      </vt:variant>
      <vt:variant>
        <vt:i4>1507389</vt:i4>
      </vt:variant>
      <vt:variant>
        <vt:i4>320</vt:i4>
      </vt:variant>
      <vt:variant>
        <vt:i4>0</vt:i4>
      </vt:variant>
      <vt:variant>
        <vt:i4>5</vt:i4>
      </vt:variant>
      <vt:variant>
        <vt:lpwstr/>
      </vt:variant>
      <vt:variant>
        <vt:lpwstr>_Toc329011633</vt:lpwstr>
      </vt:variant>
      <vt:variant>
        <vt:i4>1507389</vt:i4>
      </vt:variant>
      <vt:variant>
        <vt:i4>314</vt:i4>
      </vt:variant>
      <vt:variant>
        <vt:i4>0</vt:i4>
      </vt:variant>
      <vt:variant>
        <vt:i4>5</vt:i4>
      </vt:variant>
      <vt:variant>
        <vt:lpwstr/>
      </vt:variant>
      <vt:variant>
        <vt:lpwstr>_Toc329011632</vt:lpwstr>
      </vt:variant>
      <vt:variant>
        <vt:i4>1507389</vt:i4>
      </vt:variant>
      <vt:variant>
        <vt:i4>308</vt:i4>
      </vt:variant>
      <vt:variant>
        <vt:i4>0</vt:i4>
      </vt:variant>
      <vt:variant>
        <vt:i4>5</vt:i4>
      </vt:variant>
      <vt:variant>
        <vt:lpwstr/>
      </vt:variant>
      <vt:variant>
        <vt:lpwstr>_Toc329011631</vt:lpwstr>
      </vt:variant>
      <vt:variant>
        <vt:i4>1507389</vt:i4>
      </vt:variant>
      <vt:variant>
        <vt:i4>302</vt:i4>
      </vt:variant>
      <vt:variant>
        <vt:i4>0</vt:i4>
      </vt:variant>
      <vt:variant>
        <vt:i4>5</vt:i4>
      </vt:variant>
      <vt:variant>
        <vt:lpwstr/>
      </vt:variant>
      <vt:variant>
        <vt:lpwstr>_Toc329011630</vt:lpwstr>
      </vt:variant>
      <vt:variant>
        <vt:i4>1441853</vt:i4>
      </vt:variant>
      <vt:variant>
        <vt:i4>296</vt:i4>
      </vt:variant>
      <vt:variant>
        <vt:i4>0</vt:i4>
      </vt:variant>
      <vt:variant>
        <vt:i4>5</vt:i4>
      </vt:variant>
      <vt:variant>
        <vt:lpwstr/>
      </vt:variant>
      <vt:variant>
        <vt:lpwstr>_Toc329011629</vt:lpwstr>
      </vt:variant>
      <vt:variant>
        <vt:i4>1441853</vt:i4>
      </vt:variant>
      <vt:variant>
        <vt:i4>290</vt:i4>
      </vt:variant>
      <vt:variant>
        <vt:i4>0</vt:i4>
      </vt:variant>
      <vt:variant>
        <vt:i4>5</vt:i4>
      </vt:variant>
      <vt:variant>
        <vt:lpwstr/>
      </vt:variant>
      <vt:variant>
        <vt:lpwstr>_Toc329011628</vt:lpwstr>
      </vt:variant>
      <vt:variant>
        <vt:i4>1441853</vt:i4>
      </vt:variant>
      <vt:variant>
        <vt:i4>284</vt:i4>
      </vt:variant>
      <vt:variant>
        <vt:i4>0</vt:i4>
      </vt:variant>
      <vt:variant>
        <vt:i4>5</vt:i4>
      </vt:variant>
      <vt:variant>
        <vt:lpwstr/>
      </vt:variant>
      <vt:variant>
        <vt:lpwstr>_Toc329011627</vt:lpwstr>
      </vt:variant>
      <vt:variant>
        <vt:i4>1441853</vt:i4>
      </vt:variant>
      <vt:variant>
        <vt:i4>278</vt:i4>
      </vt:variant>
      <vt:variant>
        <vt:i4>0</vt:i4>
      </vt:variant>
      <vt:variant>
        <vt:i4>5</vt:i4>
      </vt:variant>
      <vt:variant>
        <vt:lpwstr/>
      </vt:variant>
      <vt:variant>
        <vt:lpwstr>_Toc329011626</vt:lpwstr>
      </vt:variant>
      <vt:variant>
        <vt:i4>1441853</vt:i4>
      </vt:variant>
      <vt:variant>
        <vt:i4>272</vt:i4>
      </vt:variant>
      <vt:variant>
        <vt:i4>0</vt:i4>
      </vt:variant>
      <vt:variant>
        <vt:i4>5</vt:i4>
      </vt:variant>
      <vt:variant>
        <vt:lpwstr/>
      </vt:variant>
      <vt:variant>
        <vt:lpwstr>_Toc329011625</vt:lpwstr>
      </vt:variant>
      <vt:variant>
        <vt:i4>1441853</vt:i4>
      </vt:variant>
      <vt:variant>
        <vt:i4>266</vt:i4>
      </vt:variant>
      <vt:variant>
        <vt:i4>0</vt:i4>
      </vt:variant>
      <vt:variant>
        <vt:i4>5</vt:i4>
      </vt:variant>
      <vt:variant>
        <vt:lpwstr/>
      </vt:variant>
      <vt:variant>
        <vt:lpwstr>_Toc329011624</vt:lpwstr>
      </vt:variant>
      <vt:variant>
        <vt:i4>1441853</vt:i4>
      </vt:variant>
      <vt:variant>
        <vt:i4>260</vt:i4>
      </vt:variant>
      <vt:variant>
        <vt:i4>0</vt:i4>
      </vt:variant>
      <vt:variant>
        <vt:i4>5</vt:i4>
      </vt:variant>
      <vt:variant>
        <vt:lpwstr/>
      </vt:variant>
      <vt:variant>
        <vt:lpwstr>_Toc329011623</vt:lpwstr>
      </vt:variant>
      <vt:variant>
        <vt:i4>1441853</vt:i4>
      </vt:variant>
      <vt:variant>
        <vt:i4>254</vt:i4>
      </vt:variant>
      <vt:variant>
        <vt:i4>0</vt:i4>
      </vt:variant>
      <vt:variant>
        <vt:i4>5</vt:i4>
      </vt:variant>
      <vt:variant>
        <vt:lpwstr/>
      </vt:variant>
      <vt:variant>
        <vt:lpwstr>_Toc329011622</vt:lpwstr>
      </vt:variant>
      <vt:variant>
        <vt:i4>1441853</vt:i4>
      </vt:variant>
      <vt:variant>
        <vt:i4>248</vt:i4>
      </vt:variant>
      <vt:variant>
        <vt:i4>0</vt:i4>
      </vt:variant>
      <vt:variant>
        <vt:i4>5</vt:i4>
      </vt:variant>
      <vt:variant>
        <vt:lpwstr/>
      </vt:variant>
      <vt:variant>
        <vt:lpwstr>_Toc329011621</vt:lpwstr>
      </vt:variant>
      <vt:variant>
        <vt:i4>1441853</vt:i4>
      </vt:variant>
      <vt:variant>
        <vt:i4>242</vt:i4>
      </vt:variant>
      <vt:variant>
        <vt:i4>0</vt:i4>
      </vt:variant>
      <vt:variant>
        <vt:i4>5</vt:i4>
      </vt:variant>
      <vt:variant>
        <vt:lpwstr/>
      </vt:variant>
      <vt:variant>
        <vt:lpwstr>_Toc329011620</vt:lpwstr>
      </vt:variant>
      <vt:variant>
        <vt:i4>1376317</vt:i4>
      </vt:variant>
      <vt:variant>
        <vt:i4>236</vt:i4>
      </vt:variant>
      <vt:variant>
        <vt:i4>0</vt:i4>
      </vt:variant>
      <vt:variant>
        <vt:i4>5</vt:i4>
      </vt:variant>
      <vt:variant>
        <vt:lpwstr/>
      </vt:variant>
      <vt:variant>
        <vt:lpwstr>_Toc329011619</vt:lpwstr>
      </vt:variant>
      <vt:variant>
        <vt:i4>1376317</vt:i4>
      </vt:variant>
      <vt:variant>
        <vt:i4>230</vt:i4>
      </vt:variant>
      <vt:variant>
        <vt:i4>0</vt:i4>
      </vt:variant>
      <vt:variant>
        <vt:i4>5</vt:i4>
      </vt:variant>
      <vt:variant>
        <vt:lpwstr/>
      </vt:variant>
      <vt:variant>
        <vt:lpwstr>_Toc329011618</vt:lpwstr>
      </vt:variant>
      <vt:variant>
        <vt:i4>1376317</vt:i4>
      </vt:variant>
      <vt:variant>
        <vt:i4>224</vt:i4>
      </vt:variant>
      <vt:variant>
        <vt:i4>0</vt:i4>
      </vt:variant>
      <vt:variant>
        <vt:i4>5</vt:i4>
      </vt:variant>
      <vt:variant>
        <vt:lpwstr/>
      </vt:variant>
      <vt:variant>
        <vt:lpwstr>_Toc329011617</vt:lpwstr>
      </vt:variant>
      <vt:variant>
        <vt:i4>1376317</vt:i4>
      </vt:variant>
      <vt:variant>
        <vt:i4>218</vt:i4>
      </vt:variant>
      <vt:variant>
        <vt:i4>0</vt:i4>
      </vt:variant>
      <vt:variant>
        <vt:i4>5</vt:i4>
      </vt:variant>
      <vt:variant>
        <vt:lpwstr/>
      </vt:variant>
      <vt:variant>
        <vt:lpwstr>_Toc329011616</vt:lpwstr>
      </vt:variant>
      <vt:variant>
        <vt:i4>1376317</vt:i4>
      </vt:variant>
      <vt:variant>
        <vt:i4>212</vt:i4>
      </vt:variant>
      <vt:variant>
        <vt:i4>0</vt:i4>
      </vt:variant>
      <vt:variant>
        <vt:i4>5</vt:i4>
      </vt:variant>
      <vt:variant>
        <vt:lpwstr/>
      </vt:variant>
      <vt:variant>
        <vt:lpwstr>_Toc329011615</vt:lpwstr>
      </vt:variant>
      <vt:variant>
        <vt:i4>1376317</vt:i4>
      </vt:variant>
      <vt:variant>
        <vt:i4>206</vt:i4>
      </vt:variant>
      <vt:variant>
        <vt:i4>0</vt:i4>
      </vt:variant>
      <vt:variant>
        <vt:i4>5</vt:i4>
      </vt:variant>
      <vt:variant>
        <vt:lpwstr/>
      </vt:variant>
      <vt:variant>
        <vt:lpwstr>_Toc329011614</vt:lpwstr>
      </vt:variant>
      <vt:variant>
        <vt:i4>1376317</vt:i4>
      </vt:variant>
      <vt:variant>
        <vt:i4>200</vt:i4>
      </vt:variant>
      <vt:variant>
        <vt:i4>0</vt:i4>
      </vt:variant>
      <vt:variant>
        <vt:i4>5</vt:i4>
      </vt:variant>
      <vt:variant>
        <vt:lpwstr/>
      </vt:variant>
      <vt:variant>
        <vt:lpwstr>_Toc329011613</vt:lpwstr>
      </vt:variant>
      <vt:variant>
        <vt:i4>1376317</vt:i4>
      </vt:variant>
      <vt:variant>
        <vt:i4>194</vt:i4>
      </vt:variant>
      <vt:variant>
        <vt:i4>0</vt:i4>
      </vt:variant>
      <vt:variant>
        <vt:i4>5</vt:i4>
      </vt:variant>
      <vt:variant>
        <vt:lpwstr/>
      </vt:variant>
      <vt:variant>
        <vt:lpwstr>_Toc329011612</vt:lpwstr>
      </vt:variant>
      <vt:variant>
        <vt:i4>1376317</vt:i4>
      </vt:variant>
      <vt:variant>
        <vt:i4>188</vt:i4>
      </vt:variant>
      <vt:variant>
        <vt:i4>0</vt:i4>
      </vt:variant>
      <vt:variant>
        <vt:i4>5</vt:i4>
      </vt:variant>
      <vt:variant>
        <vt:lpwstr/>
      </vt:variant>
      <vt:variant>
        <vt:lpwstr>_Toc329011611</vt:lpwstr>
      </vt:variant>
      <vt:variant>
        <vt:i4>1376317</vt:i4>
      </vt:variant>
      <vt:variant>
        <vt:i4>182</vt:i4>
      </vt:variant>
      <vt:variant>
        <vt:i4>0</vt:i4>
      </vt:variant>
      <vt:variant>
        <vt:i4>5</vt:i4>
      </vt:variant>
      <vt:variant>
        <vt:lpwstr/>
      </vt:variant>
      <vt:variant>
        <vt:lpwstr>_Toc329011610</vt:lpwstr>
      </vt:variant>
      <vt:variant>
        <vt:i4>1310781</vt:i4>
      </vt:variant>
      <vt:variant>
        <vt:i4>176</vt:i4>
      </vt:variant>
      <vt:variant>
        <vt:i4>0</vt:i4>
      </vt:variant>
      <vt:variant>
        <vt:i4>5</vt:i4>
      </vt:variant>
      <vt:variant>
        <vt:lpwstr/>
      </vt:variant>
      <vt:variant>
        <vt:lpwstr>_Toc329011609</vt:lpwstr>
      </vt:variant>
      <vt:variant>
        <vt:i4>1310781</vt:i4>
      </vt:variant>
      <vt:variant>
        <vt:i4>170</vt:i4>
      </vt:variant>
      <vt:variant>
        <vt:i4>0</vt:i4>
      </vt:variant>
      <vt:variant>
        <vt:i4>5</vt:i4>
      </vt:variant>
      <vt:variant>
        <vt:lpwstr/>
      </vt:variant>
      <vt:variant>
        <vt:lpwstr>_Toc329011608</vt:lpwstr>
      </vt:variant>
      <vt:variant>
        <vt:i4>1310781</vt:i4>
      </vt:variant>
      <vt:variant>
        <vt:i4>164</vt:i4>
      </vt:variant>
      <vt:variant>
        <vt:i4>0</vt:i4>
      </vt:variant>
      <vt:variant>
        <vt:i4>5</vt:i4>
      </vt:variant>
      <vt:variant>
        <vt:lpwstr/>
      </vt:variant>
      <vt:variant>
        <vt:lpwstr>_Toc329011607</vt:lpwstr>
      </vt:variant>
      <vt:variant>
        <vt:i4>1310781</vt:i4>
      </vt:variant>
      <vt:variant>
        <vt:i4>158</vt:i4>
      </vt:variant>
      <vt:variant>
        <vt:i4>0</vt:i4>
      </vt:variant>
      <vt:variant>
        <vt:i4>5</vt:i4>
      </vt:variant>
      <vt:variant>
        <vt:lpwstr/>
      </vt:variant>
      <vt:variant>
        <vt:lpwstr>_Toc329011606</vt:lpwstr>
      </vt:variant>
      <vt:variant>
        <vt:i4>1310781</vt:i4>
      </vt:variant>
      <vt:variant>
        <vt:i4>152</vt:i4>
      </vt:variant>
      <vt:variant>
        <vt:i4>0</vt:i4>
      </vt:variant>
      <vt:variant>
        <vt:i4>5</vt:i4>
      </vt:variant>
      <vt:variant>
        <vt:lpwstr/>
      </vt:variant>
      <vt:variant>
        <vt:lpwstr>_Toc329011605</vt:lpwstr>
      </vt:variant>
      <vt:variant>
        <vt:i4>1310781</vt:i4>
      </vt:variant>
      <vt:variant>
        <vt:i4>146</vt:i4>
      </vt:variant>
      <vt:variant>
        <vt:i4>0</vt:i4>
      </vt:variant>
      <vt:variant>
        <vt:i4>5</vt:i4>
      </vt:variant>
      <vt:variant>
        <vt:lpwstr/>
      </vt:variant>
      <vt:variant>
        <vt:lpwstr>_Toc329011604</vt:lpwstr>
      </vt:variant>
      <vt:variant>
        <vt:i4>1310781</vt:i4>
      </vt:variant>
      <vt:variant>
        <vt:i4>140</vt:i4>
      </vt:variant>
      <vt:variant>
        <vt:i4>0</vt:i4>
      </vt:variant>
      <vt:variant>
        <vt:i4>5</vt:i4>
      </vt:variant>
      <vt:variant>
        <vt:lpwstr/>
      </vt:variant>
      <vt:variant>
        <vt:lpwstr>_Toc329011603</vt:lpwstr>
      </vt:variant>
      <vt:variant>
        <vt:i4>5636108</vt:i4>
      </vt:variant>
      <vt:variant>
        <vt:i4>135</vt:i4>
      </vt:variant>
      <vt:variant>
        <vt:i4>0</vt:i4>
      </vt:variant>
      <vt:variant>
        <vt:i4>5</vt:i4>
      </vt:variant>
      <vt:variant>
        <vt:lpwstr>http://www.itu.int/md/S11-CL-INF-0009/en</vt:lpwstr>
      </vt:variant>
      <vt:variant>
        <vt:lpwstr/>
      </vt:variant>
      <vt:variant>
        <vt:i4>1376308</vt:i4>
      </vt:variant>
      <vt:variant>
        <vt:i4>128</vt:i4>
      </vt:variant>
      <vt:variant>
        <vt:i4>0</vt:i4>
      </vt:variant>
      <vt:variant>
        <vt:i4>5</vt:i4>
      </vt:variant>
      <vt:variant>
        <vt:lpwstr/>
      </vt:variant>
      <vt:variant>
        <vt:lpwstr>_Toc357006014</vt:lpwstr>
      </vt:variant>
      <vt:variant>
        <vt:i4>1376308</vt:i4>
      </vt:variant>
      <vt:variant>
        <vt:i4>122</vt:i4>
      </vt:variant>
      <vt:variant>
        <vt:i4>0</vt:i4>
      </vt:variant>
      <vt:variant>
        <vt:i4>5</vt:i4>
      </vt:variant>
      <vt:variant>
        <vt:lpwstr/>
      </vt:variant>
      <vt:variant>
        <vt:lpwstr>_Toc357006013</vt:lpwstr>
      </vt:variant>
      <vt:variant>
        <vt:i4>1376308</vt:i4>
      </vt:variant>
      <vt:variant>
        <vt:i4>116</vt:i4>
      </vt:variant>
      <vt:variant>
        <vt:i4>0</vt:i4>
      </vt:variant>
      <vt:variant>
        <vt:i4>5</vt:i4>
      </vt:variant>
      <vt:variant>
        <vt:lpwstr/>
      </vt:variant>
      <vt:variant>
        <vt:lpwstr>_Toc357006012</vt:lpwstr>
      </vt:variant>
      <vt:variant>
        <vt:i4>1376308</vt:i4>
      </vt:variant>
      <vt:variant>
        <vt:i4>110</vt:i4>
      </vt:variant>
      <vt:variant>
        <vt:i4>0</vt:i4>
      </vt:variant>
      <vt:variant>
        <vt:i4>5</vt:i4>
      </vt:variant>
      <vt:variant>
        <vt:lpwstr/>
      </vt:variant>
      <vt:variant>
        <vt:lpwstr>_Toc357006011</vt:lpwstr>
      </vt:variant>
      <vt:variant>
        <vt:i4>1376308</vt:i4>
      </vt:variant>
      <vt:variant>
        <vt:i4>104</vt:i4>
      </vt:variant>
      <vt:variant>
        <vt:i4>0</vt:i4>
      </vt:variant>
      <vt:variant>
        <vt:i4>5</vt:i4>
      </vt:variant>
      <vt:variant>
        <vt:lpwstr/>
      </vt:variant>
      <vt:variant>
        <vt:lpwstr>_Toc357006010</vt:lpwstr>
      </vt:variant>
      <vt:variant>
        <vt:i4>1310772</vt:i4>
      </vt:variant>
      <vt:variant>
        <vt:i4>98</vt:i4>
      </vt:variant>
      <vt:variant>
        <vt:i4>0</vt:i4>
      </vt:variant>
      <vt:variant>
        <vt:i4>5</vt:i4>
      </vt:variant>
      <vt:variant>
        <vt:lpwstr/>
      </vt:variant>
      <vt:variant>
        <vt:lpwstr>_Toc357006009</vt:lpwstr>
      </vt:variant>
      <vt:variant>
        <vt:i4>1310772</vt:i4>
      </vt:variant>
      <vt:variant>
        <vt:i4>92</vt:i4>
      </vt:variant>
      <vt:variant>
        <vt:i4>0</vt:i4>
      </vt:variant>
      <vt:variant>
        <vt:i4>5</vt:i4>
      </vt:variant>
      <vt:variant>
        <vt:lpwstr/>
      </vt:variant>
      <vt:variant>
        <vt:lpwstr>_Toc357006008</vt:lpwstr>
      </vt:variant>
      <vt:variant>
        <vt:i4>1310772</vt:i4>
      </vt:variant>
      <vt:variant>
        <vt:i4>86</vt:i4>
      </vt:variant>
      <vt:variant>
        <vt:i4>0</vt:i4>
      </vt:variant>
      <vt:variant>
        <vt:i4>5</vt:i4>
      </vt:variant>
      <vt:variant>
        <vt:lpwstr/>
      </vt:variant>
      <vt:variant>
        <vt:lpwstr>_Toc357006007</vt:lpwstr>
      </vt:variant>
      <vt:variant>
        <vt:i4>1310772</vt:i4>
      </vt:variant>
      <vt:variant>
        <vt:i4>80</vt:i4>
      </vt:variant>
      <vt:variant>
        <vt:i4>0</vt:i4>
      </vt:variant>
      <vt:variant>
        <vt:i4>5</vt:i4>
      </vt:variant>
      <vt:variant>
        <vt:lpwstr/>
      </vt:variant>
      <vt:variant>
        <vt:lpwstr>_Toc357006006</vt:lpwstr>
      </vt:variant>
      <vt:variant>
        <vt:i4>1310772</vt:i4>
      </vt:variant>
      <vt:variant>
        <vt:i4>74</vt:i4>
      </vt:variant>
      <vt:variant>
        <vt:i4>0</vt:i4>
      </vt:variant>
      <vt:variant>
        <vt:i4>5</vt:i4>
      </vt:variant>
      <vt:variant>
        <vt:lpwstr/>
      </vt:variant>
      <vt:variant>
        <vt:lpwstr>_Toc357006005</vt:lpwstr>
      </vt:variant>
      <vt:variant>
        <vt:i4>1310772</vt:i4>
      </vt:variant>
      <vt:variant>
        <vt:i4>68</vt:i4>
      </vt:variant>
      <vt:variant>
        <vt:i4>0</vt:i4>
      </vt:variant>
      <vt:variant>
        <vt:i4>5</vt:i4>
      </vt:variant>
      <vt:variant>
        <vt:lpwstr/>
      </vt:variant>
      <vt:variant>
        <vt:lpwstr>_Toc357006004</vt:lpwstr>
      </vt:variant>
      <vt:variant>
        <vt:i4>1310772</vt:i4>
      </vt:variant>
      <vt:variant>
        <vt:i4>62</vt:i4>
      </vt:variant>
      <vt:variant>
        <vt:i4>0</vt:i4>
      </vt:variant>
      <vt:variant>
        <vt:i4>5</vt:i4>
      </vt:variant>
      <vt:variant>
        <vt:lpwstr/>
      </vt:variant>
      <vt:variant>
        <vt:lpwstr>_Toc357006003</vt:lpwstr>
      </vt:variant>
      <vt:variant>
        <vt:i4>1310772</vt:i4>
      </vt:variant>
      <vt:variant>
        <vt:i4>56</vt:i4>
      </vt:variant>
      <vt:variant>
        <vt:i4>0</vt:i4>
      </vt:variant>
      <vt:variant>
        <vt:i4>5</vt:i4>
      </vt:variant>
      <vt:variant>
        <vt:lpwstr/>
      </vt:variant>
      <vt:variant>
        <vt:lpwstr>_Toc357006002</vt:lpwstr>
      </vt:variant>
      <vt:variant>
        <vt:i4>1310772</vt:i4>
      </vt:variant>
      <vt:variant>
        <vt:i4>50</vt:i4>
      </vt:variant>
      <vt:variant>
        <vt:i4>0</vt:i4>
      </vt:variant>
      <vt:variant>
        <vt:i4>5</vt:i4>
      </vt:variant>
      <vt:variant>
        <vt:lpwstr/>
      </vt:variant>
      <vt:variant>
        <vt:lpwstr>_Toc357006001</vt:lpwstr>
      </vt:variant>
      <vt:variant>
        <vt:i4>1310772</vt:i4>
      </vt:variant>
      <vt:variant>
        <vt:i4>44</vt:i4>
      </vt:variant>
      <vt:variant>
        <vt:i4>0</vt:i4>
      </vt:variant>
      <vt:variant>
        <vt:i4>5</vt:i4>
      </vt:variant>
      <vt:variant>
        <vt:lpwstr/>
      </vt:variant>
      <vt:variant>
        <vt:lpwstr>_Toc357006000</vt:lpwstr>
      </vt:variant>
      <vt:variant>
        <vt:i4>1966141</vt:i4>
      </vt:variant>
      <vt:variant>
        <vt:i4>38</vt:i4>
      </vt:variant>
      <vt:variant>
        <vt:i4>0</vt:i4>
      </vt:variant>
      <vt:variant>
        <vt:i4>5</vt:i4>
      </vt:variant>
      <vt:variant>
        <vt:lpwstr/>
      </vt:variant>
      <vt:variant>
        <vt:lpwstr>_Toc357005999</vt:lpwstr>
      </vt:variant>
      <vt:variant>
        <vt:i4>1966141</vt:i4>
      </vt:variant>
      <vt:variant>
        <vt:i4>32</vt:i4>
      </vt:variant>
      <vt:variant>
        <vt:i4>0</vt:i4>
      </vt:variant>
      <vt:variant>
        <vt:i4>5</vt:i4>
      </vt:variant>
      <vt:variant>
        <vt:lpwstr/>
      </vt:variant>
      <vt:variant>
        <vt:lpwstr>_Toc357005998</vt:lpwstr>
      </vt:variant>
      <vt:variant>
        <vt:i4>1966141</vt:i4>
      </vt:variant>
      <vt:variant>
        <vt:i4>26</vt:i4>
      </vt:variant>
      <vt:variant>
        <vt:i4>0</vt:i4>
      </vt:variant>
      <vt:variant>
        <vt:i4>5</vt:i4>
      </vt:variant>
      <vt:variant>
        <vt:lpwstr/>
      </vt:variant>
      <vt:variant>
        <vt:lpwstr>_Toc357005997</vt:lpwstr>
      </vt:variant>
      <vt:variant>
        <vt:i4>1966141</vt:i4>
      </vt:variant>
      <vt:variant>
        <vt:i4>20</vt:i4>
      </vt:variant>
      <vt:variant>
        <vt:i4>0</vt:i4>
      </vt:variant>
      <vt:variant>
        <vt:i4>5</vt:i4>
      </vt:variant>
      <vt:variant>
        <vt:lpwstr/>
      </vt:variant>
      <vt:variant>
        <vt:lpwstr>_Toc357005996</vt:lpwstr>
      </vt:variant>
      <vt:variant>
        <vt:i4>1966141</vt:i4>
      </vt:variant>
      <vt:variant>
        <vt:i4>14</vt:i4>
      </vt:variant>
      <vt:variant>
        <vt:i4>0</vt:i4>
      </vt:variant>
      <vt:variant>
        <vt:i4>5</vt:i4>
      </vt:variant>
      <vt:variant>
        <vt:lpwstr/>
      </vt:variant>
      <vt:variant>
        <vt:lpwstr>_Toc357005995</vt:lpwstr>
      </vt:variant>
      <vt:variant>
        <vt:i4>1966141</vt:i4>
      </vt:variant>
      <vt:variant>
        <vt:i4>8</vt:i4>
      </vt:variant>
      <vt:variant>
        <vt:i4>0</vt:i4>
      </vt:variant>
      <vt:variant>
        <vt:i4>5</vt:i4>
      </vt:variant>
      <vt:variant>
        <vt:lpwstr/>
      </vt:variant>
      <vt:variant>
        <vt:lpwstr>_Toc357005994</vt:lpwstr>
      </vt:variant>
      <vt:variant>
        <vt:i4>3407911</vt:i4>
      </vt:variant>
      <vt:variant>
        <vt:i4>3</vt:i4>
      </vt:variant>
      <vt:variant>
        <vt:i4>0</vt:i4>
      </vt:variant>
      <vt:variant>
        <vt:i4>5</vt:i4>
      </vt:variant>
      <vt:variant>
        <vt:lpwstr>http://www.itu.int/council/finregs/Regl_Fin_Regles-05-rev-E.pdf</vt:lpwstr>
      </vt:variant>
      <vt:variant>
        <vt:lpwstr/>
      </vt:variant>
      <vt:variant>
        <vt:i4>2031703</vt:i4>
      </vt:variant>
      <vt:variant>
        <vt:i4>0</vt:i4>
      </vt:variant>
      <vt:variant>
        <vt:i4>0</vt:i4>
      </vt:variant>
      <vt:variant>
        <vt:i4>5</vt:i4>
      </vt:variant>
      <vt:variant>
        <vt:lpwstr>http://www.itu.int/council/Basic-Texts/convention-e.docx</vt:lpwstr>
      </vt:variant>
      <vt:variant>
        <vt:lpwstr>cv101</vt:lpwstr>
      </vt:variant>
      <vt:variant>
        <vt:i4>3342371</vt:i4>
      </vt:variant>
      <vt:variant>
        <vt:i4>36</vt:i4>
      </vt:variant>
      <vt:variant>
        <vt:i4>0</vt:i4>
      </vt:variant>
      <vt:variant>
        <vt:i4>5</vt:i4>
      </vt:variant>
      <vt:variant>
        <vt:lpwstr>http://www.itu.int/council</vt:lpwstr>
      </vt:variant>
      <vt:variant>
        <vt:lpwstr/>
      </vt:variant>
      <vt:variant>
        <vt:i4>3342371</vt:i4>
      </vt:variant>
      <vt:variant>
        <vt:i4>6</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Unaudited financial operating report</dc:title>
  <dc:subject>Council 2011</dc:subject>
  <dc:creator>Galasso, Jordane</dc:creator>
  <cp:keywords>C2018, C18</cp:keywords>
  <cp:lastModifiedBy>Janin</cp:lastModifiedBy>
  <cp:revision>3</cp:revision>
  <cp:lastPrinted>2018-04-04T12:22:00Z</cp:lastPrinted>
  <dcterms:created xsi:type="dcterms:W3CDTF">2018-04-13T14:12:00Z</dcterms:created>
  <dcterms:modified xsi:type="dcterms:W3CDTF">2018-04-13T14:19:00Z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